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946AB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2D69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亳州逸合府项目过程、专项、交付评估技术服务工程 </w:t>
      </w:r>
    </w:p>
    <w:permEnd w:id="0"/>
    <w:p w14:paraId="6BEA91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003E98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6093D3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A2597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7B575F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75D4610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6EC1F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F22DFC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BC0C64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988B9C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BZZC-2026</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005</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7E3F782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78FF60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14:paraId="49E14E9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2026 年 1 </w:t>
      </w:r>
      <w:r>
        <w:rPr>
          <w:rFonts w:hint="eastAsia" w:ascii="Times New Roman" w:hAnsi="Times New Roman" w:eastAsia="楷体" w:cs="Times New Roman"/>
          <w:kern w:val="0"/>
          <w:sz w:val="32"/>
          <w:szCs w:val="32"/>
          <w:highlight w:val="none"/>
          <w:u w:val="none"/>
          <w:shd w:val="clear" w:color="auto" w:fill="auto"/>
          <w:lang w:val="en-US" w:eastAsia="zh-CN"/>
        </w:rPr>
        <w:t>月 20日</w:t>
      </w:r>
      <w:permEnd w:id="3"/>
    </w:p>
    <w:p w14:paraId="700A9424">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0A3A4F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8E6645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D08730">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12DA92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6DBF8E1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7547D4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14:paraId="0059BE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40</w:t>
      </w:r>
    </w:p>
    <w:p w14:paraId="05D3F1C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41</w:t>
      </w:r>
    </w:p>
    <w:permEnd w:id="4"/>
    <w:p w14:paraId="064E2D3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B2F1AB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E76922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6E46D4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A2B2DD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2B1F62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AB0E68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B906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27475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474ABE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8B9BD1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3F677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734C40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亳州逸合府项目过程、专项、交付评估技术服务工程</w:t>
      </w:r>
      <w:r>
        <w:rPr>
          <w:rFonts w:hint="eastAsia" w:ascii="Times New Roman" w:hAnsi="Times New Roman" w:eastAsia="黑体" w:cs="Times New Roman"/>
          <w:sz w:val="28"/>
          <w:szCs w:val="28"/>
          <w:highlight w:val="none"/>
          <w:lang w:val="en-US" w:eastAsia="zh-CN"/>
        </w:rPr>
        <w:t>询比公告</w:t>
      </w:r>
      <w:permEnd w:id="5"/>
    </w:p>
    <w:p w14:paraId="6DE420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5519"/>
      <w:bookmarkStart w:id="2" w:name="_Toc246996909"/>
      <w:bookmarkStart w:id="3" w:name="_Toc152042295"/>
      <w:bookmarkStart w:id="4" w:name="_Toc246996166"/>
      <w:bookmarkStart w:id="5" w:name="_Toc179632536"/>
      <w:bookmarkStart w:id="6" w:name="_Toc296602410"/>
      <w:bookmarkStart w:id="7" w:name="_Toc144974487"/>
      <w:r>
        <w:rPr>
          <w:rFonts w:hint="eastAsia" w:ascii="宋体" w:hAnsi="宋体" w:eastAsia="宋体" w:cs="宋体"/>
          <w:sz w:val="28"/>
          <w:szCs w:val="28"/>
          <w:highlight w:val="none"/>
          <w:u w:val="single"/>
          <w:lang w:val="en-US" w:eastAsia="zh-CN"/>
        </w:rPr>
        <w:t xml:space="preserve">  亳州逸合府项目过程、专项、交付评估技术服务工程 </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3D672B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21C225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152045520"/>
      <w:bookmarkStart w:id="9" w:name="_Toc246996910"/>
      <w:bookmarkStart w:id="10" w:name="_Toc246996167"/>
      <w:bookmarkStart w:id="11" w:name="_Toc179632537"/>
      <w:bookmarkStart w:id="12" w:name="_Toc152042296"/>
      <w:bookmarkStart w:id="13" w:name="_Toc296602411"/>
      <w:bookmarkStart w:id="14" w:name="_Toc144974488"/>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亳州逸合府项目过程、专项、交付评估技术服务工程</w:t>
      </w:r>
    </w:p>
    <w:permEnd w:id="6"/>
    <w:p w14:paraId="4169B3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w:t>
      </w:r>
      <w:r>
        <w:rPr>
          <w:rFonts w:hint="eastAsia" w:asciiTheme="minorEastAsia" w:hAnsiTheme="minorEastAsia" w:cstheme="minorEastAsia"/>
          <w:sz w:val="28"/>
          <w:szCs w:val="28"/>
          <w:highlight w:val="none"/>
          <w:lang w:val="en-US" w:eastAsia="zh-CN"/>
        </w:rPr>
        <w:t>2026</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005</w:t>
      </w:r>
      <w:r>
        <w:rPr>
          <w:rFonts w:hint="eastAsia" w:asciiTheme="minorEastAsia" w:hAnsiTheme="minorEastAsia" w:eastAsiaTheme="minorEastAsia" w:cstheme="minorEastAsia"/>
          <w:sz w:val="28"/>
          <w:szCs w:val="28"/>
          <w:highlight w:val="none"/>
          <w:lang w:val="en-US" w:eastAsia="zh-CN"/>
        </w:rPr>
        <w:t xml:space="preserve">  </w:t>
      </w:r>
      <w:permEnd w:id="7"/>
      <w:bookmarkEnd w:id="8"/>
      <w:bookmarkEnd w:id="9"/>
      <w:bookmarkEnd w:id="10"/>
      <w:bookmarkEnd w:id="11"/>
      <w:bookmarkEnd w:id="12"/>
      <w:bookmarkEnd w:id="13"/>
      <w:bookmarkEnd w:id="14"/>
      <w:bookmarkEnd w:id="15"/>
    </w:p>
    <w:p w14:paraId="4B3B5E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亳州通恒置业有限公司</w:t>
      </w:r>
    </w:p>
    <w:p w14:paraId="70954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企业自筹</w:t>
      </w:r>
      <w:r>
        <w:rPr>
          <w:rFonts w:hint="eastAsia" w:asciiTheme="minorEastAsia" w:hAnsiTheme="minorEastAsia" w:cstheme="minorEastAsia"/>
          <w:color w:val="FF0000"/>
          <w:sz w:val="28"/>
          <w:szCs w:val="28"/>
          <w:highlight w:val="none"/>
          <w:u w:val="none"/>
          <w:lang w:val="en-US" w:eastAsia="zh-CN"/>
        </w:rPr>
        <w:t xml:space="preserve">  </w:t>
      </w:r>
      <w:permEnd w:id="8"/>
    </w:p>
    <w:p w14:paraId="395D1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Theme="minorEastAsia" w:hAnsiTheme="minorEastAsia" w:cstheme="minorEastAsia"/>
          <w:color w:val="FF0000"/>
          <w:sz w:val="28"/>
          <w:szCs w:val="28"/>
          <w:highlight w:val="none"/>
          <w:lang w:val="en-US" w:eastAsia="zh-CN"/>
        </w:rPr>
        <w:t>（含税6%）</w:t>
      </w:r>
      <w:permEnd w:id="9"/>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u w:val="single"/>
          <w:lang w:val="en-US" w:eastAsia="zh-CN"/>
        </w:rPr>
        <w:t xml:space="preserve">  1</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u w:val="single"/>
          <w:lang w:val="en-US" w:eastAsia="zh-CN"/>
        </w:rPr>
        <w:t xml:space="preserve">0000元 </w:t>
      </w:r>
      <w:permEnd w:id="10"/>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11"/>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，供应商需按照第五章采购清单进行报价且单价不超过需求表中的单项限价。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CE931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5702B0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包括但不限于</w:t>
      </w:r>
      <w:r>
        <w:rPr>
          <w:rFonts w:hint="eastAsia" w:asciiTheme="minorEastAsia" w:hAnsiTheme="minorEastAsia" w:eastAsiaTheme="minorEastAsia" w:cstheme="minorEastAsia"/>
          <w:sz w:val="28"/>
          <w:szCs w:val="28"/>
          <w:highlight w:val="none"/>
          <w:lang w:val="en-US" w:eastAsia="zh-CN"/>
        </w:rPr>
        <w:t>通过工程实测实量、工程观感技术评估或其他方式进行在建项目过程评估、项目交付前评估、评估培训交流、评估宣讲、数据信息服务。</w:t>
      </w:r>
    </w:p>
    <w:permEnd w:id="12"/>
    <w:p w14:paraId="56037A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 xml:space="preserve"> 自合同签订之日起900日历天或项目交付后。</w:t>
      </w:r>
      <w:permEnd w:id="13"/>
    </w:p>
    <w:p w14:paraId="40F4EE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color w:val="FF0000"/>
          <w:sz w:val="28"/>
          <w:szCs w:val="28"/>
          <w:highlight w:val="none"/>
          <w:lang w:val="en-US" w:eastAsia="zh-CN"/>
        </w:rPr>
        <w:t xml:space="preserve"> 亳州市谯城经济技术产业开发区华佗大道与利辛路交叉口 。 </w:t>
      </w:r>
      <w:permEnd w:id="14"/>
    </w:p>
    <w:p w14:paraId="0C40BA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符合国家、地方、行业现行相关规范，满足采购人要求。 </w:t>
      </w:r>
      <w:permEnd w:id="15"/>
    </w:p>
    <w:p w14:paraId="6F5719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CC5E1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ins w:id="0" w:author="lalala" w:date="2025-12-29T16:35:41Z">
        <w:permStart w:id="16" w:edGrp="everyone"/>
        <w:r>
          <w:rPr>
            <w:rFonts w:hint="eastAsia" w:asciiTheme="minorEastAsia" w:hAnsiTheme="minorEastAsia" w:eastAsiaTheme="minorEastAsia" w:cstheme="minorEastAsia"/>
            <w:color w:val="FF0000"/>
            <w:sz w:val="28"/>
            <w:szCs w:val="28"/>
            <w:highlight w:val="none"/>
            <w:lang w:val="en-US" w:eastAsia="zh-CN"/>
          </w:rPr>
          <w:t>独立法人资格，具有有效的营业执照</w:t>
        </w:r>
        <w:permEnd w:id="16"/>
      </w:ins>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0F9A6E0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bookmarkStart w:id="16" w:name="OLE_LINK2"/>
      <w:r>
        <w:rPr>
          <w:rFonts w:hint="eastAsia" w:asciiTheme="minorEastAsia" w:hAnsiTheme="minorEastAsia" w:cstheme="minorEastAsia"/>
          <w:sz w:val="28"/>
          <w:szCs w:val="28"/>
          <w:highlight w:val="none"/>
          <w:lang w:val="en-US" w:eastAsia="zh-CN"/>
        </w:rPr>
        <w:t>资质要求：工程监理房屋建筑工程专业乙级及以上或工程监理综合资质或具有CMA计量认证证书；</w:t>
      </w:r>
      <w:bookmarkEnd w:id="16"/>
    </w:p>
    <w:p w14:paraId="1F160A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cstheme="minorEastAsia"/>
          <w:sz w:val="28"/>
          <w:szCs w:val="28"/>
          <w:highlight w:val="none"/>
          <w:lang w:val="en-US" w:eastAsia="zh-CN"/>
        </w:rPr>
        <w:t>（三）业绩要求：提供2023年1月1日至今企业类似项目业绩1个，以合同签订时间为准。类似项目业绩是指：单项合同金额不低于6万元，且为房地产企业提供第三方飞行检查服务的业绩；</w:t>
      </w:r>
    </w:p>
    <w:p w14:paraId="1ABEF0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ins w:id="1" w:author="lalala" w:date="2025-12-29T16:36:05Z">
        <w:r>
          <w:rPr>
            <w:rFonts w:hint="eastAsia" w:asciiTheme="minorEastAsia" w:hAnsiTheme="minorEastAsia" w:cstheme="minorEastAsia"/>
            <w:sz w:val="28"/>
            <w:szCs w:val="28"/>
            <w:highlight w:val="none"/>
            <w:lang w:val="en-US" w:eastAsia="zh-CN"/>
          </w:rPr>
          <w:t>供应商（含分公司，不含子公司）不得存在下列情形之一</w:t>
        </w:r>
      </w:ins>
    </w:p>
    <w:p w14:paraId="3590AD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（1）供应商被人民法院列入失信被执行人的；</w:t>
      </w:r>
    </w:p>
    <w:p w14:paraId="7BD94D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（2）供应商被市场监督管理部门列入企业经营异常名录的；</w:t>
      </w:r>
    </w:p>
    <w:p w14:paraId="3FE92BE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（3）供应商被税务部门列入重大税收违法案件当事人名单的；</w:t>
      </w:r>
    </w:p>
    <w:p w14:paraId="5F5370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（4）供应商在以往承接亳州交通投资控股集团有限公司及下属企业项目过程中被记入“黑名单”。</w:t>
      </w:r>
    </w:p>
    <w:p w14:paraId="7D3906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lang w:val="en-US" w:eastAsia="zh-CN"/>
        </w:rPr>
      </w:pPr>
      <w:r>
        <w:rPr>
          <w:rFonts w:hint="eastAsia" w:asciiTheme="minorEastAsia" w:hAnsiTheme="minorEastAsia" w:cstheme="minorEastAsia"/>
          <w:color w:val="FF0000"/>
          <w:sz w:val="28"/>
          <w:szCs w:val="28"/>
          <w:highlight w:val="none"/>
          <w:lang w:val="en-US" w:eastAsia="zh-CN"/>
        </w:rPr>
        <w:t>备注</w:t>
      </w:r>
      <w:r>
        <w:rPr>
          <w:rFonts w:hint="eastAsia" w:asciiTheme="minorEastAsia" w:hAnsiTheme="minorEastAsia" w:cstheme="minorEastAsia"/>
          <w:sz w:val="28"/>
          <w:szCs w:val="28"/>
          <w:highlight w:val="none"/>
          <w:lang w:val="en-US" w:eastAsia="zh-CN"/>
        </w:rPr>
        <w:t>：信用情况请供应商自行登录“信用中国”网站（www.creditchina.gov.cn）将查询结果等相关资料复印件或扫描件装订入响应文件中。</w:t>
      </w:r>
    </w:p>
    <w:p w14:paraId="37AACCD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（五）本次</w:t>
      </w:r>
      <w:permStart w:id="17" w:edGrp="everyone"/>
      <w:r>
        <w:rPr>
          <w:rFonts w:hint="eastAsia" w:asciiTheme="minorEastAsia" w:hAnsiTheme="minorEastAsia" w:cstheme="minorEastAsia"/>
          <w:sz w:val="28"/>
          <w:szCs w:val="28"/>
          <w:highlight w:val="none"/>
          <w:lang w:val="en-US" w:eastAsia="zh-CN"/>
        </w:rPr>
        <w:t>不接受</w:t>
      </w:r>
      <w:permEnd w:id="17"/>
      <w:r>
        <w:rPr>
          <w:rFonts w:hint="eastAsia" w:asciiTheme="minorEastAsia" w:hAnsiTheme="minorEastAsia" w:cstheme="minorEastAsia"/>
          <w:sz w:val="28"/>
          <w:szCs w:val="28"/>
          <w:highlight w:val="none"/>
          <w:lang w:val="en-US" w:eastAsia="zh-CN"/>
        </w:rPr>
        <w:t>联合体。</w:t>
      </w:r>
    </w:p>
    <w:p w14:paraId="40BA11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5961B5C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0109B49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4677903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29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C647FB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安徽省亳州市高新技术产业开发区神农大道与酒城大道交叉口西北高铁南站金融商务中心2号楼6楼评标室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ermEnd w:id="19"/>
    </w:p>
    <w:p w14:paraId="5EFDC4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7CEBD7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0"/>
    <w:p w14:paraId="1345FD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0B910C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1000.00 </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1184AB46">
      <w:pPr>
        <w:pStyle w:val="2"/>
        <w:rPr>
          <w:rFonts w:hint="default" w:asciiTheme="minorEastAsia" w:hAnsiTheme="minorEastAsia" w:eastAsiaTheme="minorEastAsia" w:cstheme="minorEastAsia"/>
          <w:sz w:val="28"/>
          <w:szCs w:val="28"/>
          <w:highlight w:val="none"/>
          <w:lang w:val="en-US" w:eastAsia="zh-CN"/>
        </w:rPr>
      </w:pPr>
    </w:p>
    <w:p w14:paraId="35351489">
      <w:pPr>
        <w:pStyle w:val="2"/>
        <w:rPr>
          <w:rFonts w:hint="default" w:asciiTheme="minorEastAsia" w:hAnsiTheme="minorEastAsia" w:eastAsiaTheme="minorEastAsia" w:cstheme="minorEastAsia"/>
          <w:sz w:val="28"/>
          <w:szCs w:val="28"/>
          <w:highlight w:val="none"/>
          <w:lang w:val="en-US" w:eastAsia="zh-CN"/>
        </w:rPr>
      </w:pPr>
    </w:p>
    <w:p w14:paraId="4836F47B">
      <w:pPr>
        <w:pStyle w:val="2"/>
        <w:rPr>
          <w:rFonts w:hint="default" w:asciiTheme="minorEastAsia" w:hAnsiTheme="minorEastAsia" w:eastAsiaTheme="minorEastAsia" w:cstheme="minorEastAsia"/>
          <w:sz w:val="28"/>
          <w:szCs w:val="28"/>
          <w:highlight w:val="none"/>
          <w:lang w:val="en-US" w:eastAsia="zh-CN"/>
        </w:rPr>
      </w:pPr>
    </w:p>
    <w:p w14:paraId="115E4D28">
      <w:pPr>
        <w:pStyle w:val="2"/>
        <w:rPr>
          <w:rFonts w:hint="default" w:asciiTheme="minorEastAsia" w:hAnsiTheme="minorEastAsia" w:eastAsiaTheme="minorEastAsia" w:cstheme="minorEastAsia"/>
          <w:sz w:val="28"/>
          <w:szCs w:val="28"/>
          <w:highlight w:val="none"/>
          <w:lang w:val="en-US" w:eastAsia="zh-CN"/>
        </w:rPr>
      </w:pPr>
    </w:p>
    <w:p w14:paraId="61731F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D9E4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 亳州通恒置业有限公司 </w:t>
      </w:r>
    </w:p>
    <w:permEnd w:id="22"/>
    <w:p w14:paraId="6F4B36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cstheme="minorEastAsia"/>
          <w:sz w:val="28"/>
          <w:szCs w:val="28"/>
          <w:highlight w:val="none"/>
          <w:lang w:val="en-US" w:eastAsia="zh-CN"/>
        </w:rPr>
        <w:t xml:space="preserve"> 高铁南站金融商务中心2号楼6楼</w:t>
      </w:r>
      <w:permEnd w:id="23"/>
    </w:p>
    <w:p w14:paraId="069E58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 李工  </w:t>
      </w:r>
      <w:permEnd w:id="24"/>
    </w:p>
    <w:p w14:paraId="56DA85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lang w:val="en-US" w:eastAsia="zh-CN"/>
        </w:rPr>
        <w:t xml:space="preserve"> 0558-5998967 </w:t>
      </w:r>
      <w:permEnd w:id="25"/>
    </w:p>
    <w:p w14:paraId="554DBDFF">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405F8E5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BDEE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亳州通恒置业有限公司</w:t>
      </w:r>
    </w:p>
    <w:p w14:paraId="225716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 xml:space="preserve"> 年</w:t>
      </w:r>
      <w:r>
        <w:rPr>
          <w:rFonts w:hint="eastAsia" w:asciiTheme="minorEastAsia" w:hAnsiTheme="minorEastAsia" w:cstheme="minorEastAsia"/>
          <w:color w:val="FF0000"/>
          <w:sz w:val="28"/>
          <w:szCs w:val="28"/>
          <w:highlight w:val="none"/>
          <w:lang w:val="en-US" w:eastAsia="zh-CN"/>
        </w:rPr>
        <w:t xml:space="preserve">  1 </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 xml:space="preserve">20 </w:t>
      </w:r>
      <w:r>
        <w:rPr>
          <w:rFonts w:hint="eastAsia" w:asciiTheme="minorEastAsia" w:hAnsiTheme="minorEastAsia" w:eastAsiaTheme="minorEastAsia" w:cstheme="minorEastAsia"/>
          <w:color w:val="FF0000"/>
          <w:sz w:val="28"/>
          <w:szCs w:val="28"/>
          <w:highlight w:val="none"/>
          <w:lang w:val="en-US" w:eastAsia="zh-CN"/>
        </w:rPr>
        <w:t xml:space="preserve"> 日</w:t>
      </w:r>
      <w:permEnd w:id="26"/>
      <w:r>
        <w:rPr>
          <w:rFonts w:hint="default" w:ascii="Times New Roman" w:hAnsi="Times New Roman" w:eastAsia="仿宋_GB2312" w:cs="Times New Roman"/>
          <w:kern w:val="0"/>
          <w:sz w:val="32"/>
          <w:szCs w:val="32"/>
          <w:highlight w:val="none"/>
          <w:lang w:val="en-US" w:eastAsia="zh-CN"/>
        </w:rPr>
        <w:br w:type="page"/>
      </w:r>
    </w:p>
    <w:p w14:paraId="472E8E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77278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67BFC60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DDF92E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47B8312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1"/>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4C03A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DDEF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86FD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A879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5163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F2B4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E79D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79A6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637C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6C0A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9078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BD6FB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AFA1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9EE5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6A6D8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23D4F5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5BA57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E997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4386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2F5533">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4277F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1D45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80887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30B1BF">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5FBC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0411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897F0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E25737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3E8D234D">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71A34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11D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DF04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4BEE7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30533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627B2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C8822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94E29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8A3B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6F8FD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4CC9B9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28246E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DA6266">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szCs w:val="21"/>
                <w:highlight w:val="none"/>
                <w:u w:val="single"/>
                <w:lang w:val="en-US" w:eastAsia="zh-CN"/>
              </w:rPr>
              <w:t xml:space="preserve">   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23</w:t>
            </w:r>
            <w:bookmarkStart w:id="358" w:name="_GoBack"/>
            <w:bookmarkEnd w:id="358"/>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17:30</w:t>
            </w:r>
            <w:r>
              <w:rPr>
                <w:rFonts w:hint="eastAsia" w:ascii="Times New Roman" w:hAnsi="Times New Roman" w:cs="Times New Roman"/>
                <w:szCs w:val="21"/>
                <w:highlight w:val="none"/>
                <w:u w:val="none"/>
                <w:lang w:val="en-US" w:eastAsia="zh-CN"/>
              </w:rPr>
              <w:t>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5A845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45D4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683E57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257E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739AF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61EDA6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651024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52579D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2C046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132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B37B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89CC0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56096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22959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01E2C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005C7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54564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8CC3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C3C6D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A9378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4B4F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16EB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D657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07225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35200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0E8A4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7D3A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6950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EFABC26">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2AB285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color w:val="FF0000"/>
                <w:szCs w:val="21"/>
                <w:highlight w:val="none"/>
              </w:rPr>
              <w:t>银行汇款或转账</w:t>
            </w:r>
            <w:permEnd w:id="33"/>
          </w:p>
          <w:p w14:paraId="27F2B125">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4" w:edGrp="everyone"/>
            <w:r>
              <w:rPr>
                <w:rFonts w:hint="eastAsia" w:ascii="Times New Roman" w:hAnsi="Times New Roman" w:cs="Times New Roman"/>
                <w:color w:val="auto"/>
                <w:szCs w:val="21"/>
                <w:highlight w:val="none"/>
                <w:u w:val="single"/>
                <w:lang w:val="en-US" w:eastAsia="zh-CN"/>
              </w:rPr>
              <w:t xml:space="preserve">   1000.00元   </w:t>
            </w:r>
            <w:permEnd w:id="34"/>
          </w:p>
          <w:p w14:paraId="0DCB6F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371820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开户名称：亳州通恒置业有限公司</w:t>
            </w:r>
          </w:p>
          <w:p w14:paraId="390A618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开户银行：建行亳州市分行</w:t>
            </w:r>
          </w:p>
          <w:p w14:paraId="0FC48AD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银行账号：34050188860800002404</w:t>
            </w:r>
          </w:p>
          <w:p w14:paraId="539F97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0E9B6A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681782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color w:val="FF0000"/>
                <w:szCs w:val="21"/>
                <w:highlight w:val="none"/>
                <w:lang w:val="en-US" w:eastAsia="zh-CN"/>
              </w:rPr>
              <w:t xml:space="preserve">BZZC-2026-   </w:t>
            </w:r>
            <w:r>
              <w:rPr>
                <w:rFonts w:hint="eastAsia" w:ascii="Times New Roman" w:hAnsi="Times New Roman" w:cs="Times New Roman"/>
                <w:color w:val="FF0000"/>
                <w:szCs w:val="21"/>
                <w:highlight w:val="none"/>
                <w:u w:val="single"/>
                <w:lang w:val="en-US" w:eastAsia="zh-CN"/>
              </w:rPr>
              <w:t xml:space="preserve">   005</w:t>
            </w:r>
            <w:r>
              <w:rPr>
                <w:rFonts w:hint="eastAsia" w:ascii="Times New Roman" w:hAnsi="Times New Roman" w:cs="Times New Roman"/>
                <w:color w:val="FF0000"/>
                <w:szCs w:val="21"/>
                <w:highlight w:val="none"/>
                <w:lang w:val="en-US" w:eastAsia="zh-CN"/>
              </w:rPr>
              <w:t>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38E6064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962C2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7A3F863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CEA43E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7F988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2D99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10ED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2A37B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277DA6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09B92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B55A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0D56A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2116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szCs w:val="21"/>
                <w:highlight w:val="none"/>
                <w:u w:val="none"/>
                <w:lang w:val="en-US" w:eastAsia="zh-CN"/>
              </w:rPr>
              <w:t>正本1份、副本2份</w:t>
            </w:r>
          </w:p>
          <w:p w14:paraId="5D8D1E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438DFCE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50F4C56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C7988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10328F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028178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50575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AA80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4DEC1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5993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开启地址：安徽省亳州市高新技术产业开发区神农大道与酒城大道交叉口西北高铁南站金融商务中心2号楼6楼评标室）</w:t>
            </w:r>
          </w:p>
          <w:p w14:paraId="1B5279E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采购人：亳州通恒置业有限公司</w:t>
            </w:r>
          </w:p>
          <w:p w14:paraId="75DE172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亳州逸合府项目过程、专项、交付评估技术服务工程 </w:t>
            </w:r>
            <w:r>
              <w:rPr>
                <w:rFonts w:hint="eastAsia" w:ascii="Times New Roman" w:hAnsi="Times New Roman" w:cs="Times New Roman"/>
                <w:color w:val="FF0000"/>
                <w:szCs w:val="21"/>
                <w:highlight w:val="none"/>
                <w:lang w:val="en-US" w:eastAsia="zh-CN"/>
              </w:rPr>
              <w:t>响应文件</w:t>
            </w:r>
          </w:p>
          <w:p w14:paraId="13F0E2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项目编号：BZZC-2026-</w:t>
            </w:r>
            <w:r>
              <w:rPr>
                <w:rFonts w:hint="eastAsia" w:ascii="Times New Roman" w:hAnsi="Times New Roman" w:cs="Times New Roman"/>
                <w:color w:val="FF0000"/>
                <w:szCs w:val="21"/>
                <w:highlight w:val="none"/>
                <w:u w:val="single"/>
                <w:lang w:val="en-US" w:eastAsia="zh-CN"/>
              </w:rPr>
              <w:t xml:space="preserve"> 005 </w:t>
            </w:r>
            <w:r>
              <w:rPr>
                <w:rFonts w:hint="eastAsia" w:ascii="Times New Roman" w:hAnsi="Times New Roman" w:cs="Times New Roman"/>
                <w:color w:val="FF0000"/>
                <w:szCs w:val="21"/>
                <w:highlight w:val="none"/>
                <w:u w:val="none"/>
                <w:lang w:val="en-US" w:eastAsia="zh-CN"/>
              </w:rPr>
              <w:t>号</w:t>
            </w:r>
          </w:p>
          <w:p w14:paraId="76B012F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2026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29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3C417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C3A9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012A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050C9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65CD2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910A9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28F0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A04A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87F291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4C2C6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B9C98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7503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40BA6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73E46A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349A6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5277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E47B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A92E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0F9B0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F85C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D582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2686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280D645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6A7D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028F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08A8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0F10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50AA5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0044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7D631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16BF6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5BDD39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4C617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8419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82E8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18588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1145E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9C3B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F6D2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6453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亳州市交通资产管理有限责任公司 </w:t>
            </w:r>
          </w:p>
          <w:p w14:paraId="56783134">
            <w:pPr>
              <w:keepNext w:val="0"/>
              <w:keepLines w:val="0"/>
              <w:pageBreakBefore w:val="0"/>
              <w:widowControl w:val="0"/>
              <w:kinsoku/>
              <w:wordWrap w:val="0"/>
              <w:overflowPunct/>
              <w:topLinePunct w:val="0"/>
              <w:autoSpaceDE/>
              <w:autoSpaceDN/>
              <w:bidi w:val="0"/>
              <w:adjustRightInd/>
              <w:snapToGrid/>
              <w:spacing w:line="430" w:lineRule="exact"/>
              <w:ind w:firstLine="630" w:firstLineChars="3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李工  </w:t>
            </w:r>
          </w:p>
          <w:p w14:paraId="39360FE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0A70C46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安徽省亳州市高新技术产业开发区神农大道与酒城大道交叉口西北高铁南站金融商务中心2号楼6楼法务部（招采中心）  </w:t>
            </w:r>
          </w:p>
          <w:p w14:paraId="60A6A7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5AE68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AC7F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CA9C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6F79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189FA4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48F078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44820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58E803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开户名称：亳州通恒置业有限公司</w:t>
            </w:r>
          </w:p>
          <w:p w14:paraId="539FFD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开户银行：建行亳州市分行</w:t>
            </w:r>
          </w:p>
          <w:p w14:paraId="167FC5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银行账号：34050188860800002404</w:t>
            </w:r>
          </w:p>
          <w:p w14:paraId="6C67879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1"/>
          </w:p>
          <w:p w14:paraId="4A7714D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2" w:edGrp="everyone"/>
            <w:r>
              <w:rPr>
                <w:rFonts w:hint="eastAsia" w:ascii="Times New Roman" w:hAnsi="Times New Roman" w:cs="Times New Roman"/>
                <w:b/>
                <w:bCs/>
                <w:color w:val="FF0000"/>
                <w:szCs w:val="21"/>
                <w:highlight w:val="none"/>
                <w:lang w:val="en-US" w:eastAsia="zh-CN"/>
              </w:rPr>
              <w:t xml:space="preserve">  1000.00 元  </w:t>
            </w:r>
            <w:permEnd w:id="42"/>
          </w:p>
          <w:p w14:paraId="3CE4032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服务期限满或项目交付后退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47AD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FE29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4F524F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2F9AC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9C3F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583E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CE55D0">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41934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D61C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1CB5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2E596C5">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5F905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564B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79C43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72900774">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4644627A">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BEE04C0">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7" w:name="_Toc296602423"/>
      <w:bookmarkStart w:id="18" w:name="_Toc247085692"/>
      <w:bookmarkStart w:id="19" w:name="_Toc179632549"/>
      <w:bookmarkStart w:id="20" w:name="_Toc246996921"/>
      <w:bookmarkStart w:id="21" w:name="_Toc246996178"/>
      <w:bookmarkStart w:id="22" w:name="_Toc152045532"/>
      <w:bookmarkStart w:id="23" w:name="_Toc152042308"/>
      <w:bookmarkStart w:id="24" w:name="_Toc144974500"/>
      <w:r>
        <w:rPr>
          <w:rFonts w:hint="eastAsia"/>
          <w:lang w:val="en-US" w:eastAsia="zh-CN"/>
        </w:rPr>
        <w:t>1.</w:t>
      </w:r>
      <w:bookmarkEnd w:id="17"/>
      <w:bookmarkEnd w:id="18"/>
      <w:bookmarkEnd w:id="19"/>
      <w:bookmarkEnd w:id="20"/>
      <w:bookmarkEnd w:id="21"/>
      <w:bookmarkEnd w:id="22"/>
      <w:bookmarkEnd w:id="23"/>
      <w:bookmarkEnd w:id="24"/>
      <w:r>
        <w:rPr>
          <w:rFonts w:hint="eastAsia"/>
        </w:rPr>
        <w:t>合格</w:t>
      </w:r>
      <w:r>
        <w:rPr>
          <w:rFonts w:hint="eastAsia"/>
          <w:lang w:eastAsia="zh-CN"/>
        </w:rPr>
        <w:t>供应商</w:t>
      </w:r>
    </w:p>
    <w:p w14:paraId="66C9FEC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1FCDFCD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115217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54D575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668BF7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558BB6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69B7F1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80D70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9F8C7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6C485EE1">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5E20F5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584A347A">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152042312"/>
      <w:bookmarkStart w:id="26" w:name="_Toc296602426"/>
      <w:bookmarkStart w:id="27" w:name="_Toc247085695"/>
      <w:bookmarkStart w:id="28" w:name="_Toc152045536"/>
      <w:bookmarkStart w:id="29" w:name="_Toc246996181"/>
      <w:bookmarkStart w:id="30" w:name="_Toc246996924"/>
      <w:bookmarkStart w:id="31" w:name="_Toc179632553"/>
      <w:bookmarkStart w:id="32" w:name="_Toc144974504"/>
      <w:r>
        <w:rPr>
          <w:rFonts w:hint="eastAsia"/>
          <w:lang w:val="en-US" w:eastAsia="zh-CN"/>
        </w:rPr>
        <w:t>3</w:t>
      </w:r>
      <w:r>
        <w:rPr>
          <w:rFonts w:hint="eastAsia"/>
        </w:rPr>
        <w:t>.保密</w:t>
      </w:r>
      <w:bookmarkEnd w:id="25"/>
      <w:bookmarkEnd w:id="26"/>
      <w:bookmarkEnd w:id="27"/>
      <w:bookmarkEnd w:id="28"/>
      <w:bookmarkEnd w:id="29"/>
      <w:bookmarkEnd w:id="30"/>
      <w:bookmarkEnd w:id="31"/>
      <w:bookmarkEnd w:id="32"/>
    </w:p>
    <w:p w14:paraId="2DDEED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3F96E20A">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247085696"/>
      <w:bookmarkStart w:id="35" w:name="_Toc246996925"/>
      <w:bookmarkStart w:id="36" w:name="_Toc152045537"/>
      <w:bookmarkStart w:id="37" w:name="_Toc152042313"/>
      <w:bookmarkStart w:id="38" w:name="_Toc296602427"/>
      <w:bookmarkStart w:id="39" w:name="_Toc179632554"/>
      <w:bookmarkStart w:id="40" w:name="_Toc246996182"/>
      <w:r>
        <w:rPr>
          <w:rFonts w:hint="eastAsia"/>
          <w:lang w:val="en-US" w:eastAsia="zh-CN"/>
        </w:rPr>
        <w:t>4</w:t>
      </w:r>
      <w:r>
        <w:rPr>
          <w:rFonts w:hint="eastAsia"/>
        </w:rPr>
        <w:t>.语言</w:t>
      </w:r>
      <w:bookmarkEnd w:id="33"/>
      <w:r>
        <w:rPr>
          <w:rFonts w:hint="eastAsia"/>
        </w:rPr>
        <w:t>文字</w:t>
      </w:r>
      <w:bookmarkEnd w:id="34"/>
      <w:bookmarkEnd w:id="35"/>
      <w:bookmarkEnd w:id="36"/>
      <w:bookmarkEnd w:id="37"/>
      <w:bookmarkEnd w:id="38"/>
      <w:bookmarkEnd w:id="39"/>
      <w:bookmarkEnd w:id="40"/>
    </w:p>
    <w:p w14:paraId="46DC04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246996183"/>
      <w:bookmarkStart w:id="42" w:name="_Toc152042314"/>
      <w:bookmarkStart w:id="43" w:name="_Toc247085697"/>
      <w:bookmarkStart w:id="44" w:name="_Toc144974506"/>
      <w:bookmarkStart w:id="45" w:name="_Toc246996926"/>
      <w:bookmarkStart w:id="46" w:name="_Toc152045538"/>
      <w:bookmarkStart w:id="47"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1FCF846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96602432"/>
      <w:bookmarkStart w:id="49" w:name="_Toc152045542"/>
      <w:bookmarkStart w:id="50" w:name="_Toc247085701"/>
      <w:bookmarkStart w:id="51" w:name="_Toc246996187"/>
      <w:bookmarkStart w:id="52" w:name="_Toc246996930"/>
      <w:bookmarkStart w:id="53" w:name="_Toc179632560"/>
      <w:bookmarkStart w:id="54" w:name="_Toc152042318"/>
      <w:bookmarkStart w:id="55" w:name="_Toc144974510"/>
      <w:r>
        <w:rPr>
          <w:rFonts w:hint="eastAsia"/>
          <w:lang w:val="en-US" w:eastAsia="zh-CN"/>
        </w:rPr>
        <w:t>二</w:t>
      </w:r>
      <w:r>
        <w:rPr>
          <w:rFonts w:hint="eastAsia"/>
          <w:lang w:eastAsia="zh-CN"/>
        </w:rPr>
        <w:t>、询比</w:t>
      </w:r>
      <w:r>
        <w:rPr>
          <w:rFonts w:hint="eastAsia"/>
        </w:rPr>
        <w:t>文件</w:t>
      </w:r>
      <w:bookmarkEnd w:id="48"/>
      <w:bookmarkEnd w:id="49"/>
      <w:bookmarkEnd w:id="50"/>
      <w:bookmarkEnd w:id="51"/>
      <w:bookmarkEnd w:id="52"/>
      <w:bookmarkEnd w:id="53"/>
      <w:bookmarkEnd w:id="54"/>
      <w:bookmarkEnd w:id="55"/>
    </w:p>
    <w:p w14:paraId="77F3D7A1">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296602433"/>
      <w:bookmarkStart w:id="57" w:name="_Toc247085702"/>
      <w:bookmarkStart w:id="58" w:name="_Toc179632561"/>
      <w:bookmarkStart w:id="59" w:name="_Toc246996188"/>
      <w:bookmarkStart w:id="60" w:name="_Toc246996931"/>
      <w:bookmarkStart w:id="61" w:name="_Toc144974511"/>
      <w:bookmarkStart w:id="62" w:name="_Toc152042319"/>
      <w:bookmarkStart w:id="63" w:name="_Toc152045543"/>
      <w:r>
        <w:rPr>
          <w:rFonts w:hint="eastAsia"/>
          <w:lang w:val="en-US" w:eastAsia="zh-CN"/>
        </w:rPr>
        <w:t>5.</w:t>
      </w:r>
      <w:r>
        <w:rPr>
          <w:rFonts w:hint="eastAsia"/>
          <w:lang w:eastAsia="zh-CN"/>
        </w:rPr>
        <w:t>询比</w:t>
      </w:r>
      <w:r>
        <w:rPr>
          <w:rFonts w:hint="eastAsia"/>
        </w:rPr>
        <w:t>文件的组成</w:t>
      </w:r>
      <w:bookmarkEnd w:id="56"/>
      <w:bookmarkEnd w:id="57"/>
      <w:bookmarkEnd w:id="58"/>
      <w:bookmarkEnd w:id="59"/>
      <w:bookmarkEnd w:id="60"/>
      <w:bookmarkEnd w:id="61"/>
      <w:bookmarkEnd w:id="62"/>
      <w:bookmarkEnd w:id="63"/>
    </w:p>
    <w:p w14:paraId="45CB4E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CB0B77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703"/>
      <w:bookmarkStart w:id="65" w:name="_Toc296602434"/>
      <w:bookmarkStart w:id="66" w:name="_Toc179632562"/>
      <w:bookmarkStart w:id="67" w:name="_Toc144974512"/>
      <w:bookmarkStart w:id="68" w:name="_Toc246996189"/>
      <w:bookmarkStart w:id="69" w:name="_Toc152042320"/>
      <w:bookmarkStart w:id="70" w:name="_Toc152045544"/>
      <w:bookmarkStart w:id="71" w:name="_Toc246996932"/>
      <w:r>
        <w:rPr>
          <w:rFonts w:hint="eastAsia"/>
          <w:lang w:val="en-US" w:eastAsia="zh-CN"/>
        </w:rPr>
        <w:t>6.</w:t>
      </w:r>
      <w:r>
        <w:rPr>
          <w:rFonts w:hint="eastAsia"/>
          <w:lang w:eastAsia="zh-CN"/>
        </w:rPr>
        <w:t>询比</w:t>
      </w:r>
      <w:r>
        <w:rPr>
          <w:rFonts w:hint="eastAsia"/>
        </w:rPr>
        <w:t>文件的澄清</w:t>
      </w:r>
      <w:bookmarkEnd w:id="64"/>
      <w:bookmarkEnd w:id="65"/>
      <w:bookmarkEnd w:id="66"/>
      <w:bookmarkEnd w:id="67"/>
      <w:bookmarkEnd w:id="68"/>
      <w:bookmarkEnd w:id="69"/>
      <w:bookmarkEnd w:id="70"/>
      <w:bookmarkEnd w:id="71"/>
      <w:r>
        <w:rPr>
          <w:rFonts w:hint="eastAsia"/>
        </w:rPr>
        <w:t xml:space="preserve"> </w:t>
      </w:r>
    </w:p>
    <w:p w14:paraId="2DDE19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332B1E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1ECB259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246996933"/>
      <w:bookmarkStart w:id="73" w:name="_Toc247085704"/>
      <w:bookmarkStart w:id="74" w:name="_Toc152042321"/>
      <w:bookmarkStart w:id="75" w:name="_Toc144974513"/>
      <w:bookmarkStart w:id="76" w:name="_Toc179632563"/>
      <w:bookmarkStart w:id="77" w:name="_Toc296602435"/>
      <w:bookmarkStart w:id="78" w:name="_Toc246996190"/>
      <w:bookmarkStart w:id="79" w:name="_Toc152045545"/>
      <w:r>
        <w:rPr>
          <w:rFonts w:hint="eastAsia"/>
          <w:lang w:val="en-US" w:eastAsia="zh-CN"/>
        </w:rPr>
        <w:t>7.</w:t>
      </w:r>
      <w:r>
        <w:rPr>
          <w:rFonts w:hint="eastAsia"/>
          <w:lang w:eastAsia="zh-CN"/>
        </w:rPr>
        <w:t>询比</w:t>
      </w:r>
      <w:r>
        <w:rPr>
          <w:rFonts w:hint="eastAsia"/>
        </w:rPr>
        <w:t>文件的修改</w:t>
      </w:r>
      <w:bookmarkEnd w:id="72"/>
      <w:bookmarkEnd w:id="73"/>
      <w:bookmarkEnd w:id="74"/>
      <w:bookmarkEnd w:id="75"/>
      <w:bookmarkEnd w:id="76"/>
      <w:bookmarkEnd w:id="77"/>
      <w:bookmarkEnd w:id="78"/>
      <w:bookmarkEnd w:id="79"/>
    </w:p>
    <w:p w14:paraId="60D849C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10D924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136D6EF0">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80" w:name="_Toc152045546"/>
      <w:bookmarkStart w:id="81" w:name="_Toc144974514"/>
      <w:bookmarkStart w:id="82" w:name="_Toc246996934"/>
      <w:bookmarkStart w:id="83" w:name="_Toc247085705"/>
      <w:bookmarkStart w:id="84" w:name="_Toc152042322"/>
      <w:bookmarkStart w:id="85" w:name="_Toc179632564"/>
      <w:bookmarkStart w:id="86" w:name="_Toc296602436"/>
      <w:bookmarkStart w:id="87" w:name="_Toc246996191"/>
      <w:r>
        <w:rPr>
          <w:rFonts w:hint="eastAsia"/>
          <w:lang w:eastAsia="zh-CN"/>
        </w:rPr>
        <w:t>。</w:t>
      </w:r>
    </w:p>
    <w:p w14:paraId="70B8094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0"/>
      <w:bookmarkEnd w:id="81"/>
      <w:bookmarkEnd w:id="82"/>
      <w:bookmarkEnd w:id="83"/>
      <w:bookmarkEnd w:id="84"/>
      <w:bookmarkEnd w:id="85"/>
      <w:bookmarkEnd w:id="86"/>
      <w:bookmarkEnd w:id="87"/>
      <w:r>
        <w:rPr>
          <w:rFonts w:hint="eastAsia"/>
          <w:lang w:eastAsia="zh-CN"/>
        </w:rPr>
        <w:t>响应文件</w:t>
      </w:r>
    </w:p>
    <w:p w14:paraId="6E80C88B">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246996935"/>
      <w:bookmarkStart w:id="89" w:name="_Toc152042323"/>
      <w:bookmarkStart w:id="90" w:name="_Toc246996192"/>
      <w:bookmarkStart w:id="91" w:name="_Toc152045547"/>
      <w:bookmarkStart w:id="92" w:name="_Toc144974515"/>
      <w:bookmarkStart w:id="93" w:name="_Toc179632565"/>
      <w:bookmarkStart w:id="94" w:name="_Toc247085706"/>
      <w:bookmarkStart w:id="95"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788A64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7C4AF3C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54D36E7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6CE332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37B4AF2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04C3A9B0">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247085707"/>
      <w:bookmarkStart w:id="97" w:name="_Toc296602438"/>
      <w:bookmarkStart w:id="98" w:name="_Toc144974516"/>
      <w:bookmarkStart w:id="99" w:name="_Toc246996936"/>
      <w:bookmarkStart w:id="100" w:name="_Toc152042324"/>
      <w:bookmarkStart w:id="101" w:name="_Toc179632566"/>
      <w:bookmarkStart w:id="102" w:name="_Toc152045548"/>
      <w:bookmarkStart w:id="103" w:name="_Toc246996193"/>
      <w:r>
        <w:rPr>
          <w:rFonts w:hint="eastAsia"/>
          <w:lang w:val="en-US" w:eastAsia="zh-CN"/>
        </w:rPr>
        <w:t>9.</w:t>
      </w:r>
      <w:bookmarkEnd w:id="96"/>
      <w:bookmarkEnd w:id="97"/>
      <w:bookmarkEnd w:id="98"/>
      <w:bookmarkEnd w:id="99"/>
      <w:bookmarkEnd w:id="100"/>
      <w:bookmarkEnd w:id="101"/>
      <w:bookmarkEnd w:id="102"/>
      <w:bookmarkEnd w:id="103"/>
      <w:r>
        <w:rPr>
          <w:rFonts w:hint="eastAsia"/>
          <w:lang w:val="en-US" w:eastAsia="zh-CN"/>
        </w:rPr>
        <w:t>响应价格</w:t>
      </w:r>
    </w:p>
    <w:p w14:paraId="04BE7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79632567"/>
      <w:bookmarkStart w:id="105" w:name="_Toc152042325"/>
      <w:bookmarkStart w:id="106" w:name="_Toc152045549"/>
      <w:bookmarkStart w:id="107"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8C38E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6543A8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4DCEFC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52A9F4E">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7085708"/>
      <w:bookmarkStart w:id="109" w:name="_Toc296602439"/>
      <w:bookmarkStart w:id="110" w:name="_Toc246996937"/>
      <w:bookmarkStart w:id="111" w:name="_Toc246996194"/>
      <w:r>
        <w:rPr>
          <w:rFonts w:hint="eastAsia"/>
          <w:lang w:val="en-US" w:eastAsia="zh-CN"/>
        </w:rPr>
        <w:t>10.</w:t>
      </w:r>
      <w:bookmarkEnd w:id="104"/>
      <w:bookmarkEnd w:id="105"/>
      <w:bookmarkEnd w:id="106"/>
      <w:bookmarkEnd w:id="107"/>
      <w:bookmarkEnd w:id="108"/>
      <w:bookmarkEnd w:id="109"/>
      <w:bookmarkEnd w:id="110"/>
      <w:bookmarkEnd w:id="111"/>
      <w:r>
        <w:rPr>
          <w:rFonts w:hint="eastAsia"/>
          <w:lang w:val="en-US" w:eastAsia="zh-CN"/>
        </w:rPr>
        <w:t>响应担保</w:t>
      </w:r>
    </w:p>
    <w:p w14:paraId="086459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32097C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1554FA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7D0F35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55FCD3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4C34A2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194D8B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43C21B6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67A8C8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BD9B5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740F6E9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152042331"/>
      <w:bookmarkStart w:id="113" w:name="_Toc296602443"/>
      <w:bookmarkStart w:id="114" w:name="_Toc247085713"/>
      <w:bookmarkStart w:id="115" w:name="_Toc144974523"/>
      <w:bookmarkStart w:id="116" w:name="_Toc246996199"/>
      <w:bookmarkStart w:id="117" w:name="_Toc152045555"/>
      <w:bookmarkStart w:id="118" w:name="_Toc179632573"/>
      <w:bookmarkStart w:id="119" w:name="_Toc246996942"/>
      <w:r>
        <w:rPr>
          <w:rFonts w:hint="eastAsia"/>
          <w:lang w:val="en-US" w:eastAsia="zh-CN"/>
        </w:rPr>
        <w:t>四</w:t>
      </w:r>
      <w:bookmarkEnd w:id="112"/>
      <w:bookmarkEnd w:id="113"/>
      <w:bookmarkEnd w:id="114"/>
      <w:bookmarkEnd w:id="115"/>
      <w:bookmarkEnd w:id="116"/>
      <w:bookmarkEnd w:id="117"/>
      <w:bookmarkEnd w:id="118"/>
      <w:bookmarkEnd w:id="119"/>
      <w:r>
        <w:rPr>
          <w:rFonts w:hint="eastAsia"/>
          <w:lang w:eastAsia="zh-CN"/>
        </w:rPr>
        <w:t>、响应文件</w:t>
      </w:r>
      <w:r>
        <w:rPr>
          <w:rFonts w:hint="eastAsia"/>
        </w:rPr>
        <w:t>的提交</w:t>
      </w:r>
    </w:p>
    <w:p w14:paraId="40A6A58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0" w:name="_Toc296602444"/>
      <w:bookmarkStart w:id="121" w:name="_Toc144974524"/>
      <w:bookmarkStart w:id="122" w:name="_Toc179632574"/>
      <w:bookmarkStart w:id="123" w:name="_Toc246996943"/>
      <w:bookmarkStart w:id="124" w:name="_Toc247085714"/>
      <w:bookmarkStart w:id="125" w:name="_Toc246996200"/>
      <w:bookmarkStart w:id="126" w:name="_Toc152045556"/>
      <w:bookmarkStart w:id="127" w:name="_Toc152042332"/>
      <w:r>
        <w:rPr>
          <w:rFonts w:hint="eastAsia"/>
          <w:lang w:val="en-US" w:eastAsia="zh-CN"/>
        </w:rPr>
        <w:t>11.</w:t>
      </w:r>
      <w:bookmarkEnd w:id="120"/>
      <w:bookmarkEnd w:id="121"/>
      <w:bookmarkEnd w:id="122"/>
      <w:bookmarkEnd w:id="123"/>
      <w:bookmarkEnd w:id="124"/>
      <w:bookmarkEnd w:id="125"/>
      <w:bookmarkEnd w:id="126"/>
      <w:bookmarkEnd w:id="127"/>
      <w:r>
        <w:rPr>
          <w:rFonts w:hint="eastAsia"/>
          <w:lang w:eastAsia="zh-CN"/>
        </w:rPr>
        <w:t>响应文件</w:t>
      </w:r>
      <w:r>
        <w:rPr>
          <w:rFonts w:hint="eastAsia"/>
        </w:rPr>
        <w:t>的密封和标识</w:t>
      </w:r>
    </w:p>
    <w:p w14:paraId="199482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8" w:name="_Toc144974525"/>
      <w:bookmarkStart w:id="129" w:name="_Toc246996201"/>
      <w:bookmarkStart w:id="130" w:name="_Toc179632575"/>
      <w:bookmarkStart w:id="131" w:name="_Toc246996944"/>
      <w:bookmarkStart w:id="132" w:name="_Toc247085715"/>
      <w:bookmarkStart w:id="133" w:name="_Toc152045557"/>
      <w:bookmarkStart w:id="134"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0EF527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8"/>
    <w:bookmarkEnd w:id="129"/>
    <w:bookmarkEnd w:id="130"/>
    <w:bookmarkEnd w:id="131"/>
    <w:bookmarkEnd w:id="132"/>
    <w:bookmarkEnd w:id="133"/>
    <w:bookmarkEnd w:id="134"/>
    <w:p w14:paraId="1842B2A2">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3056CF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514D98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55C3B6AD">
      <w:pPr>
        <w:pStyle w:val="17"/>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64E1588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202"/>
      <w:bookmarkStart w:id="136" w:name="_Toc246996945"/>
      <w:bookmarkStart w:id="137" w:name="_Toc144974526"/>
      <w:bookmarkStart w:id="138" w:name="_Toc152045558"/>
      <w:bookmarkStart w:id="139" w:name="_Toc296602446"/>
      <w:bookmarkStart w:id="140" w:name="_Toc247085716"/>
      <w:bookmarkStart w:id="141" w:name="_Toc179632576"/>
      <w:bookmarkStart w:id="142" w:name="_Toc152042334"/>
      <w:r>
        <w:rPr>
          <w:rFonts w:hint="eastAsia"/>
          <w:lang w:val="en-US" w:eastAsia="zh-CN"/>
        </w:rPr>
        <w:t>13.</w:t>
      </w:r>
      <w:r>
        <w:rPr>
          <w:rFonts w:hint="eastAsia"/>
          <w:lang w:eastAsia="zh-CN"/>
        </w:rPr>
        <w:t>响应文件</w:t>
      </w:r>
      <w:r>
        <w:rPr>
          <w:rFonts w:hint="eastAsia"/>
        </w:rPr>
        <w:t>的修改与撤回</w:t>
      </w:r>
      <w:bookmarkEnd w:id="135"/>
      <w:bookmarkEnd w:id="136"/>
      <w:bookmarkEnd w:id="137"/>
      <w:bookmarkEnd w:id="138"/>
      <w:bookmarkEnd w:id="139"/>
      <w:bookmarkEnd w:id="140"/>
      <w:bookmarkEnd w:id="141"/>
      <w:bookmarkEnd w:id="142"/>
    </w:p>
    <w:p w14:paraId="218153E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31EDE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1E1CD28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3" w:name="_Toc246996203"/>
      <w:bookmarkStart w:id="144" w:name="_Toc152042335"/>
      <w:bookmarkStart w:id="145" w:name="_Toc152045559"/>
      <w:bookmarkStart w:id="146" w:name="_Toc247085717"/>
      <w:bookmarkStart w:id="147" w:name="_Toc296602447"/>
      <w:bookmarkStart w:id="148" w:name="_Toc246996946"/>
      <w:bookmarkStart w:id="149" w:name="_Toc144974527"/>
      <w:bookmarkStart w:id="150" w:name="_Toc179632577"/>
      <w:r>
        <w:rPr>
          <w:rFonts w:hint="eastAsia"/>
          <w:lang w:val="en-US" w:eastAsia="zh-CN"/>
        </w:rPr>
        <w:t>五</w:t>
      </w:r>
      <w:r>
        <w:rPr>
          <w:rFonts w:hint="eastAsia"/>
          <w:lang w:eastAsia="zh-CN"/>
        </w:rPr>
        <w:t>、</w:t>
      </w:r>
      <w:bookmarkEnd w:id="143"/>
      <w:bookmarkEnd w:id="144"/>
      <w:bookmarkEnd w:id="145"/>
      <w:bookmarkEnd w:id="146"/>
      <w:bookmarkEnd w:id="147"/>
      <w:bookmarkEnd w:id="148"/>
      <w:bookmarkEnd w:id="149"/>
      <w:bookmarkEnd w:id="150"/>
      <w:r>
        <w:rPr>
          <w:rFonts w:hint="eastAsia"/>
          <w:lang w:eastAsia="zh-CN"/>
        </w:rPr>
        <w:t>开启</w:t>
      </w:r>
    </w:p>
    <w:p w14:paraId="62DA500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52042336"/>
      <w:bookmarkStart w:id="152" w:name="_Toc152045560"/>
      <w:bookmarkStart w:id="153" w:name="_Toc246996947"/>
      <w:bookmarkStart w:id="154" w:name="_Toc296602448"/>
      <w:bookmarkStart w:id="155" w:name="_Toc144974528"/>
      <w:bookmarkStart w:id="156" w:name="_Toc246996204"/>
      <w:bookmarkStart w:id="157" w:name="_Toc247085718"/>
      <w:bookmarkStart w:id="158"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1"/>
      <w:bookmarkEnd w:id="152"/>
      <w:bookmarkEnd w:id="153"/>
      <w:bookmarkEnd w:id="154"/>
      <w:bookmarkEnd w:id="155"/>
      <w:bookmarkEnd w:id="156"/>
      <w:bookmarkEnd w:id="157"/>
      <w:bookmarkEnd w:id="158"/>
    </w:p>
    <w:p w14:paraId="11427C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0D7B30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5F03FC51">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79632579"/>
      <w:bookmarkStart w:id="160" w:name="_Toc152045561"/>
      <w:bookmarkStart w:id="161" w:name="_Toc296602449"/>
      <w:bookmarkStart w:id="162" w:name="_Toc246996205"/>
      <w:bookmarkStart w:id="163" w:name="_Toc152042337"/>
      <w:bookmarkStart w:id="164" w:name="_Toc144974529"/>
      <w:bookmarkStart w:id="165" w:name="_Toc247085719"/>
      <w:bookmarkStart w:id="166" w:name="_Toc246996948"/>
      <w:r>
        <w:rPr>
          <w:rFonts w:hint="eastAsia"/>
          <w:lang w:val="en-US" w:eastAsia="zh-CN"/>
        </w:rPr>
        <w:t>15.</w:t>
      </w:r>
      <w:r>
        <w:rPr>
          <w:rFonts w:hint="eastAsia"/>
          <w:lang w:eastAsia="zh-CN"/>
        </w:rPr>
        <w:t>开启</w:t>
      </w:r>
      <w:r>
        <w:rPr>
          <w:rFonts w:hint="eastAsia"/>
        </w:rPr>
        <w:t>程序</w:t>
      </w:r>
      <w:bookmarkEnd w:id="159"/>
      <w:bookmarkEnd w:id="160"/>
      <w:bookmarkEnd w:id="161"/>
      <w:bookmarkEnd w:id="162"/>
      <w:bookmarkEnd w:id="163"/>
      <w:bookmarkEnd w:id="164"/>
      <w:bookmarkEnd w:id="165"/>
      <w:bookmarkEnd w:id="166"/>
    </w:p>
    <w:p w14:paraId="111E30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36F58A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130DE27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02E9EA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7844535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6405D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08D99A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6D4270C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66AD2A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3CB54B2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5240D30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6C436B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36281F3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329978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6A75F62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5FE4732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1E8BB80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3B35022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251CC7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0A6869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12DCE15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143AE0D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59AE88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439C2D7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71BE4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40E3D9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F22ED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075D477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7E5993B3">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276E2D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7C8D4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53F3F897">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21"/>
      <w:bookmarkStart w:id="168" w:name="_Toc179632581"/>
      <w:bookmarkStart w:id="169" w:name="_Toc246996950"/>
      <w:bookmarkStart w:id="170" w:name="_Toc144974531"/>
      <w:bookmarkStart w:id="171" w:name="_Toc152045563"/>
      <w:bookmarkStart w:id="172" w:name="_Toc152042339"/>
      <w:bookmarkStart w:id="173" w:name="_Toc246996207"/>
      <w:bookmarkStart w:id="174" w:name="_Toc296602452"/>
      <w:r>
        <w:rPr>
          <w:rFonts w:hint="eastAsia"/>
          <w:lang w:val="en-US" w:eastAsia="zh-CN"/>
        </w:rPr>
        <w:t>17.</w:t>
      </w:r>
      <w:bookmarkEnd w:id="167"/>
      <w:bookmarkEnd w:id="168"/>
      <w:bookmarkEnd w:id="169"/>
      <w:bookmarkEnd w:id="170"/>
      <w:bookmarkEnd w:id="171"/>
      <w:bookmarkEnd w:id="172"/>
      <w:bookmarkEnd w:id="173"/>
      <w:bookmarkEnd w:id="174"/>
      <w:r>
        <w:rPr>
          <w:rFonts w:hint="eastAsia"/>
          <w:lang w:eastAsia="zh-CN"/>
        </w:rPr>
        <w:t>响应文件</w:t>
      </w:r>
      <w:r>
        <w:rPr>
          <w:rFonts w:hint="eastAsia"/>
        </w:rPr>
        <w:t>的详细评审</w:t>
      </w:r>
    </w:p>
    <w:p w14:paraId="650D82C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89341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2AC1F2E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CE05A1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6D0B69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51116C9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456020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5BE0797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6AED0B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6A61757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20677E5C">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661334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8961E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1DD1C0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56DACAA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5F0047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539930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079F99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19575A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384ED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498FD8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87821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33406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693DB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74E30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068862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FB6D2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6300ABE6">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5" w:name="_Toc152042342"/>
      <w:bookmarkStart w:id="176" w:name="_Toc179632584"/>
      <w:bookmarkStart w:id="177" w:name="_Toc144974534"/>
      <w:bookmarkStart w:id="178" w:name="_Toc246996210"/>
      <w:bookmarkStart w:id="179" w:name="_Toc152045566"/>
      <w:bookmarkStart w:id="180" w:name="_Toc246996953"/>
      <w:bookmarkStart w:id="181" w:name="_Toc247085724"/>
      <w:bookmarkStart w:id="182" w:name="_Toc296602455"/>
      <w:r>
        <w:rPr>
          <w:rFonts w:hint="eastAsia"/>
          <w:lang w:val="en-US" w:eastAsia="zh-CN"/>
        </w:rPr>
        <w:t>六</w:t>
      </w:r>
      <w:r>
        <w:rPr>
          <w:rFonts w:hint="eastAsia"/>
          <w:lang w:eastAsia="zh-CN"/>
        </w:rPr>
        <w:t>、</w:t>
      </w:r>
      <w:bookmarkEnd w:id="175"/>
      <w:bookmarkEnd w:id="176"/>
      <w:bookmarkEnd w:id="177"/>
      <w:bookmarkEnd w:id="178"/>
      <w:bookmarkEnd w:id="179"/>
      <w:bookmarkEnd w:id="180"/>
      <w:bookmarkEnd w:id="181"/>
      <w:bookmarkEnd w:id="182"/>
      <w:r>
        <w:rPr>
          <w:rFonts w:hint="eastAsia"/>
          <w:lang w:val="en-US" w:eastAsia="zh-CN"/>
        </w:rPr>
        <w:t>成交人确定</w:t>
      </w:r>
    </w:p>
    <w:p w14:paraId="4E1DA5D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2343"/>
      <w:bookmarkStart w:id="184" w:name="_Toc296602456"/>
      <w:bookmarkStart w:id="185" w:name="_Toc246996211"/>
      <w:bookmarkStart w:id="186" w:name="_Toc179632585"/>
      <w:bookmarkStart w:id="187" w:name="_Toc247085725"/>
      <w:bookmarkStart w:id="188" w:name="_Toc246996954"/>
      <w:bookmarkStart w:id="189" w:name="_Toc144974535"/>
      <w:bookmarkStart w:id="190" w:name="_Toc152045567"/>
      <w:r>
        <w:rPr>
          <w:rFonts w:hint="eastAsia"/>
          <w:lang w:val="en-US" w:eastAsia="zh-CN"/>
        </w:rPr>
        <w:t>19.</w:t>
      </w:r>
      <w:bookmarkEnd w:id="183"/>
      <w:bookmarkEnd w:id="184"/>
      <w:bookmarkEnd w:id="185"/>
      <w:bookmarkEnd w:id="186"/>
      <w:bookmarkEnd w:id="187"/>
      <w:bookmarkEnd w:id="188"/>
      <w:bookmarkEnd w:id="189"/>
      <w:bookmarkEnd w:id="190"/>
      <w:r>
        <w:rPr>
          <w:rFonts w:hint="eastAsia"/>
        </w:rPr>
        <w:t>审查确认</w:t>
      </w:r>
    </w:p>
    <w:p w14:paraId="4311C3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76133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305FF13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96602457"/>
      <w:r>
        <w:rPr>
          <w:rFonts w:hint="eastAsia"/>
          <w:lang w:val="en-US" w:eastAsia="zh-CN"/>
        </w:rPr>
        <w:t>20.</w:t>
      </w:r>
      <w:bookmarkEnd w:id="191"/>
      <w:r>
        <w:rPr>
          <w:rFonts w:hint="eastAsia"/>
        </w:rPr>
        <w:t>确定</w:t>
      </w:r>
      <w:r>
        <w:rPr>
          <w:rFonts w:hint="eastAsia"/>
          <w:lang w:eastAsia="zh-CN"/>
        </w:rPr>
        <w:t>成交人</w:t>
      </w:r>
      <w:r>
        <w:rPr>
          <w:rFonts w:hint="eastAsia"/>
        </w:rPr>
        <w:t>的标准</w:t>
      </w:r>
    </w:p>
    <w:p w14:paraId="69D978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6FB23EC0">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58"/>
      <w:bookmarkStart w:id="193" w:name="_Toc152045568"/>
      <w:bookmarkStart w:id="194" w:name="_Toc152042344"/>
      <w:bookmarkStart w:id="195" w:name="_Toc179632586"/>
      <w:bookmarkStart w:id="196" w:name="_Toc246996955"/>
      <w:bookmarkStart w:id="197" w:name="_Toc246996212"/>
      <w:bookmarkStart w:id="198" w:name="_Toc247085726"/>
      <w:bookmarkStart w:id="199" w:name="_Toc144974536"/>
      <w:r>
        <w:rPr>
          <w:rFonts w:hint="eastAsia"/>
          <w:lang w:val="en-US" w:eastAsia="zh-CN"/>
        </w:rPr>
        <w:t>21.</w:t>
      </w:r>
      <w:bookmarkEnd w:id="192"/>
      <w:bookmarkEnd w:id="193"/>
      <w:bookmarkEnd w:id="194"/>
      <w:bookmarkEnd w:id="195"/>
      <w:bookmarkEnd w:id="196"/>
      <w:bookmarkEnd w:id="197"/>
      <w:bookmarkEnd w:id="198"/>
      <w:bookmarkEnd w:id="199"/>
      <w:r>
        <w:rPr>
          <w:rFonts w:hint="eastAsia"/>
          <w:lang w:val="en-US" w:eastAsia="zh-CN"/>
        </w:rPr>
        <w:t>采购人的权利</w:t>
      </w:r>
    </w:p>
    <w:p w14:paraId="63820C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01D1431">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246996213"/>
      <w:bookmarkStart w:id="201" w:name="_Toc179632587"/>
      <w:bookmarkStart w:id="202" w:name="_Toc152042345"/>
      <w:bookmarkStart w:id="203" w:name="_Toc246996956"/>
      <w:bookmarkStart w:id="204" w:name="_Toc296602459"/>
      <w:bookmarkStart w:id="205" w:name="_Toc144974537"/>
      <w:bookmarkStart w:id="206" w:name="_Toc247085727"/>
      <w:bookmarkStart w:id="207" w:name="_Toc152045569"/>
      <w:r>
        <w:rPr>
          <w:rFonts w:hint="eastAsia"/>
          <w:lang w:val="en-US" w:eastAsia="zh-CN"/>
        </w:rPr>
        <w:t>22.</w:t>
      </w:r>
      <w:bookmarkEnd w:id="200"/>
      <w:bookmarkEnd w:id="201"/>
      <w:bookmarkEnd w:id="202"/>
      <w:bookmarkEnd w:id="203"/>
      <w:bookmarkEnd w:id="204"/>
      <w:bookmarkEnd w:id="205"/>
      <w:bookmarkEnd w:id="206"/>
      <w:bookmarkEnd w:id="207"/>
      <w:r>
        <w:rPr>
          <w:rFonts w:hint="eastAsia"/>
          <w:lang w:val="en-US" w:eastAsia="zh-CN"/>
        </w:rPr>
        <w:t>成交通知书</w:t>
      </w:r>
    </w:p>
    <w:p w14:paraId="01570A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68073C8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8" w:name="_Toc296602461"/>
      <w:r>
        <w:rPr>
          <w:rFonts w:hint="eastAsia"/>
          <w:lang w:val="en-US" w:eastAsia="zh-CN"/>
        </w:rPr>
        <w:t>七、</w:t>
      </w:r>
      <w:bookmarkEnd w:id="208"/>
      <w:r>
        <w:rPr>
          <w:rFonts w:hint="eastAsia"/>
          <w:lang w:val="en-US" w:eastAsia="zh-CN"/>
        </w:rPr>
        <w:t>合同的签署</w:t>
      </w:r>
    </w:p>
    <w:p w14:paraId="366436AB">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9" w:name="_Toc152042351"/>
      <w:bookmarkStart w:id="210" w:name="_Toc246996962"/>
      <w:bookmarkStart w:id="211" w:name="_Toc296602462"/>
      <w:bookmarkStart w:id="212" w:name="_Toc144974543"/>
      <w:bookmarkStart w:id="213" w:name="_Toc179632593"/>
      <w:bookmarkStart w:id="214" w:name="_Toc246996219"/>
      <w:bookmarkStart w:id="215" w:name="_Toc247085733"/>
      <w:bookmarkStart w:id="216" w:name="_Toc296590983"/>
      <w:bookmarkStart w:id="217" w:name="_Toc152045575"/>
      <w:r>
        <w:rPr>
          <w:rFonts w:hint="eastAsia"/>
          <w:lang w:val="en-US" w:eastAsia="zh-CN"/>
        </w:rPr>
        <w:t>23.</w:t>
      </w:r>
      <w:bookmarkEnd w:id="209"/>
      <w:bookmarkEnd w:id="210"/>
      <w:bookmarkEnd w:id="211"/>
      <w:bookmarkEnd w:id="212"/>
      <w:bookmarkEnd w:id="213"/>
      <w:bookmarkEnd w:id="214"/>
      <w:bookmarkEnd w:id="215"/>
      <w:bookmarkEnd w:id="216"/>
      <w:bookmarkEnd w:id="217"/>
      <w:r>
        <w:rPr>
          <w:rFonts w:hint="eastAsia"/>
          <w:lang w:val="en-US" w:eastAsia="zh-CN"/>
        </w:rPr>
        <w:t>合同的签署</w:t>
      </w:r>
    </w:p>
    <w:p w14:paraId="2A6876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7FB76E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4CE47162">
      <w:pPr>
        <w:pStyle w:val="4"/>
        <w:bidi w:val="0"/>
        <w:rPr>
          <w:rFonts w:hint="eastAsia" w:eastAsia="黑体"/>
          <w:lang w:eastAsia="zh-CN"/>
        </w:rPr>
      </w:pPr>
      <w:bookmarkStart w:id="218" w:name="_Toc144974544"/>
      <w:bookmarkStart w:id="219" w:name="_Toc246996220"/>
      <w:bookmarkStart w:id="220" w:name="_Toc246996963"/>
      <w:bookmarkStart w:id="221" w:name="_Toc152045576"/>
      <w:bookmarkStart w:id="222" w:name="_Toc179632594"/>
      <w:bookmarkStart w:id="223" w:name="_Toc152042352"/>
      <w:bookmarkStart w:id="224" w:name="_Toc247085734"/>
      <w:bookmarkStart w:id="225" w:name="_Toc296602463"/>
      <w:r>
        <w:rPr>
          <w:rFonts w:hint="eastAsia"/>
          <w:lang w:val="en-US" w:eastAsia="zh-CN"/>
        </w:rPr>
        <w:t>24.</w:t>
      </w:r>
      <w:bookmarkEnd w:id="218"/>
      <w:bookmarkEnd w:id="219"/>
      <w:bookmarkEnd w:id="220"/>
      <w:bookmarkEnd w:id="221"/>
      <w:bookmarkEnd w:id="222"/>
      <w:bookmarkEnd w:id="223"/>
      <w:bookmarkEnd w:id="224"/>
      <w:bookmarkEnd w:id="225"/>
      <w:r>
        <w:rPr>
          <w:rFonts w:hint="eastAsia"/>
          <w:lang w:val="en-US" w:eastAsia="zh-CN"/>
        </w:rPr>
        <w:t>履约担保</w:t>
      </w:r>
    </w:p>
    <w:p w14:paraId="1AE0B9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0A165A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638289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859F05D">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6" w:name="_Toc144974545"/>
      <w:bookmarkStart w:id="227" w:name="_Toc246996221"/>
      <w:bookmarkStart w:id="228" w:name="_Toc246996964"/>
      <w:bookmarkStart w:id="229" w:name="_Toc247085735"/>
      <w:bookmarkStart w:id="230" w:name="_Toc152042353"/>
      <w:bookmarkStart w:id="231" w:name="_Toc296602464"/>
      <w:bookmarkStart w:id="232" w:name="_Toc179632595"/>
      <w:bookmarkStart w:id="233" w:name="_Toc152045577"/>
      <w:r>
        <w:rPr>
          <w:rFonts w:hint="eastAsia"/>
          <w:lang w:val="en-US" w:eastAsia="zh-CN"/>
        </w:rPr>
        <w:t>25.</w:t>
      </w:r>
      <w:bookmarkEnd w:id="226"/>
      <w:bookmarkEnd w:id="227"/>
      <w:bookmarkEnd w:id="228"/>
      <w:bookmarkEnd w:id="229"/>
      <w:bookmarkEnd w:id="230"/>
      <w:bookmarkEnd w:id="231"/>
      <w:bookmarkEnd w:id="232"/>
      <w:bookmarkEnd w:id="233"/>
      <w:r>
        <w:rPr>
          <w:rFonts w:hint="eastAsia"/>
          <w:lang w:val="en-US" w:eastAsia="zh-CN"/>
        </w:rPr>
        <w:t>解释权</w:t>
      </w:r>
    </w:p>
    <w:p w14:paraId="43E24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1460E2B4">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4C7A5A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B0FED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4F1B7D61">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综合评估法</w:t>
      </w:r>
      <w:permEnd w:id="44"/>
      <w:r>
        <w:rPr>
          <w:rFonts w:hint="eastAsia" w:ascii="宋体" w:hAnsi="宋体"/>
          <w:sz w:val="24"/>
          <w:lang w:val="en-US" w:eastAsia="zh-CN"/>
        </w:rPr>
        <w:t>，根据项目询比文件要求，实行初审和复审。</w:t>
      </w:r>
    </w:p>
    <w:p w14:paraId="2FD5966B">
      <w:pPr>
        <w:spacing w:line="440" w:lineRule="exact"/>
        <w:rPr>
          <w:rFonts w:hint="eastAsia" w:ascii="宋体" w:hAnsi="宋体"/>
          <w:b/>
          <w:sz w:val="24"/>
        </w:rPr>
      </w:pPr>
    </w:p>
    <w:p w14:paraId="3F188393">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7A363773">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2EC56E4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347DA9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9808C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CFF2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443A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5C728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F0E90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C116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2CA2B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9FD7F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7BCFF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BA44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6F315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2E5AB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779F04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43B0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A56F1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1C731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4D140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AF5E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1CCC9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3006B9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D49BA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3600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8C5D13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中供应商其他资格要求，如信用要求等。</w:t>
            </w:r>
          </w:p>
        </w:tc>
      </w:tr>
      <w:tr w14:paraId="38B761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1F25185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0F2EFD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6057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C4182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670A3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CDDD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F6857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38732D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5C0B2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BC28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8BF66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8E158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EFE8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6137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7FFE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21FBD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35BE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881DF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EB3311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35C953C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4" w:name="_Toc296602477"/>
      <w:bookmarkStart w:id="235" w:name="_Toc179632607"/>
      <w:bookmarkStart w:id="236" w:name="_Toc144974556"/>
      <w:bookmarkStart w:id="237" w:name="_Toc152045589"/>
      <w:bookmarkStart w:id="238" w:name="_Toc152042366"/>
      <w:bookmarkStart w:id="239" w:name="_Toc246996975"/>
      <w:bookmarkStart w:id="240" w:name="_Toc247085747"/>
      <w:bookmarkStart w:id="241" w:name="_Toc246996232"/>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0157B8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eastAsia="黑体" w:cs="Times New Roman"/>
          <w:sz w:val="21"/>
          <w:szCs w:val="21"/>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7F5DE75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（适用于综合评估法）</w:t>
      </w:r>
      <w:r>
        <w:rPr>
          <w:rFonts w:hint="eastAsia" w:ascii="宋体" w:hAnsi="宋体"/>
          <w:sz w:val="24"/>
          <w:highlight w:val="none"/>
          <w:lang w:val="en-US" w:eastAsia="zh-CN"/>
        </w:rPr>
        <w:t>。</w:t>
      </w:r>
    </w:p>
    <w:p w14:paraId="2E331CF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57A12E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94D70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5BDB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3B79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523C65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030B54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ermStart w:id="45" w:edGrp="everyone" w:colFirst="0" w:colLast="0"/>
            <w:permStart w:id="46" w:edGrp="everyone" w:colFirst="1" w:colLast="1"/>
            <w:permStart w:id="47" w:edGrp="everyone" w:colFirst="2" w:colLast="2"/>
            <w:r>
              <w:rPr>
                <w:rFonts w:hint="eastAsia" w:ascii="Times New Roman" w:hAnsi="Times New Roman" w:cs="Times New Roman"/>
                <w:i w:val="0"/>
                <w:iCs w:val="0"/>
                <w:kern w:val="0"/>
                <w:sz w:val="24"/>
                <w:szCs w:val="24"/>
                <w:highlight w:val="none"/>
                <w:u w:val="none"/>
                <w:lang w:val="en-US" w:eastAsia="zh-CN"/>
              </w:rPr>
              <w:t>服务方案</w:t>
            </w:r>
          </w:p>
          <w:p w14:paraId="2263DB8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评分标准</w:t>
            </w:r>
          </w:p>
          <w:p w14:paraId="0685909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C002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w:t>
            </w:r>
          </w:p>
          <w:p w14:paraId="46B1F2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评分标准</w:t>
            </w:r>
          </w:p>
          <w:p w14:paraId="105FE8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yellow"/>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9F747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 1.评估体系与标准。完善的实测实量标准库（如抽样规则、测量工具精度）、风险排查逻辑以及数据分析模型。要求方案中明确不同施工阶段（地下、主体、精装）的具体检查表和评估频次，确保其方法论科学且可执行。优秀得6-10分，良好得3-5分，一般得1-2分，差得0分；</w:t>
            </w:r>
          </w:p>
          <w:p w14:paraId="6B40AF3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2.“专项技术”的深度与创新。专项评估（如深基坑、高支模、渗漏防治），提出了创新性或高技术含量的评估手段（如使用AI辅助检测）；优秀得6-10分，良好得3-5分，一般得1-2分，差得0分；</w:t>
            </w:r>
          </w:p>
          <w:p w14:paraId="6030F5B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3.评估实施方案。逻辑清晰、针对性强，完全契合本项目特点的；优秀得6-10分，良好得3-5分，一般得1-2分，差得0分；</w:t>
            </w:r>
          </w:p>
          <w:p w14:paraId="24C9545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4.安全管理体系与措施。安全管理体系与制度 ；专项安全措施；文明施工与环保措施；工期保证措施；优秀得6-10分，良好得3-5分，一般得1-2分，差得0分。</w:t>
            </w:r>
          </w:p>
        </w:tc>
      </w:tr>
      <w:permEnd w:id="45"/>
      <w:permEnd w:id="46"/>
      <w:permEnd w:id="47"/>
      <w:tr w14:paraId="227A1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9" w:hRule="atLeast"/>
        </w:trPr>
        <w:tc>
          <w:tcPr>
            <w:tcW w:w="1700" w:type="dxa"/>
            <w:tcBorders>
              <w:top w:val="single" w:color="auto" w:sz="4" w:space="0"/>
              <w:right w:val="single" w:color="auto" w:sz="4" w:space="0"/>
            </w:tcBorders>
            <w:noWrap w:val="0"/>
            <w:vAlign w:val="center"/>
          </w:tcPr>
          <w:p w14:paraId="525F75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permStart w:id="48" w:edGrp="everyone"/>
            <w:r>
              <w:rPr>
                <w:rFonts w:hint="eastAsia" w:ascii="Times New Roman" w:hAnsi="Times New Roman" w:cs="Times New Roman"/>
                <w:i w:val="0"/>
                <w:iCs w:val="0"/>
                <w:kern w:val="0"/>
                <w:sz w:val="24"/>
                <w:szCs w:val="24"/>
                <w:highlight w:val="none"/>
                <w:u w:val="none"/>
                <w:lang w:val="en-US" w:eastAsia="zh-CN"/>
              </w:rPr>
              <w:t xml:space="preserve"> </w:t>
            </w:r>
            <w:r>
              <w:rPr>
                <w:rFonts w:hint="eastAsia" w:ascii="Times New Roman" w:hAnsi="Times New Roman" w:cs="Times New Roman"/>
                <w:i w:val="0"/>
                <w:iCs w:val="0"/>
                <w:color w:val="FF0000"/>
                <w:kern w:val="0"/>
                <w:sz w:val="24"/>
                <w:szCs w:val="24"/>
                <w:highlight w:val="none"/>
                <w:u w:val="none"/>
                <w:lang w:val="en-US" w:eastAsia="zh-CN"/>
              </w:rPr>
              <w:t>企业荣誉</w:t>
            </w:r>
          </w:p>
          <w:p w14:paraId="5A49A2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评分标准</w:t>
            </w:r>
          </w:p>
          <w:p w14:paraId="14351B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EA7F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14:paraId="6FB484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21F20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在满足询比公告类似项目业绩要求的基础上，供应商每额外提供1个单项合同金额不低于6万元，且为房地产企业提供第三方飞行检查服务的业绩得5分，此项满分10分。</w:t>
            </w:r>
          </w:p>
          <w:p w14:paraId="6B4FDD0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注：提供2023年1月1日至今企业类似项目业绩1个，以合同签订时间为准；合同复印件或扫描件装订入响应文件中。 </w:t>
            </w:r>
          </w:p>
        </w:tc>
      </w:tr>
      <w:permEnd w:id="48"/>
      <w:tr w14:paraId="226D96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9C68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lang w:val="en-US" w:eastAsia="zh-CN"/>
              </w:rPr>
            </w:pPr>
            <w:permStart w:id="49" w:edGrp="everyone" w:colFirst="0" w:colLast="0"/>
            <w:permStart w:id="50" w:edGrp="everyone" w:colFirst="1" w:colLast="1"/>
            <w:permStart w:id="51" w:edGrp="everyone" w:colFirst="2" w:colLast="2"/>
            <w:r>
              <w:rPr>
                <w:rFonts w:hint="eastAsia" w:ascii="Times New Roman" w:hAnsi="Times New Roman" w:cs="Times New Roman"/>
                <w:i w:val="0"/>
                <w:iCs w:val="0"/>
                <w:kern w:val="0"/>
                <w:sz w:val="24"/>
                <w:szCs w:val="24"/>
                <w:highlight w:val="none"/>
                <w:lang w:val="en-US" w:eastAsia="zh-CN"/>
              </w:rPr>
              <w:t>商务评分标准</w:t>
            </w: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50</w:t>
            </w:r>
            <w:r>
              <w:rPr>
                <w:rFonts w:hint="default" w:ascii="Times New Roman" w:hAnsi="Times New Roman" w:cs="Times New Roman"/>
                <w:i w:val="0"/>
                <w:iCs w:val="0"/>
                <w:color w:val="FF0000"/>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E179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 xml:space="preserve">响应价格 </w:t>
            </w:r>
          </w:p>
          <w:p w14:paraId="1FF78C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（50分）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BB12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 低于采购人发布的控制价且经评审合格的为有效报价，取有效报价的算术平均值（5家及以上去掉一个最高价和最低价）作为评审基准价，5家以下取所有有效报价的算术平均值作为评审基准价，各供应商的报价得分按以下公式计算：</w:t>
            </w:r>
          </w:p>
          <w:p w14:paraId="037DEC89">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供应商的报价等于评审基准价得 </w:t>
            </w:r>
          </w:p>
          <w:p w14:paraId="37B8B366">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50分；</w:t>
            </w:r>
          </w:p>
          <w:p w14:paraId="795C4B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（2）供应商的报价高于评审基准价：</w:t>
            </w:r>
          </w:p>
          <w:p w14:paraId="0041CD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50-（供应商报价－评审基准价）/评审基准价*100*0.5；</w:t>
            </w:r>
          </w:p>
          <w:p w14:paraId="673E84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（3）供应商的报价低于评审基准价：</w:t>
            </w:r>
          </w:p>
          <w:p w14:paraId="452B2A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50+（供应商报价－评审基准价）/评审基准价*100*0.3；</w:t>
            </w:r>
          </w:p>
          <w:p w14:paraId="0BE6EA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permEnd w:id="49"/>
      <w:permEnd w:id="50"/>
      <w:permEnd w:id="51"/>
      <w:tr w14:paraId="6E93C5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3"/>
            <w:tcBorders>
              <w:top w:val="single" w:color="auto" w:sz="4" w:space="0"/>
              <w:bottom w:val="single" w:color="auto" w:sz="4" w:space="0"/>
              <w:right w:val="single" w:color="auto" w:sz="4" w:space="0"/>
            </w:tcBorders>
            <w:noWrap w:val="0"/>
            <w:vAlign w:val="center"/>
          </w:tcPr>
          <w:p w14:paraId="1B327A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permStart w:id="52" w:edGrp="everyone"/>
            <w:r>
              <w:rPr>
                <w:rFonts w:hint="eastAsia" w:ascii="Times New Roman" w:hAnsi="Times New Roman" w:cs="Times New Roman"/>
                <w:color w:val="FF0000"/>
                <w:kern w:val="0"/>
                <w:sz w:val="24"/>
                <w:szCs w:val="24"/>
                <w:highlight w:val="none"/>
                <w:lang w:val="en-US" w:eastAsia="zh-CN"/>
              </w:rPr>
              <w:t>注：评分区间一律按左闭右闭计算，评分保留2位小数</w:t>
            </w:r>
          </w:p>
        </w:tc>
      </w:tr>
      <w:permEnd w:id="52"/>
    </w:tbl>
    <w:p w14:paraId="6D338E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266AC805">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19B19C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115F3B66">
      <w:pPr>
        <w:rPr>
          <w:rFonts w:hint="default" w:ascii="Times New Roman" w:hAnsi="Times New Roman" w:cs="Times New Roman" w:eastAsiaTheme="minorEastAsia"/>
          <w:b/>
          <w:bCs/>
          <w:kern w:val="0"/>
          <w:sz w:val="28"/>
          <w:szCs w:val="28"/>
          <w:highlight w:val="none"/>
        </w:rPr>
      </w:pPr>
      <w:bookmarkStart w:id="242" w:name="_Toc144974560"/>
      <w:bookmarkStart w:id="243" w:name="_Toc152045593"/>
      <w:bookmarkStart w:id="244" w:name="_Toc152042370"/>
      <w:bookmarkStart w:id="245" w:name="_Toc246996979"/>
      <w:bookmarkStart w:id="246" w:name="_Toc246996236"/>
      <w:bookmarkStart w:id="247" w:name="_Toc296602481"/>
      <w:bookmarkStart w:id="248" w:name="_Toc179632611"/>
      <w:bookmarkStart w:id="249" w:name="_Toc247085751"/>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2"/>
      <w:bookmarkEnd w:id="243"/>
      <w:bookmarkEnd w:id="244"/>
      <w:bookmarkEnd w:id="245"/>
      <w:bookmarkEnd w:id="246"/>
      <w:bookmarkEnd w:id="247"/>
      <w:bookmarkEnd w:id="248"/>
      <w:bookmarkEnd w:id="249"/>
    </w:p>
    <w:p w14:paraId="536829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EB7DB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41A3F7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443028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0D5B30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4C78D0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C5679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7AEECB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1556B05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5C68CA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5C4268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DE7D05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50" w:name="_Toc144974563"/>
      <w:bookmarkStart w:id="251" w:name="_Toc152045596"/>
      <w:bookmarkStart w:id="252" w:name="_Toc152042373"/>
      <w:bookmarkStart w:id="253" w:name="_Toc246996239"/>
      <w:bookmarkStart w:id="254" w:name="_Toc247085754"/>
      <w:bookmarkStart w:id="255" w:name="_Toc179632614"/>
      <w:bookmarkStart w:id="256" w:name="_Toc296602484"/>
      <w:bookmarkStart w:id="257"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12B9DC9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50"/>
      <w:r>
        <w:rPr>
          <w:rFonts w:hint="default" w:ascii="Times New Roman" w:hAnsi="Times New Roman" w:cs="Times New Roman" w:eastAsiaTheme="minorEastAsia"/>
          <w:b/>
          <w:bCs/>
          <w:kern w:val="0"/>
          <w:sz w:val="28"/>
          <w:szCs w:val="28"/>
          <w:highlight w:val="none"/>
          <w:lang w:eastAsia="zh-CN"/>
        </w:rPr>
        <w:t>和补正</w:t>
      </w:r>
      <w:bookmarkEnd w:id="251"/>
      <w:bookmarkEnd w:id="252"/>
      <w:bookmarkEnd w:id="253"/>
      <w:bookmarkEnd w:id="254"/>
      <w:bookmarkEnd w:id="255"/>
      <w:bookmarkEnd w:id="256"/>
      <w:bookmarkEnd w:id="257"/>
    </w:p>
    <w:p w14:paraId="17AB4C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4C25A6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6E76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010EDE5E">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0BDB37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058109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08993A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072A6D45">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3FA8A9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6A4A8B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670A5AFA">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5DD5E6E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641EB9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1C8A33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08DF88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4C3B5B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7A3ED6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8038D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5E3500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7F5810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4906AB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673AA9C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5733C3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256439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33A868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EBB0A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72DBDF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751253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0E5F7C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D015E7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8C5E66F">
      <w:pPr>
        <w:keepNext w:val="0"/>
        <w:keepLines w:val="0"/>
        <w:pageBreakBefore w:val="0"/>
        <w:tabs>
          <w:tab w:val="left" w:pos="2740"/>
        </w:tabs>
        <w:kinsoku/>
        <w:wordWrap/>
        <w:overflowPunct/>
        <w:topLinePunct w:val="0"/>
        <w:bidi w:val="0"/>
        <w:spacing w:line="360" w:lineRule="auto"/>
        <w:jc w:val="right"/>
        <w:textAlignment w:val="auto"/>
        <w:rPr>
          <w:rFonts w:hint="eastAsia" w:ascii="Times New Roman" w:hAnsi="Times New Roman" w:eastAsia="宋体" w:cs="Times New Roman"/>
          <w:sz w:val="24"/>
          <w:szCs w:val="21"/>
        </w:rPr>
      </w:pPr>
    </w:p>
    <w:p w14:paraId="1BE92B39">
      <w:pPr>
        <w:keepNext w:val="0"/>
        <w:keepLines w:val="0"/>
        <w:pageBreakBefore w:val="0"/>
        <w:kinsoku/>
        <w:wordWrap/>
        <w:overflowPunct/>
        <w:topLinePunct w:val="0"/>
        <w:bidi w:val="0"/>
        <w:spacing w:line="360" w:lineRule="auto"/>
        <w:jc w:val="right"/>
        <w:textAlignment w:val="auto"/>
        <w:rPr>
          <w:rFonts w:ascii="Times New Roman" w:hAnsi="Times New Roman" w:eastAsia="宋体" w:cs="Times New Roman"/>
          <w:sz w:val="24"/>
          <w:szCs w:val="21"/>
        </w:rPr>
      </w:pPr>
    </w:p>
    <w:p w14:paraId="43BA2669">
      <w:pPr>
        <w:keepNext w:val="0"/>
        <w:keepLines w:val="0"/>
        <w:pageBreakBefore w:val="0"/>
        <w:kinsoku/>
        <w:wordWrap/>
        <w:overflowPunct/>
        <w:topLinePunct w:val="0"/>
        <w:bidi w:val="0"/>
        <w:spacing w:line="360" w:lineRule="auto"/>
        <w:jc w:val="right"/>
        <w:textAlignment w:val="auto"/>
        <w:rPr>
          <w:rFonts w:ascii="Times New Roman" w:hAnsi="Times New Roman" w:eastAsia="宋体" w:cs="Times New Roman"/>
          <w:sz w:val="24"/>
          <w:szCs w:val="21"/>
        </w:rPr>
      </w:pPr>
      <w:r>
        <w:rPr>
          <w:rFonts w:ascii="Times New Roman" w:hAnsi="Times New Roman" w:eastAsia="宋体" w:cs="Times New Roman"/>
          <w:sz w:val="24"/>
          <w:szCs w:val="21"/>
        </w:rPr>
        <w:t xml:space="preserve">  合同编号</w:t>
      </w:r>
      <w:r>
        <w:rPr>
          <w:rFonts w:ascii="Times New Roman" w:hAnsi="Times New Roman" w:eastAsia="宋体" w:cs="Times New Roman"/>
          <w:kern w:val="0"/>
          <w:sz w:val="24"/>
          <w:szCs w:val="21"/>
        </w:rPr>
        <w:t>：(</w:t>
      </w:r>
      <w:r>
        <w:rPr>
          <w:rFonts w:ascii="Times New Roman" w:hAnsi="Times New Roman" w:eastAsia="宋体" w:cs="Times New Roman"/>
          <w:sz w:val="24"/>
          <w:szCs w:val="21"/>
        </w:rPr>
        <w:t xml:space="preserve">                          )</w:t>
      </w:r>
    </w:p>
    <w:p w14:paraId="74B3CE75">
      <w:pPr>
        <w:keepNext w:val="0"/>
        <w:keepLines w:val="0"/>
        <w:pageBreakBefore w:val="0"/>
        <w:tabs>
          <w:tab w:val="left" w:pos="6540"/>
        </w:tabs>
        <w:kinsoku/>
        <w:wordWrap/>
        <w:overflowPunct/>
        <w:topLinePunct w:val="0"/>
        <w:bidi w:val="0"/>
        <w:spacing w:line="360" w:lineRule="auto"/>
        <w:jc w:val="right"/>
        <w:textAlignment w:val="auto"/>
        <w:rPr>
          <w:rFonts w:ascii="Times New Roman" w:hAnsi="Times New Roman" w:eastAsia="宋体" w:cs="Times New Roman"/>
          <w:b/>
          <w:sz w:val="48"/>
          <w:szCs w:val="21"/>
        </w:rPr>
      </w:pPr>
    </w:p>
    <w:p w14:paraId="1AC95F60">
      <w:pPr>
        <w:keepNext w:val="0"/>
        <w:keepLines w:val="0"/>
        <w:pageBreakBefore w:val="0"/>
        <w:kinsoku/>
        <w:wordWrap/>
        <w:overflowPunct/>
        <w:topLinePunct w:val="0"/>
        <w:bidi w:val="0"/>
        <w:spacing w:line="360" w:lineRule="auto"/>
        <w:jc w:val="both"/>
        <w:textAlignment w:val="auto"/>
        <w:rPr>
          <w:rFonts w:ascii="Times New Roman" w:hAnsi="Times New Roman" w:eastAsia="宋体" w:cs="Times New Roman"/>
          <w:b/>
          <w:sz w:val="48"/>
          <w:szCs w:val="21"/>
        </w:rPr>
      </w:pPr>
    </w:p>
    <w:p w14:paraId="037695D1">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ascii="Times New Roman" w:hAnsi="Times New Roman" w:eastAsia="宋体" w:cs="Times New Roman"/>
          <w:szCs w:val="21"/>
          <w:highlight w:val="none"/>
        </w:rPr>
      </w:pPr>
      <w:r>
        <w:rPr>
          <w:rFonts w:hint="eastAsia" w:ascii="Times New Roman" w:hAnsi="Times New Roman" w:eastAsia="宋体" w:cs="Times New Roman"/>
          <w:b/>
          <w:sz w:val="44"/>
          <w:szCs w:val="44"/>
          <w:highlight w:val="none"/>
          <w:lang w:val="en-US" w:eastAsia="zh-CN"/>
        </w:rPr>
        <w:t>亳州逸合府</w:t>
      </w:r>
      <w:r>
        <w:rPr>
          <w:rFonts w:hint="eastAsia" w:ascii="Times New Roman" w:hAnsi="Times New Roman" w:eastAsia="宋体" w:cs="Times New Roman"/>
          <w:b/>
          <w:sz w:val="44"/>
          <w:szCs w:val="44"/>
          <w:highlight w:val="none"/>
        </w:rPr>
        <w:t>项目</w:t>
      </w:r>
      <w:r>
        <w:rPr>
          <w:rFonts w:hint="eastAsia" w:ascii="Times New Roman" w:hAnsi="Times New Roman" w:eastAsia="宋体" w:cs="Times New Roman"/>
          <w:b/>
          <w:color w:val="auto"/>
          <w:sz w:val="44"/>
          <w:szCs w:val="44"/>
          <w:highlight w:val="none"/>
          <w:lang w:val="en-US" w:eastAsia="zh-CN"/>
        </w:rPr>
        <w:t>过程、专项、交付评估技术服务合同</w:t>
      </w:r>
    </w:p>
    <w:p w14:paraId="1614AE9C">
      <w:pPr>
        <w:keepNext w:val="0"/>
        <w:keepLines w:val="0"/>
        <w:pageBreakBefore w:val="0"/>
        <w:kinsoku/>
        <w:wordWrap/>
        <w:overflowPunct/>
        <w:topLinePunct w:val="0"/>
        <w:bidi w:val="0"/>
        <w:spacing w:line="360" w:lineRule="auto"/>
        <w:jc w:val="center"/>
        <w:textAlignment w:val="auto"/>
        <w:rPr>
          <w:rFonts w:ascii="Times New Roman" w:hAnsi="Times New Roman" w:eastAsia="宋体" w:cs="Times New Roman"/>
          <w:sz w:val="24"/>
          <w:szCs w:val="21"/>
        </w:rPr>
      </w:pPr>
    </w:p>
    <w:p w14:paraId="0D8B0C98">
      <w:pPr>
        <w:keepNext w:val="0"/>
        <w:keepLines w:val="0"/>
        <w:pageBreakBefore w:val="0"/>
        <w:kinsoku/>
        <w:wordWrap/>
        <w:overflowPunct/>
        <w:topLinePunct w:val="0"/>
        <w:bidi w:val="0"/>
        <w:spacing w:line="360" w:lineRule="auto"/>
        <w:jc w:val="center"/>
        <w:textAlignment w:val="auto"/>
        <w:rPr>
          <w:rFonts w:ascii="Times New Roman" w:hAnsi="Times New Roman" w:eastAsia="宋体" w:cs="Times New Roman"/>
          <w:sz w:val="24"/>
          <w:szCs w:val="21"/>
        </w:rPr>
      </w:pPr>
    </w:p>
    <w:p w14:paraId="4412E837">
      <w:pPr>
        <w:keepNext w:val="0"/>
        <w:keepLines w:val="0"/>
        <w:pageBreakBefore w:val="0"/>
        <w:kinsoku/>
        <w:wordWrap/>
        <w:overflowPunct/>
        <w:topLinePunct w:val="0"/>
        <w:bidi w:val="0"/>
        <w:spacing w:line="360" w:lineRule="auto"/>
        <w:jc w:val="both"/>
        <w:textAlignment w:val="auto"/>
        <w:rPr>
          <w:rFonts w:hint="eastAsia" w:ascii="Times New Roman" w:hAnsi="Times New Roman" w:eastAsia="宋体" w:cs="Times New Roman"/>
          <w:sz w:val="24"/>
          <w:szCs w:val="21"/>
        </w:rPr>
      </w:pPr>
    </w:p>
    <w:p w14:paraId="4027C781">
      <w:pPr>
        <w:pStyle w:val="13"/>
        <w:keepNext w:val="0"/>
        <w:keepLines w:val="0"/>
        <w:pageBreakBefore w:val="0"/>
        <w:kinsoku/>
        <w:wordWrap/>
        <w:overflowPunct/>
        <w:topLinePunct w:val="0"/>
        <w:bidi w:val="0"/>
        <w:spacing w:line="360" w:lineRule="auto"/>
        <w:ind w:left="0" w:leftChars="0" w:firstLine="0" w:firstLineChars="0"/>
        <w:jc w:val="both"/>
        <w:textAlignment w:val="auto"/>
        <w:rPr>
          <w:rFonts w:ascii="Times New Roman" w:hAnsi="Times New Roman" w:eastAsia="宋体" w:cs="Times New Roman"/>
        </w:rPr>
      </w:pPr>
    </w:p>
    <w:p w14:paraId="48236BCE">
      <w:pPr>
        <w:keepNext w:val="0"/>
        <w:keepLines w:val="0"/>
        <w:pageBreakBefore w:val="0"/>
        <w:kinsoku/>
        <w:wordWrap/>
        <w:overflowPunct/>
        <w:topLinePunct w:val="0"/>
        <w:bidi w:val="0"/>
        <w:spacing w:line="360" w:lineRule="auto"/>
        <w:jc w:val="center"/>
        <w:textAlignment w:val="auto"/>
        <w:rPr>
          <w:rFonts w:ascii="Times New Roman" w:hAnsi="Times New Roman" w:eastAsia="宋体" w:cs="Times New Roman"/>
          <w:sz w:val="28"/>
          <w:szCs w:val="28"/>
          <w:highlight w:val="none"/>
        </w:rPr>
      </w:pPr>
    </w:p>
    <w:p w14:paraId="6C05B186">
      <w:pPr>
        <w:keepNext w:val="0"/>
        <w:keepLines w:val="0"/>
        <w:pageBreakBefore w:val="0"/>
        <w:kinsoku/>
        <w:wordWrap/>
        <w:overflowPunct/>
        <w:topLinePunct w:val="0"/>
        <w:bidi w:val="0"/>
        <w:spacing w:line="360" w:lineRule="auto"/>
        <w:ind w:left="1478" w:leftChars="704" w:firstLine="0" w:firstLineChars="0"/>
        <w:jc w:val="both"/>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项目名称：</w:t>
      </w:r>
      <w:r>
        <w:rPr>
          <w:rFonts w:hint="eastAsia" w:ascii="宋体" w:hAnsi="宋体" w:eastAsia="宋体" w:cs="宋体"/>
          <w:sz w:val="28"/>
          <w:szCs w:val="28"/>
          <w:highlight w:val="none"/>
          <w:u w:val="single"/>
          <w:lang w:eastAsia="zh-CN"/>
        </w:rPr>
        <w:t>亳州</w:t>
      </w:r>
      <w:r>
        <w:rPr>
          <w:rFonts w:hint="eastAsia" w:ascii="宋体" w:hAnsi="宋体" w:eastAsia="宋体" w:cs="宋体"/>
          <w:sz w:val="28"/>
          <w:szCs w:val="28"/>
          <w:highlight w:val="none"/>
          <w:u w:val="single"/>
          <w:lang w:val="en-US" w:eastAsia="zh-CN"/>
        </w:rPr>
        <w:t xml:space="preserve">逸合府项目       </w:t>
      </w:r>
    </w:p>
    <w:p w14:paraId="735D0750">
      <w:pPr>
        <w:keepNext w:val="0"/>
        <w:keepLines w:val="0"/>
        <w:pageBreakBefore w:val="0"/>
        <w:kinsoku/>
        <w:wordWrap/>
        <w:overflowPunct/>
        <w:topLinePunct w:val="0"/>
        <w:bidi w:val="0"/>
        <w:spacing w:line="360" w:lineRule="auto"/>
        <w:ind w:left="1260" w:leftChars="600" w:firstLine="196" w:firstLineChars="70"/>
        <w:jc w:val="both"/>
        <w:textAlignment w:val="auto"/>
        <w:rPr>
          <w:rFonts w:hint="eastAsia" w:ascii="宋体" w:hAnsi="宋体" w:eastAsia="宋体" w:cs="宋体"/>
          <w:sz w:val="28"/>
          <w:szCs w:val="28"/>
          <w:highlight w:val="none"/>
          <w:u w:val="single"/>
          <w:lang w:val="en-US" w:eastAsia="zh-CN"/>
        </w:rPr>
      </w:pPr>
      <w:r>
        <w:rPr>
          <w:rFonts w:hint="eastAsia" w:ascii="宋体" w:hAnsi="宋体" w:eastAsia="宋体" w:cs="宋体"/>
          <w:sz w:val="28"/>
          <w:szCs w:val="28"/>
          <w:highlight w:val="none"/>
        </w:rPr>
        <w:t>项</w:t>
      </w:r>
      <w:r>
        <w:rPr>
          <w:rFonts w:hint="eastAsia" w:ascii="宋体" w:hAnsi="宋体" w:eastAsia="宋体" w:cs="宋体"/>
          <w:sz w:val="28"/>
          <w:szCs w:val="28"/>
          <w:highlight w:val="none"/>
          <w:u w:val="single"/>
          <w:lang w:val="en-US" w:eastAsia="zh-CN"/>
        </w:rPr>
        <w:t>目地点：</w:t>
      </w:r>
      <w:r>
        <w:rPr>
          <w:rFonts w:hint="default" w:ascii="宋体" w:hAnsi="宋体" w:eastAsia="宋体" w:cs="宋体"/>
          <w:sz w:val="28"/>
          <w:szCs w:val="28"/>
          <w:highlight w:val="none"/>
          <w:u w:val="single"/>
          <w:lang w:val="en-US" w:eastAsia="zh-CN"/>
        </w:rPr>
        <w:t>逸合府项目位于亳州市谯城经济技术产业开发区华佗大道</w:t>
      </w:r>
      <w:r>
        <w:rPr>
          <w:rFonts w:hint="eastAsia" w:ascii="宋体" w:hAnsi="宋体" w:eastAsia="宋体" w:cs="宋体"/>
          <w:sz w:val="28"/>
          <w:szCs w:val="28"/>
          <w:highlight w:val="none"/>
          <w:u w:val="single"/>
          <w:lang w:val="en-US" w:eastAsia="zh-CN"/>
        </w:rPr>
        <w:t>以西，</w:t>
      </w:r>
      <w:r>
        <w:rPr>
          <w:rFonts w:hint="default" w:ascii="宋体" w:hAnsi="宋体" w:eastAsia="宋体" w:cs="宋体"/>
          <w:sz w:val="28"/>
          <w:szCs w:val="28"/>
          <w:highlight w:val="none"/>
          <w:u w:val="single"/>
          <w:lang w:val="en-US" w:eastAsia="zh-CN"/>
        </w:rPr>
        <w:t>利辛路</w:t>
      </w:r>
      <w:r>
        <w:rPr>
          <w:rFonts w:hint="eastAsia" w:ascii="宋体" w:hAnsi="宋体" w:eastAsia="宋体" w:cs="宋体"/>
          <w:sz w:val="28"/>
          <w:szCs w:val="28"/>
          <w:highlight w:val="none"/>
          <w:u w:val="single"/>
          <w:lang w:val="en-US" w:eastAsia="zh-CN"/>
        </w:rPr>
        <w:t>以北，庄周路以东</w:t>
      </w:r>
    </w:p>
    <w:p w14:paraId="65F10FAC">
      <w:pPr>
        <w:keepNext w:val="0"/>
        <w:keepLines w:val="0"/>
        <w:pageBreakBefore w:val="0"/>
        <w:kinsoku/>
        <w:wordWrap/>
        <w:overflowPunct/>
        <w:topLinePunct w:val="0"/>
        <w:bidi w:val="0"/>
        <w:spacing w:line="360" w:lineRule="auto"/>
        <w:ind w:left="1478" w:leftChars="704" w:firstLine="0" w:firstLineChars="0"/>
        <w:jc w:val="both"/>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甲    方：</w:t>
      </w:r>
      <w:r>
        <w:rPr>
          <w:rFonts w:hint="eastAsia" w:ascii="宋体" w:hAnsi="宋体" w:eastAsia="宋体" w:cs="宋体"/>
          <w:sz w:val="28"/>
          <w:szCs w:val="28"/>
          <w:highlight w:val="none"/>
          <w:u w:val="single"/>
          <w:lang w:val="en-US" w:eastAsia="zh-CN"/>
        </w:rPr>
        <w:t>亳州通恒置业有限</w:t>
      </w:r>
      <w:r>
        <w:rPr>
          <w:rFonts w:hint="eastAsia" w:ascii="宋体" w:hAnsi="宋体" w:eastAsia="宋体" w:cs="宋体"/>
          <w:sz w:val="28"/>
          <w:szCs w:val="28"/>
          <w:highlight w:val="none"/>
          <w:u w:val="single"/>
        </w:rPr>
        <w:t>公司</w:t>
      </w:r>
      <w:r>
        <w:rPr>
          <w:rFonts w:hint="eastAsia" w:ascii="宋体" w:hAnsi="宋体" w:eastAsia="宋体" w:cs="宋体"/>
          <w:sz w:val="28"/>
          <w:szCs w:val="28"/>
          <w:highlight w:val="none"/>
          <w:u w:val="single"/>
          <w:lang w:val="en-US" w:eastAsia="zh-CN"/>
        </w:rPr>
        <w:t xml:space="preserve">      </w:t>
      </w:r>
    </w:p>
    <w:p w14:paraId="10CE381B">
      <w:pPr>
        <w:keepNext w:val="0"/>
        <w:keepLines w:val="0"/>
        <w:pageBreakBefore w:val="0"/>
        <w:widowControl w:val="0"/>
        <w:kinsoku/>
        <w:wordWrap/>
        <w:overflowPunct/>
        <w:topLinePunct w:val="0"/>
        <w:autoSpaceDE/>
        <w:autoSpaceDN/>
        <w:bidi w:val="0"/>
        <w:adjustRightInd w:val="0"/>
        <w:snapToGrid/>
        <w:spacing w:line="360" w:lineRule="auto"/>
        <w:ind w:left="1478" w:leftChars="704" w:firstLine="0" w:firstLineChars="0"/>
        <w:jc w:val="both"/>
        <w:textAlignment w:val="auto"/>
        <w:rPr>
          <w:rFonts w:hint="default" w:ascii="宋体" w:hAnsi="宋体" w:eastAsia="宋体" w:cs="宋体"/>
          <w:sz w:val="28"/>
          <w:szCs w:val="28"/>
          <w:highlight w:val="none"/>
          <w:u w:val="none"/>
          <w:lang w:val="en-US" w:eastAsia="zh-CN"/>
        </w:rPr>
      </w:pPr>
      <w:r>
        <w:rPr>
          <w:rFonts w:hint="eastAsia" w:ascii="宋体" w:hAnsi="宋体" w:eastAsia="宋体" w:cs="宋体"/>
          <w:sz w:val="28"/>
          <w:szCs w:val="28"/>
          <w:highlight w:val="none"/>
        </w:rPr>
        <w:t>乙    方：</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u w:val="none"/>
          <w:lang w:val="en-US" w:eastAsia="zh-CN"/>
        </w:rPr>
        <w:t xml:space="preserve"> </w:t>
      </w:r>
    </w:p>
    <w:p w14:paraId="75B77CDE">
      <w:pPr>
        <w:keepNext w:val="0"/>
        <w:keepLines w:val="0"/>
        <w:pageBreakBefore w:val="0"/>
        <w:widowControl w:val="0"/>
        <w:kinsoku/>
        <w:wordWrap/>
        <w:overflowPunct/>
        <w:topLinePunct w:val="0"/>
        <w:autoSpaceDE/>
        <w:autoSpaceDN/>
        <w:bidi w:val="0"/>
        <w:adjustRightInd w:val="0"/>
        <w:snapToGrid/>
        <w:spacing w:line="360" w:lineRule="auto"/>
        <w:ind w:left="1478" w:leftChars="704" w:firstLine="0" w:firstLineChars="0"/>
        <w:jc w:val="both"/>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签订地点：</w:t>
      </w:r>
      <w:r>
        <w:rPr>
          <w:rFonts w:hint="eastAsia" w:ascii="宋体" w:hAnsi="宋体" w:eastAsia="宋体" w:cs="宋体"/>
          <w:sz w:val="28"/>
          <w:szCs w:val="28"/>
          <w:highlight w:val="none"/>
          <w:lang w:eastAsia="zh-CN"/>
        </w:rPr>
        <w:t>安徽省亳州市高铁南站金融商务中心2号楼</w:t>
      </w:r>
    </w:p>
    <w:p w14:paraId="2A72C2F6">
      <w:pPr>
        <w:keepNext w:val="0"/>
        <w:keepLines w:val="0"/>
        <w:pageBreakBefore w:val="0"/>
        <w:widowControl w:val="0"/>
        <w:kinsoku/>
        <w:wordWrap/>
        <w:overflowPunct/>
        <w:topLinePunct w:val="0"/>
        <w:autoSpaceDE/>
        <w:autoSpaceDN/>
        <w:bidi w:val="0"/>
        <w:adjustRightInd w:val="0"/>
        <w:snapToGrid/>
        <w:spacing w:line="360" w:lineRule="auto"/>
        <w:ind w:left="1478" w:leftChars="704" w:firstLine="0" w:firstLineChars="0"/>
        <w:jc w:val="both"/>
        <w:textAlignment w:val="auto"/>
        <w:rPr>
          <w:rFonts w:hint="default" w:ascii="Times New Roman" w:hAnsi="Times New Roman" w:eastAsia="宋体" w:cs="Times New Roman"/>
          <w:sz w:val="28"/>
          <w:szCs w:val="28"/>
          <w:highlight w:val="none"/>
          <w:lang w:val="en-US" w:eastAsia="zh-CN"/>
        </w:rPr>
      </w:pPr>
      <w:r>
        <w:rPr>
          <w:rFonts w:hint="eastAsia" w:ascii="宋体" w:hAnsi="宋体" w:eastAsia="宋体" w:cs="宋体"/>
          <w:sz w:val="28"/>
          <w:szCs w:val="28"/>
          <w:highlight w:val="none"/>
        </w:rPr>
        <w:t>签订日期：</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u w:val="single"/>
          <w:lang w:eastAsia="zh-CN"/>
        </w:rPr>
        <w:t>年</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月</w:t>
      </w:r>
      <w:r>
        <w:rPr>
          <w:rFonts w:hint="eastAsia" w:ascii="宋体" w:hAnsi="宋体" w:eastAsia="宋体" w:cs="宋体"/>
          <w:sz w:val="28"/>
          <w:szCs w:val="28"/>
          <w:highlight w:val="none"/>
          <w:u w:val="single"/>
          <w:lang w:val="en-US" w:eastAsia="zh-CN"/>
        </w:rPr>
        <w:t xml:space="preserve">        </w:t>
      </w:r>
    </w:p>
    <w:p w14:paraId="02C661AB">
      <w:pPr>
        <w:keepNext w:val="0"/>
        <w:keepLines w:val="0"/>
        <w:pageBreakBefore w:val="0"/>
        <w:kinsoku/>
        <w:wordWrap/>
        <w:overflowPunct/>
        <w:topLinePunct w:val="0"/>
        <w:bidi w:val="0"/>
        <w:spacing w:line="360" w:lineRule="auto"/>
        <w:jc w:val="both"/>
        <w:textAlignment w:val="auto"/>
        <w:rPr>
          <w:rFonts w:hint="eastAsia" w:ascii="Times New Roman" w:hAnsi="Times New Roman" w:eastAsia="宋体" w:cs="Times New Roman"/>
          <w:b/>
          <w:color w:val="000000"/>
          <w:sz w:val="30"/>
          <w:szCs w:val="30"/>
        </w:rPr>
      </w:pPr>
    </w:p>
    <w:p w14:paraId="3676F969">
      <w:pPr>
        <w:keepNext w:val="0"/>
        <w:keepLines w:val="0"/>
        <w:pageBreakBefore w:val="0"/>
        <w:kinsoku/>
        <w:wordWrap/>
        <w:overflowPunct/>
        <w:topLinePunct w:val="0"/>
        <w:bidi w:val="0"/>
        <w:spacing w:line="360" w:lineRule="auto"/>
        <w:jc w:val="both"/>
        <w:textAlignment w:val="auto"/>
        <w:rPr>
          <w:rFonts w:hint="eastAsia" w:ascii="Times New Roman" w:hAnsi="Times New Roman" w:eastAsia="宋体" w:cs="Times New Roman"/>
          <w:b/>
          <w:color w:val="000000"/>
          <w:sz w:val="30"/>
          <w:szCs w:val="30"/>
        </w:rPr>
      </w:pPr>
    </w:p>
    <w:p w14:paraId="2E18F128">
      <w:pPr>
        <w:keepNext w:val="0"/>
        <w:keepLines w:val="0"/>
        <w:pageBreakBefore w:val="0"/>
        <w:kinsoku/>
        <w:wordWrap/>
        <w:overflowPunct/>
        <w:topLinePunct w:val="0"/>
        <w:bidi w:val="0"/>
        <w:spacing w:line="360" w:lineRule="auto"/>
        <w:jc w:val="both"/>
        <w:textAlignment w:val="auto"/>
        <w:rPr>
          <w:rFonts w:hint="eastAsia" w:ascii="Times New Roman" w:hAnsi="Times New Roman" w:eastAsia="宋体" w:cs="Times New Roman"/>
          <w:b/>
          <w:color w:val="000000"/>
          <w:sz w:val="30"/>
          <w:szCs w:val="30"/>
        </w:rPr>
      </w:pPr>
    </w:p>
    <w:p w14:paraId="309A97BA">
      <w:pPr>
        <w:keepNext w:val="0"/>
        <w:keepLines w:val="0"/>
        <w:pageBreakBefore w:val="0"/>
        <w:kinsoku/>
        <w:wordWrap/>
        <w:overflowPunct/>
        <w:topLinePunct w:val="0"/>
        <w:bidi w:val="0"/>
        <w:spacing w:line="360" w:lineRule="auto"/>
        <w:jc w:val="center"/>
        <w:textAlignment w:val="auto"/>
        <w:rPr>
          <w:rFonts w:hint="eastAsia" w:ascii="宋体" w:hAnsi="宋体" w:eastAsia="宋体" w:cs="Times New Roman"/>
          <w:szCs w:val="21"/>
        </w:rPr>
      </w:pPr>
      <w:r>
        <w:rPr>
          <w:rFonts w:hint="eastAsia" w:ascii="Times New Roman" w:hAnsi="Times New Roman" w:eastAsia="宋体" w:cs="Times New Roman"/>
          <w:b/>
          <w:color w:val="000000"/>
          <w:sz w:val="30"/>
          <w:szCs w:val="30"/>
          <w:lang w:val="en-US" w:eastAsia="zh-CN"/>
        </w:rPr>
        <w:t>亳州</w:t>
      </w:r>
      <w:r>
        <w:rPr>
          <w:rFonts w:hint="eastAsia" w:ascii="Times New Roman" w:hAnsi="Times New Roman" w:eastAsia="宋体" w:cs="Times New Roman"/>
          <w:b/>
          <w:color w:val="000000"/>
          <w:sz w:val="30"/>
          <w:szCs w:val="30"/>
          <w:highlight w:val="none"/>
          <w:lang w:val="en-US" w:eastAsia="zh-CN"/>
        </w:rPr>
        <w:t>逸合府</w:t>
      </w:r>
      <w:r>
        <w:rPr>
          <w:rFonts w:hint="eastAsia" w:ascii="Times New Roman" w:hAnsi="Times New Roman" w:eastAsia="宋体" w:cs="Times New Roman"/>
          <w:b/>
          <w:color w:val="000000"/>
          <w:sz w:val="30"/>
          <w:szCs w:val="30"/>
        </w:rPr>
        <w:t>项目过程、专项、交付评估技术服务合同</w:t>
      </w:r>
    </w:p>
    <w:p w14:paraId="29F3930E">
      <w:pPr>
        <w:keepNext w:val="0"/>
        <w:keepLines w:val="0"/>
        <w:pageBreakBefore w:val="0"/>
        <w:kinsoku/>
        <w:wordWrap/>
        <w:overflowPunct/>
        <w:topLinePunct w:val="0"/>
        <w:bidi w:val="0"/>
        <w:spacing w:line="360" w:lineRule="auto"/>
        <w:ind w:left="420" w:leftChars="200"/>
        <w:textAlignment w:val="auto"/>
        <w:rPr>
          <w:rFonts w:hint="eastAsia" w:ascii="宋体" w:hAnsi="宋体" w:eastAsia="宋体" w:cs="宋体"/>
          <w:sz w:val="24"/>
          <w:szCs w:val="24"/>
          <w:u w:val="single"/>
        </w:rPr>
      </w:pPr>
      <w:r>
        <w:rPr>
          <w:rFonts w:hint="eastAsia" w:ascii="宋体" w:hAnsi="宋体" w:eastAsia="宋体" w:cs="宋体"/>
          <w:sz w:val="24"/>
          <w:szCs w:val="24"/>
        </w:rPr>
        <w:t>甲方：</w:t>
      </w:r>
      <w:r>
        <w:rPr>
          <w:rFonts w:hint="eastAsia" w:ascii="宋体" w:hAnsi="宋体" w:eastAsia="宋体" w:cs="宋体"/>
          <w:sz w:val="24"/>
          <w:szCs w:val="24"/>
          <w:highlight w:val="none"/>
          <w:lang w:val="en-US" w:eastAsia="zh-CN"/>
        </w:rPr>
        <w:t xml:space="preserve">亳州通恒置业有限公司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u w:val="single"/>
        </w:rPr>
        <w:t xml:space="preserve">  </w:t>
      </w:r>
    </w:p>
    <w:p w14:paraId="22749FDC">
      <w:pPr>
        <w:keepNext w:val="0"/>
        <w:keepLines w:val="0"/>
        <w:pageBreakBefore w:val="0"/>
        <w:kinsoku/>
        <w:wordWrap/>
        <w:overflowPunct/>
        <w:topLinePunct w:val="0"/>
        <w:bidi w:val="0"/>
        <w:spacing w:line="36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t>乙方：</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2D0C6919">
      <w:pPr>
        <w:keepNext w:val="0"/>
        <w:keepLines w:val="0"/>
        <w:pageBreakBefore w:val="0"/>
        <w:kinsoku/>
        <w:wordWrap/>
        <w:overflowPunct/>
        <w:topLinePunct w:val="0"/>
        <w:bidi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根椐《中华人民共和国</w:t>
      </w:r>
      <w:r>
        <w:rPr>
          <w:rFonts w:hint="eastAsia" w:ascii="宋体" w:hAnsi="宋体" w:eastAsia="宋体" w:cs="宋体"/>
          <w:sz w:val="24"/>
          <w:szCs w:val="24"/>
          <w:highlight w:val="none"/>
          <w:lang w:val="en-US" w:eastAsia="zh-CN"/>
        </w:rPr>
        <w:t>民法典</w:t>
      </w:r>
      <w:r>
        <w:rPr>
          <w:rFonts w:hint="eastAsia" w:ascii="宋体" w:hAnsi="宋体" w:eastAsia="宋体" w:cs="宋体"/>
          <w:sz w:val="24"/>
          <w:szCs w:val="24"/>
        </w:rPr>
        <w:t>》和《中华人民共和国建筑法》及其他有关法律、行政法规、规章及规范等，遵循平等、自愿、公平和诚实信用的原则，经甲乙双方友好协商，确定由乙方承担甲方</w:t>
      </w:r>
      <w:r>
        <w:rPr>
          <w:rFonts w:hint="eastAsia" w:ascii="宋体" w:hAnsi="宋体" w:eastAsia="宋体" w:cs="宋体"/>
          <w:sz w:val="24"/>
          <w:szCs w:val="24"/>
          <w:lang w:val="en-US" w:eastAsia="zh-CN"/>
        </w:rPr>
        <w:t>亳州逸合府</w:t>
      </w:r>
      <w:r>
        <w:rPr>
          <w:rFonts w:hint="eastAsia" w:ascii="宋体" w:hAnsi="宋体" w:eastAsia="宋体" w:cs="宋体"/>
          <w:sz w:val="24"/>
          <w:szCs w:val="24"/>
          <w:highlight w:val="none"/>
        </w:rPr>
        <w:t>项目</w:t>
      </w:r>
      <w:r>
        <w:rPr>
          <w:rFonts w:hint="eastAsia" w:ascii="宋体" w:hAnsi="宋体" w:eastAsia="宋体" w:cs="宋体"/>
          <w:sz w:val="24"/>
          <w:szCs w:val="24"/>
        </w:rPr>
        <w:t>的第三方评估技术服务等工作，为进一步明确双方的权利与义务，根据本项目具体情况，经双方协商一致，订立本合同。</w:t>
      </w:r>
    </w:p>
    <w:p w14:paraId="304EF8B4">
      <w:pPr>
        <w:tabs>
          <w:tab w:val="left" w:pos="1260"/>
        </w:tabs>
        <w:spacing w:line="360" w:lineRule="auto"/>
        <w:ind w:firstLine="482" w:firstLineChars="200"/>
        <w:rPr>
          <w:rFonts w:ascii="宋体" w:hAnsi="宋体" w:eastAsia="宋体" w:cs="宋体"/>
          <w:sz w:val="24"/>
          <w:szCs w:val="21"/>
        </w:rPr>
      </w:pPr>
      <w:r>
        <w:rPr>
          <w:rFonts w:hint="eastAsia" w:ascii="宋体" w:hAnsi="宋体" w:eastAsia="宋体" w:cs="宋体"/>
          <w:b/>
          <w:bCs/>
          <w:sz w:val="24"/>
          <w:szCs w:val="21"/>
        </w:rPr>
        <w:t>一、合同范围</w:t>
      </w:r>
    </w:p>
    <w:p w14:paraId="492D6F9F">
      <w:pPr>
        <w:tabs>
          <w:tab w:val="left" w:pos="1260"/>
        </w:tabs>
        <w:spacing w:line="360" w:lineRule="auto"/>
        <w:ind w:firstLine="470" w:firstLineChars="196"/>
        <w:rPr>
          <w:rFonts w:ascii="宋体" w:hAnsi="宋体" w:eastAsia="宋体" w:cs="宋体"/>
          <w:kern w:val="0"/>
          <w:sz w:val="24"/>
          <w:szCs w:val="21"/>
        </w:rPr>
      </w:pPr>
      <w:r>
        <w:rPr>
          <w:rFonts w:hint="eastAsia" w:ascii="宋体" w:hAnsi="宋体" w:eastAsia="宋体" w:cs="宋体"/>
          <w:kern w:val="0"/>
          <w:sz w:val="24"/>
          <w:szCs w:val="21"/>
        </w:rPr>
        <w:t>甲方委托</w:t>
      </w:r>
      <w:r>
        <w:rPr>
          <w:rFonts w:hint="eastAsia" w:ascii="宋体" w:hAnsi="宋体" w:eastAsia="宋体" w:cs="宋体"/>
          <w:kern w:val="0"/>
          <w:sz w:val="24"/>
          <w:szCs w:val="21"/>
          <w:u w:val="single"/>
        </w:rPr>
        <w:t xml:space="preserve"> </w:t>
      </w:r>
      <w:r>
        <w:rPr>
          <w:rFonts w:hint="eastAsia" w:ascii="宋体" w:hAnsi="宋体" w:eastAsia="宋体" w:cs="宋体"/>
          <w:sz w:val="24"/>
          <w:szCs w:val="21"/>
          <w:u w:val="single"/>
          <w:lang w:val="en-US" w:eastAsia="zh-CN"/>
        </w:rPr>
        <w:t xml:space="preserve">        </w:t>
      </w:r>
      <w:r>
        <w:rPr>
          <w:rFonts w:hint="eastAsia" w:ascii="宋体" w:hAnsi="宋体" w:eastAsia="宋体" w:cs="宋体"/>
          <w:kern w:val="0"/>
          <w:sz w:val="24"/>
          <w:szCs w:val="21"/>
        </w:rPr>
        <w:t>（以下简称乙方）对甲方在建项目进行过程、专项、交付检查评估。</w:t>
      </w:r>
    </w:p>
    <w:p w14:paraId="7CD50650">
      <w:pPr>
        <w:spacing w:line="360" w:lineRule="auto"/>
        <w:ind w:firstLine="482" w:firstLineChars="200"/>
        <w:rPr>
          <w:rFonts w:ascii="宋体" w:hAnsi="宋体" w:eastAsia="宋体" w:cs="宋体"/>
          <w:b/>
          <w:bCs/>
          <w:kern w:val="0"/>
          <w:sz w:val="24"/>
          <w:szCs w:val="21"/>
        </w:rPr>
      </w:pPr>
      <w:r>
        <w:rPr>
          <w:rFonts w:hint="eastAsia" w:ascii="宋体" w:hAnsi="宋体" w:eastAsia="宋体" w:cs="宋体"/>
          <w:b/>
          <w:bCs/>
          <w:kern w:val="0"/>
          <w:sz w:val="24"/>
          <w:szCs w:val="21"/>
        </w:rPr>
        <w:t>二、项目概况</w:t>
      </w:r>
    </w:p>
    <w:p w14:paraId="76E22763">
      <w:pPr>
        <w:spacing w:line="360" w:lineRule="auto"/>
        <w:ind w:firstLine="482" w:firstLineChars="200"/>
        <w:rPr>
          <w:rFonts w:hint="eastAsia" w:ascii="宋体" w:hAnsi="宋体" w:eastAsia="宋体" w:cs="宋体"/>
          <w:b/>
          <w:bCs/>
          <w:kern w:val="0"/>
          <w:sz w:val="24"/>
          <w:szCs w:val="21"/>
          <w:highlight w:val="yellow"/>
          <w:u w:val="single"/>
          <w:lang w:eastAsia="zh-CN"/>
        </w:rPr>
      </w:pPr>
      <w:r>
        <w:rPr>
          <w:rFonts w:hint="eastAsia" w:ascii="宋体" w:hAnsi="宋体" w:eastAsia="宋体" w:cs="宋体"/>
          <w:b/>
          <w:bCs/>
          <w:kern w:val="0"/>
          <w:sz w:val="24"/>
          <w:szCs w:val="21"/>
        </w:rPr>
        <w:t>1.评估地区：</w:t>
      </w:r>
      <w:r>
        <w:rPr>
          <w:rFonts w:hint="eastAsia" w:ascii="宋体" w:hAnsi="宋体" w:eastAsia="宋体" w:cs="宋体"/>
          <w:b/>
          <w:bCs/>
          <w:kern w:val="0"/>
          <w:sz w:val="24"/>
          <w:szCs w:val="21"/>
          <w:highlight w:val="none"/>
          <w:u w:val="single"/>
          <w:lang w:val="en-US" w:eastAsia="zh-CN"/>
        </w:rPr>
        <w:t xml:space="preserve"> 亳州</w:t>
      </w:r>
      <w:r>
        <w:rPr>
          <w:rFonts w:hint="eastAsia" w:ascii="宋体" w:hAnsi="宋体" w:eastAsia="宋体" w:cs="宋体"/>
          <w:b/>
          <w:bCs/>
          <w:kern w:val="0"/>
          <w:sz w:val="24"/>
          <w:szCs w:val="21"/>
          <w:highlight w:val="none"/>
          <w:u w:val="single"/>
          <w:lang w:eastAsia="zh-CN"/>
        </w:rPr>
        <w:t>市</w:t>
      </w:r>
    </w:p>
    <w:p w14:paraId="6C032755">
      <w:pPr>
        <w:spacing w:line="360" w:lineRule="auto"/>
        <w:ind w:firstLine="482" w:firstLineChars="200"/>
        <w:rPr>
          <w:rFonts w:ascii="宋体" w:hAnsi="宋体" w:eastAsia="宋体" w:cs="宋体"/>
          <w:kern w:val="0"/>
          <w:sz w:val="24"/>
          <w:szCs w:val="21"/>
        </w:rPr>
      </w:pPr>
      <w:r>
        <w:rPr>
          <w:rFonts w:hint="eastAsia" w:ascii="宋体" w:hAnsi="宋体" w:eastAsia="宋体" w:cs="宋体"/>
          <w:b/>
          <w:bCs/>
          <w:kern w:val="0"/>
          <w:sz w:val="24"/>
          <w:szCs w:val="21"/>
        </w:rPr>
        <w:t xml:space="preserve"> </w:t>
      </w:r>
      <w:r>
        <w:rPr>
          <w:rFonts w:hint="eastAsia" w:ascii="宋体" w:hAnsi="宋体" w:eastAsia="宋体" w:cs="宋体"/>
          <w:kern w:val="0"/>
          <w:sz w:val="24"/>
          <w:szCs w:val="21"/>
        </w:rPr>
        <w:t>具体以实际发生为准。</w:t>
      </w:r>
    </w:p>
    <w:p w14:paraId="3BE3D80F">
      <w:pPr>
        <w:tabs>
          <w:tab w:val="left" w:pos="1260"/>
        </w:tabs>
        <w:spacing w:line="360" w:lineRule="auto"/>
        <w:ind w:firstLine="472" w:firstLineChars="196"/>
        <w:rPr>
          <w:rFonts w:ascii="宋体" w:hAnsi="宋体" w:eastAsia="宋体" w:cs="宋体"/>
          <w:b/>
          <w:kern w:val="0"/>
          <w:sz w:val="24"/>
          <w:szCs w:val="21"/>
        </w:rPr>
      </w:pPr>
      <w:r>
        <w:rPr>
          <w:rFonts w:hint="eastAsia" w:ascii="宋体" w:hAnsi="宋体" w:eastAsia="宋体" w:cs="宋体"/>
          <w:b/>
          <w:kern w:val="0"/>
          <w:sz w:val="24"/>
          <w:szCs w:val="21"/>
        </w:rPr>
        <w:t>三、服务内容</w:t>
      </w:r>
    </w:p>
    <w:p w14:paraId="32D40186">
      <w:pPr>
        <w:widowControl/>
        <w:spacing w:line="360" w:lineRule="auto"/>
        <w:ind w:firstLine="480" w:firstLineChars="200"/>
        <w:rPr>
          <w:rFonts w:ascii="宋体" w:hAnsi="宋体" w:eastAsia="宋体" w:cs="宋体"/>
          <w:kern w:val="0"/>
          <w:sz w:val="24"/>
          <w:szCs w:val="21"/>
        </w:rPr>
      </w:pPr>
      <w:r>
        <w:rPr>
          <w:rFonts w:hint="eastAsia" w:ascii="宋体" w:hAnsi="宋体" w:eastAsia="宋体" w:cs="宋体"/>
          <w:kern w:val="0"/>
          <w:sz w:val="24"/>
          <w:szCs w:val="21"/>
        </w:rPr>
        <w:t>通过工程实测实量、工程观感技术评估或其他方式进行在建项目过程评估、项目交付前评估、评估培训交流、评估宣讲、数据信息服务。</w:t>
      </w:r>
    </w:p>
    <w:p w14:paraId="75A8B8C3">
      <w:pPr>
        <w:widowControl/>
        <w:spacing w:line="360" w:lineRule="auto"/>
        <w:ind w:firstLine="482" w:firstLineChars="200"/>
        <w:rPr>
          <w:rFonts w:ascii="宋体" w:hAnsi="宋体" w:eastAsia="宋体" w:cs="宋体"/>
          <w:kern w:val="0"/>
          <w:sz w:val="24"/>
          <w:szCs w:val="21"/>
        </w:rPr>
      </w:pPr>
      <w:r>
        <w:rPr>
          <w:rFonts w:ascii="宋体" w:hAnsi="宋体" w:eastAsia="宋体" w:cs="宋体"/>
          <w:b/>
          <w:kern w:val="0"/>
          <w:sz w:val="24"/>
          <w:szCs w:val="21"/>
        </w:rPr>
        <w:t>1</w:t>
      </w:r>
      <w:r>
        <w:rPr>
          <w:rFonts w:hint="eastAsia" w:ascii="宋体" w:hAnsi="宋体" w:eastAsia="宋体" w:cs="宋体"/>
          <w:b/>
          <w:kern w:val="0"/>
          <w:sz w:val="24"/>
          <w:szCs w:val="21"/>
        </w:rPr>
        <w:t>.</w:t>
      </w:r>
      <w:r>
        <w:rPr>
          <w:rFonts w:hint="eastAsia" w:ascii="宋体" w:hAnsi="宋体" w:eastAsia="宋体" w:cs="宋体"/>
          <w:kern w:val="0"/>
          <w:sz w:val="24"/>
          <w:szCs w:val="21"/>
        </w:rPr>
        <w:t>本合同过程评估以土建总包或门窗单位或精装修单位划分标段对项目进行评估划分，交付评估以项目交付分期进行评估划分，具体评估次数以实际评估完成标段个数（过程评估）或实际评估次数（交付评估）作为最终结算依据之一。</w:t>
      </w:r>
    </w:p>
    <w:p w14:paraId="7CDB700C">
      <w:pPr>
        <w:tabs>
          <w:tab w:val="left" w:pos="1260"/>
        </w:tabs>
        <w:spacing w:line="360" w:lineRule="auto"/>
        <w:ind w:firstLine="482" w:firstLineChars="200"/>
        <w:rPr>
          <w:rFonts w:ascii="宋体" w:hAnsi="宋体" w:eastAsia="宋体" w:cs="宋体"/>
          <w:b/>
          <w:kern w:val="0"/>
          <w:sz w:val="24"/>
          <w:szCs w:val="21"/>
        </w:rPr>
      </w:pPr>
      <w:r>
        <w:rPr>
          <w:rFonts w:hint="eastAsia" w:ascii="宋体" w:hAnsi="宋体" w:eastAsia="宋体" w:cs="宋体"/>
          <w:b/>
          <w:kern w:val="0"/>
          <w:sz w:val="24"/>
          <w:szCs w:val="21"/>
        </w:rPr>
        <w:t>四、服务时间</w:t>
      </w:r>
    </w:p>
    <w:p w14:paraId="1CDE56F9">
      <w:pPr>
        <w:spacing w:line="360" w:lineRule="auto"/>
        <w:ind w:firstLine="480" w:firstLineChars="200"/>
        <w:rPr>
          <w:rFonts w:ascii="宋体" w:hAnsi="宋体" w:eastAsia="宋体" w:cs="宋体"/>
          <w:sz w:val="24"/>
          <w:szCs w:val="21"/>
        </w:rPr>
      </w:pPr>
      <w:r>
        <w:rPr>
          <w:rFonts w:hint="eastAsia" w:ascii="宋体" w:hAnsi="宋体" w:eastAsia="宋体" w:cs="宋体"/>
          <w:sz w:val="24"/>
          <w:szCs w:val="21"/>
        </w:rPr>
        <w:t>自</w:t>
      </w:r>
      <w:r>
        <w:rPr>
          <w:rFonts w:ascii="宋体" w:hAnsi="宋体" w:eastAsia="宋体" w:cs="宋体"/>
          <w:sz w:val="24"/>
          <w:szCs w:val="21"/>
          <w:highlight w:val="none"/>
          <w:u w:val="single"/>
        </w:rPr>
        <w:t xml:space="preserve"> </w:t>
      </w:r>
      <w:r>
        <w:rPr>
          <w:rFonts w:hint="eastAsia" w:ascii="宋体" w:hAnsi="宋体" w:eastAsia="宋体" w:cs="宋体"/>
          <w:sz w:val="24"/>
          <w:szCs w:val="21"/>
          <w:highlight w:val="none"/>
          <w:u w:val="single"/>
          <w:lang w:eastAsia="zh-CN"/>
        </w:rPr>
        <w:t xml:space="preserve"> </w:t>
      </w:r>
      <w:r>
        <w:rPr>
          <w:rFonts w:hint="eastAsia" w:ascii="宋体" w:hAnsi="宋体" w:eastAsia="宋体" w:cs="宋体"/>
          <w:sz w:val="24"/>
          <w:szCs w:val="21"/>
          <w:highlight w:val="none"/>
          <w:u w:val="single"/>
          <w:lang w:val="en-US" w:eastAsia="zh-CN"/>
        </w:rPr>
        <w:t xml:space="preserve">      </w:t>
      </w:r>
      <w:r>
        <w:rPr>
          <w:rFonts w:hint="eastAsia" w:ascii="宋体" w:hAnsi="宋体" w:eastAsia="宋体" w:cs="宋体"/>
          <w:sz w:val="24"/>
          <w:szCs w:val="21"/>
          <w:highlight w:val="none"/>
          <w:u w:val="single"/>
          <w:lang w:eastAsia="zh-CN"/>
        </w:rPr>
        <w:t xml:space="preserve">年 </w:t>
      </w:r>
      <w:r>
        <w:rPr>
          <w:rFonts w:hint="eastAsia" w:ascii="宋体" w:hAnsi="宋体" w:eastAsia="宋体" w:cs="宋体"/>
          <w:sz w:val="24"/>
          <w:szCs w:val="21"/>
          <w:highlight w:val="none"/>
          <w:u w:val="single"/>
          <w:lang w:val="en-US" w:eastAsia="zh-CN"/>
        </w:rPr>
        <w:t xml:space="preserve">  </w:t>
      </w:r>
      <w:r>
        <w:rPr>
          <w:rFonts w:hint="eastAsia" w:ascii="宋体" w:hAnsi="宋体" w:eastAsia="宋体" w:cs="宋体"/>
          <w:sz w:val="24"/>
          <w:szCs w:val="21"/>
          <w:highlight w:val="none"/>
          <w:u w:val="single"/>
        </w:rPr>
        <w:t xml:space="preserve"> </w:t>
      </w:r>
      <w:r>
        <w:rPr>
          <w:rFonts w:hint="eastAsia" w:ascii="宋体" w:hAnsi="宋体" w:eastAsia="宋体" w:cs="宋体"/>
          <w:sz w:val="24"/>
          <w:szCs w:val="21"/>
          <w:highlight w:val="none"/>
        </w:rPr>
        <w:t>月</w:t>
      </w:r>
      <w:r>
        <w:rPr>
          <w:rFonts w:hint="eastAsia" w:ascii="宋体" w:hAnsi="宋体" w:eastAsia="宋体" w:cs="宋体"/>
          <w:sz w:val="24"/>
          <w:szCs w:val="21"/>
          <w:highlight w:val="none"/>
          <w:u w:val="single"/>
        </w:rPr>
        <w:t xml:space="preserve"> </w:t>
      </w:r>
      <w:r>
        <w:rPr>
          <w:rFonts w:hint="eastAsia" w:ascii="宋体" w:hAnsi="宋体" w:eastAsia="宋体" w:cs="宋体"/>
          <w:sz w:val="24"/>
          <w:szCs w:val="21"/>
          <w:highlight w:val="none"/>
          <w:u w:val="single"/>
          <w:lang w:eastAsia="zh-CN"/>
        </w:rPr>
        <w:t xml:space="preserve"> </w:t>
      </w:r>
      <w:r>
        <w:rPr>
          <w:rFonts w:hint="eastAsia" w:ascii="宋体" w:hAnsi="宋体" w:eastAsia="宋体" w:cs="宋体"/>
          <w:sz w:val="24"/>
          <w:szCs w:val="21"/>
          <w:highlight w:val="none"/>
          <w:u w:val="single"/>
          <w:lang w:val="en-US" w:eastAsia="zh-CN"/>
        </w:rPr>
        <w:t xml:space="preserve">   </w:t>
      </w:r>
      <w:r>
        <w:rPr>
          <w:rFonts w:hint="eastAsia" w:ascii="宋体" w:hAnsi="宋体" w:eastAsia="宋体" w:cs="宋体"/>
          <w:sz w:val="24"/>
          <w:szCs w:val="21"/>
          <w:highlight w:val="none"/>
        </w:rPr>
        <w:t>日起至</w:t>
      </w:r>
      <w:r>
        <w:rPr>
          <w:rFonts w:hint="eastAsia" w:ascii="宋体" w:hAnsi="宋体" w:eastAsia="宋体" w:cs="宋体"/>
          <w:sz w:val="24"/>
          <w:szCs w:val="21"/>
          <w:highlight w:val="none"/>
          <w:u w:val="single"/>
        </w:rPr>
        <w:t xml:space="preserve"> </w:t>
      </w:r>
      <w:r>
        <w:rPr>
          <w:rFonts w:hint="eastAsia" w:ascii="宋体" w:hAnsi="宋体" w:eastAsia="宋体" w:cs="宋体"/>
          <w:sz w:val="24"/>
          <w:szCs w:val="21"/>
          <w:highlight w:val="none"/>
          <w:u w:val="single"/>
          <w:lang w:eastAsia="zh-CN"/>
        </w:rPr>
        <w:t xml:space="preserve"> </w:t>
      </w:r>
      <w:r>
        <w:rPr>
          <w:rFonts w:hint="eastAsia" w:ascii="宋体" w:hAnsi="宋体" w:eastAsia="宋体" w:cs="宋体"/>
          <w:sz w:val="24"/>
          <w:szCs w:val="21"/>
          <w:highlight w:val="none"/>
          <w:u w:val="single"/>
          <w:lang w:val="en-US" w:eastAsia="zh-CN"/>
        </w:rPr>
        <w:t xml:space="preserve">      </w:t>
      </w:r>
      <w:r>
        <w:rPr>
          <w:rFonts w:hint="eastAsia" w:ascii="宋体" w:hAnsi="宋体" w:eastAsia="宋体" w:cs="宋体"/>
          <w:sz w:val="24"/>
          <w:szCs w:val="21"/>
          <w:highlight w:val="none"/>
          <w:u w:val="single"/>
          <w:lang w:eastAsia="zh-CN"/>
        </w:rPr>
        <w:t>年</w:t>
      </w:r>
      <w:r>
        <w:rPr>
          <w:rFonts w:hint="eastAsia" w:ascii="宋体" w:hAnsi="宋体" w:eastAsia="宋体" w:cs="宋体"/>
          <w:sz w:val="24"/>
          <w:szCs w:val="21"/>
          <w:highlight w:val="none"/>
          <w:u w:val="single"/>
        </w:rPr>
        <w:t xml:space="preserve"> </w:t>
      </w:r>
      <w:r>
        <w:rPr>
          <w:rFonts w:hint="eastAsia" w:ascii="宋体" w:hAnsi="宋体" w:eastAsia="宋体" w:cs="宋体"/>
          <w:sz w:val="24"/>
          <w:szCs w:val="21"/>
          <w:highlight w:val="none"/>
          <w:u w:val="single"/>
          <w:lang w:val="en-US" w:eastAsia="zh-CN"/>
        </w:rPr>
        <w:t xml:space="preserve">   </w:t>
      </w:r>
      <w:r>
        <w:rPr>
          <w:rFonts w:hint="eastAsia" w:ascii="宋体" w:hAnsi="宋体" w:eastAsia="宋体" w:cs="宋体"/>
          <w:sz w:val="24"/>
          <w:szCs w:val="21"/>
          <w:highlight w:val="none"/>
          <w:u w:val="single"/>
        </w:rPr>
        <w:t xml:space="preserve"> </w:t>
      </w:r>
      <w:r>
        <w:rPr>
          <w:rFonts w:hint="eastAsia" w:ascii="宋体" w:hAnsi="宋体" w:eastAsia="宋体" w:cs="宋体"/>
          <w:sz w:val="24"/>
          <w:szCs w:val="21"/>
          <w:highlight w:val="none"/>
        </w:rPr>
        <w:t>月</w:t>
      </w:r>
      <w:r>
        <w:rPr>
          <w:rFonts w:hint="eastAsia" w:ascii="宋体" w:hAnsi="宋体" w:eastAsia="宋体" w:cs="宋体"/>
          <w:sz w:val="24"/>
          <w:szCs w:val="21"/>
          <w:highlight w:val="none"/>
          <w:u w:val="single"/>
        </w:rPr>
        <w:t xml:space="preserve"> </w:t>
      </w:r>
      <w:r>
        <w:rPr>
          <w:rFonts w:hint="eastAsia" w:ascii="宋体" w:hAnsi="宋体" w:eastAsia="宋体" w:cs="宋体"/>
          <w:sz w:val="24"/>
          <w:szCs w:val="21"/>
          <w:highlight w:val="none"/>
          <w:u w:val="single"/>
          <w:lang w:eastAsia="zh-CN"/>
        </w:rPr>
        <w:t xml:space="preserve"> </w:t>
      </w:r>
      <w:r>
        <w:rPr>
          <w:rFonts w:hint="eastAsia" w:ascii="宋体" w:hAnsi="宋体" w:eastAsia="宋体" w:cs="宋体"/>
          <w:sz w:val="24"/>
          <w:szCs w:val="21"/>
          <w:highlight w:val="none"/>
          <w:u w:val="single"/>
          <w:lang w:val="en-US" w:eastAsia="zh-CN"/>
        </w:rPr>
        <w:t xml:space="preserve">  </w:t>
      </w:r>
      <w:r>
        <w:rPr>
          <w:rFonts w:hint="eastAsia" w:ascii="宋体" w:hAnsi="宋体" w:eastAsia="宋体" w:cs="宋体"/>
          <w:sz w:val="24"/>
          <w:szCs w:val="21"/>
          <w:highlight w:val="none"/>
          <w:u w:val="single"/>
        </w:rPr>
        <w:t xml:space="preserve"> </w:t>
      </w:r>
      <w:r>
        <w:rPr>
          <w:rFonts w:hint="eastAsia" w:ascii="宋体" w:hAnsi="宋体" w:eastAsia="宋体" w:cs="宋体"/>
          <w:sz w:val="24"/>
          <w:szCs w:val="21"/>
          <w:highlight w:val="none"/>
        </w:rPr>
        <w:t>日</w:t>
      </w:r>
      <w:r>
        <w:rPr>
          <w:rFonts w:hint="eastAsia" w:ascii="宋体" w:hAnsi="宋体" w:eastAsia="宋体" w:cs="宋体"/>
          <w:sz w:val="24"/>
          <w:szCs w:val="21"/>
        </w:rPr>
        <w:t>完成</w:t>
      </w:r>
      <w:r>
        <w:rPr>
          <w:rFonts w:hint="eastAsia" w:ascii="宋体" w:hAnsi="宋体" w:eastAsia="宋体" w:cs="宋体"/>
          <w:sz w:val="24"/>
          <w:szCs w:val="21"/>
          <w:lang w:eastAsia="zh-CN"/>
        </w:rPr>
        <w:t>甲方</w:t>
      </w:r>
      <w:r>
        <w:rPr>
          <w:rFonts w:hint="eastAsia" w:ascii="宋体" w:hAnsi="宋体" w:eastAsia="宋体" w:cs="宋体"/>
          <w:sz w:val="24"/>
          <w:szCs w:val="21"/>
        </w:rPr>
        <w:t>在建项目的过程、专项、交付评估检查工作。乙方在本合同生效前已展开相关评估工作的，甲方予以认可</w:t>
      </w:r>
      <w:r>
        <w:rPr>
          <w:rFonts w:hint="eastAsia" w:ascii="宋体" w:hAnsi="宋体" w:eastAsia="宋体" w:cs="宋体"/>
          <w:bCs/>
          <w:kern w:val="0"/>
          <w:sz w:val="24"/>
          <w:szCs w:val="21"/>
        </w:rPr>
        <w:t>。服务期限内乙方的评估工作分为</w:t>
      </w:r>
      <w:r>
        <w:rPr>
          <w:rFonts w:ascii="宋体" w:hAnsi="宋体" w:eastAsia="宋体" w:cs="宋体"/>
          <w:bCs/>
          <w:kern w:val="0"/>
          <w:sz w:val="24"/>
          <w:szCs w:val="21"/>
        </w:rPr>
        <w:t>4</w:t>
      </w:r>
      <w:r>
        <w:rPr>
          <w:rFonts w:hint="eastAsia" w:ascii="宋体" w:hAnsi="宋体" w:eastAsia="宋体" w:cs="宋体"/>
          <w:bCs/>
          <w:kern w:val="0"/>
          <w:sz w:val="24"/>
          <w:szCs w:val="21"/>
        </w:rPr>
        <w:t>-</w:t>
      </w:r>
      <w:r>
        <w:rPr>
          <w:rFonts w:ascii="宋体" w:hAnsi="宋体" w:eastAsia="宋体" w:cs="宋体"/>
          <w:bCs/>
          <w:kern w:val="0"/>
          <w:sz w:val="24"/>
          <w:szCs w:val="21"/>
        </w:rPr>
        <w:t>6</w:t>
      </w:r>
      <w:r>
        <w:rPr>
          <w:rFonts w:hint="eastAsia" w:ascii="宋体" w:hAnsi="宋体" w:eastAsia="宋体" w:cs="宋体"/>
          <w:bCs/>
          <w:kern w:val="0"/>
          <w:sz w:val="24"/>
          <w:szCs w:val="21"/>
        </w:rPr>
        <w:t>期，乙方对甲方指定的在建项目过程、专项、交付、评估过程培训，</w:t>
      </w:r>
      <w:r>
        <w:rPr>
          <w:rFonts w:hint="eastAsia" w:ascii="宋体" w:hAnsi="宋体" w:eastAsia="宋体" w:cs="宋体"/>
          <w:sz w:val="24"/>
          <w:szCs w:val="21"/>
        </w:rPr>
        <w:t>乙方每期的评估次数以实际发生为准。</w:t>
      </w:r>
    </w:p>
    <w:p w14:paraId="33178D1F">
      <w:pPr>
        <w:pStyle w:val="37"/>
        <w:spacing w:line="360" w:lineRule="auto"/>
        <w:ind w:firstLine="426" w:firstLineChars="177"/>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五、评估、咨询服务工作的依据 </w:t>
      </w:r>
    </w:p>
    <w:p w14:paraId="210FF4D6">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5.1 国家及地方有关工程技术咨询服务工作的规定；</w:t>
      </w:r>
    </w:p>
    <w:p w14:paraId="17C187D1">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5.2 国家及地方相关的工程建设法律、法规、验收规范与标准,</w:t>
      </w:r>
      <w:bookmarkStart w:id="258" w:name="_Hlk38818462"/>
      <w:r>
        <w:rPr>
          <w:rFonts w:hint="eastAsia" w:ascii="宋体" w:hAnsi="宋体" w:eastAsia="宋体" w:cs="宋体"/>
          <w:color w:val="auto"/>
          <w:sz w:val="24"/>
          <w:szCs w:val="24"/>
        </w:rPr>
        <w:t>结合瑞捷咨询多年积累形成的数据库资源及瑞捷工程品质量化评估标准，通过设定科学、高效、精准的评价指标，利用云端数据分析技术，最终利用乙方专业技术知识及技术手段，为甲方提供全面的评估服务；</w:t>
      </w:r>
      <w:bookmarkEnd w:id="258"/>
    </w:p>
    <w:p w14:paraId="414FB7D6">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5.3 施工现场甲方所提供图纸（有效性由甲方确认）；</w:t>
      </w:r>
    </w:p>
    <w:p w14:paraId="0E0B27C4">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5.4 </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内部颁布的相关技术标准及管理制度。</w:t>
      </w:r>
    </w:p>
    <w:p w14:paraId="3E872AA1">
      <w:pPr>
        <w:pStyle w:val="37"/>
        <w:spacing w:line="360" w:lineRule="auto"/>
        <w:ind w:firstLine="426" w:firstLineChars="177"/>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六、评估、咨询服务工作内容 </w:t>
      </w:r>
    </w:p>
    <w:p w14:paraId="481653F6">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bCs/>
          <w:color w:val="auto"/>
          <w:sz w:val="24"/>
          <w:szCs w:val="24"/>
        </w:rPr>
        <w:t xml:space="preserve">6.1 </w:t>
      </w:r>
      <w:r>
        <w:rPr>
          <w:rFonts w:hint="eastAsia" w:ascii="宋体" w:hAnsi="宋体" w:eastAsia="宋体" w:cs="宋体"/>
          <w:b/>
          <w:color w:val="auto"/>
          <w:sz w:val="24"/>
          <w:szCs w:val="24"/>
        </w:rPr>
        <w:t>具体评估技术方法和工作内容：</w:t>
      </w:r>
    </w:p>
    <w:p w14:paraId="01177810">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 xml:space="preserve">6.1.1 </w:t>
      </w:r>
      <w:r>
        <w:rPr>
          <w:rFonts w:hint="eastAsia" w:ascii="宋体" w:hAnsi="宋体" w:eastAsia="宋体" w:cs="宋体"/>
          <w:color w:val="auto"/>
          <w:sz w:val="24"/>
          <w:szCs w:val="24"/>
        </w:rPr>
        <w:t>毛坯交付项目和精装修交付项目土建施工阶段过程评估：包含实测实量、日式管理、质量风险、强制性条文、工程资料等。</w:t>
      </w:r>
    </w:p>
    <w:p w14:paraId="645E7D5D">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（1）实测实量评估：涵盖所有施工标段，具体内容根据评估表格确定；</w:t>
      </w:r>
    </w:p>
    <w:p w14:paraId="7CCB40CD">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（2）日式管理评估：根据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颁布的体系内容对各项目安全文明施工、成品保护、必须执行动作进行评定。</w:t>
      </w:r>
    </w:p>
    <w:p w14:paraId="0F2A6B85">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（3）质量风险评估：根据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颁布的体系内容对各项目进行质量风险评定，并提出改进建议。</w:t>
      </w:r>
    </w:p>
    <w:p w14:paraId="46D919F9">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（4）强制性条文评估：根据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颁布的评估体系内容，评估各项目是否存在违反强制性条文的规定。</w:t>
      </w:r>
    </w:p>
    <w:p w14:paraId="51571088">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（5）工程资料检查：根据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颁布的工程档案管理标准或体系，对各项目进行执行情况的评定。</w:t>
      </w:r>
    </w:p>
    <w:p w14:paraId="5EB498FA">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 xml:space="preserve">6.1.2 </w:t>
      </w:r>
      <w:r>
        <w:rPr>
          <w:rFonts w:hint="eastAsia" w:ascii="宋体" w:hAnsi="宋体" w:eastAsia="宋体" w:cs="宋体"/>
          <w:color w:val="auto"/>
          <w:sz w:val="24"/>
          <w:szCs w:val="24"/>
        </w:rPr>
        <w:t>精装修交付项目精装修施工阶段过程评估：包含实测实量、规定动作、安全文明、成品保护。</w:t>
      </w:r>
    </w:p>
    <w:p w14:paraId="11C1DBC8">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（1）实测实量评估：涵盖所有精装修施工标段，各分项工程每标段户内随机抽选2套；公区抽选一个大堂、一个地下室大堂、一个标准层电梯厅。</w:t>
      </w:r>
    </w:p>
    <w:p w14:paraId="35D84260">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（2）规定动作评估：涵盖所有施工标段，各分项目工程每标段随机抽选5户，对各项目图纸深化、防渗漏管理、细部节点进行评定。</w:t>
      </w:r>
    </w:p>
    <w:p w14:paraId="763DF106">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（3）安全文明、成品保护评估：根据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颁布的体系内容，对各项目进行安全文明、成品保护评定，并提出改进建议。</w:t>
      </w:r>
    </w:p>
    <w:p w14:paraId="227B7BDF">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（4）工程资料检查：根据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颁布的工程档案管理标准或体系，对各项目进行执行情况的评定。</w:t>
      </w:r>
    </w:p>
    <w:p w14:paraId="4679B73D">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6.1.3</w:t>
      </w:r>
      <w:r>
        <w:rPr>
          <w:rFonts w:hint="eastAsia" w:ascii="宋体" w:hAnsi="宋体" w:eastAsia="宋体" w:cs="宋体"/>
          <w:color w:val="auto"/>
          <w:sz w:val="24"/>
          <w:szCs w:val="24"/>
        </w:rPr>
        <w:t xml:space="preserve"> 项目门窗专项评估：项目窗框安装40%-50%、窗扇安装20%进行门窗专项评估；包含实测实量、质量风险、日式管理。</w:t>
      </w:r>
    </w:p>
    <w:p w14:paraId="0B50B18A">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（1）实测实量评估：涵盖所有施工标段，具体内容根据评估表格确定；</w:t>
      </w:r>
    </w:p>
    <w:p w14:paraId="4A2AF25A">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（2）日式管理评估：根据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颁布的体系内容对各项目安全文明施工、成品保护、必须执行动作进行评定。</w:t>
      </w:r>
    </w:p>
    <w:p w14:paraId="4AE89FEA">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（3）质量风险评估：根据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颁布的体系内容对各项目进行质量风险评定，并提出改进建议。</w:t>
      </w:r>
    </w:p>
    <w:p w14:paraId="16DD287F">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6.1.4</w:t>
      </w:r>
      <w:r>
        <w:rPr>
          <w:rFonts w:hint="eastAsia" w:ascii="宋体" w:hAnsi="宋体" w:eastAsia="宋体" w:cs="宋体"/>
          <w:color w:val="auto"/>
          <w:sz w:val="24"/>
          <w:szCs w:val="24"/>
        </w:rPr>
        <w:t xml:space="preserve"> 项目交付前评估：项目交付前50-60天进行综合验收；项目交付前20天进行户内实测实量，户内、公区观感质量、园林景观，电梯、空调、水、电、风、消防、智能化等内容的评估。</w:t>
      </w:r>
    </w:p>
    <w:p w14:paraId="5A2AC09C">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（1）综合验收：根据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颁布的评估体系在项目交付前50-60天进行综合验收。</w:t>
      </w:r>
    </w:p>
    <w:p w14:paraId="138052C0">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（2）实测实量：根据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颁布的评估体系随机抽取交付项目的二套房（2户）进行实测实量检查，实测指标数据采集满为止，如所选套数内采集点数不足时，由实测组将在现场随机抽取增加套数进行指标数据采集。</w:t>
      </w:r>
    </w:p>
    <w:p w14:paraId="43B3C14D">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（3）户内观感质量评估：根据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颁布的评估体系随机抽取交付项目的15套房（15户），评判根据评估表中规定的指标项，对户内进行全面检查评估。</w:t>
      </w:r>
    </w:p>
    <w:p w14:paraId="25DBC70D">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（4）公区观感质量评估：根据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颁布的评估体系随机抽取单元入口，楼栋大堂，电梯厅、公共走道、楼梯，地下室、车库等公共部位进行全面检查评估。</w:t>
      </w:r>
    </w:p>
    <w:p w14:paraId="26C81683">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（5）园林景观质量评估：根据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颁布的评估体系随机抽取已完工区域的软景及硬景部分，按交付评估标准提出整改意见。</w:t>
      </w:r>
    </w:p>
    <w:p w14:paraId="07C66FBA">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（6）电梯、空调、水、电、风、消防、智能化评估：根据</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颁布的评估体系随机抽取各专业评估内容，对其施工工艺及使用功能的角度进行检查评估。</w:t>
      </w:r>
    </w:p>
    <w:p w14:paraId="586C112E">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6.1.5</w:t>
      </w:r>
      <w:r>
        <w:rPr>
          <w:rFonts w:hint="eastAsia" w:ascii="宋体" w:hAnsi="宋体" w:eastAsia="宋体" w:cs="宋体"/>
          <w:color w:val="auto"/>
          <w:sz w:val="24"/>
          <w:szCs w:val="24"/>
        </w:rPr>
        <w:t xml:space="preserve"> 评估培训交流</w:t>
      </w:r>
    </w:p>
    <w:p w14:paraId="6D4C8563">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依据乙方的优势，结合行业内优秀的施工管理经验和专业技术能力，为</w:t>
      </w:r>
      <w:r>
        <w:rPr>
          <w:rFonts w:hint="eastAsia" w:ascii="宋体" w:hAnsi="宋体" w:eastAsia="宋体" w:cs="宋体"/>
          <w:color w:val="auto"/>
          <w:sz w:val="24"/>
          <w:szCs w:val="24"/>
          <w:lang w:val="en-US" w:eastAsia="zh-CN"/>
        </w:rPr>
        <w:t>通恒置业</w:t>
      </w:r>
      <w:r>
        <w:rPr>
          <w:rFonts w:hint="eastAsia" w:ascii="宋体" w:hAnsi="宋体" w:eastAsia="宋体" w:cs="宋体"/>
          <w:color w:val="auto"/>
          <w:sz w:val="24"/>
          <w:szCs w:val="24"/>
        </w:rPr>
        <w:t>提供工程营造相关管理及技术培训和优秀项目观摩交流服务，以期达到良好的学习氛围，为工程管理水平的不断提升，打好良好的基础。</w:t>
      </w:r>
    </w:p>
    <w:p w14:paraId="14F20FE4">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6.1.6</w:t>
      </w:r>
      <w:r>
        <w:rPr>
          <w:rFonts w:hint="eastAsia" w:ascii="宋体" w:hAnsi="宋体" w:eastAsia="宋体" w:cs="宋体"/>
          <w:color w:val="auto"/>
          <w:sz w:val="24"/>
          <w:szCs w:val="24"/>
        </w:rPr>
        <w:t xml:space="preserve"> 评估宣讲</w:t>
      </w:r>
    </w:p>
    <w:p w14:paraId="336949E7">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    依照</w:t>
      </w:r>
      <w:r>
        <w:rPr>
          <w:rFonts w:hint="eastAsia" w:ascii="宋体" w:hAnsi="宋体" w:eastAsia="宋体" w:cs="宋体"/>
          <w:color w:val="auto"/>
          <w:sz w:val="24"/>
          <w:szCs w:val="24"/>
          <w:lang w:eastAsia="zh-CN"/>
        </w:rPr>
        <w:t>通恒</w:t>
      </w:r>
      <w:r>
        <w:rPr>
          <w:rFonts w:hint="eastAsia" w:ascii="宋体" w:hAnsi="宋体" w:eastAsia="宋体" w:cs="宋体"/>
          <w:color w:val="auto"/>
          <w:sz w:val="24"/>
          <w:szCs w:val="24"/>
          <w:lang w:val="en-US" w:eastAsia="zh-CN"/>
        </w:rPr>
        <w:t>置业</w:t>
      </w:r>
      <w:r>
        <w:rPr>
          <w:rFonts w:hint="eastAsia" w:ascii="宋体" w:hAnsi="宋体" w:eastAsia="宋体" w:cs="宋体"/>
          <w:color w:val="auto"/>
          <w:sz w:val="24"/>
          <w:szCs w:val="24"/>
        </w:rPr>
        <w:t>评估体系，编制相应培训宣讲PPT,在每次第三方评估开始前对项目公司工程系统管理人员进行第三方评估要求、内容、方法的宣讲，使一线工程人员、项目公司、</w:t>
      </w:r>
      <w:r>
        <w:rPr>
          <w:rFonts w:hint="eastAsia" w:ascii="宋体" w:hAnsi="宋体" w:eastAsia="宋体" w:cs="宋体"/>
          <w:color w:val="auto"/>
          <w:sz w:val="24"/>
          <w:szCs w:val="24"/>
          <w:lang w:val="en-US" w:eastAsia="zh-CN"/>
        </w:rPr>
        <w:t>合作方</w:t>
      </w:r>
      <w:r>
        <w:rPr>
          <w:rFonts w:hint="eastAsia" w:ascii="宋体" w:hAnsi="宋体" w:eastAsia="宋体" w:cs="宋体"/>
          <w:color w:val="auto"/>
          <w:sz w:val="24"/>
          <w:szCs w:val="24"/>
        </w:rPr>
        <w:t>充分理解评估的目的意义、评估规则及后期的改进方向。</w:t>
      </w:r>
    </w:p>
    <w:p w14:paraId="40A61048">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6.1.7</w:t>
      </w:r>
      <w:r>
        <w:rPr>
          <w:rFonts w:hint="eastAsia" w:ascii="宋体" w:hAnsi="宋体" w:eastAsia="宋体" w:cs="宋体"/>
          <w:color w:val="auto"/>
          <w:sz w:val="24"/>
          <w:szCs w:val="24"/>
        </w:rPr>
        <w:t xml:space="preserve"> 进度风险预警</w:t>
      </w:r>
    </w:p>
    <w:p w14:paraId="693DD8D8">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乙方应根据项目节点计划，对参评项目的工程进度进行检查和评估，对评估过程中进度滞后和存在逾期风险的项目向甲方项目进行风险预警。</w:t>
      </w:r>
    </w:p>
    <w:p w14:paraId="17627396">
      <w:pPr>
        <w:pStyle w:val="37"/>
        <w:spacing w:line="360" w:lineRule="auto"/>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 xml:space="preserve">6.1.8 </w:t>
      </w:r>
      <w:r>
        <w:rPr>
          <w:rFonts w:hint="eastAsia" w:ascii="宋体" w:hAnsi="宋体" w:eastAsia="宋体" w:cs="宋体"/>
          <w:color w:val="auto"/>
          <w:sz w:val="24"/>
          <w:szCs w:val="24"/>
        </w:rPr>
        <w:t>数据信息服务</w:t>
      </w:r>
    </w:p>
    <w:p w14:paraId="131B7793">
      <w:pPr>
        <w:pStyle w:val="37"/>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乙方利用其多年咨询服务积累形成的数据库资源，向甲方提供特定或甲方指定的优秀项目过往建造技术能力与现场管理水平分析数据参考。</w:t>
      </w:r>
    </w:p>
    <w:p w14:paraId="73A43A68">
      <w:pPr>
        <w:pStyle w:val="37"/>
        <w:spacing w:line="360" w:lineRule="auto"/>
        <w:ind w:firstLine="482" w:firstLineChars="200"/>
        <w:jc w:val="both"/>
        <w:rPr>
          <w:rFonts w:hint="eastAsia" w:ascii="宋体" w:hAnsi="宋体" w:eastAsia="宋体" w:cs="宋体"/>
          <w:b/>
          <w:color w:val="auto"/>
          <w:sz w:val="24"/>
          <w:szCs w:val="24"/>
        </w:rPr>
      </w:pPr>
      <w:r>
        <w:rPr>
          <w:rFonts w:hint="eastAsia" w:ascii="宋体" w:hAnsi="宋体" w:eastAsia="宋体" w:cs="宋体"/>
          <w:b/>
          <w:color w:val="auto"/>
          <w:sz w:val="24"/>
          <w:szCs w:val="24"/>
        </w:rPr>
        <w:t>6.2 乙方评估人员构成</w:t>
      </w:r>
    </w:p>
    <w:p w14:paraId="000A6B2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6.2.1 组长及组员（</w:t>
      </w:r>
      <w:r>
        <w:rPr>
          <w:rFonts w:hint="eastAsia" w:ascii="宋体" w:hAnsi="宋体" w:eastAsia="宋体" w:cs="宋体"/>
          <w:kern w:val="0"/>
          <w:sz w:val="24"/>
          <w:szCs w:val="24"/>
        </w:rPr>
        <w:t>土建过程评估拟派</w:t>
      </w:r>
      <w:r>
        <w:rPr>
          <w:rFonts w:hint="eastAsia" w:ascii="宋体" w:hAnsi="宋体" w:eastAsia="宋体" w:cs="宋体"/>
          <w:kern w:val="0"/>
          <w:sz w:val="24"/>
          <w:szCs w:val="24"/>
          <w:u w:val="single"/>
        </w:rPr>
        <w:t xml:space="preserve"> 不少于2</w:t>
      </w:r>
      <w:r>
        <w:rPr>
          <w:rFonts w:hint="eastAsia" w:ascii="宋体" w:hAnsi="宋体" w:eastAsia="宋体" w:cs="宋体"/>
          <w:kern w:val="0"/>
          <w:sz w:val="24"/>
          <w:szCs w:val="24"/>
        </w:rPr>
        <w:t>人，精装修过程评估拟派</w:t>
      </w:r>
      <w:r>
        <w:rPr>
          <w:rFonts w:hint="eastAsia" w:ascii="宋体" w:hAnsi="宋体" w:eastAsia="宋体" w:cs="宋体"/>
          <w:kern w:val="0"/>
          <w:sz w:val="24"/>
          <w:szCs w:val="24"/>
          <w:u w:val="single"/>
        </w:rPr>
        <w:t xml:space="preserve"> 不少于3 </w:t>
      </w:r>
      <w:r>
        <w:rPr>
          <w:rFonts w:hint="eastAsia" w:ascii="宋体" w:hAnsi="宋体" w:eastAsia="宋体" w:cs="宋体"/>
          <w:kern w:val="0"/>
          <w:sz w:val="24"/>
          <w:szCs w:val="24"/>
        </w:rPr>
        <w:t>人；门窗专项评估拟派</w:t>
      </w:r>
      <w:r>
        <w:rPr>
          <w:rFonts w:hint="eastAsia" w:ascii="宋体" w:hAnsi="宋体" w:eastAsia="宋体" w:cs="宋体"/>
          <w:kern w:val="0"/>
          <w:sz w:val="24"/>
          <w:szCs w:val="24"/>
          <w:u w:val="single"/>
        </w:rPr>
        <w:t xml:space="preserve"> 2 </w:t>
      </w:r>
      <w:r>
        <w:rPr>
          <w:rFonts w:hint="eastAsia" w:ascii="宋体" w:hAnsi="宋体" w:eastAsia="宋体" w:cs="宋体"/>
          <w:kern w:val="0"/>
          <w:sz w:val="24"/>
          <w:szCs w:val="24"/>
        </w:rPr>
        <w:t>人；交付前20天，拟派</w:t>
      </w:r>
      <w:r>
        <w:rPr>
          <w:rFonts w:hint="eastAsia" w:ascii="宋体" w:hAnsi="宋体" w:eastAsia="宋体" w:cs="宋体"/>
          <w:kern w:val="0"/>
          <w:sz w:val="24"/>
          <w:szCs w:val="24"/>
          <w:u w:val="single"/>
        </w:rPr>
        <w:t xml:space="preserve"> 不少于3 </w:t>
      </w:r>
      <w:r>
        <w:rPr>
          <w:rFonts w:hint="eastAsia" w:ascii="宋体" w:hAnsi="宋体" w:eastAsia="宋体" w:cs="宋体"/>
          <w:kern w:val="0"/>
          <w:sz w:val="24"/>
          <w:szCs w:val="24"/>
        </w:rPr>
        <w:t>人</w:t>
      </w:r>
      <w:r>
        <w:rPr>
          <w:rFonts w:hint="eastAsia" w:ascii="宋体" w:hAnsi="宋体" w:eastAsia="宋体" w:cs="宋体"/>
          <w:kern w:val="0"/>
          <w:sz w:val="24"/>
          <w:szCs w:val="24"/>
          <w:u w:val="single"/>
        </w:rPr>
        <w:t xml:space="preserve"> 1</w:t>
      </w:r>
      <w:r>
        <w:rPr>
          <w:rFonts w:hint="eastAsia" w:ascii="宋体" w:hAnsi="宋体" w:eastAsia="宋体" w:cs="宋体"/>
          <w:kern w:val="0"/>
          <w:sz w:val="24"/>
          <w:szCs w:val="24"/>
        </w:rPr>
        <w:t>天，交付前50-60天拟派</w:t>
      </w:r>
      <w:r>
        <w:rPr>
          <w:rFonts w:hint="eastAsia" w:ascii="宋体" w:hAnsi="宋体" w:eastAsia="宋体" w:cs="宋体"/>
          <w:kern w:val="0"/>
          <w:sz w:val="24"/>
          <w:szCs w:val="24"/>
          <w:u w:val="single"/>
        </w:rPr>
        <w:t xml:space="preserve"> 3 </w:t>
      </w:r>
      <w:r>
        <w:rPr>
          <w:rFonts w:hint="eastAsia" w:ascii="宋体" w:hAnsi="宋体" w:eastAsia="宋体" w:cs="宋体"/>
          <w:kern w:val="0"/>
          <w:sz w:val="24"/>
          <w:szCs w:val="24"/>
        </w:rPr>
        <w:t>人</w:t>
      </w:r>
      <w:r>
        <w:rPr>
          <w:rFonts w:hint="eastAsia" w:ascii="宋体" w:hAnsi="宋体" w:eastAsia="宋体" w:cs="宋体"/>
          <w:kern w:val="0"/>
          <w:sz w:val="24"/>
          <w:szCs w:val="24"/>
          <w:u w:val="single"/>
        </w:rPr>
        <w:t xml:space="preserve"> 2 </w:t>
      </w:r>
      <w:r>
        <w:rPr>
          <w:rFonts w:hint="eastAsia" w:ascii="宋体" w:hAnsi="宋体" w:eastAsia="宋体" w:cs="宋体"/>
          <w:kern w:val="0"/>
          <w:sz w:val="24"/>
          <w:szCs w:val="24"/>
        </w:rPr>
        <w:t>天。</w:t>
      </w:r>
      <w:r>
        <w:rPr>
          <w:rFonts w:hint="eastAsia" w:ascii="宋体" w:hAnsi="宋体" w:eastAsia="宋体" w:cs="宋体"/>
          <w:sz w:val="24"/>
          <w:szCs w:val="24"/>
        </w:rPr>
        <w:t>如遇特殊情形以双方实际协商确定为准）</w:t>
      </w:r>
    </w:p>
    <w:p w14:paraId="5196B78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6.2.2 乙方评估人员要求：熟练掌握实测实量要求方法及相关专业能力。</w:t>
      </w:r>
    </w:p>
    <w:p w14:paraId="17FC9423">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6.3 乙方评估组人员职责：</w:t>
      </w:r>
    </w:p>
    <w:p w14:paraId="61FE0B46">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6.3.1 乙方评估组长职责：</w:t>
      </w:r>
    </w:p>
    <w:p w14:paraId="39250A75">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6.3.1.1 全面负责本组在评估服务期间的日常工作安排及组员考核；</w:t>
      </w:r>
    </w:p>
    <w:p w14:paraId="263C9DBA">
      <w:pPr>
        <w:pStyle w:val="38"/>
        <w:spacing w:line="360" w:lineRule="auto"/>
        <w:ind w:left="480" w:firstLine="0" w:firstLineChars="0"/>
        <w:rPr>
          <w:rFonts w:hint="eastAsia" w:ascii="宋体" w:hAnsi="宋体" w:eastAsia="宋体" w:cs="宋体"/>
          <w:sz w:val="24"/>
          <w:szCs w:val="24"/>
        </w:rPr>
      </w:pPr>
      <w:r>
        <w:rPr>
          <w:rFonts w:hint="eastAsia" w:ascii="宋体" w:hAnsi="宋体" w:eastAsia="宋体" w:cs="宋体"/>
          <w:sz w:val="24"/>
          <w:szCs w:val="24"/>
        </w:rPr>
        <w:t>6.3.1.2 主持项目评估，进行现场检查、沟通及有关资料的审阅；</w:t>
      </w:r>
    </w:p>
    <w:p w14:paraId="5D7BF26B">
      <w:pPr>
        <w:pStyle w:val="38"/>
        <w:spacing w:line="360" w:lineRule="auto"/>
        <w:ind w:left="480" w:firstLine="0" w:firstLineChars="0"/>
        <w:rPr>
          <w:rFonts w:hint="eastAsia" w:ascii="宋体" w:hAnsi="宋体" w:eastAsia="宋体" w:cs="宋体"/>
          <w:sz w:val="24"/>
          <w:szCs w:val="24"/>
        </w:rPr>
      </w:pPr>
      <w:r>
        <w:rPr>
          <w:rFonts w:hint="eastAsia" w:ascii="宋体" w:hAnsi="宋体" w:eastAsia="宋体" w:cs="宋体"/>
          <w:sz w:val="24"/>
          <w:szCs w:val="24"/>
        </w:rPr>
        <w:t>6.3.1.3 对本组各评估项目下达评估结论，并上报乙方总负责人审核；</w:t>
      </w:r>
    </w:p>
    <w:p w14:paraId="32567477">
      <w:pPr>
        <w:pStyle w:val="38"/>
        <w:spacing w:line="360" w:lineRule="auto"/>
        <w:ind w:left="480" w:firstLine="0" w:firstLineChars="0"/>
        <w:rPr>
          <w:rFonts w:hint="eastAsia" w:ascii="宋体" w:hAnsi="宋体" w:eastAsia="宋体" w:cs="宋体"/>
          <w:sz w:val="24"/>
          <w:szCs w:val="24"/>
        </w:rPr>
      </w:pPr>
      <w:r>
        <w:rPr>
          <w:rFonts w:hint="eastAsia" w:ascii="宋体" w:hAnsi="宋体" w:eastAsia="宋体" w:cs="宋体"/>
          <w:sz w:val="24"/>
          <w:szCs w:val="24"/>
        </w:rPr>
        <w:t>6.3.1.4 根据评估结果，通报当日检查项目的评估情况；</w:t>
      </w:r>
    </w:p>
    <w:p w14:paraId="4E2D1105">
      <w:pPr>
        <w:pStyle w:val="38"/>
        <w:spacing w:line="360" w:lineRule="auto"/>
        <w:ind w:left="480" w:firstLine="0" w:firstLineChars="0"/>
        <w:rPr>
          <w:rFonts w:hint="eastAsia" w:ascii="宋体" w:hAnsi="宋体" w:eastAsia="宋体" w:cs="宋体"/>
          <w:sz w:val="24"/>
          <w:szCs w:val="24"/>
        </w:rPr>
      </w:pPr>
      <w:r>
        <w:rPr>
          <w:rFonts w:hint="eastAsia" w:ascii="宋体" w:hAnsi="宋体" w:eastAsia="宋体" w:cs="宋体"/>
          <w:sz w:val="24"/>
          <w:szCs w:val="24"/>
        </w:rPr>
        <w:t>6.3.1.5 撰写并提交评估报告。</w:t>
      </w:r>
    </w:p>
    <w:p w14:paraId="63874A67">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6.3.2 乙方评估师职责：</w:t>
      </w:r>
    </w:p>
    <w:p w14:paraId="7411B0A8">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6.3.2.1 与助理评估师共同完成现场的数据采集工作；</w:t>
      </w:r>
    </w:p>
    <w:p w14:paraId="58F550F0">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6.3.2.2 负责对评估中采集的数据及成果进行汇总与编辑；</w:t>
      </w:r>
    </w:p>
    <w:p w14:paraId="1AA753D7">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6.3.2.3 协助评估组长做好评估简报、评估总结、增值服务等建议。</w:t>
      </w:r>
    </w:p>
    <w:p w14:paraId="4730DBFA">
      <w:pPr>
        <w:pStyle w:val="38"/>
        <w:spacing w:line="360" w:lineRule="auto"/>
        <w:ind w:left="6" w:firstLine="480"/>
        <w:rPr>
          <w:rFonts w:hint="eastAsia" w:ascii="宋体" w:hAnsi="宋体" w:eastAsia="宋体" w:cs="宋体"/>
          <w:sz w:val="24"/>
          <w:szCs w:val="24"/>
        </w:rPr>
      </w:pPr>
      <w:r>
        <w:rPr>
          <w:rFonts w:hint="eastAsia" w:ascii="宋体" w:hAnsi="宋体" w:eastAsia="宋体" w:cs="宋体"/>
          <w:sz w:val="24"/>
          <w:szCs w:val="24"/>
        </w:rPr>
        <w:t>6.3.3 乙方助理评估师职责：</w:t>
      </w:r>
    </w:p>
    <w:p w14:paraId="61921895">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6.3.3.1 协助评估师做好现场实测实量、拍照取样等工作，进行原始数据整理；</w:t>
      </w:r>
    </w:p>
    <w:p w14:paraId="0B32E7AD">
      <w:pPr>
        <w:pStyle w:val="38"/>
        <w:spacing w:line="360" w:lineRule="auto"/>
        <w:ind w:left="431" w:firstLine="0" w:firstLineChars="0"/>
        <w:rPr>
          <w:rFonts w:hint="eastAsia" w:ascii="宋体" w:hAnsi="宋体" w:eastAsia="宋体" w:cs="宋体"/>
          <w:sz w:val="24"/>
          <w:szCs w:val="24"/>
        </w:rPr>
      </w:pPr>
      <w:r>
        <w:rPr>
          <w:rFonts w:hint="eastAsia" w:ascii="宋体" w:hAnsi="宋体" w:eastAsia="宋体" w:cs="宋体"/>
          <w:sz w:val="24"/>
          <w:szCs w:val="24"/>
        </w:rPr>
        <w:t>6.3.3.2 负责对测量器具的校核与保管等工作，负责评估组的后勤保障工作；</w:t>
      </w:r>
    </w:p>
    <w:p w14:paraId="52341221">
      <w:pPr>
        <w:pStyle w:val="38"/>
        <w:spacing w:line="360" w:lineRule="auto"/>
        <w:ind w:left="431" w:firstLine="0" w:firstLineChars="0"/>
        <w:rPr>
          <w:rFonts w:hint="eastAsia" w:ascii="宋体" w:hAnsi="宋体" w:eastAsia="宋体" w:cs="宋体"/>
          <w:b/>
          <w:sz w:val="24"/>
          <w:szCs w:val="24"/>
        </w:rPr>
      </w:pPr>
      <w:r>
        <w:rPr>
          <w:rFonts w:hint="eastAsia" w:ascii="宋体" w:hAnsi="宋体" w:eastAsia="宋体" w:cs="宋体"/>
          <w:sz w:val="24"/>
          <w:szCs w:val="24"/>
        </w:rPr>
        <w:t>6.3.3.3 协助评估组长及评估师并做好其交办的其他工作。</w:t>
      </w:r>
    </w:p>
    <w:p w14:paraId="0588B0CE">
      <w:pPr>
        <w:pStyle w:val="38"/>
        <w:spacing w:line="360" w:lineRule="auto"/>
        <w:ind w:firstLine="482"/>
        <w:rPr>
          <w:rFonts w:hint="eastAsia" w:ascii="宋体" w:hAnsi="宋体" w:eastAsia="宋体" w:cs="宋体"/>
          <w:b/>
          <w:sz w:val="24"/>
          <w:szCs w:val="24"/>
        </w:rPr>
      </w:pPr>
      <w:r>
        <w:rPr>
          <w:rFonts w:hint="eastAsia" w:ascii="宋体" w:hAnsi="宋体" w:eastAsia="宋体" w:cs="宋体"/>
          <w:b/>
          <w:sz w:val="24"/>
          <w:szCs w:val="24"/>
        </w:rPr>
        <w:t>6.4 评估项目工作安排</w:t>
      </w:r>
    </w:p>
    <w:p w14:paraId="6ABAE911">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6.4.1 评估作息时间：上午9：00-12：00；下午14：00-17：00。乙方评估人员应当上午8：50前抵达工地项目部，上午9：00评估前开始评估安排会议；</w:t>
      </w:r>
    </w:p>
    <w:p w14:paraId="5C4F4277">
      <w:pPr>
        <w:pStyle w:val="38"/>
        <w:spacing w:line="360" w:lineRule="auto"/>
        <w:ind w:left="6" w:firstLine="480"/>
        <w:rPr>
          <w:rFonts w:hint="eastAsia" w:ascii="宋体" w:hAnsi="宋体" w:eastAsia="宋体" w:cs="宋体"/>
          <w:sz w:val="24"/>
          <w:szCs w:val="24"/>
        </w:rPr>
      </w:pPr>
      <w:r>
        <w:rPr>
          <w:rFonts w:hint="eastAsia" w:ascii="宋体" w:hAnsi="宋体" w:eastAsia="宋体" w:cs="宋体"/>
          <w:sz w:val="24"/>
          <w:szCs w:val="24"/>
        </w:rPr>
        <w:t>6.4.2 配合乙方评估的相关单位及人员：甲方公司、项目部（项目公司、被评估项目施工单位、监理单位及前述单位中的所有工作人员；</w:t>
      </w:r>
    </w:p>
    <w:p w14:paraId="11B8A782">
      <w:pPr>
        <w:pStyle w:val="38"/>
        <w:spacing w:line="360" w:lineRule="auto"/>
        <w:ind w:left="6" w:firstLine="480"/>
        <w:rPr>
          <w:rFonts w:hint="eastAsia" w:ascii="宋体" w:hAnsi="宋体" w:eastAsia="宋体" w:cs="宋体"/>
          <w:sz w:val="24"/>
          <w:szCs w:val="24"/>
        </w:rPr>
      </w:pPr>
      <w:r>
        <w:rPr>
          <w:rFonts w:hint="eastAsia" w:ascii="宋体" w:hAnsi="宋体" w:eastAsia="宋体" w:cs="宋体"/>
          <w:sz w:val="24"/>
          <w:szCs w:val="24"/>
        </w:rPr>
        <w:t>6.4.3 评估工作流程简述：</w:t>
      </w:r>
    </w:p>
    <w:p w14:paraId="05DA5D77">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6.4.3.1 乙方对当日评估工作安排简单介绍；</w:t>
      </w:r>
    </w:p>
    <w:p w14:paraId="61E17200">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6.4.3.2 甲方项目部介绍项目形象进度；</w:t>
      </w:r>
    </w:p>
    <w:p w14:paraId="08B0F508">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6.4.3.3 乙方评估组使用抽选系统确定参评项目的参评楼层，实现完全随机在线样本检查，实现评估成果的公开性、公平性、公正性。</w:t>
      </w:r>
    </w:p>
    <w:p w14:paraId="7C0D2781">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6.4.3.4乙方使用自行研发软件系统，进行数据采集，快速上传云端，利用云端系统安全、快捷、高效、准确自动化分析数据能力，生成报告，由乙方按照合同约定时间反馈至甲方。</w:t>
      </w:r>
    </w:p>
    <w:p w14:paraId="0AB40757">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6.4.3.5 现场评估工作结束后，乙方召开项目评估总结会议并通报现场评估基本情况；</w:t>
      </w:r>
    </w:p>
    <w:p w14:paraId="47C07E7E">
      <w:pPr>
        <w:pStyle w:val="38"/>
        <w:spacing w:line="360" w:lineRule="auto"/>
        <w:ind w:firstLine="480"/>
        <w:rPr>
          <w:rFonts w:hint="eastAsia" w:ascii="宋体" w:hAnsi="宋体" w:eastAsia="宋体" w:cs="宋体"/>
          <w:b/>
          <w:sz w:val="24"/>
          <w:szCs w:val="24"/>
        </w:rPr>
      </w:pPr>
      <w:r>
        <w:rPr>
          <w:rFonts w:hint="eastAsia" w:ascii="宋体" w:hAnsi="宋体" w:eastAsia="宋体" w:cs="宋体"/>
          <w:sz w:val="24"/>
          <w:szCs w:val="24"/>
        </w:rPr>
        <w:t>6.4.3.6 乙方编制评估报告，按合同约定提交成果。</w:t>
      </w:r>
    </w:p>
    <w:p w14:paraId="60004653">
      <w:pPr>
        <w:pStyle w:val="38"/>
        <w:spacing w:line="360" w:lineRule="auto"/>
        <w:ind w:firstLine="482"/>
        <w:rPr>
          <w:rFonts w:hint="eastAsia" w:ascii="宋体" w:hAnsi="宋体" w:eastAsia="宋体" w:cs="宋体"/>
          <w:b/>
          <w:sz w:val="24"/>
          <w:szCs w:val="24"/>
        </w:rPr>
      </w:pPr>
      <w:r>
        <w:rPr>
          <w:rFonts w:hint="eastAsia" w:ascii="宋体" w:hAnsi="宋体" w:eastAsia="宋体" w:cs="宋体"/>
          <w:b/>
          <w:sz w:val="24"/>
          <w:szCs w:val="24"/>
        </w:rPr>
        <w:t>6.5 评估成果：</w:t>
      </w:r>
    </w:p>
    <w:p w14:paraId="7E87610E">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6.5.1 完成在建项目的现场评估当日，现场向甲方被评估项目的项目部通报当天评估的基本情况，包括但不限于以下内容：实测数据中的明显偏差项、各质量风险指标风险状况、现场主要质量问题、上期质量整改封闭情况、质量改进、建议、项目优点等；</w:t>
      </w:r>
    </w:p>
    <w:p w14:paraId="60C0E7BD">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6.5.2 项目现场评估完成后3个工作日内，向甲方提供被评项目的评估简报，报告形式为电子版，邮件发送，以保证甲方及时将质量问题反馈至被评项目，督促其尽快整改。同时附带实测实量评估表（EXCEL格式）和原始测量记录（照片方式），以便被检公司和项目部及时进行复核确认；</w:t>
      </w:r>
    </w:p>
    <w:p w14:paraId="381CA975">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6.5.3 甲方相关项目现场全部评估工作结束后，乙方应在7个工作日内向甲方的项目管理部门或甲方指定的其他部门提交《</w:t>
      </w:r>
      <w:r>
        <w:rPr>
          <w:rFonts w:hint="eastAsia" w:ascii="宋体" w:hAnsi="宋体" w:eastAsia="宋体" w:cs="宋体"/>
          <w:color w:val="auto"/>
          <w:sz w:val="24"/>
          <w:szCs w:val="24"/>
          <w:lang w:val="en-US" w:eastAsia="zh-CN"/>
        </w:rPr>
        <w:t>通恒置业</w:t>
      </w:r>
      <w:r>
        <w:rPr>
          <w:rFonts w:hint="eastAsia" w:ascii="宋体" w:hAnsi="宋体" w:eastAsia="宋体" w:cs="宋体"/>
          <w:sz w:val="24"/>
          <w:szCs w:val="24"/>
        </w:rPr>
        <w:t>工程品质评估总报告》及相关评估过程资料，报告形式为电子版，邮件发送；</w:t>
      </w:r>
    </w:p>
    <w:p w14:paraId="7FC1D121">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6.5.4 对于发现的重大风险或较为严重的系统性质量安全问题，乙方应在发现问题后立即向甲方对接人电话通报质量风险情况，并将风险报告于当天以电子邮件形式邮件发送至甲方；</w:t>
      </w:r>
    </w:p>
    <w:p w14:paraId="41AA6697">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6.5.5 在建项目及交付项目所有现场评估工作结束后，乙方应与甲方会同评估区域相关工程品质管理部门，针对本期评估结果以及操作过程中存在的问题进行沟通，并达成一致。</w:t>
      </w:r>
    </w:p>
    <w:p w14:paraId="744A002E">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6.5.6 甲方对收到的上述评估过程及结果资料存在异议的，应在收到资料之日起3日内书面（邮件或函件方式）反馈，若甲方未在3日内反馈，则视为对上述评估过程及结果资料内容无异议，该项目评估工作经甲方验收合格。</w:t>
      </w:r>
    </w:p>
    <w:p w14:paraId="0D5157F1">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6.5.7乙方工作成果验收合格标准：以统一标准、尺度，对被评项目进行评估。报告统一按《</w:t>
      </w:r>
      <w:r>
        <w:rPr>
          <w:rFonts w:hint="eastAsia" w:ascii="宋体" w:hAnsi="宋体" w:eastAsia="宋体" w:cs="宋体"/>
          <w:color w:val="auto"/>
          <w:sz w:val="24"/>
          <w:szCs w:val="24"/>
          <w:lang w:val="en-US" w:eastAsia="zh-CN"/>
        </w:rPr>
        <w:t>通恒置业</w:t>
      </w:r>
      <w:r>
        <w:rPr>
          <w:rFonts w:hint="eastAsia" w:ascii="宋体" w:hAnsi="宋体" w:eastAsia="宋体" w:cs="宋体"/>
          <w:sz w:val="24"/>
          <w:szCs w:val="24"/>
          <w:lang w:eastAsia="zh-CN"/>
        </w:rPr>
        <w:t>项目</w:t>
      </w:r>
      <w:r>
        <w:rPr>
          <w:rFonts w:hint="eastAsia" w:ascii="宋体" w:hAnsi="宋体" w:eastAsia="宋体" w:cs="宋体"/>
          <w:sz w:val="24"/>
          <w:szCs w:val="24"/>
        </w:rPr>
        <w:t>工程品质评估报告》编制，反馈质量评估结果。评估成果要求数据准确、内容完整，做到公示各项目质量合格率并揭示主要质量风险及相关工程管理问题等。</w:t>
      </w:r>
    </w:p>
    <w:p w14:paraId="63C96EA8">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6.5.8 后续跟踪工作：乙方需对每期评估中的问题进行跟踪并实施复查，此工作结合下一期评估实施，并在报告中体现对上一期问题的复查情况。</w:t>
      </w:r>
    </w:p>
    <w:p w14:paraId="20395BBE">
      <w:pPr>
        <w:pStyle w:val="38"/>
        <w:spacing w:line="360" w:lineRule="auto"/>
        <w:ind w:firstLine="482"/>
        <w:rPr>
          <w:rFonts w:hint="eastAsia" w:ascii="宋体" w:hAnsi="宋体" w:eastAsia="宋体" w:cs="宋体"/>
          <w:b/>
          <w:bCs/>
          <w:sz w:val="24"/>
          <w:szCs w:val="24"/>
        </w:rPr>
      </w:pPr>
      <w:r>
        <w:rPr>
          <w:rFonts w:hint="eastAsia" w:ascii="宋体" w:hAnsi="宋体" w:eastAsia="宋体" w:cs="宋体"/>
          <w:b/>
          <w:bCs/>
          <w:sz w:val="24"/>
          <w:szCs w:val="24"/>
        </w:rPr>
        <w:t>6.6 评估计划</w:t>
      </w:r>
    </w:p>
    <w:p w14:paraId="53701A06">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 xml:space="preserve"> 评估工作开始前，根据各项目进度情况，甲方应至少提前15个工作日和第三方评估公司共同确定受检项目和评估时间，原则上每季度应评估一次，交付前应评估两次，评估前应形成相应的季度、交付行程计划。乙方应当在收到甲方评估计划之后提前做好评估准备工作。</w:t>
      </w:r>
    </w:p>
    <w:p w14:paraId="6606FC13">
      <w:pPr>
        <w:pStyle w:val="38"/>
        <w:spacing w:line="360" w:lineRule="auto"/>
        <w:ind w:firstLine="482"/>
        <w:rPr>
          <w:rFonts w:hint="eastAsia" w:ascii="宋体" w:hAnsi="宋体" w:eastAsia="宋体" w:cs="宋体"/>
          <w:b/>
          <w:bCs/>
          <w:sz w:val="24"/>
          <w:szCs w:val="24"/>
        </w:rPr>
      </w:pPr>
      <w:r>
        <w:rPr>
          <w:rFonts w:hint="eastAsia" w:ascii="宋体" w:hAnsi="宋体" w:eastAsia="宋体" w:cs="宋体"/>
          <w:b/>
          <w:bCs/>
          <w:sz w:val="24"/>
          <w:szCs w:val="24"/>
        </w:rPr>
        <w:t>6.7 设备配置</w:t>
      </w:r>
    </w:p>
    <w:p w14:paraId="64D31D47">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6.7.1 甲方提供工具：包括但不限于激光扫平仪、激光测距仪、靠尺、塔尺冲击钻（钻孔实测楼板厚度）、投影仪等；</w:t>
      </w:r>
    </w:p>
    <w:p w14:paraId="7556CFC1">
      <w:pPr>
        <w:pStyle w:val="38"/>
        <w:spacing w:line="360" w:lineRule="auto"/>
        <w:ind w:firstLine="480"/>
        <w:rPr>
          <w:rFonts w:hint="eastAsia" w:ascii="宋体" w:hAnsi="宋体" w:eastAsia="宋体" w:cs="宋体"/>
          <w:sz w:val="24"/>
          <w:szCs w:val="24"/>
        </w:rPr>
      </w:pPr>
      <w:r>
        <w:rPr>
          <w:rFonts w:hint="eastAsia" w:ascii="宋体" w:hAnsi="宋体" w:eastAsia="宋体" w:cs="宋体"/>
          <w:sz w:val="24"/>
          <w:szCs w:val="24"/>
        </w:rPr>
        <w:t>6.7.2 乙方使用工具：①实体检测工具的配置：包括但不限于激光测距仪、塞片等；②风险评估工具：包括但不限于笔记本电脑、数码相机、自行研发软件系统包括且不限于随机抽选系统、实测实量评分系统、安全文明评分系统、质量风险评分系统、报告生成系统、数据库分析系统、供应商评价系统等。（或乙方自带其他工具，甲方提供协助。）</w:t>
      </w:r>
    </w:p>
    <w:p w14:paraId="1CCE4AEE">
      <w:pPr>
        <w:keepNext w:val="0"/>
        <w:keepLines w:val="0"/>
        <w:pageBreakBefore w:val="0"/>
        <w:kinsoku/>
        <w:wordWrap/>
        <w:overflowPunct/>
        <w:topLinePunct w:val="0"/>
        <w:bidi w:val="0"/>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sz w:val="24"/>
          <w:szCs w:val="24"/>
          <w:lang w:eastAsia="zh-CN"/>
        </w:rPr>
        <w:t>七</w:t>
      </w:r>
      <w:r>
        <w:rPr>
          <w:rFonts w:hint="eastAsia" w:ascii="宋体" w:hAnsi="宋体" w:eastAsia="宋体" w:cs="宋体"/>
          <w:b/>
          <w:sz w:val="24"/>
          <w:szCs w:val="24"/>
        </w:rPr>
        <w:t xml:space="preserve">、咨询合同付款 </w:t>
      </w:r>
    </w:p>
    <w:p w14:paraId="72C298F3">
      <w:pPr>
        <w:pStyle w:val="38"/>
        <w:spacing w:line="360" w:lineRule="auto"/>
        <w:ind w:firstLine="480"/>
        <w:rPr>
          <w:rFonts w:ascii="宋体" w:hAnsi="宋体" w:eastAsia="宋体" w:cs="宋体"/>
          <w:bCs/>
          <w:sz w:val="24"/>
        </w:rPr>
      </w:pPr>
      <w:r>
        <w:rPr>
          <w:rFonts w:hint="eastAsia" w:ascii="宋体" w:hAnsi="宋体" w:eastAsia="宋体" w:cs="宋体"/>
          <w:bCs/>
          <w:sz w:val="24"/>
          <w:lang w:val="en-US" w:eastAsia="zh-CN"/>
        </w:rPr>
        <w:t>7</w:t>
      </w:r>
      <w:r>
        <w:rPr>
          <w:rFonts w:ascii="宋体" w:hAnsi="宋体" w:eastAsia="宋体" w:cs="宋体"/>
          <w:bCs/>
          <w:sz w:val="24"/>
        </w:rPr>
        <w:t>.1</w:t>
      </w:r>
      <w:r>
        <w:rPr>
          <w:rFonts w:hint="eastAsia" w:ascii="宋体" w:hAnsi="宋体" w:eastAsia="宋体" w:cs="宋体"/>
          <w:bCs/>
          <w:sz w:val="24"/>
        </w:rPr>
        <w:t>.合同价款</w:t>
      </w:r>
    </w:p>
    <w:p w14:paraId="52C11534">
      <w:pPr>
        <w:pStyle w:val="38"/>
        <w:spacing w:line="360" w:lineRule="auto"/>
        <w:ind w:firstLine="480"/>
        <w:rPr>
          <w:rFonts w:ascii="宋体" w:hAnsi="宋体" w:eastAsia="宋体" w:cs="宋体"/>
          <w:bCs/>
          <w:sz w:val="24"/>
        </w:rPr>
      </w:pPr>
      <w:r>
        <w:rPr>
          <w:rFonts w:hint="eastAsia" w:ascii="宋体" w:hAnsi="宋体" w:eastAsia="宋体" w:cs="宋体"/>
          <w:bCs/>
          <w:sz w:val="24"/>
        </w:rPr>
        <w:t>本合同为</w:t>
      </w:r>
      <w:r>
        <w:rPr>
          <w:rFonts w:hint="eastAsia" w:ascii="宋体" w:hAnsi="宋体" w:eastAsia="宋体" w:cs="宋体"/>
          <w:b/>
          <w:bCs/>
          <w:sz w:val="24"/>
        </w:rPr>
        <w:t>固定单价合同</w:t>
      </w:r>
      <w:r>
        <w:rPr>
          <w:rFonts w:hint="eastAsia" w:ascii="宋体" w:hAnsi="宋体" w:eastAsia="宋体" w:cs="宋体"/>
          <w:bCs/>
          <w:sz w:val="24"/>
        </w:rPr>
        <w:t>，具体评估项目单价见下表。其中合同单价已包括乙方涉及评估工作的所有费用，如人工费、设备费、差旅费、管理费、保险费、利润和税金等全部费用。最终结算总价以实际完成评估量为准。</w:t>
      </w:r>
    </w:p>
    <w:tbl>
      <w:tblPr>
        <w:tblStyle w:val="21"/>
        <w:tblW w:w="933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5"/>
        <w:gridCol w:w="2476"/>
        <w:gridCol w:w="1384"/>
        <w:gridCol w:w="2043"/>
        <w:gridCol w:w="761"/>
        <w:gridCol w:w="750"/>
        <w:gridCol w:w="1275"/>
      </w:tblGrid>
      <w:tr w14:paraId="61DEB5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7" w:hRule="atLeast"/>
          <w:jc w:val="center"/>
        </w:trPr>
        <w:tc>
          <w:tcPr>
            <w:tcW w:w="645" w:type="dxa"/>
            <w:noWrap w:val="0"/>
            <w:vAlign w:val="center"/>
          </w:tcPr>
          <w:p w14:paraId="2E6BFE1D">
            <w:pPr>
              <w:tabs>
                <w:tab w:val="left" w:pos="851"/>
              </w:tabs>
              <w:spacing w:line="360" w:lineRule="auto"/>
              <w:ind w:right="-82"/>
              <w:jc w:val="center"/>
              <w:rPr>
                <w:rFonts w:ascii="宋体" w:hAnsi="宋体" w:eastAsia="宋体" w:cs="宋体"/>
                <w:b/>
                <w:sz w:val="24"/>
                <w:szCs w:val="21"/>
              </w:rPr>
            </w:pPr>
            <w:r>
              <w:rPr>
                <w:rFonts w:hint="eastAsia" w:ascii="宋体" w:hAnsi="宋体" w:eastAsia="宋体" w:cs="宋体"/>
                <w:b/>
                <w:sz w:val="24"/>
                <w:szCs w:val="21"/>
              </w:rPr>
              <w:t>序号</w:t>
            </w:r>
          </w:p>
        </w:tc>
        <w:tc>
          <w:tcPr>
            <w:tcW w:w="2476" w:type="dxa"/>
            <w:noWrap w:val="0"/>
            <w:vAlign w:val="center"/>
          </w:tcPr>
          <w:p w14:paraId="2D262809">
            <w:pPr>
              <w:tabs>
                <w:tab w:val="left" w:pos="851"/>
              </w:tabs>
              <w:spacing w:line="360" w:lineRule="auto"/>
              <w:ind w:right="-82"/>
              <w:jc w:val="center"/>
              <w:rPr>
                <w:rFonts w:ascii="宋体" w:hAnsi="宋体" w:eastAsia="宋体" w:cs="宋体"/>
                <w:b/>
                <w:sz w:val="24"/>
                <w:szCs w:val="21"/>
              </w:rPr>
            </w:pPr>
            <w:r>
              <w:rPr>
                <w:rFonts w:hint="eastAsia" w:ascii="宋体" w:hAnsi="宋体" w:eastAsia="宋体" w:cs="宋体"/>
                <w:b/>
                <w:sz w:val="24"/>
                <w:szCs w:val="21"/>
              </w:rPr>
              <w:t>服务类型</w:t>
            </w:r>
          </w:p>
        </w:tc>
        <w:tc>
          <w:tcPr>
            <w:tcW w:w="1384" w:type="dxa"/>
            <w:noWrap w:val="0"/>
            <w:vAlign w:val="center"/>
          </w:tcPr>
          <w:p w14:paraId="456ACE11">
            <w:pPr>
              <w:tabs>
                <w:tab w:val="left" w:pos="851"/>
              </w:tabs>
              <w:spacing w:line="360" w:lineRule="auto"/>
              <w:ind w:right="-82"/>
              <w:jc w:val="center"/>
              <w:rPr>
                <w:rFonts w:ascii="宋体" w:hAnsi="宋体" w:eastAsia="宋体" w:cs="宋体"/>
                <w:b/>
                <w:sz w:val="24"/>
                <w:szCs w:val="21"/>
              </w:rPr>
            </w:pPr>
            <w:r>
              <w:rPr>
                <w:rFonts w:hint="eastAsia" w:ascii="宋体" w:hAnsi="宋体" w:eastAsia="宋体" w:cs="宋体"/>
                <w:b/>
                <w:sz w:val="24"/>
                <w:szCs w:val="21"/>
              </w:rPr>
              <w:t>检查人数</w:t>
            </w:r>
          </w:p>
        </w:tc>
        <w:tc>
          <w:tcPr>
            <w:tcW w:w="2043" w:type="dxa"/>
            <w:noWrap w:val="0"/>
            <w:vAlign w:val="center"/>
          </w:tcPr>
          <w:p w14:paraId="3DECFED7">
            <w:pPr>
              <w:tabs>
                <w:tab w:val="left" w:pos="851"/>
              </w:tabs>
              <w:spacing w:line="360" w:lineRule="auto"/>
              <w:ind w:right="-82"/>
              <w:jc w:val="center"/>
              <w:rPr>
                <w:rFonts w:ascii="宋体" w:hAnsi="宋体" w:eastAsia="宋体" w:cs="宋体"/>
                <w:b/>
                <w:sz w:val="24"/>
                <w:szCs w:val="21"/>
              </w:rPr>
            </w:pPr>
            <w:r>
              <w:rPr>
                <w:rFonts w:hint="eastAsia" w:ascii="宋体" w:hAnsi="宋体" w:eastAsia="宋体" w:cs="宋体"/>
                <w:b/>
                <w:sz w:val="24"/>
                <w:szCs w:val="21"/>
              </w:rPr>
              <w:t>单价（元）</w:t>
            </w:r>
          </w:p>
        </w:tc>
        <w:tc>
          <w:tcPr>
            <w:tcW w:w="761" w:type="dxa"/>
            <w:noWrap w:val="0"/>
            <w:vAlign w:val="center"/>
          </w:tcPr>
          <w:p w14:paraId="04E71514">
            <w:pPr>
              <w:tabs>
                <w:tab w:val="left" w:pos="851"/>
              </w:tabs>
              <w:spacing w:line="360" w:lineRule="auto"/>
              <w:ind w:right="-82"/>
              <w:jc w:val="center"/>
              <w:rPr>
                <w:rFonts w:hint="default" w:ascii="宋体" w:hAnsi="宋体" w:eastAsia="宋体" w:cs="宋体"/>
                <w:b/>
                <w:sz w:val="24"/>
                <w:szCs w:val="21"/>
                <w:lang w:val="en-US" w:eastAsia="zh-CN"/>
              </w:rPr>
            </w:pPr>
            <w:r>
              <w:rPr>
                <w:rFonts w:hint="eastAsia" w:ascii="宋体" w:hAnsi="宋体" w:eastAsia="宋体" w:cs="宋体"/>
                <w:b/>
                <w:sz w:val="24"/>
                <w:szCs w:val="21"/>
                <w:lang w:val="en-US" w:eastAsia="zh-CN"/>
              </w:rPr>
              <w:t>次数预估</w:t>
            </w:r>
          </w:p>
        </w:tc>
        <w:tc>
          <w:tcPr>
            <w:tcW w:w="750" w:type="dxa"/>
            <w:noWrap w:val="0"/>
            <w:vAlign w:val="center"/>
          </w:tcPr>
          <w:p w14:paraId="4B51CF4D">
            <w:pPr>
              <w:tabs>
                <w:tab w:val="left" w:pos="851"/>
              </w:tabs>
              <w:spacing w:line="360" w:lineRule="auto"/>
              <w:ind w:right="-82"/>
              <w:jc w:val="center"/>
              <w:rPr>
                <w:rFonts w:hint="eastAsia" w:ascii="宋体" w:hAnsi="宋体" w:eastAsia="宋体" w:cs="宋体"/>
                <w:b/>
                <w:sz w:val="24"/>
                <w:szCs w:val="21"/>
                <w:lang w:val="en-US" w:eastAsia="zh-CN"/>
              </w:rPr>
            </w:pPr>
            <w:r>
              <w:rPr>
                <w:rFonts w:hint="eastAsia" w:ascii="宋体" w:hAnsi="宋体" w:eastAsia="宋体" w:cs="宋体"/>
                <w:b/>
                <w:sz w:val="24"/>
                <w:szCs w:val="21"/>
                <w:lang w:val="en-US" w:eastAsia="zh-CN"/>
              </w:rPr>
              <w:t>单价</w:t>
            </w:r>
          </w:p>
        </w:tc>
        <w:tc>
          <w:tcPr>
            <w:tcW w:w="1275" w:type="dxa"/>
            <w:noWrap w:val="0"/>
            <w:vAlign w:val="center"/>
          </w:tcPr>
          <w:p w14:paraId="0B99DD76">
            <w:pPr>
              <w:tabs>
                <w:tab w:val="left" w:pos="851"/>
              </w:tabs>
              <w:spacing w:line="360" w:lineRule="auto"/>
              <w:ind w:right="-82"/>
              <w:jc w:val="center"/>
              <w:rPr>
                <w:rFonts w:hint="default" w:ascii="宋体" w:hAnsi="宋体" w:eastAsia="宋体" w:cs="宋体"/>
                <w:b/>
                <w:sz w:val="24"/>
                <w:szCs w:val="21"/>
                <w:lang w:val="en-US" w:eastAsia="zh-CN"/>
              </w:rPr>
            </w:pPr>
            <w:r>
              <w:rPr>
                <w:rFonts w:hint="eastAsia" w:ascii="宋体" w:hAnsi="宋体" w:eastAsia="宋体" w:cs="宋体"/>
                <w:b/>
                <w:sz w:val="24"/>
                <w:szCs w:val="21"/>
                <w:lang w:val="en-US" w:eastAsia="zh-CN"/>
              </w:rPr>
              <w:t>合计费用</w:t>
            </w:r>
          </w:p>
        </w:tc>
      </w:tr>
      <w:tr w14:paraId="06A480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7" w:hRule="atLeast"/>
          <w:jc w:val="center"/>
        </w:trPr>
        <w:tc>
          <w:tcPr>
            <w:tcW w:w="645" w:type="dxa"/>
            <w:noWrap w:val="0"/>
            <w:vAlign w:val="center"/>
          </w:tcPr>
          <w:p w14:paraId="2B7B6993">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1</w:t>
            </w:r>
          </w:p>
        </w:tc>
        <w:tc>
          <w:tcPr>
            <w:tcW w:w="2476" w:type="dxa"/>
            <w:noWrap w:val="0"/>
            <w:vAlign w:val="center"/>
          </w:tcPr>
          <w:p w14:paraId="14F595EB">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lang w:val="en-US" w:eastAsia="zh-CN"/>
              </w:rPr>
              <w:t>毛坯项目及精装修项目土建施工阶段过程评估</w:t>
            </w:r>
          </w:p>
        </w:tc>
        <w:tc>
          <w:tcPr>
            <w:tcW w:w="1384" w:type="dxa"/>
            <w:noWrap w:val="0"/>
            <w:vAlign w:val="center"/>
          </w:tcPr>
          <w:p w14:paraId="63C07617">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 xml:space="preserve"> 不少于2人</w:t>
            </w:r>
          </w:p>
        </w:tc>
        <w:tc>
          <w:tcPr>
            <w:tcW w:w="2043" w:type="dxa"/>
            <w:noWrap w:val="0"/>
            <w:vAlign w:val="center"/>
          </w:tcPr>
          <w:p w14:paraId="7E36A4CF">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元/</w:t>
            </w:r>
            <w:r>
              <w:rPr>
                <w:rFonts w:hint="eastAsia" w:ascii="宋体" w:hAnsi="宋体" w:eastAsia="宋体" w:cs="宋体"/>
                <w:sz w:val="24"/>
                <w:szCs w:val="21"/>
                <w:lang w:eastAsia="zh-CN"/>
              </w:rPr>
              <w:t>标段</w:t>
            </w:r>
            <w:r>
              <w:rPr>
                <w:rFonts w:hint="eastAsia" w:ascii="宋体" w:hAnsi="宋体" w:eastAsia="宋体" w:cs="宋体"/>
                <w:sz w:val="24"/>
                <w:szCs w:val="21"/>
              </w:rPr>
              <w:t>·次</w:t>
            </w:r>
          </w:p>
        </w:tc>
        <w:tc>
          <w:tcPr>
            <w:tcW w:w="761" w:type="dxa"/>
            <w:noWrap w:val="0"/>
            <w:vAlign w:val="center"/>
          </w:tcPr>
          <w:p w14:paraId="5F7CF801">
            <w:pPr>
              <w:tabs>
                <w:tab w:val="left" w:pos="851"/>
              </w:tabs>
              <w:spacing w:line="360" w:lineRule="auto"/>
              <w:ind w:right="-82"/>
              <w:rPr>
                <w:rFonts w:hint="eastAsia" w:ascii="宋体" w:hAnsi="宋体" w:eastAsia="宋体" w:cs="宋体"/>
                <w:sz w:val="24"/>
                <w:szCs w:val="21"/>
              </w:rPr>
            </w:pPr>
          </w:p>
        </w:tc>
        <w:tc>
          <w:tcPr>
            <w:tcW w:w="750" w:type="dxa"/>
            <w:noWrap w:val="0"/>
            <w:vAlign w:val="center"/>
          </w:tcPr>
          <w:p w14:paraId="6B602121">
            <w:pPr>
              <w:tabs>
                <w:tab w:val="left" w:pos="851"/>
              </w:tabs>
              <w:spacing w:line="360" w:lineRule="auto"/>
              <w:ind w:right="-82"/>
              <w:rPr>
                <w:rFonts w:hint="eastAsia" w:ascii="宋体" w:hAnsi="宋体" w:eastAsia="宋体" w:cs="宋体"/>
                <w:sz w:val="24"/>
                <w:szCs w:val="21"/>
              </w:rPr>
            </w:pPr>
          </w:p>
        </w:tc>
        <w:tc>
          <w:tcPr>
            <w:tcW w:w="1275" w:type="dxa"/>
            <w:noWrap w:val="0"/>
            <w:vAlign w:val="center"/>
          </w:tcPr>
          <w:p w14:paraId="5D18763F">
            <w:pPr>
              <w:tabs>
                <w:tab w:val="left" w:pos="851"/>
              </w:tabs>
              <w:spacing w:line="360" w:lineRule="auto"/>
              <w:ind w:right="-82"/>
              <w:rPr>
                <w:rFonts w:hint="eastAsia" w:ascii="宋体" w:hAnsi="宋体" w:eastAsia="宋体" w:cs="宋体"/>
                <w:sz w:val="24"/>
                <w:szCs w:val="21"/>
              </w:rPr>
            </w:pPr>
          </w:p>
        </w:tc>
      </w:tr>
      <w:tr w14:paraId="3FE9B1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0BDAB2A1">
            <w:pPr>
              <w:tabs>
                <w:tab w:val="left" w:pos="851"/>
              </w:tabs>
              <w:spacing w:line="360" w:lineRule="auto"/>
              <w:ind w:right="-82"/>
              <w:rPr>
                <w:rFonts w:hint="eastAsia" w:ascii="宋体" w:hAnsi="宋体" w:eastAsia="宋体" w:cs="宋体"/>
                <w:sz w:val="24"/>
                <w:szCs w:val="21"/>
                <w:lang w:eastAsia="zh-CN"/>
              </w:rPr>
            </w:pPr>
            <w:r>
              <w:rPr>
                <w:rFonts w:hint="eastAsia" w:ascii="宋体" w:hAnsi="宋体" w:eastAsia="宋体" w:cs="宋体"/>
                <w:sz w:val="24"/>
                <w:szCs w:val="21"/>
                <w:lang w:val="en-US" w:eastAsia="zh-CN"/>
              </w:rPr>
              <w:t>2</w:t>
            </w:r>
          </w:p>
        </w:tc>
        <w:tc>
          <w:tcPr>
            <w:tcW w:w="2476" w:type="dxa"/>
            <w:noWrap w:val="0"/>
            <w:vAlign w:val="center"/>
          </w:tcPr>
          <w:p w14:paraId="247873B3">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lang w:val="en-US" w:eastAsia="zh-CN"/>
              </w:rPr>
              <w:t>毛坯项目及精装修项目门窗专项评估（厂检、窗框、窗扇各一次）</w:t>
            </w:r>
          </w:p>
        </w:tc>
        <w:tc>
          <w:tcPr>
            <w:tcW w:w="1384" w:type="dxa"/>
            <w:noWrap w:val="0"/>
            <w:vAlign w:val="center"/>
          </w:tcPr>
          <w:p w14:paraId="4A5F05B2">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不少于1人</w:t>
            </w:r>
          </w:p>
        </w:tc>
        <w:tc>
          <w:tcPr>
            <w:tcW w:w="2043" w:type="dxa"/>
            <w:noWrap w:val="0"/>
            <w:vAlign w:val="center"/>
          </w:tcPr>
          <w:p w14:paraId="29B0AC25">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元/</w:t>
            </w:r>
            <w:r>
              <w:rPr>
                <w:rFonts w:hint="eastAsia" w:ascii="宋体" w:hAnsi="宋体" w:eastAsia="宋体" w:cs="宋体"/>
                <w:sz w:val="24"/>
                <w:szCs w:val="21"/>
                <w:lang w:eastAsia="zh-CN"/>
              </w:rPr>
              <w:t>标段</w:t>
            </w:r>
            <w:r>
              <w:rPr>
                <w:rFonts w:hint="eastAsia" w:ascii="宋体" w:hAnsi="宋体" w:eastAsia="宋体" w:cs="宋体"/>
                <w:sz w:val="24"/>
                <w:szCs w:val="21"/>
              </w:rPr>
              <w:t>· 3次（注：每次门窗专项单价元）</w:t>
            </w:r>
          </w:p>
        </w:tc>
        <w:tc>
          <w:tcPr>
            <w:tcW w:w="761" w:type="dxa"/>
            <w:noWrap w:val="0"/>
            <w:vAlign w:val="center"/>
          </w:tcPr>
          <w:p w14:paraId="641D26BB">
            <w:pPr>
              <w:tabs>
                <w:tab w:val="left" w:pos="851"/>
              </w:tabs>
              <w:spacing w:line="360" w:lineRule="auto"/>
              <w:ind w:right="-82"/>
              <w:rPr>
                <w:rFonts w:hint="eastAsia" w:ascii="宋体" w:hAnsi="宋体" w:eastAsia="宋体" w:cs="宋体"/>
                <w:sz w:val="24"/>
                <w:szCs w:val="21"/>
              </w:rPr>
            </w:pPr>
          </w:p>
        </w:tc>
        <w:tc>
          <w:tcPr>
            <w:tcW w:w="750" w:type="dxa"/>
            <w:noWrap w:val="0"/>
            <w:vAlign w:val="center"/>
          </w:tcPr>
          <w:p w14:paraId="79EA7C7D">
            <w:pPr>
              <w:tabs>
                <w:tab w:val="left" w:pos="851"/>
              </w:tabs>
              <w:spacing w:line="360" w:lineRule="auto"/>
              <w:ind w:right="-82"/>
              <w:rPr>
                <w:rFonts w:hint="eastAsia" w:ascii="宋体" w:hAnsi="宋体" w:eastAsia="宋体" w:cs="宋体"/>
                <w:sz w:val="24"/>
                <w:szCs w:val="21"/>
              </w:rPr>
            </w:pPr>
          </w:p>
        </w:tc>
        <w:tc>
          <w:tcPr>
            <w:tcW w:w="1275" w:type="dxa"/>
            <w:noWrap w:val="0"/>
            <w:vAlign w:val="center"/>
          </w:tcPr>
          <w:p w14:paraId="29F48854">
            <w:pPr>
              <w:tabs>
                <w:tab w:val="left" w:pos="851"/>
              </w:tabs>
              <w:spacing w:line="360" w:lineRule="auto"/>
              <w:ind w:right="-82"/>
              <w:rPr>
                <w:rFonts w:hint="eastAsia" w:ascii="宋体" w:hAnsi="宋体" w:eastAsia="宋体" w:cs="宋体"/>
                <w:sz w:val="24"/>
                <w:szCs w:val="21"/>
              </w:rPr>
            </w:pPr>
          </w:p>
        </w:tc>
      </w:tr>
      <w:tr w14:paraId="01E931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0141DC52">
            <w:pPr>
              <w:tabs>
                <w:tab w:val="left" w:pos="851"/>
              </w:tabs>
              <w:spacing w:line="360" w:lineRule="auto"/>
              <w:ind w:right="-82"/>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3</w:t>
            </w:r>
          </w:p>
        </w:tc>
        <w:tc>
          <w:tcPr>
            <w:tcW w:w="2476" w:type="dxa"/>
            <w:noWrap w:val="0"/>
            <w:vAlign w:val="center"/>
          </w:tcPr>
          <w:p w14:paraId="111D2E0A">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lang w:val="en-US" w:eastAsia="zh-CN"/>
              </w:rPr>
              <w:t>正式交付评估（交付前20天）</w:t>
            </w:r>
          </w:p>
        </w:tc>
        <w:tc>
          <w:tcPr>
            <w:tcW w:w="1384" w:type="dxa"/>
            <w:noWrap w:val="0"/>
            <w:vAlign w:val="center"/>
          </w:tcPr>
          <w:p w14:paraId="02480FB1">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不少于3人</w:t>
            </w:r>
          </w:p>
        </w:tc>
        <w:tc>
          <w:tcPr>
            <w:tcW w:w="2043" w:type="dxa"/>
            <w:noWrap w:val="0"/>
            <w:vAlign w:val="center"/>
          </w:tcPr>
          <w:p w14:paraId="1C3F9DB7">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元/交付批·次</w:t>
            </w:r>
          </w:p>
        </w:tc>
        <w:tc>
          <w:tcPr>
            <w:tcW w:w="761" w:type="dxa"/>
            <w:noWrap w:val="0"/>
            <w:vAlign w:val="center"/>
          </w:tcPr>
          <w:p w14:paraId="058DE11C">
            <w:pPr>
              <w:tabs>
                <w:tab w:val="left" w:pos="851"/>
              </w:tabs>
              <w:spacing w:line="360" w:lineRule="auto"/>
              <w:ind w:right="-82"/>
              <w:rPr>
                <w:rFonts w:hint="eastAsia" w:ascii="宋体" w:hAnsi="宋体" w:eastAsia="宋体" w:cs="宋体"/>
                <w:sz w:val="24"/>
                <w:szCs w:val="21"/>
              </w:rPr>
            </w:pPr>
          </w:p>
        </w:tc>
        <w:tc>
          <w:tcPr>
            <w:tcW w:w="750" w:type="dxa"/>
            <w:noWrap w:val="0"/>
            <w:vAlign w:val="center"/>
          </w:tcPr>
          <w:p w14:paraId="63FD7DE1">
            <w:pPr>
              <w:tabs>
                <w:tab w:val="left" w:pos="851"/>
              </w:tabs>
              <w:spacing w:line="360" w:lineRule="auto"/>
              <w:ind w:right="-82"/>
              <w:rPr>
                <w:rFonts w:hint="eastAsia" w:ascii="宋体" w:hAnsi="宋体" w:eastAsia="宋体" w:cs="宋体"/>
                <w:sz w:val="24"/>
                <w:szCs w:val="21"/>
              </w:rPr>
            </w:pPr>
          </w:p>
        </w:tc>
        <w:tc>
          <w:tcPr>
            <w:tcW w:w="1275" w:type="dxa"/>
            <w:noWrap w:val="0"/>
            <w:vAlign w:val="center"/>
          </w:tcPr>
          <w:p w14:paraId="67EDFB13">
            <w:pPr>
              <w:tabs>
                <w:tab w:val="left" w:pos="851"/>
              </w:tabs>
              <w:spacing w:line="360" w:lineRule="auto"/>
              <w:ind w:right="-82"/>
              <w:rPr>
                <w:rFonts w:hint="eastAsia" w:ascii="宋体" w:hAnsi="宋体" w:eastAsia="宋体" w:cs="宋体"/>
                <w:sz w:val="24"/>
                <w:szCs w:val="21"/>
              </w:rPr>
            </w:pPr>
          </w:p>
        </w:tc>
      </w:tr>
      <w:tr w14:paraId="0925A8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6D2769C7">
            <w:pPr>
              <w:tabs>
                <w:tab w:val="left" w:pos="851"/>
              </w:tabs>
              <w:spacing w:line="360" w:lineRule="auto"/>
              <w:ind w:right="-82"/>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4</w:t>
            </w:r>
          </w:p>
        </w:tc>
        <w:tc>
          <w:tcPr>
            <w:tcW w:w="2476" w:type="dxa"/>
            <w:noWrap w:val="0"/>
            <w:vAlign w:val="center"/>
          </w:tcPr>
          <w:p w14:paraId="182E068B">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lang w:val="en-US" w:eastAsia="zh-CN"/>
              </w:rPr>
              <w:t>预交付评估（交付前50-60天）</w:t>
            </w:r>
          </w:p>
        </w:tc>
        <w:tc>
          <w:tcPr>
            <w:tcW w:w="1384" w:type="dxa"/>
            <w:noWrap w:val="0"/>
            <w:vAlign w:val="center"/>
          </w:tcPr>
          <w:p w14:paraId="18838392">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3人</w:t>
            </w:r>
          </w:p>
        </w:tc>
        <w:tc>
          <w:tcPr>
            <w:tcW w:w="2043" w:type="dxa"/>
            <w:noWrap w:val="0"/>
            <w:vAlign w:val="center"/>
          </w:tcPr>
          <w:p w14:paraId="5A08B46E">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元/交付批·次</w:t>
            </w:r>
          </w:p>
        </w:tc>
        <w:tc>
          <w:tcPr>
            <w:tcW w:w="761" w:type="dxa"/>
            <w:noWrap w:val="0"/>
            <w:vAlign w:val="center"/>
          </w:tcPr>
          <w:p w14:paraId="38DC5912">
            <w:pPr>
              <w:tabs>
                <w:tab w:val="left" w:pos="851"/>
              </w:tabs>
              <w:spacing w:line="360" w:lineRule="auto"/>
              <w:ind w:right="-82"/>
              <w:rPr>
                <w:rFonts w:hint="eastAsia" w:ascii="宋体" w:hAnsi="宋体" w:eastAsia="宋体" w:cs="宋体"/>
                <w:sz w:val="24"/>
                <w:szCs w:val="21"/>
              </w:rPr>
            </w:pPr>
          </w:p>
        </w:tc>
        <w:tc>
          <w:tcPr>
            <w:tcW w:w="750" w:type="dxa"/>
            <w:noWrap w:val="0"/>
            <w:vAlign w:val="center"/>
          </w:tcPr>
          <w:p w14:paraId="3BC62F0B">
            <w:pPr>
              <w:tabs>
                <w:tab w:val="left" w:pos="851"/>
              </w:tabs>
              <w:spacing w:line="360" w:lineRule="auto"/>
              <w:ind w:right="-82"/>
              <w:rPr>
                <w:rFonts w:hint="eastAsia" w:ascii="宋体" w:hAnsi="宋体" w:eastAsia="宋体" w:cs="宋体"/>
                <w:sz w:val="24"/>
                <w:szCs w:val="21"/>
              </w:rPr>
            </w:pPr>
          </w:p>
        </w:tc>
        <w:tc>
          <w:tcPr>
            <w:tcW w:w="1275" w:type="dxa"/>
            <w:noWrap w:val="0"/>
            <w:vAlign w:val="center"/>
          </w:tcPr>
          <w:p w14:paraId="5B261095">
            <w:pPr>
              <w:tabs>
                <w:tab w:val="left" w:pos="851"/>
              </w:tabs>
              <w:spacing w:line="360" w:lineRule="auto"/>
              <w:ind w:right="-82"/>
              <w:rPr>
                <w:rFonts w:hint="eastAsia" w:ascii="宋体" w:hAnsi="宋体" w:eastAsia="宋体" w:cs="宋体"/>
                <w:sz w:val="24"/>
                <w:szCs w:val="21"/>
              </w:rPr>
            </w:pPr>
          </w:p>
        </w:tc>
      </w:tr>
      <w:tr w14:paraId="557996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3DF15628">
            <w:pPr>
              <w:tabs>
                <w:tab w:val="left" w:pos="851"/>
              </w:tabs>
              <w:spacing w:line="360" w:lineRule="auto"/>
              <w:ind w:right="-82"/>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5</w:t>
            </w:r>
          </w:p>
        </w:tc>
        <w:tc>
          <w:tcPr>
            <w:tcW w:w="2476" w:type="dxa"/>
            <w:noWrap w:val="0"/>
            <w:vAlign w:val="center"/>
          </w:tcPr>
          <w:p w14:paraId="3880BD72">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lang w:val="en-US" w:eastAsia="zh-CN"/>
              </w:rPr>
              <w:t>预交付评估渗漏复查</w:t>
            </w:r>
          </w:p>
        </w:tc>
        <w:tc>
          <w:tcPr>
            <w:tcW w:w="1384" w:type="dxa"/>
            <w:noWrap w:val="0"/>
            <w:vAlign w:val="center"/>
          </w:tcPr>
          <w:p w14:paraId="092BD321">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1人</w:t>
            </w:r>
          </w:p>
        </w:tc>
        <w:tc>
          <w:tcPr>
            <w:tcW w:w="2043" w:type="dxa"/>
            <w:noWrap w:val="0"/>
            <w:vAlign w:val="center"/>
          </w:tcPr>
          <w:p w14:paraId="7CE01352">
            <w:pPr>
              <w:tabs>
                <w:tab w:val="left" w:pos="851"/>
              </w:tabs>
              <w:spacing w:line="360" w:lineRule="auto"/>
              <w:ind w:right="-82"/>
              <w:rPr>
                <w:rFonts w:hint="eastAsia" w:ascii="宋体" w:hAnsi="宋体" w:eastAsia="宋体" w:cs="宋体"/>
                <w:sz w:val="24"/>
                <w:szCs w:val="21"/>
              </w:rPr>
            </w:pPr>
            <w:r>
              <w:rPr>
                <w:rFonts w:hint="eastAsia" w:ascii="宋体" w:hAnsi="宋体" w:eastAsia="宋体" w:cs="宋体"/>
                <w:sz w:val="24"/>
                <w:szCs w:val="21"/>
              </w:rPr>
              <w:t>元/交付批·次</w:t>
            </w:r>
          </w:p>
        </w:tc>
        <w:tc>
          <w:tcPr>
            <w:tcW w:w="761" w:type="dxa"/>
            <w:noWrap w:val="0"/>
            <w:vAlign w:val="center"/>
          </w:tcPr>
          <w:p w14:paraId="37A5D3CE">
            <w:pPr>
              <w:tabs>
                <w:tab w:val="left" w:pos="851"/>
              </w:tabs>
              <w:spacing w:line="360" w:lineRule="auto"/>
              <w:ind w:right="-82"/>
              <w:rPr>
                <w:rFonts w:hint="eastAsia" w:ascii="宋体" w:hAnsi="宋体" w:eastAsia="宋体" w:cs="宋体"/>
                <w:sz w:val="24"/>
                <w:szCs w:val="21"/>
              </w:rPr>
            </w:pPr>
          </w:p>
        </w:tc>
        <w:tc>
          <w:tcPr>
            <w:tcW w:w="750" w:type="dxa"/>
            <w:noWrap w:val="0"/>
            <w:vAlign w:val="center"/>
          </w:tcPr>
          <w:p w14:paraId="6F6F495E">
            <w:pPr>
              <w:tabs>
                <w:tab w:val="left" w:pos="851"/>
              </w:tabs>
              <w:spacing w:line="360" w:lineRule="auto"/>
              <w:ind w:right="-82"/>
              <w:rPr>
                <w:rFonts w:hint="eastAsia" w:ascii="宋体" w:hAnsi="宋体" w:eastAsia="宋体" w:cs="宋体"/>
                <w:sz w:val="24"/>
                <w:szCs w:val="21"/>
              </w:rPr>
            </w:pPr>
          </w:p>
        </w:tc>
        <w:tc>
          <w:tcPr>
            <w:tcW w:w="1275" w:type="dxa"/>
            <w:noWrap w:val="0"/>
            <w:vAlign w:val="center"/>
          </w:tcPr>
          <w:p w14:paraId="1F7856C5">
            <w:pPr>
              <w:tabs>
                <w:tab w:val="left" w:pos="851"/>
              </w:tabs>
              <w:spacing w:line="360" w:lineRule="auto"/>
              <w:ind w:right="-82"/>
              <w:rPr>
                <w:rFonts w:hint="eastAsia" w:ascii="宋体" w:hAnsi="宋体" w:eastAsia="宋体" w:cs="宋体"/>
                <w:sz w:val="24"/>
                <w:szCs w:val="21"/>
              </w:rPr>
            </w:pPr>
          </w:p>
        </w:tc>
      </w:tr>
      <w:tr w14:paraId="299E3B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4E3870D5">
            <w:pPr>
              <w:tabs>
                <w:tab w:val="left" w:pos="851"/>
              </w:tabs>
              <w:spacing w:line="360" w:lineRule="auto"/>
              <w:ind w:right="-82"/>
              <w:rPr>
                <w:rFonts w:hint="default" w:ascii="宋体" w:hAnsi="宋体" w:eastAsia="宋体" w:cs="宋体"/>
                <w:sz w:val="24"/>
                <w:szCs w:val="21"/>
                <w:lang w:val="en-US" w:eastAsia="zh-CN"/>
              </w:rPr>
            </w:pPr>
            <w:r>
              <w:rPr>
                <w:rFonts w:hint="eastAsia" w:ascii="宋体" w:hAnsi="宋体" w:eastAsia="宋体" w:cs="宋体"/>
                <w:sz w:val="24"/>
                <w:szCs w:val="21"/>
                <w:lang w:val="en-US" w:eastAsia="zh-CN"/>
              </w:rPr>
              <w:t>6</w:t>
            </w:r>
          </w:p>
        </w:tc>
        <w:tc>
          <w:tcPr>
            <w:tcW w:w="2476" w:type="dxa"/>
            <w:noWrap w:val="0"/>
            <w:vAlign w:val="center"/>
          </w:tcPr>
          <w:p w14:paraId="5E1A1265">
            <w:pPr>
              <w:tabs>
                <w:tab w:val="left" w:pos="851"/>
              </w:tabs>
              <w:spacing w:line="360" w:lineRule="auto"/>
              <w:ind w:right="-82"/>
              <w:rPr>
                <w:rFonts w:hint="default" w:ascii="宋体" w:hAnsi="宋体" w:eastAsia="宋体" w:cs="宋体"/>
                <w:sz w:val="24"/>
                <w:szCs w:val="21"/>
                <w:lang w:val="en-US" w:eastAsia="zh-CN"/>
              </w:rPr>
            </w:pPr>
            <w:r>
              <w:rPr>
                <w:rFonts w:hint="eastAsia" w:ascii="宋体" w:hAnsi="宋体" w:eastAsia="宋体" w:cs="宋体"/>
                <w:sz w:val="24"/>
                <w:szCs w:val="21"/>
                <w:lang w:val="en-US" w:eastAsia="zh-CN"/>
              </w:rPr>
              <w:t>总计</w:t>
            </w:r>
          </w:p>
        </w:tc>
        <w:tc>
          <w:tcPr>
            <w:tcW w:w="1384" w:type="dxa"/>
            <w:noWrap w:val="0"/>
            <w:vAlign w:val="center"/>
          </w:tcPr>
          <w:p w14:paraId="7A84EA76">
            <w:pPr>
              <w:tabs>
                <w:tab w:val="left" w:pos="851"/>
              </w:tabs>
              <w:spacing w:line="360" w:lineRule="auto"/>
              <w:ind w:right="-82"/>
              <w:rPr>
                <w:rFonts w:hint="eastAsia" w:ascii="宋体" w:hAnsi="宋体" w:eastAsia="宋体" w:cs="宋体"/>
                <w:sz w:val="24"/>
                <w:szCs w:val="21"/>
              </w:rPr>
            </w:pPr>
          </w:p>
        </w:tc>
        <w:tc>
          <w:tcPr>
            <w:tcW w:w="2043" w:type="dxa"/>
            <w:noWrap w:val="0"/>
            <w:vAlign w:val="center"/>
          </w:tcPr>
          <w:p w14:paraId="3E7AFCFB">
            <w:pPr>
              <w:tabs>
                <w:tab w:val="left" w:pos="851"/>
              </w:tabs>
              <w:spacing w:line="360" w:lineRule="auto"/>
              <w:ind w:right="-82"/>
              <w:rPr>
                <w:rFonts w:hint="eastAsia" w:ascii="宋体" w:hAnsi="宋体" w:eastAsia="宋体" w:cs="宋体"/>
                <w:sz w:val="24"/>
                <w:szCs w:val="21"/>
              </w:rPr>
            </w:pPr>
          </w:p>
        </w:tc>
        <w:tc>
          <w:tcPr>
            <w:tcW w:w="761" w:type="dxa"/>
            <w:noWrap w:val="0"/>
            <w:vAlign w:val="center"/>
          </w:tcPr>
          <w:p w14:paraId="092E4166">
            <w:pPr>
              <w:tabs>
                <w:tab w:val="left" w:pos="851"/>
              </w:tabs>
              <w:spacing w:line="360" w:lineRule="auto"/>
              <w:ind w:right="-82"/>
              <w:rPr>
                <w:rFonts w:hint="eastAsia" w:ascii="宋体" w:hAnsi="宋体" w:eastAsia="宋体" w:cs="宋体"/>
                <w:sz w:val="24"/>
                <w:szCs w:val="21"/>
                <w:lang w:val="en-US" w:eastAsia="zh-CN"/>
              </w:rPr>
            </w:pPr>
          </w:p>
        </w:tc>
        <w:tc>
          <w:tcPr>
            <w:tcW w:w="750" w:type="dxa"/>
            <w:noWrap w:val="0"/>
            <w:vAlign w:val="center"/>
          </w:tcPr>
          <w:p w14:paraId="03215989">
            <w:pPr>
              <w:tabs>
                <w:tab w:val="left" w:pos="851"/>
              </w:tabs>
              <w:spacing w:line="360" w:lineRule="auto"/>
              <w:ind w:right="-82"/>
              <w:rPr>
                <w:rFonts w:hint="eastAsia" w:ascii="宋体" w:hAnsi="宋体" w:eastAsia="宋体" w:cs="宋体"/>
                <w:sz w:val="24"/>
                <w:szCs w:val="21"/>
                <w:lang w:val="en-US" w:eastAsia="zh-CN"/>
              </w:rPr>
            </w:pPr>
          </w:p>
        </w:tc>
        <w:tc>
          <w:tcPr>
            <w:tcW w:w="1275" w:type="dxa"/>
            <w:noWrap w:val="0"/>
            <w:vAlign w:val="center"/>
          </w:tcPr>
          <w:p w14:paraId="5886D105">
            <w:pPr>
              <w:tabs>
                <w:tab w:val="left" w:pos="851"/>
              </w:tabs>
              <w:spacing w:line="360" w:lineRule="auto"/>
              <w:ind w:right="-82"/>
              <w:rPr>
                <w:rFonts w:hint="default" w:ascii="宋体" w:hAnsi="宋体" w:eastAsia="宋体" w:cs="宋体"/>
                <w:sz w:val="24"/>
                <w:szCs w:val="21"/>
                <w:lang w:val="en-US" w:eastAsia="zh-CN"/>
              </w:rPr>
            </w:pPr>
          </w:p>
        </w:tc>
      </w:tr>
    </w:tbl>
    <w:p w14:paraId="06812450">
      <w:pPr>
        <w:tabs>
          <w:tab w:val="left" w:pos="851"/>
        </w:tabs>
        <w:spacing w:line="360" w:lineRule="auto"/>
        <w:ind w:right="-82"/>
        <w:rPr>
          <w:rFonts w:hint="eastAsia" w:ascii="宋体" w:hAnsi="宋体" w:eastAsia="宋体" w:cs="宋体"/>
          <w:sz w:val="24"/>
          <w:szCs w:val="21"/>
        </w:rPr>
      </w:pPr>
    </w:p>
    <w:p w14:paraId="65CD64FD">
      <w:pPr>
        <w:pStyle w:val="38"/>
        <w:spacing w:line="360" w:lineRule="auto"/>
        <w:ind w:firstLine="482"/>
        <w:rPr>
          <w:rFonts w:ascii="宋体" w:hAnsi="宋体" w:eastAsia="宋体" w:cs="宋体"/>
          <w:b/>
          <w:bCs/>
          <w:sz w:val="24"/>
        </w:rPr>
      </w:pPr>
      <w:r>
        <w:rPr>
          <w:rFonts w:hint="eastAsia" w:ascii="宋体" w:hAnsi="宋体" w:eastAsia="宋体" w:cs="宋体"/>
          <w:b/>
          <w:bCs/>
          <w:sz w:val="24"/>
          <w:lang w:eastAsia="zh-CN"/>
        </w:rPr>
        <w:t>八</w:t>
      </w:r>
      <w:r>
        <w:rPr>
          <w:rFonts w:hint="eastAsia" w:ascii="宋体" w:hAnsi="宋体" w:eastAsia="宋体" w:cs="宋体"/>
          <w:b/>
          <w:bCs/>
          <w:sz w:val="24"/>
        </w:rPr>
        <w:t>、付款方式：</w:t>
      </w:r>
    </w:p>
    <w:p w14:paraId="7E4DFB1C">
      <w:pPr>
        <w:pStyle w:val="38"/>
        <w:spacing w:line="360" w:lineRule="auto"/>
        <w:ind w:firstLine="480"/>
        <w:rPr>
          <w:rFonts w:hint="eastAsia" w:ascii="宋体" w:hAnsi="宋体" w:eastAsia="宋体" w:cs="宋体"/>
          <w:sz w:val="24"/>
          <w:lang w:eastAsia="zh-CN"/>
        </w:rPr>
      </w:pPr>
      <w:r>
        <w:rPr>
          <w:rFonts w:hint="eastAsia" w:ascii="宋体" w:hAnsi="宋体" w:eastAsia="宋体" w:cs="宋体"/>
          <w:sz w:val="24"/>
          <w:lang w:val="en-US" w:eastAsia="zh-CN"/>
        </w:rPr>
        <w:t>8</w:t>
      </w:r>
      <w:r>
        <w:rPr>
          <w:rFonts w:hint="eastAsia" w:ascii="宋体" w:hAnsi="宋体" w:eastAsia="宋体" w:cs="宋体"/>
          <w:sz w:val="24"/>
        </w:rPr>
        <w:t>.1 预付款，本合同无预付款</w:t>
      </w:r>
      <w:r>
        <w:rPr>
          <w:rFonts w:hint="eastAsia" w:ascii="宋体" w:hAnsi="宋体" w:eastAsia="宋体" w:cs="宋体"/>
          <w:sz w:val="24"/>
          <w:lang w:eastAsia="zh-CN"/>
        </w:rPr>
        <w:t>。</w:t>
      </w:r>
    </w:p>
    <w:p w14:paraId="07473C0B">
      <w:pPr>
        <w:pStyle w:val="38"/>
        <w:spacing w:line="360" w:lineRule="auto"/>
        <w:ind w:firstLine="480"/>
        <w:rPr>
          <w:rFonts w:ascii="宋体" w:hAnsi="宋体" w:eastAsia="宋体" w:cs="宋体"/>
          <w:sz w:val="24"/>
        </w:rPr>
      </w:pPr>
      <w:r>
        <w:rPr>
          <w:rFonts w:hint="eastAsia" w:ascii="宋体" w:hAnsi="宋体" w:eastAsia="宋体" w:cs="宋体"/>
          <w:sz w:val="24"/>
          <w:lang w:val="en-US" w:eastAsia="zh-CN"/>
        </w:rPr>
        <w:t>8</w:t>
      </w:r>
      <w:r>
        <w:rPr>
          <w:rFonts w:ascii="宋体" w:hAnsi="宋体" w:eastAsia="宋体" w:cs="宋体"/>
          <w:sz w:val="24"/>
        </w:rPr>
        <w:t>.2</w:t>
      </w:r>
      <w:r>
        <w:rPr>
          <w:rFonts w:hint="eastAsia" w:ascii="宋体" w:hAnsi="宋体" w:eastAsia="宋体" w:cs="宋体"/>
          <w:color w:val="000000"/>
          <w:sz w:val="24"/>
          <w:szCs w:val="24"/>
        </w:rPr>
        <w:t>完成每</w:t>
      </w:r>
      <w:r>
        <w:rPr>
          <w:rFonts w:hint="eastAsia" w:ascii="宋体" w:hAnsi="宋体" w:eastAsia="宋体" w:cs="宋体"/>
          <w:color w:val="000000"/>
          <w:sz w:val="24"/>
          <w:szCs w:val="24"/>
          <w:lang w:val="en-US" w:eastAsia="zh-CN"/>
        </w:rPr>
        <w:t>次</w:t>
      </w:r>
      <w:r>
        <w:rPr>
          <w:rFonts w:hint="eastAsia" w:ascii="宋体" w:hAnsi="宋体" w:eastAsia="宋体" w:cs="宋体"/>
          <w:color w:val="000000"/>
          <w:sz w:val="24"/>
          <w:szCs w:val="24"/>
        </w:rPr>
        <w:t>评估工作，乙方所提交的</w:t>
      </w:r>
      <w:r>
        <w:rPr>
          <w:rFonts w:hint="eastAsia" w:ascii="宋体" w:hAnsi="宋体" w:eastAsia="宋体" w:cs="Times New Roman"/>
          <w:sz w:val="24"/>
          <w:szCs w:val="24"/>
        </w:rPr>
        <w:t>《</w:t>
      </w:r>
      <w:r>
        <w:rPr>
          <w:rFonts w:hint="eastAsia" w:ascii="宋体" w:hAnsi="宋体" w:eastAsia="宋体" w:cs="Times New Roman"/>
          <w:b/>
          <w:bCs/>
          <w:sz w:val="24"/>
          <w:szCs w:val="24"/>
          <w:lang w:val="en-US" w:eastAsia="zh-CN"/>
        </w:rPr>
        <w:t>亳州</w:t>
      </w:r>
      <w:r>
        <w:rPr>
          <w:rFonts w:hint="eastAsia" w:ascii="宋体" w:hAnsi="宋体" w:eastAsia="宋体" w:cs="Times New Roman"/>
          <w:b/>
          <w:bCs/>
          <w:sz w:val="24"/>
          <w:szCs w:val="24"/>
          <w:highlight w:val="none"/>
          <w:lang w:val="en-US" w:eastAsia="zh-CN"/>
        </w:rPr>
        <w:t>逸合府</w:t>
      </w:r>
      <w:r>
        <w:rPr>
          <w:rFonts w:hint="eastAsia" w:ascii="宋体" w:hAnsi="宋体" w:eastAsia="宋体" w:cs="Times New Roman"/>
          <w:b/>
          <w:bCs/>
          <w:sz w:val="24"/>
          <w:szCs w:val="24"/>
          <w:highlight w:val="none"/>
        </w:rPr>
        <w:t>项目工程品质评估报告</w:t>
      </w:r>
      <w:r>
        <w:rPr>
          <w:rFonts w:hint="eastAsia" w:ascii="宋体" w:hAnsi="宋体" w:eastAsia="宋体" w:cs="Times New Roman"/>
          <w:sz w:val="24"/>
          <w:szCs w:val="24"/>
        </w:rPr>
        <w:t>》</w:t>
      </w:r>
      <w:r>
        <w:rPr>
          <w:rFonts w:hint="eastAsia" w:ascii="宋体" w:hAnsi="宋体" w:eastAsia="宋体" w:cs="宋体"/>
          <w:color w:val="000000"/>
          <w:sz w:val="24"/>
          <w:szCs w:val="24"/>
        </w:rPr>
        <w:t>经甲方验收合格之日起</w:t>
      </w:r>
      <w:r>
        <w:rPr>
          <w:rFonts w:hint="eastAsia" w:ascii="宋体" w:hAnsi="宋体" w:eastAsia="宋体" w:cs="宋体"/>
          <w:color w:val="000000"/>
          <w:sz w:val="24"/>
          <w:szCs w:val="24"/>
          <w:u w:val="single"/>
        </w:rPr>
        <w:t>15</w:t>
      </w:r>
      <w:r>
        <w:rPr>
          <w:rFonts w:hint="eastAsia" w:ascii="宋体" w:hAnsi="宋体" w:eastAsia="宋体" w:cs="宋体"/>
          <w:color w:val="000000"/>
          <w:sz w:val="24"/>
          <w:szCs w:val="24"/>
        </w:rPr>
        <w:t>日内</w:t>
      </w:r>
      <w:r>
        <w:rPr>
          <w:rFonts w:hint="eastAsia" w:ascii="宋体" w:hAnsi="宋体" w:eastAsia="宋体" w:cs="宋体"/>
          <w:color w:val="auto"/>
          <w:sz w:val="24"/>
          <w:szCs w:val="24"/>
        </w:rPr>
        <w:t>（收到之日起</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日内未提出任何异议的即视为验收合格）</w:t>
      </w:r>
      <w:r>
        <w:rPr>
          <w:rFonts w:hint="eastAsia" w:ascii="宋体" w:hAnsi="宋体" w:eastAsia="宋体" w:cs="宋体"/>
          <w:color w:val="000000"/>
          <w:sz w:val="24"/>
          <w:szCs w:val="24"/>
        </w:rPr>
        <w:t>，甲方按当</w:t>
      </w:r>
      <w:r>
        <w:rPr>
          <w:rFonts w:hint="eastAsia" w:ascii="宋体" w:hAnsi="宋体" w:eastAsia="宋体" w:cs="宋体"/>
          <w:color w:val="000000"/>
          <w:sz w:val="24"/>
          <w:szCs w:val="24"/>
          <w:lang w:val="en-US" w:eastAsia="zh-CN"/>
        </w:rPr>
        <w:t>次</w:t>
      </w:r>
      <w:r>
        <w:rPr>
          <w:rFonts w:hint="eastAsia" w:ascii="宋体" w:hAnsi="宋体" w:eastAsia="宋体" w:cs="宋体"/>
          <w:color w:val="000000"/>
          <w:sz w:val="24"/>
          <w:szCs w:val="24"/>
        </w:rPr>
        <w:t>实际发生评估的数量及《</w:t>
      </w:r>
      <w:r>
        <w:rPr>
          <w:rFonts w:hint="eastAsia" w:ascii="宋体" w:hAnsi="宋体" w:eastAsia="宋体" w:cs="宋体"/>
          <w:b/>
          <w:bCs/>
          <w:color w:val="auto"/>
          <w:sz w:val="24"/>
          <w:szCs w:val="24"/>
          <w:lang w:val="en-US" w:eastAsia="zh-CN"/>
        </w:rPr>
        <w:t>亳州</w:t>
      </w:r>
      <w:r>
        <w:rPr>
          <w:rFonts w:hint="eastAsia" w:ascii="Times New Roman" w:hAnsi="Times New Roman" w:eastAsia="宋体" w:cs="Times New Roman"/>
          <w:b/>
          <w:color w:val="000000"/>
          <w:sz w:val="24"/>
          <w:szCs w:val="24"/>
          <w:highlight w:val="none"/>
          <w:lang w:val="en-US" w:eastAsia="zh-CN"/>
        </w:rPr>
        <w:t>逸合府</w:t>
      </w:r>
      <w:r>
        <w:rPr>
          <w:rFonts w:hint="eastAsia" w:ascii="Times New Roman" w:hAnsi="Times New Roman" w:eastAsia="宋体" w:cs="Times New Roman"/>
          <w:b/>
          <w:color w:val="000000"/>
          <w:sz w:val="24"/>
          <w:szCs w:val="24"/>
          <w:highlight w:val="none"/>
        </w:rPr>
        <w:t>项目</w:t>
      </w:r>
      <w:r>
        <w:rPr>
          <w:rFonts w:hint="eastAsia" w:ascii="Times New Roman" w:hAnsi="Times New Roman" w:eastAsia="宋体" w:cs="Times New Roman"/>
          <w:b/>
          <w:color w:val="000000"/>
          <w:sz w:val="24"/>
          <w:szCs w:val="24"/>
        </w:rPr>
        <w:t>过程、交付评估技术服务合同</w:t>
      </w:r>
      <w:r>
        <w:rPr>
          <w:rFonts w:hint="eastAsia" w:ascii="宋体" w:hAnsi="宋体" w:eastAsia="宋体" w:cs="宋体"/>
          <w:sz w:val="24"/>
          <w:szCs w:val="24"/>
        </w:rPr>
        <w:t>》</w:t>
      </w:r>
      <w:r>
        <w:rPr>
          <w:rFonts w:hint="eastAsia" w:ascii="宋体" w:hAnsi="宋体" w:eastAsia="宋体" w:cs="宋体"/>
          <w:color w:val="000000"/>
          <w:sz w:val="24"/>
          <w:szCs w:val="24"/>
        </w:rPr>
        <w:t>约定单价计算当</w:t>
      </w:r>
      <w:r>
        <w:rPr>
          <w:rFonts w:hint="eastAsia" w:ascii="宋体" w:hAnsi="宋体" w:eastAsia="宋体" w:cs="宋体"/>
          <w:color w:val="000000"/>
          <w:sz w:val="24"/>
          <w:szCs w:val="24"/>
          <w:lang w:val="en-US" w:eastAsia="zh-CN"/>
        </w:rPr>
        <w:t>次</w:t>
      </w:r>
      <w:r>
        <w:rPr>
          <w:rFonts w:hint="eastAsia" w:ascii="宋体" w:hAnsi="宋体" w:eastAsia="宋体" w:cs="宋体"/>
          <w:color w:val="000000"/>
          <w:sz w:val="24"/>
          <w:szCs w:val="24"/>
        </w:rPr>
        <w:t>费用，由甲方向乙方支付实际发生评估费的100%。</w:t>
      </w:r>
    </w:p>
    <w:p w14:paraId="0197B9A1">
      <w:pPr>
        <w:pStyle w:val="38"/>
        <w:spacing w:line="360" w:lineRule="auto"/>
        <w:ind w:firstLine="480"/>
        <w:rPr>
          <w:rFonts w:ascii="宋体" w:hAnsi="宋体" w:eastAsia="宋体" w:cs="宋体"/>
          <w:sz w:val="24"/>
        </w:rPr>
      </w:pPr>
      <w:r>
        <w:rPr>
          <w:rFonts w:hint="eastAsia" w:ascii="宋体" w:hAnsi="宋体" w:eastAsia="宋体" w:cs="宋体"/>
          <w:sz w:val="24"/>
          <w:lang w:val="en-US" w:eastAsia="zh-CN"/>
        </w:rPr>
        <w:t>8</w:t>
      </w:r>
      <w:r>
        <w:rPr>
          <w:rFonts w:ascii="宋体" w:hAnsi="宋体" w:eastAsia="宋体" w:cs="宋体"/>
          <w:sz w:val="24"/>
        </w:rPr>
        <w:t>.3</w:t>
      </w:r>
      <w:r>
        <w:rPr>
          <w:rFonts w:hint="eastAsia" w:ascii="宋体" w:hAnsi="宋体" w:eastAsia="宋体" w:cs="宋体"/>
          <w:sz w:val="24"/>
        </w:rPr>
        <w:t>甲方每次付款前，乙方应当递交付款申请及合法、足额、正式的增值税专用发票（税率为6%）。</w:t>
      </w:r>
    </w:p>
    <w:p w14:paraId="6EA51961">
      <w:pPr>
        <w:pStyle w:val="38"/>
        <w:spacing w:line="360" w:lineRule="auto"/>
        <w:ind w:firstLine="480"/>
        <w:rPr>
          <w:rFonts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w:t>
      </w:r>
      <w:r>
        <w:rPr>
          <w:rFonts w:ascii="宋体" w:hAnsi="宋体" w:eastAsia="宋体" w:cs="宋体"/>
          <w:sz w:val="24"/>
        </w:rPr>
        <w:t>4</w:t>
      </w:r>
      <w:r>
        <w:rPr>
          <w:rFonts w:hint="eastAsia" w:ascii="宋体" w:hAnsi="宋体" w:eastAsia="宋体" w:cs="宋体"/>
          <w:sz w:val="24"/>
        </w:rPr>
        <w:t>甲方应自收到乙方寄出的含发票的快递后及时开封验收，甲方签收快递视为甲方已收到发票。</w:t>
      </w:r>
      <w:r>
        <w:rPr>
          <w:rFonts w:hint="eastAsia" w:ascii="宋体" w:hAnsi="宋体" w:eastAsia="宋体" w:cs="宋体"/>
          <w:sz w:val="24"/>
          <w:lang w:val="en-US" w:eastAsia="zh-CN"/>
        </w:rPr>
        <w:t>甲方如对发票有异议，及时向乙方提出。</w:t>
      </w:r>
      <w:r>
        <w:rPr>
          <w:rFonts w:hint="eastAsia" w:ascii="宋体" w:hAnsi="宋体" w:eastAsia="宋体" w:cs="宋体"/>
          <w:sz w:val="24"/>
        </w:rPr>
        <w:t>如因甲方原因导致已开具的发票丢失及毁损的，乙方可应甲方要求重新开票，但甲方应当支付由此产生的额外费用（其中包括每份增值税专用发票100元，每份普通发票50元，补寄发票的快递费，登报费等其它费用）。</w:t>
      </w:r>
    </w:p>
    <w:p w14:paraId="68EBA05E">
      <w:pPr>
        <w:pStyle w:val="38"/>
        <w:spacing w:line="360" w:lineRule="auto"/>
        <w:ind w:firstLine="480"/>
        <w:rPr>
          <w:rFonts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w:t>
      </w:r>
      <w:r>
        <w:rPr>
          <w:rFonts w:ascii="宋体" w:hAnsi="宋体" w:eastAsia="宋体" w:cs="宋体"/>
          <w:sz w:val="24"/>
        </w:rPr>
        <w:t>5</w:t>
      </w:r>
      <w:r>
        <w:rPr>
          <w:rFonts w:hint="eastAsia" w:ascii="宋体" w:hAnsi="宋体" w:eastAsia="宋体" w:cs="宋体"/>
          <w:sz w:val="24"/>
        </w:rPr>
        <w:t>甲方发票开具信息</w:t>
      </w:r>
    </w:p>
    <w:p w14:paraId="75DA86D3">
      <w:pPr>
        <w:pStyle w:val="39"/>
        <w:keepNext w:val="0"/>
        <w:keepLines w:val="0"/>
        <w:pageBreakBefore w:val="0"/>
        <w:widowControl/>
        <w:kinsoku/>
        <w:wordWrap/>
        <w:overflowPunct/>
        <w:topLinePunct w:val="0"/>
        <w:bidi w:val="0"/>
        <w:spacing w:line="360" w:lineRule="auto"/>
        <w:ind w:left="780" w:firstLine="0" w:firstLineChars="0"/>
        <w:jc w:val="left"/>
        <w:textAlignment w:val="auto"/>
        <w:rPr>
          <w:rFonts w:hint="default" w:ascii="宋体" w:hAnsi="宋体" w:eastAsia="宋体" w:cs="Times New Roman"/>
          <w:color w:val="000000"/>
          <w:sz w:val="24"/>
          <w:szCs w:val="24"/>
          <w:highlight w:val="none"/>
          <w:lang w:val="en-US" w:eastAsia="zh-CN"/>
        </w:rPr>
      </w:pPr>
      <w:r>
        <w:rPr>
          <w:rFonts w:hint="eastAsia" w:ascii="宋体" w:hAnsi="宋体" w:eastAsia="宋体" w:cs="Times New Roman"/>
          <w:color w:val="000000"/>
          <w:sz w:val="24"/>
          <w:szCs w:val="24"/>
          <w:highlight w:val="none"/>
        </w:rPr>
        <w:t>公司名称：</w:t>
      </w:r>
      <w:r>
        <w:rPr>
          <w:rFonts w:hint="eastAsia" w:ascii="宋体" w:hAnsi="宋体" w:eastAsia="宋体" w:cs="Times New Roman"/>
          <w:color w:val="000000"/>
          <w:sz w:val="24"/>
          <w:szCs w:val="24"/>
          <w:highlight w:val="none"/>
          <w:lang w:val="en-US" w:eastAsia="zh-CN"/>
        </w:rPr>
        <w:t>亳州通恒置业有限公司</w:t>
      </w:r>
    </w:p>
    <w:p w14:paraId="7AF9EA76">
      <w:pPr>
        <w:pStyle w:val="39"/>
        <w:keepNext w:val="0"/>
        <w:keepLines w:val="0"/>
        <w:pageBreakBefore w:val="0"/>
        <w:widowControl/>
        <w:kinsoku/>
        <w:wordWrap/>
        <w:overflowPunct/>
        <w:topLinePunct w:val="0"/>
        <w:bidi w:val="0"/>
        <w:spacing w:line="360" w:lineRule="auto"/>
        <w:ind w:left="780" w:firstLine="0" w:firstLineChars="0"/>
        <w:jc w:val="left"/>
        <w:textAlignment w:val="auto"/>
        <w:rPr>
          <w:rFonts w:hint="default"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 xml:space="preserve">发票类型：数电发票（专票）   税率：6%    发票类别项目：技术服务费 </w:t>
      </w:r>
    </w:p>
    <w:p w14:paraId="21A7FB1F">
      <w:pPr>
        <w:pStyle w:val="39"/>
        <w:keepNext w:val="0"/>
        <w:keepLines w:val="0"/>
        <w:pageBreakBefore w:val="0"/>
        <w:widowControl/>
        <w:kinsoku/>
        <w:wordWrap/>
        <w:overflowPunct/>
        <w:topLinePunct w:val="0"/>
        <w:bidi w:val="0"/>
        <w:spacing w:line="360" w:lineRule="auto"/>
        <w:ind w:left="780" w:firstLine="0" w:firstLineChars="0"/>
        <w:jc w:val="left"/>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纳税识别号/社会信用统一征码：91341600MA8L8AAW7D</w:t>
      </w:r>
    </w:p>
    <w:p w14:paraId="52B8537C">
      <w:pPr>
        <w:pStyle w:val="39"/>
        <w:keepNext w:val="0"/>
        <w:keepLines w:val="0"/>
        <w:pageBreakBefore w:val="0"/>
        <w:widowControl/>
        <w:kinsoku/>
        <w:wordWrap/>
        <w:overflowPunct/>
        <w:topLinePunct w:val="0"/>
        <w:bidi w:val="0"/>
        <w:spacing w:line="360" w:lineRule="auto"/>
        <w:ind w:left="780" w:firstLine="0" w:firstLineChars="0"/>
        <w:jc w:val="left"/>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 xml:space="preserve">注册地址：安徽省亳州市高新技术产业开发区酒城大道高铁南站金融商务中心2号楼  </w:t>
      </w:r>
    </w:p>
    <w:p w14:paraId="488B8132">
      <w:pPr>
        <w:pStyle w:val="39"/>
        <w:keepNext w:val="0"/>
        <w:keepLines w:val="0"/>
        <w:pageBreakBefore w:val="0"/>
        <w:widowControl/>
        <w:kinsoku/>
        <w:wordWrap/>
        <w:overflowPunct/>
        <w:topLinePunct w:val="0"/>
        <w:bidi w:val="0"/>
        <w:spacing w:line="360" w:lineRule="auto"/>
        <w:ind w:left="780" w:firstLine="0" w:firstLineChars="0"/>
        <w:jc w:val="left"/>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 xml:space="preserve">电话：0558-5998970  </w:t>
      </w:r>
    </w:p>
    <w:p w14:paraId="0565CA47">
      <w:pPr>
        <w:pStyle w:val="39"/>
        <w:keepNext w:val="0"/>
        <w:keepLines w:val="0"/>
        <w:pageBreakBefore w:val="0"/>
        <w:widowControl/>
        <w:kinsoku/>
        <w:wordWrap/>
        <w:overflowPunct/>
        <w:topLinePunct w:val="0"/>
        <w:bidi w:val="0"/>
        <w:spacing w:line="360" w:lineRule="auto"/>
        <w:ind w:left="780" w:firstLine="0" w:firstLineChars="0"/>
        <w:jc w:val="left"/>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开户银行：建行亳州市分行</w:t>
      </w:r>
    </w:p>
    <w:p w14:paraId="1981720C">
      <w:pPr>
        <w:pStyle w:val="39"/>
        <w:keepNext w:val="0"/>
        <w:keepLines w:val="0"/>
        <w:pageBreakBefore w:val="0"/>
        <w:widowControl/>
        <w:kinsoku/>
        <w:wordWrap/>
        <w:overflowPunct/>
        <w:topLinePunct w:val="0"/>
        <w:bidi w:val="0"/>
        <w:spacing w:line="360" w:lineRule="auto"/>
        <w:ind w:left="780" w:firstLine="0" w:firstLineChars="0"/>
        <w:jc w:val="left"/>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 xml:space="preserve">银行账户：34050188860800002404 </w:t>
      </w:r>
    </w:p>
    <w:p w14:paraId="21CA7809">
      <w:pPr>
        <w:pStyle w:val="38"/>
        <w:spacing w:line="360" w:lineRule="auto"/>
        <w:ind w:firstLine="480"/>
        <w:rPr>
          <w:rFonts w:ascii="宋体" w:hAnsi="宋体" w:eastAsia="宋体" w:cs="宋体"/>
          <w:sz w:val="24"/>
        </w:rPr>
      </w:pPr>
      <w:r>
        <w:rPr>
          <w:rFonts w:hint="eastAsia" w:ascii="宋体" w:hAnsi="宋体" w:eastAsia="宋体" w:cs="宋体"/>
          <w:sz w:val="24"/>
          <w:lang w:val="en-US" w:eastAsia="zh-CN"/>
        </w:rPr>
        <w:t>8</w:t>
      </w:r>
      <w:r>
        <w:rPr>
          <w:rFonts w:ascii="宋体" w:hAnsi="宋体" w:eastAsia="宋体" w:cs="宋体"/>
          <w:sz w:val="24"/>
        </w:rPr>
        <w:t>.</w:t>
      </w:r>
      <w:r>
        <w:rPr>
          <w:rFonts w:hint="eastAsia" w:ascii="宋体" w:hAnsi="宋体" w:eastAsia="宋体" w:cs="宋体"/>
          <w:sz w:val="24"/>
        </w:rPr>
        <w:t>6乙方银行账户信息</w:t>
      </w:r>
    </w:p>
    <w:p w14:paraId="3EF5BF90">
      <w:pPr>
        <w:pStyle w:val="38"/>
        <w:spacing w:line="360" w:lineRule="auto"/>
        <w:ind w:firstLine="480"/>
        <w:rPr>
          <w:rFonts w:hint="default" w:ascii="宋体" w:hAnsi="宋体" w:eastAsia="宋体" w:cs="宋体"/>
          <w:sz w:val="24"/>
          <w:lang w:val="en-US" w:eastAsia="zh-CN"/>
        </w:rPr>
      </w:pPr>
      <w:r>
        <w:rPr>
          <w:rFonts w:hint="eastAsia" w:ascii="宋体" w:hAnsi="宋体" w:eastAsia="宋体" w:cs="宋体"/>
          <w:sz w:val="24"/>
        </w:rPr>
        <w:t>开户名：</w:t>
      </w:r>
      <w:r>
        <w:rPr>
          <w:rFonts w:hint="eastAsia" w:ascii="宋体" w:hAnsi="宋体" w:eastAsia="宋体" w:cs="宋体"/>
          <w:sz w:val="24"/>
          <w:u w:val="single"/>
          <w:lang w:val="en-US" w:eastAsia="zh-CN"/>
        </w:rPr>
        <w:t xml:space="preserve">                     </w:t>
      </w:r>
    </w:p>
    <w:p w14:paraId="23B3A876">
      <w:pPr>
        <w:pStyle w:val="38"/>
        <w:spacing w:line="360" w:lineRule="auto"/>
        <w:ind w:firstLine="480"/>
        <w:rPr>
          <w:rFonts w:hint="default" w:ascii="宋体" w:hAnsi="宋体" w:eastAsia="宋体" w:cs="宋体"/>
          <w:sz w:val="24"/>
          <w:lang w:val="en-US" w:eastAsia="zh-CN"/>
        </w:rPr>
      </w:pPr>
      <w:r>
        <w:rPr>
          <w:rFonts w:hint="eastAsia" w:ascii="宋体" w:hAnsi="宋体" w:eastAsia="宋体" w:cs="宋体"/>
          <w:sz w:val="24"/>
        </w:rPr>
        <w:t>开户行：</w:t>
      </w:r>
      <w:r>
        <w:rPr>
          <w:rFonts w:hint="eastAsia" w:ascii="宋体" w:hAnsi="宋体" w:eastAsia="宋体" w:cs="宋体"/>
          <w:sz w:val="24"/>
          <w:u w:val="single"/>
          <w:lang w:eastAsia="zh-CN"/>
        </w:rPr>
        <w:t xml:space="preserve"> </w:t>
      </w:r>
      <w:r>
        <w:rPr>
          <w:rFonts w:hint="eastAsia" w:ascii="宋体" w:hAnsi="宋体" w:eastAsia="宋体" w:cs="宋体"/>
          <w:sz w:val="24"/>
          <w:u w:val="single"/>
          <w:lang w:val="en-US" w:eastAsia="zh-CN"/>
        </w:rPr>
        <w:t xml:space="preserve">                     </w:t>
      </w:r>
    </w:p>
    <w:p w14:paraId="48AFDA21">
      <w:pPr>
        <w:pStyle w:val="38"/>
        <w:spacing w:line="360" w:lineRule="auto"/>
        <w:ind w:firstLine="480"/>
        <w:rPr>
          <w:rFonts w:hint="default" w:ascii="宋体" w:hAnsi="宋体" w:eastAsia="宋体" w:cs="宋体"/>
          <w:sz w:val="24"/>
          <w:lang w:val="en-US" w:eastAsia="zh-CN"/>
        </w:rPr>
      </w:pPr>
      <w:r>
        <w:rPr>
          <w:rFonts w:hint="eastAsia" w:ascii="宋体" w:hAnsi="宋体" w:eastAsia="宋体" w:cs="宋体"/>
          <w:sz w:val="24"/>
        </w:rPr>
        <w:t>账号：</w:t>
      </w:r>
      <w:r>
        <w:rPr>
          <w:rFonts w:hint="eastAsia" w:ascii="宋体" w:hAnsi="宋体" w:eastAsia="宋体" w:cs="宋体"/>
          <w:sz w:val="24"/>
          <w:u w:val="single"/>
          <w:lang w:val="en-US" w:eastAsia="zh-CN"/>
        </w:rPr>
        <w:t xml:space="preserve">                         </w:t>
      </w:r>
    </w:p>
    <w:p w14:paraId="704FB93A">
      <w:pPr>
        <w:pStyle w:val="38"/>
        <w:spacing w:line="360" w:lineRule="auto"/>
        <w:ind w:firstLine="480"/>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w:t>
      </w:r>
      <w:r>
        <w:rPr>
          <w:rFonts w:ascii="宋体" w:hAnsi="宋体" w:eastAsia="宋体" w:cs="宋体"/>
          <w:sz w:val="24"/>
        </w:rPr>
        <w:t>7</w:t>
      </w:r>
      <w:r>
        <w:rPr>
          <w:rFonts w:hint="eastAsia" w:ascii="宋体" w:hAnsi="宋体" w:eastAsia="宋体" w:cs="宋体"/>
          <w:sz w:val="24"/>
        </w:rPr>
        <w:t>在履行合同过程中，如甲方的开票信息或乙方收款账户发生变更的，均应提前7个工作日内书面（邮件或函件方式）告知对方，并进行备案登记。如因一方未能及时告知对方变更信息而导致另一方遭受损失的，未告知方应当承担相应违约责任。</w:t>
      </w:r>
    </w:p>
    <w:p w14:paraId="2EE6342E">
      <w:pPr>
        <w:tabs>
          <w:tab w:val="left" w:pos="1260"/>
        </w:tabs>
        <w:spacing w:line="360" w:lineRule="auto"/>
        <w:ind w:firstLine="482" w:firstLineChars="200"/>
        <w:rPr>
          <w:rFonts w:ascii="宋体" w:hAnsi="宋体" w:eastAsia="宋体" w:cs="宋体"/>
          <w:b/>
          <w:kern w:val="0"/>
          <w:sz w:val="24"/>
          <w:szCs w:val="21"/>
        </w:rPr>
      </w:pPr>
      <w:r>
        <w:rPr>
          <w:rFonts w:hint="eastAsia" w:ascii="宋体" w:hAnsi="宋体" w:eastAsia="宋体" w:cs="宋体"/>
          <w:b/>
          <w:bCs/>
          <w:sz w:val="24"/>
          <w:szCs w:val="21"/>
          <w:lang w:eastAsia="zh-CN"/>
        </w:rPr>
        <w:t>九</w:t>
      </w:r>
      <w:r>
        <w:rPr>
          <w:rFonts w:hint="eastAsia" w:ascii="宋体" w:hAnsi="宋体" w:eastAsia="宋体" w:cs="宋体"/>
          <w:b/>
          <w:bCs/>
          <w:sz w:val="24"/>
          <w:szCs w:val="21"/>
        </w:rPr>
        <w:t>、</w:t>
      </w:r>
      <w:r>
        <w:rPr>
          <w:rFonts w:hint="eastAsia" w:ascii="宋体" w:hAnsi="宋体" w:eastAsia="宋体" w:cs="宋体"/>
          <w:b/>
          <w:sz w:val="24"/>
          <w:szCs w:val="21"/>
        </w:rPr>
        <w:t>甲方和乙方权利和义务：</w:t>
      </w:r>
    </w:p>
    <w:p w14:paraId="0725078F">
      <w:pPr>
        <w:tabs>
          <w:tab w:val="left" w:pos="1260"/>
        </w:tabs>
        <w:adjustRightInd w:val="0"/>
        <w:snapToGrid w:val="0"/>
        <w:spacing w:line="360" w:lineRule="auto"/>
        <w:ind w:firstLine="482" w:firstLineChars="200"/>
        <w:rPr>
          <w:rFonts w:ascii="宋体" w:hAnsi="宋体" w:eastAsia="宋体" w:cs="宋体"/>
          <w:sz w:val="24"/>
          <w:szCs w:val="21"/>
        </w:rPr>
      </w:pPr>
      <w:r>
        <w:rPr>
          <w:rFonts w:hint="eastAsia" w:ascii="宋体" w:hAnsi="宋体" w:eastAsia="宋体" w:cs="宋体"/>
          <w:b/>
          <w:bCs/>
          <w:sz w:val="24"/>
          <w:szCs w:val="21"/>
          <w:lang w:val="en-US" w:eastAsia="zh-CN"/>
        </w:rPr>
        <w:t>9</w:t>
      </w:r>
      <w:r>
        <w:rPr>
          <w:rFonts w:hint="eastAsia" w:ascii="宋体" w:hAnsi="宋体" w:eastAsia="宋体" w:cs="宋体"/>
          <w:b/>
          <w:bCs/>
          <w:sz w:val="24"/>
          <w:szCs w:val="21"/>
        </w:rPr>
        <w:t>.1 甲方的权利、义务</w:t>
      </w:r>
    </w:p>
    <w:p w14:paraId="3BD4DDF0">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.1.1 有权监督、督促乙方完成本合同约定委托事项，并对委托事项进行验收；</w:t>
      </w:r>
    </w:p>
    <w:p w14:paraId="2A0DFAA4">
      <w:pPr>
        <w:widowControl w:val="0"/>
        <w:spacing w:line="360" w:lineRule="auto"/>
        <w:ind w:firstLine="480" w:firstLineChars="200"/>
        <w:jc w:val="both"/>
        <w:rPr>
          <w:rFonts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9.1.2 协助提供项目现场评估所需相关资料（包括但不限于项目图纸、施工方案、设计变更等）、会议设备、打印设备等，以确保乙方现场评估工作顺利开展； </w:t>
      </w:r>
    </w:p>
    <w:p w14:paraId="0BA8AA31">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.1.3 按合同约定支付相关款项；</w:t>
      </w:r>
    </w:p>
    <w:p w14:paraId="0E2B5EC2">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ascii="宋体" w:hAnsi="宋体" w:eastAsia="宋体" w:cs="宋体"/>
          <w:sz w:val="24"/>
          <w:szCs w:val="21"/>
        </w:rPr>
        <w:t xml:space="preserve">.1.4 </w:t>
      </w:r>
      <w:r>
        <w:rPr>
          <w:rFonts w:hint="eastAsia" w:ascii="宋体" w:hAnsi="宋体" w:eastAsia="宋体" w:cs="宋体"/>
          <w:sz w:val="24"/>
          <w:szCs w:val="21"/>
        </w:rPr>
        <w:t>指派专人负责此合约执行的联络人</w:t>
      </w:r>
    </w:p>
    <w:p w14:paraId="001F2131">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.1.</w:t>
      </w:r>
      <w:r>
        <w:rPr>
          <w:rFonts w:ascii="宋体" w:hAnsi="宋体" w:eastAsia="宋体" w:cs="宋体"/>
          <w:sz w:val="24"/>
          <w:szCs w:val="21"/>
        </w:rPr>
        <w:t>5</w:t>
      </w:r>
      <w:r>
        <w:rPr>
          <w:rFonts w:hint="eastAsia" w:ascii="宋体" w:hAnsi="宋体" w:eastAsia="宋体" w:cs="宋体"/>
          <w:sz w:val="24"/>
          <w:szCs w:val="21"/>
        </w:rPr>
        <w:t xml:space="preserve"> 对乙方工作提出改进建议；</w:t>
      </w:r>
    </w:p>
    <w:p w14:paraId="42F1F6B7">
      <w:pPr>
        <w:widowControl w:val="0"/>
        <w:spacing w:line="360" w:lineRule="auto"/>
        <w:ind w:firstLine="480" w:firstLineChars="200"/>
        <w:jc w:val="both"/>
        <w:rPr>
          <w:rFonts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9.1.</w:t>
      </w:r>
      <w:r>
        <w:rPr>
          <w:rFonts w:ascii="宋体" w:hAnsi="宋体" w:eastAsia="宋体" w:cs="宋体"/>
          <w:kern w:val="2"/>
          <w:sz w:val="24"/>
          <w:szCs w:val="24"/>
          <w:lang w:val="en-US" w:eastAsia="zh-CN" w:bidi="ar-SA"/>
        </w:rPr>
        <w:t>6</w:t>
      </w:r>
      <w:r>
        <w:rPr>
          <w:rFonts w:hint="eastAsia" w:ascii="宋体" w:hAnsi="宋体" w:eastAsia="宋体" w:cs="宋体"/>
          <w:kern w:val="2"/>
          <w:sz w:val="24"/>
          <w:szCs w:val="24"/>
          <w:lang w:val="en-US" w:eastAsia="zh-CN" w:bidi="ar-SA"/>
        </w:rPr>
        <w:t xml:space="preserve"> 现场评估工作完成后，甲方或项目公司配合乙方对当次项目的完成工作量予以现场盖章确认；</w:t>
      </w:r>
    </w:p>
    <w:p w14:paraId="22F35522">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.1.</w:t>
      </w:r>
      <w:r>
        <w:rPr>
          <w:rFonts w:ascii="宋体" w:hAnsi="宋体" w:eastAsia="宋体" w:cs="宋体"/>
          <w:sz w:val="24"/>
          <w:szCs w:val="21"/>
        </w:rPr>
        <w:t>7</w:t>
      </w:r>
      <w:r>
        <w:rPr>
          <w:rFonts w:hint="eastAsia" w:ascii="宋体" w:hAnsi="宋体" w:eastAsia="宋体" w:cs="宋体"/>
          <w:sz w:val="24"/>
          <w:szCs w:val="21"/>
        </w:rPr>
        <w:t xml:space="preserve"> 应及时就乙方的请示、建议、报告等以书面文件或邮件的形式进行回复和决策。</w:t>
      </w:r>
    </w:p>
    <w:p w14:paraId="04098D05">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.1.</w:t>
      </w:r>
      <w:r>
        <w:rPr>
          <w:rFonts w:ascii="宋体" w:hAnsi="宋体" w:eastAsia="宋体" w:cs="宋体"/>
          <w:sz w:val="24"/>
          <w:szCs w:val="21"/>
        </w:rPr>
        <w:t>8</w:t>
      </w:r>
      <w:r>
        <w:rPr>
          <w:rFonts w:hint="eastAsia" w:ascii="宋体" w:hAnsi="宋体" w:eastAsia="宋体" w:cs="宋体"/>
          <w:sz w:val="24"/>
          <w:szCs w:val="21"/>
        </w:rPr>
        <w:t xml:space="preserve"> 有权对乙方派出的不符合甲方要求的人员提出更换；对乙方完成本合同约定委托事项进行调整，提出改进之建议并审核；</w:t>
      </w:r>
    </w:p>
    <w:p w14:paraId="6336C737">
      <w:pPr>
        <w:tabs>
          <w:tab w:val="left" w:pos="1260"/>
        </w:tabs>
        <w:adjustRightInd w:val="0"/>
        <w:snapToGrid w:val="0"/>
        <w:spacing w:line="360" w:lineRule="auto"/>
        <w:ind w:firstLine="482" w:firstLineChars="200"/>
        <w:rPr>
          <w:rFonts w:ascii="宋体" w:hAnsi="宋体" w:eastAsia="宋体" w:cs="宋体"/>
          <w:b/>
          <w:bCs/>
          <w:sz w:val="24"/>
          <w:szCs w:val="21"/>
        </w:rPr>
      </w:pPr>
      <w:r>
        <w:rPr>
          <w:rFonts w:hint="eastAsia" w:ascii="宋体" w:hAnsi="宋体" w:eastAsia="宋体" w:cs="宋体"/>
          <w:b/>
          <w:bCs/>
          <w:sz w:val="24"/>
          <w:szCs w:val="21"/>
          <w:lang w:val="en-US" w:eastAsia="zh-CN"/>
        </w:rPr>
        <w:t>9</w:t>
      </w:r>
      <w:r>
        <w:rPr>
          <w:rFonts w:hint="eastAsia" w:ascii="宋体" w:hAnsi="宋体" w:eastAsia="宋体" w:cs="宋体"/>
          <w:b/>
          <w:bCs/>
          <w:sz w:val="24"/>
          <w:szCs w:val="21"/>
        </w:rPr>
        <w:t>.2 乙方的权利、义务</w:t>
      </w:r>
    </w:p>
    <w:p w14:paraId="3CA7D6DA">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.2.1 乙方承诺并保证具备履行本合同委托事项的各项法定资格、并提供相关证明文件；</w:t>
      </w:r>
    </w:p>
    <w:p w14:paraId="2835ACA6">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.2.2 乙方不得将本合同约定委托事项全部或者部分转委托给第三方；</w:t>
      </w:r>
    </w:p>
    <w:p w14:paraId="247A9B4F">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 xml:space="preserve">.2.3 乙方人员应遵守项目安全管理的相关法律法规和要求，熟练掌握检查体系要求的方法及相关技术； </w:t>
      </w:r>
    </w:p>
    <w:p w14:paraId="1F2BF621">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.2.4 乙方应当负责其委派的评估技术服务人员在本合同履行期限内的食宿、交通、人身、财产责任安全，并负责为本公司人员购买意外伤害保险，并对因其评估人员的操作不当而造成的其他人身、财产责任安全负责；如因甲方原因导致乙方评估工作人员的人身、财产遭受损失的，甲方应当承担相应赔偿责任；</w:t>
      </w:r>
    </w:p>
    <w:p w14:paraId="305A7DF1">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.2.5 乙方应按照本合同约定以及甲方要求及时进行沟通，按时向甲方提交符合要求的评估报告，并积极配合甲方提出的建议改进工作；</w:t>
      </w:r>
    </w:p>
    <w:p w14:paraId="3DB7C021">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ascii="宋体" w:hAnsi="宋体" w:eastAsia="宋体" w:cs="宋体"/>
          <w:sz w:val="24"/>
          <w:szCs w:val="21"/>
        </w:rPr>
        <w:t xml:space="preserve">.2.6 </w:t>
      </w:r>
      <w:r>
        <w:rPr>
          <w:rFonts w:hint="eastAsia" w:ascii="宋体" w:hAnsi="宋体" w:eastAsia="宋体" w:cs="宋体"/>
          <w:sz w:val="24"/>
          <w:szCs w:val="21"/>
        </w:rPr>
        <w:t>乙方在评估前，根据甲方提供的拟评估项目清单，拟定评估计划和行程，报甲方同意后开始实施；</w:t>
      </w:r>
    </w:p>
    <w:p w14:paraId="22A22A62">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.2.</w:t>
      </w:r>
      <w:r>
        <w:rPr>
          <w:rFonts w:ascii="宋体" w:hAnsi="宋体" w:eastAsia="宋体" w:cs="宋体"/>
          <w:sz w:val="24"/>
          <w:szCs w:val="21"/>
        </w:rPr>
        <w:t>7</w:t>
      </w:r>
      <w:r>
        <w:rPr>
          <w:rFonts w:hint="eastAsia" w:ascii="宋体" w:hAnsi="宋体" w:eastAsia="宋体" w:cs="宋体"/>
          <w:sz w:val="24"/>
          <w:szCs w:val="21"/>
        </w:rPr>
        <w:t xml:space="preserve"> 乙方人员进入待评估项目后，应负责自身人身安全，在进行评估技术服务工作期间做好自身防护工作。</w:t>
      </w:r>
    </w:p>
    <w:p w14:paraId="79BAEA45">
      <w:pPr>
        <w:tabs>
          <w:tab w:val="left" w:pos="1260"/>
        </w:tabs>
        <w:adjustRightInd w:val="0"/>
        <w:snapToGrid w:val="0"/>
        <w:spacing w:line="360" w:lineRule="auto"/>
        <w:ind w:firstLine="480" w:firstLineChars="200"/>
        <w:rPr>
          <w:rFonts w:ascii="宋体" w:hAnsi="宋体" w:eastAsia="宋体" w:cs="宋体"/>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.2.</w:t>
      </w:r>
      <w:r>
        <w:rPr>
          <w:rFonts w:ascii="宋体" w:hAnsi="宋体" w:eastAsia="宋体" w:cs="宋体"/>
          <w:sz w:val="24"/>
          <w:szCs w:val="21"/>
        </w:rPr>
        <w:t>8</w:t>
      </w:r>
      <w:r>
        <w:rPr>
          <w:rFonts w:hint="eastAsia" w:ascii="宋体" w:hAnsi="宋体" w:eastAsia="宋体" w:cs="宋体"/>
          <w:sz w:val="24"/>
          <w:szCs w:val="21"/>
        </w:rPr>
        <w:t xml:space="preserve"> 乙方无正当理由，不得随意更换评估技术服务人员，确需更换人员，需与甲方沟通确认，除人员离职等特殊原因外。</w:t>
      </w:r>
    </w:p>
    <w:p w14:paraId="7A9A7257">
      <w:pPr>
        <w:tabs>
          <w:tab w:val="left" w:pos="1260"/>
        </w:tabs>
        <w:adjustRightInd w:val="0"/>
        <w:snapToGrid w:val="0"/>
        <w:spacing w:line="360" w:lineRule="auto"/>
        <w:ind w:firstLine="480" w:firstLineChars="200"/>
        <w:rPr>
          <w:rFonts w:ascii="Times New Roman" w:hAnsi="Times New Roman" w:eastAsia="宋体" w:cs="Times New Roman"/>
          <w:sz w:val="24"/>
          <w:szCs w:val="21"/>
        </w:rPr>
      </w:pPr>
      <w:r>
        <w:rPr>
          <w:rFonts w:hint="eastAsia" w:ascii="宋体" w:hAnsi="宋体" w:eastAsia="宋体" w:cs="宋体"/>
          <w:sz w:val="24"/>
          <w:szCs w:val="21"/>
          <w:lang w:val="en-US" w:eastAsia="zh-CN"/>
        </w:rPr>
        <w:t>9</w:t>
      </w:r>
      <w:r>
        <w:rPr>
          <w:rFonts w:hint="eastAsia" w:ascii="宋体" w:hAnsi="宋体" w:eastAsia="宋体" w:cs="宋体"/>
          <w:sz w:val="24"/>
          <w:szCs w:val="21"/>
        </w:rPr>
        <w:t>.2.</w:t>
      </w:r>
      <w:r>
        <w:rPr>
          <w:rFonts w:ascii="宋体" w:hAnsi="宋体" w:eastAsia="宋体" w:cs="宋体"/>
          <w:sz w:val="24"/>
          <w:szCs w:val="21"/>
        </w:rPr>
        <w:t>9</w:t>
      </w:r>
      <w:r>
        <w:rPr>
          <w:rFonts w:hint="eastAsia" w:ascii="宋体" w:hAnsi="宋体" w:eastAsia="宋体" w:cs="宋体"/>
          <w:sz w:val="24"/>
          <w:szCs w:val="21"/>
        </w:rPr>
        <w:t xml:space="preserve"> 管理期间，乙方人员严禁参加施工单位、供方单位等其他单位任何形式的宴请或接受任何礼物。</w:t>
      </w:r>
    </w:p>
    <w:p w14:paraId="57B6A012">
      <w:pPr>
        <w:widowControl w:val="0"/>
        <w:autoSpaceDE w:val="0"/>
        <w:autoSpaceDN w:val="0"/>
        <w:adjustRightInd w:val="0"/>
        <w:spacing w:before="0" w:beforeAutospacing="0" w:after="0" w:afterAutospacing="0" w:line="360" w:lineRule="auto"/>
        <w:ind w:firstLine="480" w:firstLineChars="200"/>
        <w:jc w:val="both"/>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9.2.10 乙方应当充分利用自有技术，协助甲方对项目工程实现科学信息化评估。</w:t>
      </w:r>
    </w:p>
    <w:p w14:paraId="655D0850">
      <w:pPr>
        <w:widowControl/>
        <w:autoSpaceDE w:val="0"/>
        <w:autoSpaceDN w:val="0"/>
        <w:adjustRightInd w:val="0"/>
        <w:spacing w:before="100" w:beforeAutospacing="1" w:after="100" w:afterAutospacing="1" w:line="360" w:lineRule="auto"/>
        <w:ind w:firstLine="240"/>
        <w:jc w:val="left"/>
        <w:rPr>
          <w:rFonts w:ascii="宋体" w:hAnsi="宋体" w:eastAsia="宋体" w:cs="宋体"/>
          <w:b/>
          <w:kern w:val="0"/>
          <w:sz w:val="24"/>
          <w:szCs w:val="24"/>
          <w:lang w:val="en-US" w:eastAsia="zh-CN" w:bidi="ar-SA"/>
        </w:rPr>
      </w:pPr>
      <w:r>
        <w:rPr>
          <w:rFonts w:hint="eastAsia" w:ascii="宋体" w:hAnsi="宋体" w:eastAsia="宋体" w:cs="宋体"/>
          <w:b/>
          <w:kern w:val="0"/>
          <w:sz w:val="24"/>
          <w:szCs w:val="24"/>
          <w:lang w:val="en-US" w:eastAsia="zh-CN" w:bidi="ar-SA"/>
        </w:rPr>
        <w:t>十、合同的生效、终止、违约责任</w:t>
      </w:r>
    </w:p>
    <w:p w14:paraId="7751DA61">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0</w:t>
      </w:r>
      <w:r>
        <w:rPr>
          <w:rFonts w:hint="eastAsia" w:ascii="宋体" w:hAnsi="宋体" w:eastAsia="宋体" w:cs="宋体"/>
          <w:kern w:val="0"/>
          <w:sz w:val="24"/>
          <w:szCs w:val="21"/>
        </w:rPr>
        <w:t>.1 本合同经双方签字盖章之日起生效，甲、乙双方即开始履行各自的职责。</w:t>
      </w:r>
    </w:p>
    <w:p w14:paraId="48ED9932">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0</w:t>
      </w:r>
      <w:r>
        <w:rPr>
          <w:rFonts w:hint="eastAsia" w:ascii="宋体" w:hAnsi="宋体" w:eastAsia="宋体" w:cs="宋体"/>
          <w:kern w:val="0"/>
          <w:sz w:val="24"/>
          <w:szCs w:val="21"/>
        </w:rPr>
        <w:t>.2 本合同自双方合同义务履行完毕后终止。在合同履行期间，甲乙双方中的任何一方，因自身原因提出终止合同，应当提前15个工作日通知对方，并应妥善处理相关事宜并支付已完成评估的技术服务费用，如给对方造成损失的，应当赔偿损失。</w:t>
      </w:r>
    </w:p>
    <w:p w14:paraId="32C8D3F9">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0</w:t>
      </w:r>
      <w:r>
        <w:rPr>
          <w:rFonts w:hint="eastAsia" w:ascii="宋体" w:hAnsi="宋体" w:eastAsia="宋体" w:cs="宋体"/>
          <w:kern w:val="0"/>
          <w:sz w:val="24"/>
          <w:szCs w:val="21"/>
        </w:rPr>
        <w:t>.3</w:t>
      </w:r>
      <w:r>
        <w:rPr>
          <w:rFonts w:hint="eastAsia" w:ascii="宋体" w:hAnsi="宋体" w:eastAsia="宋体" w:cs="宋体"/>
          <w:sz w:val="24"/>
          <w:szCs w:val="21"/>
        </w:rPr>
        <w:t>非因甲、乙双方原因需要终止合同的，甲、乙双方应协商妥善处理相关事宜，甲方应就乙方已完成的评估工作按照合同约定支付相关费用。</w:t>
      </w:r>
    </w:p>
    <w:p w14:paraId="7A12C4DD">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0</w:t>
      </w:r>
      <w:r>
        <w:rPr>
          <w:rFonts w:hint="eastAsia" w:ascii="宋体" w:hAnsi="宋体" w:eastAsia="宋体" w:cs="宋体"/>
          <w:kern w:val="0"/>
          <w:sz w:val="24"/>
          <w:szCs w:val="21"/>
        </w:rPr>
        <w:t>.4 合同履行过程中，甲方工作人员如有行贿或以其他不正当手段企图获取或已经获取不正当利益的行为的，乙方应当及时向甲方有关部门进行举报，经查证属实后，甲方可按照本公司规章制度对乙方该行为进行奖励。</w:t>
      </w:r>
    </w:p>
    <w:p w14:paraId="6FE2E2BE">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0</w:t>
      </w:r>
      <w:r>
        <w:rPr>
          <w:rFonts w:hint="eastAsia" w:ascii="宋体" w:hAnsi="宋体" w:eastAsia="宋体" w:cs="宋体"/>
          <w:kern w:val="0"/>
          <w:sz w:val="24"/>
          <w:szCs w:val="21"/>
        </w:rPr>
        <w:t>.5 合同履行过程中，乙方组员如有索贿、受贿或以其他不正当手段企图获取或已经获取不正当利益的行为，经查证属实的，甲方有权立即终止评估合同。</w:t>
      </w:r>
    </w:p>
    <w:p w14:paraId="4FCA601B">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0</w:t>
      </w:r>
      <w:r>
        <w:rPr>
          <w:rFonts w:ascii="宋体" w:hAnsi="宋体" w:eastAsia="宋体" w:cs="宋体"/>
          <w:kern w:val="0"/>
          <w:sz w:val="24"/>
          <w:szCs w:val="21"/>
        </w:rPr>
        <w:t xml:space="preserve">.6 </w:t>
      </w:r>
      <w:r>
        <w:rPr>
          <w:rFonts w:hint="eastAsia" w:ascii="宋体" w:hAnsi="宋体" w:eastAsia="宋体" w:cs="宋体"/>
          <w:kern w:val="0"/>
          <w:sz w:val="24"/>
          <w:szCs w:val="21"/>
        </w:rPr>
        <w:t>甲方无理由逾期15日支付乙方当期费用，乙方可停止为甲方服务；逾期30日支付乙方当期费用，乙方有权解除合同，并向甲方追索该笔付款的银行同期贷款利息。</w:t>
      </w:r>
    </w:p>
    <w:p w14:paraId="046E2D16">
      <w:pPr>
        <w:spacing w:line="360" w:lineRule="auto"/>
        <w:ind w:firstLine="240" w:firstLineChars="100"/>
        <w:rPr>
          <w:rFonts w:ascii="宋体" w:hAnsi="宋体" w:eastAsia="宋体" w:cs="宋体"/>
          <w:kern w:val="0"/>
          <w:sz w:val="24"/>
          <w:szCs w:val="21"/>
        </w:rPr>
      </w:pPr>
      <w:r>
        <w:rPr>
          <w:rFonts w:ascii="宋体" w:hAnsi="宋体" w:eastAsia="宋体" w:cs="宋体"/>
          <w:kern w:val="0"/>
          <w:sz w:val="24"/>
          <w:szCs w:val="21"/>
        </w:rPr>
        <w:t>1</w:t>
      </w:r>
      <w:r>
        <w:rPr>
          <w:rFonts w:hint="eastAsia" w:ascii="宋体" w:hAnsi="宋体" w:eastAsia="宋体" w:cs="宋体"/>
          <w:kern w:val="0"/>
          <w:sz w:val="24"/>
          <w:szCs w:val="21"/>
          <w:lang w:val="en-US" w:eastAsia="zh-CN"/>
        </w:rPr>
        <w:t>0</w:t>
      </w:r>
      <w:r>
        <w:rPr>
          <w:rFonts w:ascii="宋体" w:hAnsi="宋体" w:eastAsia="宋体" w:cs="宋体"/>
          <w:kern w:val="0"/>
          <w:sz w:val="24"/>
          <w:szCs w:val="21"/>
        </w:rPr>
        <w:t xml:space="preserve">.7 </w:t>
      </w:r>
      <w:r>
        <w:rPr>
          <w:rFonts w:hint="eastAsia" w:ascii="宋体" w:hAnsi="宋体" w:eastAsia="宋体" w:cs="宋体"/>
          <w:kern w:val="0"/>
          <w:sz w:val="24"/>
          <w:szCs w:val="21"/>
        </w:rPr>
        <w:t>当发生下列情况时，乙方承担违约责任，赔偿因其违约给甲方造成的损失，赔偿方式按合同约定，未有约定的，双方协商。</w:t>
      </w:r>
    </w:p>
    <w:p w14:paraId="00179868">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因乙方原因不能按照合同约定的时间或甲方提前通知的时间实施评估工作，乙方逾期或完成对应工作的，逾期一天，承担违约金为当期评估费用的0.5%。逾期任何一项工作达30天的，甲方除有权追究乙方的逾期违约金外，还有权单方解除合同并要求乙方</w:t>
      </w:r>
      <w:r>
        <w:rPr>
          <w:rFonts w:hint="eastAsia" w:ascii="宋体" w:hAnsi="宋体" w:eastAsia="宋体" w:cs="宋体"/>
          <w:kern w:val="0"/>
          <w:sz w:val="24"/>
          <w:szCs w:val="21"/>
          <w:lang w:val="en-US" w:eastAsia="zh-CN"/>
        </w:rPr>
        <w:t>向</w:t>
      </w:r>
      <w:r>
        <w:rPr>
          <w:rFonts w:hint="eastAsia" w:ascii="宋体" w:hAnsi="宋体" w:eastAsia="宋体" w:cs="宋体"/>
          <w:kern w:val="0"/>
          <w:sz w:val="24"/>
          <w:szCs w:val="21"/>
        </w:rPr>
        <w:t>甲方支付</w:t>
      </w:r>
      <w:r>
        <w:rPr>
          <w:rFonts w:hint="eastAsia" w:ascii="宋体" w:hAnsi="宋体" w:eastAsia="宋体" w:cs="宋体"/>
          <w:color w:val="auto"/>
          <w:kern w:val="0"/>
          <w:sz w:val="24"/>
          <w:szCs w:val="21"/>
        </w:rPr>
        <w:t>该</w:t>
      </w:r>
      <w:r>
        <w:rPr>
          <w:rFonts w:hint="eastAsia" w:ascii="宋体" w:hAnsi="宋体" w:eastAsia="宋体" w:cs="宋体"/>
          <w:color w:val="auto"/>
          <w:kern w:val="0"/>
          <w:sz w:val="24"/>
          <w:szCs w:val="21"/>
          <w:lang w:val="en-US" w:eastAsia="zh-CN"/>
        </w:rPr>
        <w:t>笔</w:t>
      </w:r>
      <w:r>
        <w:rPr>
          <w:rFonts w:hint="eastAsia" w:ascii="宋体" w:hAnsi="宋体" w:eastAsia="宋体" w:cs="宋体"/>
          <w:color w:val="auto"/>
          <w:kern w:val="0"/>
          <w:sz w:val="24"/>
          <w:szCs w:val="21"/>
        </w:rPr>
        <w:t>费用的20%</w:t>
      </w:r>
      <w:r>
        <w:rPr>
          <w:rFonts w:hint="eastAsia" w:ascii="宋体" w:hAnsi="宋体" w:eastAsia="宋体" w:cs="宋体"/>
          <w:color w:val="auto"/>
          <w:kern w:val="0"/>
          <w:sz w:val="24"/>
          <w:szCs w:val="21"/>
          <w:lang w:val="en-US" w:eastAsia="zh-CN"/>
        </w:rPr>
        <w:t>违约金</w:t>
      </w:r>
      <w:r>
        <w:rPr>
          <w:rFonts w:hint="eastAsia" w:ascii="宋体" w:hAnsi="宋体" w:eastAsia="宋体" w:cs="宋体"/>
          <w:color w:val="auto"/>
          <w:kern w:val="0"/>
          <w:sz w:val="24"/>
          <w:szCs w:val="21"/>
        </w:rPr>
        <w:t xml:space="preserve">。 </w:t>
      </w:r>
    </w:p>
    <w:p w14:paraId="61643540">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（2）在以下情况下，甲方有权单方解除合同：</w:t>
      </w:r>
    </w:p>
    <w:p w14:paraId="457E6AA4">
      <w:pPr>
        <w:pStyle w:val="39"/>
        <w:numPr>
          <w:ilvl w:val="0"/>
          <w:numId w:val="2"/>
        </w:numPr>
        <w:spacing w:line="360" w:lineRule="auto"/>
        <w:ind w:firstLineChars="0"/>
        <w:rPr>
          <w:rFonts w:ascii="宋体" w:hAnsi="宋体" w:eastAsia="宋体" w:cs="宋体"/>
          <w:kern w:val="0"/>
          <w:sz w:val="24"/>
        </w:rPr>
      </w:pPr>
      <w:r>
        <w:rPr>
          <w:rFonts w:hint="eastAsia" w:ascii="宋体" w:hAnsi="宋体" w:eastAsia="宋体" w:cs="宋体"/>
          <w:kern w:val="0"/>
          <w:sz w:val="24"/>
        </w:rPr>
        <w:t>乙方逾期任何一项工作达30天的；</w:t>
      </w:r>
    </w:p>
    <w:p w14:paraId="77372B26">
      <w:pPr>
        <w:pStyle w:val="39"/>
        <w:numPr>
          <w:ilvl w:val="0"/>
          <w:numId w:val="2"/>
        </w:numPr>
        <w:spacing w:line="360" w:lineRule="auto"/>
        <w:ind w:firstLineChars="0"/>
        <w:rPr>
          <w:rFonts w:ascii="宋体" w:hAnsi="宋体" w:eastAsia="宋体" w:cs="宋体"/>
          <w:kern w:val="0"/>
          <w:sz w:val="24"/>
        </w:rPr>
      </w:pPr>
      <w:r>
        <w:rPr>
          <w:rFonts w:hint="eastAsia" w:ascii="宋体" w:hAnsi="宋体" w:eastAsia="宋体" w:cs="宋体"/>
          <w:kern w:val="0"/>
          <w:sz w:val="24"/>
        </w:rPr>
        <w:t>乙方将此项工作转包给他人的；</w:t>
      </w:r>
    </w:p>
    <w:p w14:paraId="6384CCE7">
      <w:pPr>
        <w:pStyle w:val="39"/>
        <w:numPr>
          <w:ilvl w:val="0"/>
          <w:numId w:val="2"/>
        </w:numPr>
        <w:spacing w:line="360" w:lineRule="auto"/>
        <w:ind w:firstLineChars="0"/>
        <w:rPr>
          <w:rFonts w:ascii="宋体" w:hAnsi="宋体" w:eastAsia="宋体" w:cs="宋体"/>
          <w:kern w:val="0"/>
          <w:sz w:val="24"/>
        </w:rPr>
      </w:pPr>
      <w:r>
        <w:rPr>
          <w:rFonts w:hint="eastAsia" w:ascii="宋体" w:hAnsi="宋体" w:eastAsia="宋体" w:cs="宋体"/>
          <w:kern w:val="0"/>
          <w:sz w:val="24"/>
        </w:rPr>
        <w:t>乙方对甲方提出的合理工作改进建议拒不听取达3次的；</w:t>
      </w:r>
    </w:p>
    <w:p w14:paraId="23FB6EE3">
      <w:pPr>
        <w:pStyle w:val="39"/>
        <w:numPr>
          <w:ilvl w:val="0"/>
          <w:numId w:val="2"/>
        </w:numPr>
        <w:spacing w:line="360" w:lineRule="auto"/>
        <w:ind w:firstLineChars="0"/>
        <w:rPr>
          <w:rFonts w:ascii="宋体" w:hAnsi="宋体" w:eastAsia="宋体" w:cs="宋体"/>
          <w:kern w:val="0"/>
          <w:sz w:val="24"/>
        </w:rPr>
      </w:pPr>
      <w:r>
        <w:rPr>
          <w:rFonts w:hint="eastAsia" w:ascii="宋体" w:hAnsi="宋体" w:eastAsia="宋体" w:cs="宋体"/>
          <w:kern w:val="0"/>
          <w:sz w:val="24"/>
        </w:rPr>
        <w:t>评估期内，项目存在系统性质量风险，而乙方未能发现并做出书面提示的；</w:t>
      </w:r>
    </w:p>
    <w:p w14:paraId="73A33C75">
      <w:pPr>
        <w:pStyle w:val="39"/>
        <w:numPr>
          <w:ilvl w:val="0"/>
          <w:numId w:val="2"/>
        </w:numPr>
        <w:spacing w:line="360" w:lineRule="auto"/>
        <w:ind w:firstLineChars="0"/>
        <w:rPr>
          <w:rFonts w:ascii="宋体" w:hAnsi="宋体" w:eastAsia="宋体" w:cs="宋体"/>
          <w:kern w:val="0"/>
          <w:sz w:val="24"/>
        </w:rPr>
      </w:pPr>
      <w:r>
        <w:rPr>
          <w:rFonts w:hint="eastAsia" w:ascii="宋体" w:hAnsi="宋体" w:eastAsia="宋体" w:cs="宋体"/>
          <w:kern w:val="0"/>
          <w:sz w:val="24"/>
        </w:rPr>
        <w:t>乙方未按合同约定或甲方要求工作达3次的；</w:t>
      </w:r>
    </w:p>
    <w:p w14:paraId="0EE3B038">
      <w:pPr>
        <w:pStyle w:val="39"/>
        <w:numPr>
          <w:ilvl w:val="0"/>
          <w:numId w:val="2"/>
        </w:numPr>
        <w:spacing w:line="360" w:lineRule="auto"/>
        <w:ind w:firstLineChars="0"/>
        <w:rPr>
          <w:rFonts w:ascii="宋体" w:hAnsi="宋体" w:eastAsia="宋体" w:cs="宋体"/>
          <w:kern w:val="0"/>
          <w:sz w:val="24"/>
        </w:rPr>
      </w:pPr>
      <w:r>
        <w:rPr>
          <w:rFonts w:hint="eastAsia" w:ascii="宋体" w:hAnsi="宋体" w:eastAsia="宋体" w:cs="宋体"/>
          <w:kern w:val="0"/>
          <w:sz w:val="24"/>
        </w:rPr>
        <w:t>乙方其他重大违约行为。</w:t>
      </w:r>
    </w:p>
    <w:p w14:paraId="7B0E9852">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（3）一方违约后，另一方要求继续履行合同时，违约方承担上述违约责任外仍应继续履行合同。</w:t>
      </w:r>
    </w:p>
    <w:p w14:paraId="5CD0F689">
      <w:pPr>
        <w:spacing w:line="360" w:lineRule="auto"/>
        <w:ind w:firstLine="240" w:firstLineChars="100"/>
        <w:rPr>
          <w:rFonts w:ascii="宋体" w:hAnsi="宋体" w:eastAsia="宋体" w:cs="宋体"/>
          <w:b/>
          <w:bCs/>
          <w:kern w:val="0"/>
          <w:sz w:val="24"/>
          <w:szCs w:val="21"/>
        </w:rPr>
      </w:pPr>
      <w:r>
        <w:rPr>
          <w:rFonts w:hint="eastAsia" w:ascii="宋体" w:hAnsi="宋体" w:eastAsia="宋体" w:cs="宋体"/>
          <w:kern w:val="0"/>
          <w:sz w:val="24"/>
          <w:szCs w:val="21"/>
        </w:rPr>
        <w:t>（4）合同任何一方非因法定或合同约定原因解除合同给对方造成损失时，该方需承担另一方因此造成的损失。</w:t>
      </w:r>
    </w:p>
    <w:p w14:paraId="06FE61C5">
      <w:pPr>
        <w:spacing w:line="360" w:lineRule="auto"/>
        <w:ind w:firstLine="241" w:firstLineChars="100"/>
        <w:rPr>
          <w:rFonts w:ascii="宋体" w:hAnsi="宋体" w:eastAsia="宋体" w:cs="宋体"/>
          <w:b/>
          <w:bCs/>
          <w:kern w:val="0"/>
          <w:sz w:val="24"/>
          <w:szCs w:val="21"/>
        </w:rPr>
      </w:pPr>
      <w:r>
        <w:rPr>
          <w:rFonts w:hint="eastAsia" w:ascii="宋体" w:hAnsi="宋体" w:eastAsia="宋体" w:cs="宋体"/>
          <w:b/>
          <w:bCs/>
          <w:kern w:val="0"/>
          <w:sz w:val="24"/>
          <w:szCs w:val="21"/>
        </w:rPr>
        <w:t>十</w:t>
      </w:r>
      <w:r>
        <w:rPr>
          <w:rFonts w:hint="eastAsia" w:ascii="宋体" w:hAnsi="宋体" w:eastAsia="宋体" w:cs="宋体"/>
          <w:b/>
          <w:bCs/>
          <w:kern w:val="0"/>
          <w:sz w:val="24"/>
          <w:szCs w:val="21"/>
          <w:lang w:eastAsia="zh-CN"/>
        </w:rPr>
        <w:t>一</w:t>
      </w:r>
      <w:r>
        <w:rPr>
          <w:rFonts w:hint="eastAsia" w:ascii="宋体" w:hAnsi="宋体" w:eastAsia="宋体" w:cs="宋体"/>
          <w:b/>
          <w:bCs/>
          <w:kern w:val="0"/>
          <w:sz w:val="24"/>
          <w:szCs w:val="21"/>
        </w:rPr>
        <w:t>、保密义务</w:t>
      </w:r>
    </w:p>
    <w:p w14:paraId="28F3B4E2">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双方确定因履行本合同应遵守的保密义务如下：</w:t>
      </w:r>
    </w:p>
    <w:p w14:paraId="335C5CFA">
      <w:pPr>
        <w:spacing w:line="360" w:lineRule="auto"/>
        <w:ind w:firstLine="241" w:firstLineChars="100"/>
        <w:rPr>
          <w:rFonts w:ascii="宋体" w:hAnsi="宋体" w:eastAsia="宋体" w:cs="宋体"/>
          <w:b/>
          <w:bCs/>
          <w:kern w:val="0"/>
          <w:sz w:val="24"/>
          <w:szCs w:val="21"/>
        </w:rPr>
      </w:pPr>
      <w:r>
        <w:rPr>
          <w:rFonts w:hint="eastAsia" w:ascii="宋体" w:hAnsi="宋体" w:eastAsia="宋体" w:cs="宋体"/>
          <w:b/>
          <w:bCs/>
          <w:kern w:val="0"/>
          <w:sz w:val="24"/>
          <w:szCs w:val="21"/>
        </w:rPr>
        <w:t>1</w:t>
      </w:r>
      <w:r>
        <w:rPr>
          <w:rFonts w:hint="eastAsia" w:ascii="宋体" w:hAnsi="宋体" w:eastAsia="宋体" w:cs="宋体"/>
          <w:b/>
          <w:bCs/>
          <w:kern w:val="0"/>
          <w:sz w:val="24"/>
          <w:szCs w:val="21"/>
          <w:lang w:val="en-US" w:eastAsia="zh-CN"/>
        </w:rPr>
        <w:t>1</w:t>
      </w:r>
      <w:r>
        <w:rPr>
          <w:rFonts w:hint="eastAsia" w:ascii="宋体" w:hAnsi="宋体" w:eastAsia="宋体" w:cs="宋体"/>
          <w:b/>
          <w:bCs/>
          <w:kern w:val="0"/>
          <w:sz w:val="24"/>
          <w:szCs w:val="21"/>
        </w:rPr>
        <w:t>.1 甲方</w:t>
      </w:r>
    </w:p>
    <w:p w14:paraId="49F27911">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1</w:t>
      </w:r>
      <w:r>
        <w:rPr>
          <w:rFonts w:hint="eastAsia" w:ascii="宋体" w:hAnsi="宋体" w:eastAsia="宋体" w:cs="宋体"/>
          <w:kern w:val="0"/>
          <w:sz w:val="24"/>
          <w:szCs w:val="21"/>
        </w:rPr>
        <w:t>.1.1 保密内容：包括但不限于项目规划设计指标、施工图纸、销售数据、施工信息、总分包信息、质量实测数据、项目质量风险等级、项目现场图片、测评技术，测评技术数据分析、技术手段、专业技术资料等尚未对外公开的、任何合同内容及因履行本合同获取的信息。</w:t>
      </w:r>
    </w:p>
    <w:p w14:paraId="060D1BB5">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1</w:t>
      </w:r>
      <w:r>
        <w:rPr>
          <w:rFonts w:hint="eastAsia" w:ascii="宋体" w:hAnsi="宋体" w:eastAsia="宋体" w:cs="宋体"/>
          <w:kern w:val="0"/>
          <w:sz w:val="24"/>
          <w:szCs w:val="21"/>
        </w:rPr>
        <w:t>.1.2涉密人员范围：相关工作人员。</w:t>
      </w:r>
    </w:p>
    <w:p w14:paraId="3BD7071C">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1</w:t>
      </w:r>
      <w:r>
        <w:rPr>
          <w:rFonts w:hint="eastAsia" w:ascii="宋体" w:hAnsi="宋体" w:eastAsia="宋体" w:cs="宋体"/>
          <w:kern w:val="0"/>
          <w:sz w:val="24"/>
          <w:szCs w:val="21"/>
        </w:rPr>
        <w:t>.1.3 保密期限：本合同签订之日至本合同终止之日止。</w:t>
      </w:r>
    </w:p>
    <w:p w14:paraId="1BC1184A">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1</w:t>
      </w:r>
      <w:r>
        <w:rPr>
          <w:rFonts w:hint="eastAsia" w:ascii="宋体" w:hAnsi="宋体" w:eastAsia="宋体" w:cs="宋体"/>
          <w:kern w:val="0"/>
          <w:sz w:val="24"/>
          <w:szCs w:val="21"/>
        </w:rPr>
        <w:t>.1.4 泄密责任：停止侵害，消除不良后果。</w:t>
      </w:r>
    </w:p>
    <w:p w14:paraId="1A3B8337">
      <w:pPr>
        <w:spacing w:line="360" w:lineRule="auto"/>
        <w:ind w:firstLine="241" w:firstLineChars="100"/>
        <w:rPr>
          <w:rFonts w:ascii="宋体" w:hAnsi="宋体" w:eastAsia="宋体" w:cs="宋体"/>
          <w:b/>
          <w:bCs/>
          <w:kern w:val="0"/>
          <w:sz w:val="24"/>
          <w:szCs w:val="21"/>
        </w:rPr>
      </w:pPr>
      <w:r>
        <w:rPr>
          <w:rFonts w:hint="eastAsia" w:ascii="宋体" w:hAnsi="宋体" w:eastAsia="宋体" w:cs="宋体"/>
          <w:b/>
          <w:bCs/>
          <w:kern w:val="0"/>
          <w:sz w:val="24"/>
          <w:szCs w:val="21"/>
        </w:rPr>
        <w:t>1</w:t>
      </w:r>
      <w:r>
        <w:rPr>
          <w:rFonts w:hint="eastAsia" w:ascii="宋体" w:hAnsi="宋体" w:eastAsia="宋体" w:cs="宋体"/>
          <w:b/>
          <w:bCs/>
          <w:kern w:val="0"/>
          <w:sz w:val="24"/>
          <w:szCs w:val="21"/>
          <w:lang w:val="en-US" w:eastAsia="zh-CN"/>
        </w:rPr>
        <w:t>1</w:t>
      </w:r>
      <w:r>
        <w:rPr>
          <w:rFonts w:hint="eastAsia" w:ascii="宋体" w:hAnsi="宋体" w:eastAsia="宋体" w:cs="宋体"/>
          <w:b/>
          <w:bCs/>
          <w:kern w:val="0"/>
          <w:sz w:val="24"/>
          <w:szCs w:val="21"/>
        </w:rPr>
        <w:t>.2 乙方</w:t>
      </w:r>
    </w:p>
    <w:p w14:paraId="45FA1256">
      <w:pPr>
        <w:spacing w:line="360" w:lineRule="auto"/>
        <w:ind w:firstLine="240" w:firstLineChars="100"/>
        <w:rPr>
          <w:rFonts w:hint="eastAsia" w:ascii="仿宋" w:hAnsi="仿宋" w:eastAsia="仿宋" w:cs="仿宋"/>
          <w:b w:val="0"/>
          <w:bCs w:val="0"/>
          <w:sz w:val="28"/>
          <w:szCs w:val="28"/>
          <w:lang w:val="en-US" w:eastAsia="zh-CN"/>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1</w:t>
      </w:r>
      <w:r>
        <w:rPr>
          <w:rFonts w:hint="eastAsia" w:ascii="宋体" w:hAnsi="宋体" w:eastAsia="宋体" w:cs="宋体"/>
          <w:kern w:val="0"/>
          <w:sz w:val="24"/>
          <w:szCs w:val="21"/>
        </w:rPr>
        <w:t>.2.1 保密内容：包括但不限于项目规划设计指标、施工图纸、销售数据、止施工信息、总分包信息、质量实测数据、项目质量风险等级、项目现场图片、测评技术，测评技术数据分析、技术手段、专业技术资料等尚未对外公开的、任何合同内容及因履行本合同获取的</w:t>
      </w:r>
      <w:r>
        <w:rPr>
          <w:rFonts w:hint="eastAsia" w:ascii="宋体" w:hAnsi="宋体" w:eastAsia="宋体" w:cs="宋体"/>
          <w:b w:val="0"/>
          <w:bCs w:val="0"/>
          <w:kern w:val="0"/>
          <w:sz w:val="24"/>
          <w:szCs w:val="21"/>
          <w:lang w:val="en-US" w:eastAsia="zh-Hans"/>
        </w:rPr>
        <w:t>甲方商业秘密或其他应当保密的</w:t>
      </w:r>
      <w:r>
        <w:rPr>
          <w:rFonts w:hint="eastAsia" w:ascii="宋体" w:hAnsi="宋体" w:eastAsia="宋体" w:cs="宋体"/>
          <w:kern w:val="0"/>
          <w:sz w:val="24"/>
          <w:szCs w:val="21"/>
        </w:rPr>
        <w:t>信息。</w:t>
      </w:r>
      <w:r>
        <w:rPr>
          <w:rFonts w:hint="eastAsia" w:ascii="宋体" w:hAnsi="宋体" w:eastAsia="宋体" w:cs="宋体"/>
          <w:b w:val="0"/>
          <w:bCs w:val="0"/>
          <w:kern w:val="0"/>
          <w:sz w:val="24"/>
          <w:szCs w:val="21"/>
          <w:lang w:val="en-US" w:eastAsia="zh-Hans"/>
        </w:rPr>
        <w:t>除法律规定或合同另有约定外，未经</w:t>
      </w:r>
      <w:r>
        <w:rPr>
          <w:rFonts w:hint="eastAsia" w:ascii="宋体" w:hAnsi="宋体" w:eastAsia="宋体" w:cs="宋体"/>
          <w:b w:val="0"/>
          <w:bCs w:val="0"/>
          <w:kern w:val="0"/>
          <w:sz w:val="24"/>
          <w:szCs w:val="21"/>
          <w:lang w:val="en-US" w:eastAsia="zh-CN"/>
        </w:rPr>
        <w:t>甲方书面</w:t>
      </w:r>
      <w:r>
        <w:rPr>
          <w:rFonts w:hint="eastAsia" w:ascii="宋体" w:hAnsi="宋体" w:eastAsia="宋体" w:cs="宋体"/>
          <w:b w:val="0"/>
          <w:bCs w:val="0"/>
          <w:kern w:val="0"/>
          <w:sz w:val="24"/>
          <w:szCs w:val="21"/>
          <w:lang w:val="en-US" w:eastAsia="zh-Hans"/>
        </w:rPr>
        <w:t>同意，</w:t>
      </w:r>
      <w:r>
        <w:rPr>
          <w:rFonts w:hint="eastAsia" w:ascii="宋体" w:hAnsi="宋体" w:eastAsia="宋体" w:cs="宋体"/>
          <w:b w:val="0"/>
          <w:bCs w:val="0"/>
          <w:kern w:val="0"/>
          <w:sz w:val="24"/>
          <w:szCs w:val="21"/>
          <w:lang w:val="en-US" w:eastAsia="zh-CN"/>
        </w:rPr>
        <w:t>乙方</w:t>
      </w:r>
      <w:r>
        <w:rPr>
          <w:rFonts w:hint="eastAsia" w:ascii="宋体" w:hAnsi="宋体" w:eastAsia="宋体" w:cs="宋体"/>
          <w:b w:val="0"/>
          <w:bCs w:val="0"/>
          <w:kern w:val="0"/>
          <w:sz w:val="24"/>
          <w:szCs w:val="21"/>
          <w:lang w:val="en-US" w:eastAsia="zh-Hans"/>
        </w:rPr>
        <w:t>不得将</w:t>
      </w:r>
      <w:r>
        <w:rPr>
          <w:rFonts w:hint="eastAsia" w:ascii="宋体" w:hAnsi="宋体" w:eastAsia="宋体" w:cs="宋体"/>
          <w:b w:val="0"/>
          <w:bCs w:val="0"/>
          <w:kern w:val="0"/>
          <w:sz w:val="24"/>
          <w:szCs w:val="21"/>
          <w:lang w:val="en-US" w:eastAsia="zh-CN"/>
        </w:rPr>
        <w:t>甲方</w:t>
      </w:r>
      <w:r>
        <w:rPr>
          <w:rFonts w:hint="eastAsia" w:ascii="宋体" w:hAnsi="宋体" w:eastAsia="宋体" w:cs="宋体"/>
          <w:b w:val="0"/>
          <w:bCs w:val="0"/>
          <w:kern w:val="0"/>
          <w:sz w:val="24"/>
          <w:szCs w:val="21"/>
          <w:lang w:val="en-US" w:eastAsia="zh-Hans"/>
        </w:rPr>
        <w:t>提供的</w:t>
      </w:r>
      <w:r>
        <w:rPr>
          <w:rFonts w:hint="eastAsia" w:ascii="宋体" w:hAnsi="宋体" w:eastAsia="宋体" w:cs="宋体"/>
          <w:b w:val="0"/>
          <w:bCs w:val="0"/>
          <w:kern w:val="0"/>
          <w:sz w:val="24"/>
          <w:szCs w:val="21"/>
          <w:lang w:val="en-US" w:eastAsia="zh-CN"/>
        </w:rPr>
        <w:t>资料</w:t>
      </w:r>
      <w:r>
        <w:rPr>
          <w:rFonts w:hint="eastAsia" w:ascii="宋体" w:hAnsi="宋体" w:eastAsia="宋体" w:cs="宋体"/>
          <w:b w:val="0"/>
          <w:bCs w:val="0"/>
          <w:kern w:val="0"/>
          <w:sz w:val="24"/>
          <w:szCs w:val="21"/>
          <w:lang w:val="en-US" w:eastAsia="zh-Hans"/>
        </w:rPr>
        <w:t>泄露给第三方</w:t>
      </w:r>
      <w:r>
        <w:rPr>
          <w:rFonts w:hint="eastAsia" w:ascii="宋体" w:hAnsi="宋体" w:eastAsia="宋体" w:cs="宋体"/>
          <w:b w:val="0"/>
          <w:bCs w:val="0"/>
          <w:kern w:val="0"/>
          <w:sz w:val="24"/>
          <w:szCs w:val="21"/>
          <w:lang w:val="en-US" w:eastAsia="zh-CN"/>
        </w:rPr>
        <w:t>。</w:t>
      </w:r>
    </w:p>
    <w:p w14:paraId="5677FB1F">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1</w:t>
      </w:r>
      <w:r>
        <w:rPr>
          <w:rFonts w:hint="eastAsia" w:ascii="宋体" w:hAnsi="宋体" w:eastAsia="宋体" w:cs="宋体"/>
          <w:kern w:val="0"/>
          <w:sz w:val="24"/>
          <w:szCs w:val="21"/>
        </w:rPr>
        <w:t>.2.2 涉密人员范围：乙方涉及履行本合同项下义务的所有人员。</w:t>
      </w:r>
    </w:p>
    <w:p w14:paraId="74F2F518">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1</w:t>
      </w:r>
      <w:r>
        <w:rPr>
          <w:rFonts w:hint="eastAsia" w:ascii="宋体" w:hAnsi="宋体" w:eastAsia="宋体" w:cs="宋体"/>
          <w:kern w:val="0"/>
          <w:sz w:val="24"/>
          <w:szCs w:val="21"/>
        </w:rPr>
        <w:t>.2.3 保密期限：本保密条款及保密期限永久有效，不因主合同的失效而丧失效力。</w:t>
      </w:r>
    </w:p>
    <w:p w14:paraId="536A15C3">
      <w:pPr>
        <w:spacing w:line="360" w:lineRule="auto"/>
        <w:ind w:firstLine="240" w:firstLineChars="100"/>
        <w:rPr>
          <w:rFonts w:ascii="宋体" w:hAnsi="宋体" w:eastAsia="宋体" w:cs="宋体"/>
          <w:kern w:val="0"/>
          <w:sz w:val="24"/>
          <w:szCs w:val="21"/>
        </w:rPr>
      </w:pPr>
      <w:r>
        <w:rPr>
          <w:rFonts w:hint="eastAsia" w:ascii="宋体" w:hAnsi="宋体" w:eastAsia="宋体" w:cs="宋体"/>
          <w:kern w:val="0"/>
          <w:sz w:val="24"/>
          <w:szCs w:val="21"/>
        </w:rPr>
        <w:t>1</w:t>
      </w:r>
      <w:r>
        <w:rPr>
          <w:rFonts w:hint="eastAsia" w:ascii="宋体" w:hAnsi="宋体" w:eastAsia="宋体" w:cs="宋体"/>
          <w:kern w:val="0"/>
          <w:sz w:val="24"/>
          <w:szCs w:val="21"/>
          <w:lang w:val="en-US" w:eastAsia="zh-CN"/>
        </w:rPr>
        <w:t>1</w:t>
      </w:r>
      <w:r>
        <w:rPr>
          <w:rFonts w:hint="eastAsia" w:ascii="宋体" w:hAnsi="宋体" w:eastAsia="宋体" w:cs="宋体"/>
          <w:kern w:val="0"/>
          <w:sz w:val="24"/>
          <w:szCs w:val="21"/>
        </w:rPr>
        <w:t>.2.4 泄密责任：</w:t>
      </w:r>
      <w:r>
        <w:rPr>
          <w:rFonts w:hint="eastAsia" w:ascii="仿宋" w:hAnsi="仿宋" w:eastAsia="仿宋" w:cs="仿宋"/>
          <w:b w:val="0"/>
          <w:bCs w:val="0"/>
          <w:color w:val="0000FF"/>
          <w:sz w:val="28"/>
          <w:szCs w:val="28"/>
          <w:lang w:val="en-US" w:eastAsia="zh-CN"/>
        </w:rPr>
        <w:t>乙方违反上述任一条款约定的，视为乙方违约，乙方应按2000元/次向甲方支付惩罚性违约金，同时甲方有权单方无责解除本合同，给甲方造成的损失，乙方应承担赔偿责任。</w:t>
      </w:r>
    </w:p>
    <w:p w14:paraId="459743BE">
      <w:pPr>
        <w:spacing w:line="360" w:lineRule="auto"/>
        <w:ind w:firstLine="241" w:firstLineChars="100"/>
        <w:rPr>
          <w:rFonts w:ascii="宋体" w:hAnsi="宋体" w:eastAsia="宋体" w:cs="宋体"/>
          <w:b/>
          <w:bCs/>
          <w:kern w:val="0"/>
          <w:sz w:val="24"/>
          <w:szCs w:val="21"/>
        </w:rPr>
      </w:pPr>
      <w:r>
        <w:rPr>
          <w:rFonts w:hint="eastAsia" w:ascii="宋体" w:hAnsi="宋体" w:eastAsia="宋体" w:cs="宋体"/>
          <w:b/>
          <w:bCs/>
          <w:kern w:val="0"/>
          <w:sz w:val="24"/>
          <w:szCs w:val="21"/>
        </w:rPr>
        <w:t>十</w:t>
      </w:r>
      <w:r>
        <w:rPr>
          <w:rFonts w:hint="eastAsia" w:ascii="宋体" w:hAnsi="宋体" w:eastAsia="宋体" w:cs="宋体"/>
          <w:b/>
          <w:bCs/>
          <w:kern w:val="0"/>
          <w:sz w:val="24"/>
          <w:szCs w:val="21"/>
          <w:lang w:eastAsia="zh-CN"/>
        </w:rPr>
        <w:t>二</w:t>
      </w:r>
      <w:r>
        <w:rPr>
          <w:rFonts w:hint="eastAsia" w:ascii="宋体" w:hAnsi="宋体" w:eastAsia="宋体" w:cs="宋体"/>
          <w:b/>
          <w:bCs/>
          <w:kern w:val="0"/>
          <w:sz w:val="24"/>
          <w:szCs w:val="21"/>
        </w:rPr>
        <w:t>、知识产权</w:t>
      </w:r>
    </w:p>
    <w:p w14:paraId="39804383">
      <w:pPr>
        <w:widowControl w:val="0"/>
        <w:spacing w:line="360" w:lineRule="auto"/>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12.1 乙方因履行本合同向甲出具的文件的著作权等知识产权属于甲方，未经甲方书面同意，乙方不得为了合同以外的目的而复制、使用上述文件或将之提供给任何第三方。</w:t>
      </w:r>
    </w:p>
    <w:p w14:paraId="755FCC9B">
      <w:pPr>
        <w:widowControl w:val="0"/>
        <w:spacing w:line="360" w:lineRule="auto"/>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12.2 乙方保证其为履行本合同义务而由其制作并出具的内容符合法律法规的规定，不会侵犯任何人的合法权益。若存在违法、侵权情况，乙方应负责对外交涉、处理，并承担全部经济、法律责任。甲方有权要求乙方赔偿甲方由此产生的损失并有权单方无责解除本合同。若因此导致甲方无法使用乙方工作成果的，甲方有权拒绝支付此部分合同价款（已支付价款的，甲方有权要求乙方退还此部分已付价款）。</w:t>
      </w:r>
    </w:p>
    <w:p w14:paraId="2FF6E357">
      <w:pPr>
        <w:spacing w:line="360" w:lineRule="auto"/>
        <w:ind w:firstLine="241" w:firstLineChars="100"/>
        <w:rPr>
          <w:rFonts w:ascii="宋体" w:hAnsi="宋体" w:eastAsia="宋体" w:cs="宋体"/>
          <w:b/>
          <w:bCs/>
          <w:kern w:val="0"/>
          <w:sz w:val="24"/>
          <w:szCs w:val="21"/>
        </w:rPr>
      </w:pPr>
      <w:r>
        <w:rPr>
          <w:rFonts w:hint="eastAsia" w:ascii="宋体" w:hAnsi="宋体" w:eastAsia="宋体" w:cs="宋体"/>
          <w:b/>
          <w:bCs/>
          <w:kern w:val="0"/>
          <w:sz w:val="24"/>
          <w:szCs w:val="21"/>
        </w:rPr>
        <w:t>十</w:t>
      </w:r>
      <w:r>
        <w:rPr>
          <w:rFonts w:hint="eastAsia" w:ascii="宋体" w:hAnsi="宋体" w:eastAsia="宋体" w:cs="宋体"/>
          <w:b/>
          <w:bCs/>
          <w:kern w:val="0"/>
          <w:sz w:val="24"/>
          <w:szCs w:val="21"/>
          <w:lang w:val="en-US" w:eastAsia="zh-CN"/>
        </w:rPr>
        <w:t>三</w:t>
      </w:r>
      <w:r>
        <w:rPr>
          <w:rFonts w:hint="eastAsia" w:ascii="宋体" w:hAnsi="宋体" w:eastAsia="宋体" w:cs="宋体"/>
          <w:b/>
          <w:bCs/>
          <w:kern w:val="0"/>
          <w:sz w:val="24"/>
          <w:szCs w:val="21"/>
        </w:rPr>
        <w:t>、</w:t>
      </w:r>
      <w:r>
        <w:rPr>
          <w:rFonts w:hint="eastAsia" w:ascii="宋体" w:hAnsi="宋体" w:eastAsia="宋体" w:cs="宋体"/>
          <w:b/>
          <w:bCs/>
          <w:kern w:val="0"/>
          <w:sz w:val="24"/>
          <w:szCs w:val="21"/>
          <w:lang w:val="en-US" w:eastAsia="zh-CN"/>
        </w:rPr>
        <w:t>送达</w:t>
      </w:r>
    </w:p>
    <w:p w14:paraId="4B847923">
      <w:pPr>
        <w:widowControl w:val="0"/>
        <w:spacing w:line="360" w:lineRule="auto"/>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13.1 乙方指定送达地址：【    】联系人： 【   】  联系电话：【   】  微信：【     】  电子邮箱：【     】    </w:t>
      </w:r>
    </w:p>
    <w:p w14:paraId="502665DC">
      <w:pPr>
        <w:widowControl w:val="0"/>
        <w:spacing w:line="360" w:lineRule="auto"/>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13.2 乙方承诺合同中所提供的联系地址、电话等真实有效，且所列联系地址系有效送达地址；如果变动须三日内书面通知甲方；若因乙方提供地址有误、变更后未及时通知或未及时拿取信函，导致的责任，须由乙方自行承担。</w:t>
      </w:r>
    </w:p>
    <w:p w14:paraId="5F4705D4">
      <w:pPr>
        <w:widowControl w:val="0"/>
        <w:spacing w:line="360" w:lineRule="auto"/>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13.3 乙方确认上述送达地址、联系方式作为相关司法文书的送达地址，可适用于一审、二审、执行、再审、仲裁等各个司法阶段。</w:t>
      </w:r>
    </w:p>
    <w:p w14:paraId="0AC8C1E2">
      <w:pPr>
        <w:widowControl w:val="0"/>
        <w:spacing w:line="360" w:lineRule="auto"/>
        <w:ind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13.4 本合同相关通知等文件，如以微信、电子邮件方式送达乙方的，应以文件发出之日视为送达之日；如以挂号信或者特快专递寄出的方式送达，则本市内3个日历天视为送达；其他地区5个日历天视为送达。乙方拒收文件或上述地址无法送达的，视为已送达，由此产生的不利后果由乙方自行承担。</w:t>
      </w:r>
    </w:p>
    <w:p w14:paraId="239C158B">
      <w:pPr>
        <w:spacing w:line="360" w:lineRule="auto"/>
        <w:ind w:firstLine="241" w:firstLineChars="100"/>
        <w:rPr>
          <w:rFonts w:ascii="宋体" w:hAnsi="宋体" w:eastAsia="宋体" w:cs="宋体"/>
          <w:b/>
          <w:bCs/>
          <w:kern w:val="0"/>
          <w:sz w:val="24"/>
          <w:szCs w:val="21"/>
        </w:rPr>
      </w:pPr>
      <w:r>
        <w:rPr>
          <w:rFonts w:hint="eastAsia" w:ascii="宋体" w:hAnsi="宋体" w:eastAsia="宋体" w:cs="宋体"/>
          <w:b/>
          <w:bCs/>
          <w:kern w:val="0"/>
          <w:sz w:val="24"/>
          <w:szCs w:val="21"/>
        </w:rPr>
        <w:t>十</w:t>
      </w:r>
      <w:r>
        <w:rPr>
          <w:rFonts w:hint="eastAsia" w:ascii="宋体" w:hAnsi="宋体" w:eastAsia="宋体" w:cs="宋体"/>
          <w:b/>
          <w:bCs/>
          <w:kern w:val="0"/>
          <w:sz w:val="24"/>
          <w:szCs w:val="21"/>
          <w:lang w:val="en-US" w:eastAsia="zh-CN"/>
        </w:rPr>
        <w:t>四</w:t>
      </w:r>
      <w:r>
        <w:rPr>
          <w:rFonts w:hint="eastAsia" w:ascii="宋体" w:hAnsi="宋体" w:eastAsia="宋体" w:cs="宋体"/>
          <w:b/>
          <w:bCs/>
          <w:kern w:val="0"/>
          <w:sz w:val="24"/>
          <w:szCs w:val="21"/>
        </w:rPr>
        <w:t>、其他</w:t>
      </w:r>
    </w:p>
    <w:p w14:paraId="717D147C">
      <w:pPr>
        <w:spacing w:line="360" w:lineRule="auto"/>
        <w:ind w:firstLine="240" w:firstLineChars="100"/>
        <w:textAlignment w:val="center"/>
        <w:rPr>
          <w:rFonts w:ascii="宋体" w:hAnsi="宋体" w:eastAsia="宋体" w:cs="宋体"/>
          <w:sz w:val="24"/>
          <w:szCs w:val="21"/>
        </w:rPr>
      </w:pPr>
      <w:r>
        <w:rPr>
          <w:rFonts w:hint="eastAsia" w:ascii="宋体" w:hAnsi="宋体" w:eastAsia="宋体" w:cs="宋体"/>
          <w:sz w:val="24"/>
          <w:szCs w:val="21"/>
        </w:rPr>
        <w:t>1</w:t>
      </w:r>
      <w:r>
        <w:rPr>
          <w:rFonts w:hint="eastAsia" w:ascii="宋体" w:hAnsi="宋体" w:eastAsia="宋体" w:cs="宋体"/>
          <w:sz w:val="24"/>
          <w:szCs w:val="21"/>
          <w:lang w:val="en-US" w:eastAsia="zh-CN"/>
        </w:rPr>
        <w:t>4</w:t>
      </w:r>
      <w:r>
        <w:rPr>
          <w:rFonts w:hint="eastAsia" w:ascii="宋体" w:hAnsi="宋体" w:eastAsia="宋体" w:cs="宋体"/>
          <w:sz w:val="24"/>
          <w:szCs w:val="21"/>
        </w:rPr>
        <w:t>.1 如双方发生争议，甲乙双方应当友好协商解决，如无法协商一致的，双方均有权向</w:t>
      </w:r>
      <w:r>
        <w:rPr>
          <w:rFonts w:hint="eastAsia" w:ascii="宋体" w:hAnsi="宋体" w:eastAsia="宋体" w:cs="宋体"/>
          <w:sz w:val="24"/>
          <w:szCs w:val="21"/>
          <w:lang w:val="en-US" w:eastAsia="zh-CN"/>
        </w:rPr>
        <w:t>甲方所在地</w:t>
      </w:r>
      <w:r>
        <w:rPr>
          <w:rFonts w:hint="eastAsia" w:ascii="宋体" w:hAnsi="宋体" w:eastAsia="宋体" w:cs="宋体"/>
          <w:sz w:val="24"/>
          <w:szCs w:val="21"/>
        </w:rPr>
        <w:t>人民法院提起诉讼。</w:t>
      </w:r>
    </w:p>
    <w:p w14:paraId="165F1E05">
      <w:pPr>
        <w:spacing w:line="360" w:lineRule="auto"/>
        <w:ind w:firstLine="240" w:firstLineChars="100"/>
        <w:textAlignment w:val="center"/>
        <w:rPr>
          <w:rFonts w:ascii="宋体" w:hAnsi="宋体" w:eastAsia="宋体" w:cs="宋体"/>
          <w:sz w:val="24"/>
          <w:szCs w:val="21"/>
        </w:rPr>
      </w:pPr>
      <w:r>
        <w:rPr>
          <w:rFonts w:hint="eastAsia" w:ascii="宋体" w:hAnsi="宋体" w:eastAsia="宋体" w:cs="宋体"/>
          <w:sz w:val="24"/>
          <w:szCs w:val="21"/>
        </w:rPr>
        <w:t>1</w:t>
      </w:r>
      <w:r>
        <w:rPr>
          <w:rFonts w:hint="eastAsia" w:ascii="宋体" w:hAnsi="宋体" w:eastAsia="宋体" w:cs="宋体"/>
          <w:sz w:val="24"/>
          <w:szCs w:val="21"/>
          <w:lang w:val="en-US" w:eastAsia="zh-CN"/>
        </w:rPr>
        <w:t>4</w:t>
      </w:r>
      <w:r>
        <w:rPr>
          <w:rFonts w:hint="eastAsia" w:ascii="宋体" w:hAnsi="宋体" w:eastAsia="宋体" w:cs="宋体"/>
          <w:sz w:val="24"/>
          <w:szCs w:val="21"/>
        </w:rPr>
        <w:t>.2本合同未尽事宜，双方协商同意可签订补充协议。本合同的任何修改、补充等均以书面完成，经双方授权代表签字并加盖公司公章后生效。生效的修改、补充为本合同不可分割的组成部分，与本合同具有同等法律效力。</w:t>
      </w:r>
    </w:p>
    <w:p w14:paraId="0FDABA4A">
      <w:pPr>
        <w:spacing w:line="360" w:lineRule="auto"/>
        <w:ind w:firstLine="240" w:firstLineChars="100"/>
        <w:textAlignment w:val="center"/>
        <w:rPr>
          <w:rFonts w:ascii="宋体" w:hAnsi="宋体" w:eastAsia="宋体" w:cs="宋体"/>
          <w:sz w:val="24"/>
          <w:szCs w:val="21"/>
        </w:rPr>
      </w:pPr>
      <w:r>
        <w:rPr>
          <w:rFonts w:hint="eastAsia" w:ascii="宋体" w:hAnsi="宋体" w:eastAsia="宋体" w:cs="宋体"/>
          <w:sz w:val="24"/>
          <w:szCs w:val="21"/>
        </w:rPr>
        <w:t>1</w:t>
      </w:r>
      <w:r>
        <w:rPr>
          <w:rFonts w:hint="eastAsia" w:ascii="宋体" w:hAnsi="宋体" w:eastAsia="宋体" w:cs="宋体"/>
          <w:sz w:val="24"/>
          <w:szCs w:val="21"/>
          <w:lang w:val="en-US" w:eastAsia="zh-CN"/>
        </w:rPr>
        <w:t>4</w:t>
      </w:r>
      <w:r>
        <w:rPr>
          <w:rFonts w:hint="eastAsia" w:ascii="宋体" w:hAnsi="宋体" w:eastAsia="宋体" w:cs="宋体"/>
          <w:sz w:val="24"/>
          <w:szCs w:val="21"/>
        </w:rPr>
        <w:t>.3 任何一方有效联系方式发生变更的，均应在变更前7日内通知对方，否则视为未变更，由此引起的一切不良后果均由未通知方自行承担。</w:t>
      </w:r>
    </w:p>
    <w:p w14:paraId="52EBBAD4">
      <w:pPr>
        <w:spacing w:line="360" w:lineRule="auto"/>
        <w:ind w:firstLine="240" w:firstLineChars="100"/>
        <w:textAlignment w:val="center"/>
        <w:rPr>
          <w:rFonts w:ascii="宋体" w:hAnsi="宋体" w:eastAsia="宋体" w:cs="宋体"/>
          <w:sz w:val="24"/>
          <w:szCs w:val="21"/>
        </w:rPr>
      </w:pPr>
      <w:r>
        <w:rPr>
          <w:rFonts w:hint="eastAsia" w:ascii="宋体" w:hAnsi="宋体" w:eastAsia="宋体" w:cs="宋体"/>
          <w:sz w:val="24"/>
          <w:szCs w:val="21"/>
        </w:rPr>
        <w:t>1</w:t>
      </w:r>
      <w:r>
        <w:rPr>
          <w:rFonts w:hint="eastAsia" w:ascii="宋体" w:hAnsi="宋体" w:eastAsia="宋体" w:cs="宋体"/>
          <w:sz w:val="24"/>
          <w:szCs w:val="21"/>
          <w:lang w:val="en-US" w:eastAsia="zh-CN"/>
        </w:rPr>
        <w:t>4</w:t>
      </w:r>
      <w:r>
        <w:rPr>
          <w:rFonts w:hint="eastAsia" w:ascii="宋体" w:hAnsi="宋体" w:eastAsia="宋体" w:cs="宋体"/>
          <w:sz w:val="24"/>
          <w:szCs w:val="21"/>
        </w:rPr>
        <w:t>.4 甲乙双方均保证本合同约定的联系方式、邮箱地址、银行信息等是合法有效的，任何一方按本合同约定的联系地址和联系人及联系电话向对方邮寄快递的，自邮件交邮之日起第四日视为收件方已收到邮件，并知晓了邮件内容，收件方是否签收与邮寄方无关。如果以电子邮件方式向对方送达文件资料的，自发件方成功发送电子邮件之日起次日视为收件方已收到邮件，并知晓了邮件内容。</w:t>
      </w:r>
    </w:p>
    <w:p w14:paraId="3ADCC5A5">
      <w:pPr>
        <w:spacing w:line="360" w:lineRule="auto"/>
        <w:ind w:firstLine="480" w:firstLineChars="200"/>
        <w:textAlignment w:val="center"/>
        <w:rPr>
          <w:rFonts w:ascii="宋体" w:hAnsi="宋体" w:eastAsia="宋体" w:cs="宋体"/>
          <w:sz w:val="24"/>
          <w:szCs w:val="21"/>
        </w:rPr>
      </w:pPr>
      <w:r>
        <w:rPr>
          <w:rFonts w:hint="eastAsia" w:ascii="宋体" w:hAnsi="宋体" w:eastAsia="宋体" w:cs="宋体"/>
          <w:sz w:val="24"/>
          <w:szCs w:val="21"/>
        </w:rPr>
        <w:t>任意一方如变更本合同约定的联系方式、邮箱地址、银行信息等内容的，应当自变更之日起及时告知另一方对方，如因未及时告知导致另一方按照本合同约定履行了相关义务的，即视为另一方已经按照合同约定履行了相关义务，无需承担任何法律责任。</w:t>
      </w:r>
    </w:p>
    <w:p w14:paraId="78D60DC2">
      <w:pPr>
        <w:spacing w:line="360" w:lineRule="auto"/>
        <w:ind w:firstLine="240" w:firstLineChars="100"/>
        <w:textAlignment w:val="center"/>
        <w:rPr>
          <w:rFonts w:ascii="宋体" w:hAnsi="宋体" w:eastAsia="宋体" w:cs="宋体"/>
          <w:sz w:val="24"/>
          <w:szCs w:val="21"/>
        </w:rPr>
      </w:pPr>
      <w:r>
        <w:rPr>
          <w:rFonts w:hint="eastAsia" w:ascii="宋体" w:hAnsi="宋体" w:eastAsia="宋体" w:cs="宋体"/>
          <w:sz w:val="24"/>
          <w:szCs w:val="21"/>
        </w:rPr>
        <w:t>1</w:t>
      </w:r>
      <w:r>
        <w:rPr>
          <w:rFonts w:hint="eastAsia" w:ascii="宋体" w:hAnsi="宋体" w:eastAsia="宋体" w:cs="宋体"/>
          <w:sz w:val="24"/>
          <w:szCs w:val="21"/>
          <w:lang w:val="en-US" w:eastAsia="zh-CN"/>
        </w:rPr>
        <w:t>4</w:t>
      </w:r>
      <w:r>
        <w:rPr>
          <w:rFonts w:hint="eastAsia" w:ascii="宋体" w:hAnsi="宋体" w:eastAsia="宋体" w:cs="宋体"/>
          <w:sz w:val="24"/>
          <w:szCs w:val="21"/>
        </w:rPr>
        <w:t>.5 本合同中约定的工作日为法定节假日时，自动顺延至法定节假日后的第一个工作日。</w:t>
      </w:r>
    </w:p>
    <w:p w14:paraId="32678119">
      <w:pPr>
        <w:spacing w:line="360" w:lineRule="auto"/>
        <w:ind w:firstLine="240" w:firstLineChars="100"/>
        <w:textAlignment w:val="center"/>
        <w:rPr>
          <w:rFonts w:ascii="宋体" w:hAnsi="宋体" w:eastAsia="宋体" w:cs="宋体"/>
          <w:sz w:val="24"/>
          <w:szCs w:val="21"/>
        </w:rPr>
      </w:pPr>
      <w:r>
        <w:rPr>
          <w:rFonts w:hint="eastAsia" w:ascii="宋体" w:hAnsi="宋体" w:eastAsia="宋体" w:cs="宋体"/>
          <w:sz w:val="24"/>
          <w:szCs w:val="21"/>
        </w:rPr>
        <w:t>1</w:t>
      </w:r>
      <w:r>
        <w:rPr>
          <w:rFonts w:hint="eastAsia" w:ascii="宋体" w:hAnsi="宋体" w:eastAsia="宋体" w:cs="宋体"/>
          <w:sz w:val="24"/>
          <w:szCs w:val="21"/>
          <w:lang w:val="en-US" w:eastAsia="zh-CN"/>
        </w:rPr>
        <w:t>4</w:t>
      </w:r>
      <w:r>
        <w:rPr>
          <w:rFonts w:hint="eastAsia" w:ascii="宋体" w:hAnsi="宋体" w:eastAsia="宋体" w:cs="宋体"/>
          <w:sz w:val="24"/>
          <w:szCs w:val="21"/>
        </w:rPr>
        <w:t>.6 本合同一式陆份，盖章后生效，甲乙双方各执叁份，具有同等法律效力。</w:t>
      </w:r>
    </w:p>
    <w:p w14:paraId="1A5B010F">
      <w:pPr>
        <w:spacing w:line="360" w:lineRule="auto"/>
        <w:ind w:firstLine="240" w:firstLineChars="100"/>
        <w:rPr>
          <w:rFonts w:ascii="宋体" w:hAnsi="宋体" w:eastAsia="宋体" w:cs="宋体"/>
          <w:sz w:val="24"/>
          <w:szCs w:val="21"/>
        </w:rPr>
      </w:pPr>
      <w:r>
        <w:rPr>
          <w:rFonts w:hint="eastAsia" w:ascii="宋体" w:hAnsi="宋体" w:eastAsia="宋体" w:cs="宋体"/>
          <w:sz w:val="24"/>
          <w:szCs w:val="21"/>
        </w:rPr>
        <w:t>（本页以下无正文）</w:t>
      </w:r>
    </w:p>
    <w:tbl>
      <w:tblPr>
        <w:tblStyle w:val="21"/>
        <w:tblW w:w="0" w:type="auto"/>
        <w:tblInd w:w="108"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8" w:type="dxa"/>
          <w:bottom w:w="0" w:type="dxa"/>
          <w:right w:w="108" w:type="dxa"/>
        </w:tblCellMar>
      </w:tblPr>
      <w:tblGrid>
        <w:gridCol w:w="4500"/>
        <w:gridCol w:w="4500"/>
      </w:tblGrid>
      <w:tr w14:paraId="0E06830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3749" w:hRule="atLeast"/>
        </w:trPr>
        <w:tc>
          <w:tcPr>
            <w:tcW w:w="4500" w:type="dxa"/>
            <w:noWrap w:val="0"/>
            <w:vAlign w:val="top"/>
          </w:tcPr>
          <w:p w14:paraId="7DBA5B43">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rPr>
            </w:pPr>
          </w:p>
          <w:p w14:paraId="7487CD3A">
            <w:pPr>
              <w:keepNext w:val="0"/>
              <w:keepLines w:val="0"/>
              <w:pageBreakBefore w:val="0"/>
              <w:kinsoku/>
              <w:wordWrap/>
              <w:overflowPunct/>
              <w:topLinePunct w:val="0"/>
              <w:bidi w:val="0"/>
              <w:spacing w:line="360" w:lineRule="auto"/>
              <w:ind w:right="-82" w:firstLine="206" w:firstLineChars="86"/>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甲方：</w:t>
            </w:r>
            <w:r>
              <w:rPr>
                <w:rFonts w:hint="eastAsia" w:ascii="宋体" w:hAnsi="宋体" w:eastAsia="宋体" w:cs="宋体"/>
                <w:bCs/>
                <w:sz w:val="24"/>
                <w:szCs w:val="24"/>
                <w:highlight w:val="none"/>
                <w:lang w:val="en-US" w:eastAsia="zh-CN"/>
              </w:rPr>
              <w:t>亳州通恒置业有限公司</w:t>
            </w:r>
            <w:r>
              <w:rPr>
                <w:rFonts w:hint="eastAsia" w:ascii="宋体" w:hAnsi="宋体" w:eastAsia="宋体" w:cs="宋体"/>
                <w:bCs/>
                <w:sz w:val="24"/>
                <w:szCs w:val="24"/>
                <w:highlight w:val="none"/>
              </w:rPr>
              <w:t xml:space="preserve"> </w:t>
            </w:r>
          </w:p>
          <w:p w14:paraId="301F0FA9">
            <w:pPr>
              <w:keepNext w:val="0"/>
              <w:keepLines w:val="0"/>
              <w:pageBreakBefore w:val="0"/>
              <w:kinsoku/>
              <w:wordWrap/>
              <w:overflowPunct/>
              <w:topLinePunct w:val="0"/>
              <w:bidi w:val="0"/>
              <w:spacing w:line="360" w:lineRule="auto"/>
              <w:ind w:right="-82" w:firstLine="175" w:firstLineChars="73"/>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 xml:space="preserve">     （公章）</w:t>
            </w:r>
          </w:p>
          <w:p w14:paraId="696FEECB">
            <w:pPr>
              <w:pStyle w:val="39"/>
              <w:keepNext w:val="0"/>
              <w:keepLines w:val="0"/>
              <w:pageBreakBefore w:val="0"/>
              <w:widowControl/>
              <w:kinsoku/>
              <w:wordWrap/>
              <w:overflowPunct/>
              <w:topLinePunct w:val="0"/>
              <w:bidi w:val="0"/>
              <w:spacing w:line="360" w:lineRule="auto"/>
              <w:ind w:left="0" w:leftChars="0" w:firstLine="0" w:firstLineChars="0"/>
              <w:jc w:val="left"/>
              <w:textAlignment w:val="auto"/>
              <w:rPr>
                <w:rFonts w:hint="eastAsia" w:ascii="宋体" w:hAnsi="宋体" w:eastAsia="宋体" w:cs="Times New Roman"/>
                <w:color w:val="000000"/>
                <w:sz w:val="24"/>
                <w:szCs w:val="24"/>
                <w:highlight w:val="yellow"/>
              </w:rPr>
            </w:pPr>
            <w:r>
              <w:rPr>
                <w:rFonts w:hint="eastAsia" w:ascii="宋体" w:hAnsi="宋体" w:eastAsia="宋体" w:cs="宋体"/>
                <w:bCs/>
                <w:sz w:val="24"/>
                <w:szCs w:val="24"/>
                <w:highlight w:val="none"/>
              </w:rPr>
              <w:t>地址：</w:t>
            </w:r>
            <w:r>
              <w:rPr>
                <w:rFonts w:hint="eastAsia" w:ascii="宋体" w:hAnsi="宋体" w:eastAsia="宋体" w:cs="宋体"/>
                <w:sz w:val="24"/>
                <w:highlight w:val="none"/>
                <w:lang w:eastAsia="zh-CN"/>
              </w:rPr>
              <w:t>安徽省亳州市高新技术产业开发区酒城大道高铁南站金融商务中心2号楼</w:t>
            </w:r>
            <w:r>
              <w:rPr>
                <w:rFonts w:hint="eastAsia" w:ascii="宋体" w:hAnsi="宋体" w:eastAsia="宋体" w:cs="宋体"/>
                <w:sz w:val="24"/>
                <w:highlight w:val="none"/>
              </w:rPr>
              <w:t xml:space="preserve">  </w:t>
            </w:r>
          </w:p>
          <w:p w14:paraId="4E31C0B5">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邮编：</w:t>
            </w:r>
            <w:r>
              <w:rPr>
                <w:rFonts w:hint="eastAsia" w:ascii="宋体" w:hAnsi="宋体" w:eastAsia="宋体" w:cs="宋体"/>
                <w:bCs/>
                <w:sz w:val="24"/>
                <w:szCs w:val="24"/>
                <w:highlight w:val="none"/>
                <w:lang w:val="en-US" w:eastAsia="zh-CN"/>
              </w:rPr>
              <w:t>236800</w:t>
            </w:r>
            <w:r>
              <w:rPr>
                <w:rFonts w:hint="eastAsia" w:ascii="宋体" w:hAnsi="宋体" w:eastAsia="宋体" w:cs="宋体"/>
                <w:bCs/>
                <w:sz w:val="24"/>
                <w:szCs w:val="24"/>
                <w:highlight w:val="none"/>
              </w:rPr>
              <w:t xml:space="preserve"> </w:t>
            </w:r>
          </w:p>
          <w:p w14:paraId="386E4958">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电话</w:t>
            </w:r>
            <w:r>
              <w:rPr>
                <w:rFonts w:hint="eastAsia" w:ascii="宋体" w:hAnsi="宋体" w:eastAsia="宋体" w:cs="宋体"/>
                <w:bCs/>
                <w:sz w:val="24"/>
                <w:szCs w:val="24"/>
                <w:highlight w:val="none"/>
                <w:lang w:eastAsia="zh-CN"/>
              </w:rPr>
              <w:t>：</w:t>
            </w:r>
            <w:r>
              <w:rPr>
                <w:rFonts w:hint="eastAsia" w:ascii="宋体" w:hAnsi="宋体" w:eastAsia="宋体" w:cs="宋体"/>
                <w:sz w:val="24"/>
                <w:szCs w:val="21"/>
                <w:highlight w:val="none"/>
                <w:lang w:val="en-US" w:eastAsia="zh-CN"/>
              </w:rPr>
              <w:t>0558-5998970</w:t>
            </w:r>
          </w:p>
          <w:p w14:paraId="5551B071">
            <w:pPr>
              <w:keepNext w:val="0"/>
              <w:keepLines w:val="0"/>
              <w:pageBreakBefore w:val="0"/>
              <w:kinsoku/>
              <w:wordWrap/>
              <w:overflowPunct/>
              <w:topLinePunct w:val="0"/>
              <w:bidi w:val="0"/>
              <w:spacing w:line="360" w:lineRule="auto"/>
              <w:ind w:right="-82" w:firstLine="206" w:firstLineChars="86"/>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 xml:space="preserve"> </w:t>
            </w:r>
          </w:p>
          <w:p w14:paraId="6359C182">
            <w:pPr>
              <w:keepNext w:val="0"/>
              <w:keepLines w:val="0"/>
              <w:pageBreakBefore w:val="0"/>
              <w:kinsoku/>
              <w:wordWrap/>
              <w:overflowPunct/>
              <w:topLinePunct w:val="0"/>
              <w:bidi w:val="0"/>
              <w:spacing w:line="360" w:lineRule="auto"/>
              <w:ind w:right="-82" w:firstLine="206" w:firstLineChars="86"/>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法定代表人：</w:t>
            </w:r>
          </w:p>
          <w:p w14:paraId="4A53729A">
            <w:pPr>
              <w:keepNext w:val="0"/>
              <w:keepLines w:val="0"/>
              <w:pageBreakBefore w:val="0"/>
              <w:kinsoku/>
              <w:wordWrap/>
              <w:overflowPunct/>
              <w:topLinePunct w:val="0"/>
              <w:bidi w:val="0"/>
              <w:spacing w:line="360" w:lineRule="auto"/>
              <w:ind w:right="-82" w:firstLine="206" w:firstLineChars="86"/>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委托代理人：</w:t>
            </w:r>
          </w:p>
          <w:p w14:paraId="43D5BC31">
            <w:pPr>
              <w:keepNext w:val="0"/>
              <w:keepLines w:val="0"/>
              <w:pageBreakBefore w:val="0"/>
              <w:kinsoku/>
              <w:wordWrap/>
              <w:overflowPunct/>
              <w:topLinePunct w:val="0"/>
              <w:bidi w:val="0"/>
              <w:spacing w:line="360" w:lineRule="auto"/>
              <w:ind w:right="-82" w:firstLine="206" w:firstLineChars="86"/>
              <w:textAlignment w:val="auto"/>
              <w:rPr>
                <w:rFonts w:hint="eastAsia" w:ascii="宋体" w:hAnsi="宋体" w:eastAsia="宋体" w:cs="宋体"/>
                <w:bCs/>
                <w:sz w:val="24"/>
                <w:szCs w:val="24"/>
              </w:rPr>
            </w:pPr>
            <w:r>
              <w:rPr>
                <w:rFonts w:hint="eastAsia" w:ascii="宋体" w:hAnsi="宋体" w:eastAsia="宋体" w:cs="宋体"/>
                <w:bCs/>
                <w:sz w:val="24"/>
                <w:szCs w:val="24"/>
                <w:highlight w:val="none"/>
              </w:rPr>
              <w:t>日期：</w:t>
            </w:r>
          </w:p>
        </w:tc>
        <w:tc>
          <w:tcPr>
            <w:tcW w:w="4500" w:type="dxa"/>
            <w:noWrap w:val="0"/>
            <w:vAlign w:val="top"/>
          </w:tcPr>
          <w:p w14:paraId="552AEFDF">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rPr>
            </w:pPr>
          </w:p>
          <w:p w14:paraId="369A921F">
            <w:pPr>
              <w:keepNext w:val="0"/>
              <w:keepLines w:val="0"/>
              <w:pageBreakBefore w:val="0"/>
              <w:kinsoku/>
              <w:wordWrap/>
              <w:overflowPunct/>
              <w:topLinePunct w:val="0"/>
              <w:bidi w:val="0"/>
              <w:spacing w:line="360" w:lineRule="auto"/>
              <w:ind w:left="638" w:right="-82" w:hanging="638" w:hangingChars="266"/>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rPr>
              <w:t xml:space="preserve">乙方： </w:t>
            </w:r>
            <w:r>
              <w:rPr>
                <w:rFonts w:hint="eastAsia" w:ascii="宋体" w:hAnsi="宋体" w:eastAsia="宋体" w:cs="宋体"/>
                <w:bCs/>
                <w:sz w:val="24"/>
                <w:szCs w:val="24"/>
                <w:lang w:val="en-US" w:eastAsia="zh-CN"/>
              </w:rPr>
              <w:t xml:space="preserve"> </w:t>
            </w:r>
          </w:p>
          <w:p w14:paraId="09CD5739">
            <w:pPr>
              <w:keepNext w:val="0"/>
              <w:keepLines w:val="0"/>
              <w:pageBreakBefore w:val="0"/>
              <w:kinsoku/>
              <w:wordWrap/>
              <w:overflowPunct/>
              <w:topLinePunct w:val="0"/>
              <w:bidi w:val="0"/>
              <w:spacing w:line="360" w:lineRule="auto"/>
              <w:ind w:left="638" w:right="-82" w:hanging="638" w:hangingChars="266"/>
              <w:textAlignment w:val="auto"/>
              <w:rPr>
                <w:rFonts w:hint="eastAsia" w:ascii="宋体" w:hAnsi="宋体" w:eastAsia="宋体" w:cs="宋体"/>
                <w:bCs/>
                <w:sz w:val="24"/>
                <w:szCs w:val="24"/>
              </w:rPr>
            </w:pPr>
            <w:r>
              <w:rPr>
                <w:rFonts w:hint="eastAsia" w:ascii="宋体" w:hAnsi="宋体" w:eastAsia="宋体" w:cs="宋体"/>
                <w:bCs/>
                <w:sz w:val="24"/>
                <w:szCs w:val="24"/>
              </w:rPr>
              <w:t xml:space="preserve">      （公章）</w:t>
            </w:r>
          </w:p>
          <w:p w14:paraId="1D6249F6">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rPr>
            </w:pPr>
            <w:r>
              <w:rPr>
                <w:rFonts w:hint="eastAsia" w:ascii="宋体" w:hAnsi="宋体" w:eastAsia="宋体" w:cs="宋体"/>
                <w:bCs/>
                <w:sz w:val="24"/>
                <w:szCs w:val="24"/>
              </w:rPr>
              <w:t>地址：</w:t>
            </w:r>
          </w:p>
          <w:p w14:paraId="6822EE5A">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rPr>
            </w:pPr>
          </w:p>
          <w:p w14:paraId="7A4CBF87">
            <w:pPr>
              <w:keepNext w:val="0"/>
              <w:keepLines w:val="0"/>
              <w:pageBreakBefore w:val="0"/>
              <w:shd w:val="clear" w:color="auto" w:fill="auto"/>
              <w:kinsoku/>
              <w:wordWrap/>
              <w:overflowPunct/>
              <w:topLinePunct w:val="0"/>
              <w:bidi w:val="0"/>
              <w:spacing w:line="360" w:lineRule="auto"/>
              <w:ind w:right="-82"/>
              <w:textAlignment w:val="auto"/>
              <w:rPr>
                <w:rFonts w:hint="eastAsia" w:ascii="宋体" w:hAnsi="宋体" w:eastAsia="宋体" w:cs="宋体"/>
                <w:bCs w:val="0"/>
                <w:sz w:val="24"/>
                <w:szCs w:val="21"/>
                <w:highlight w:val="none"/>
              </w:rPr>
            </w:pPr>
            <w:r>
              <w:rPr>
                <w:rFonts w:hint="eastAsia" w:ascii="宋体" w:hAnsi="宋体" w:eastAsia="宋体" w:cs="宋体"/>
                <w:bCs w:val="0"/>
                <w:color w:val="auto"/>
                <w:sz w:val="24"/>
                <w:szCs w:val="21"/>
                <w:highlight w:val="none"/>
                <w:shd w:val="clear" w:color="auto" w:fill="auto"/>
              </w:rPr>
              <w:t>邮编：</w:t>
            </w:r>
          </w:p>
          <w:p w14:paraId="666308E9">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val="0"/>
                <w:sz w:val="24"/>
                <w:szCs w:val="21"/>
                <w:highlight w:val="none"/>
              </w:rPr>
            </w:pPr>
            <w:r>
              <w:rPr>
                <w:rFonts w:hint="eastAsia" w:ascii="宋体" w:hAnsi="宋体" w:eastAsia="宋体" w:cs="宋体"/>
                <w:bCs w:val="0"/>
                <w:sz w:val="24"/>
                <w:szCs w:val="21"/>
                <w:highlight w:val="none"/>
                <w:shd w:val="clear" w:color="auto" w:fill="auto"/>
              </w:rPr>
              <w:t>电话：</w:t>
            </w:r>
            <w:r>
              <w:rPr>
                <w:rFonts w:hint="eastAsia" w:ascii="宋体" w:hAnsi="宋体" w:eastAsia="宋体" w:cs="宋体"/>
                <w:sz w:val="24"/>
                <w:szCs w:val="21"/>
                <w:highlight w:val="none"/>
                <w:lang w:eastAsia="zh-CN"/>
              </w:rPr>
              <w:t xml:space="preserve"> </w:t>
            </w:r>
          </w:p>
          <w:p w14:paraId="288C44CD">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rPr>
            </w:pPr>
          </w:p>
          <w:p w14:paraId="1F97FCEA">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rPr>
            </w:pPr>
            <w:r>
              <w:rPr>
                <w:rFonts w:hint="eastAsia" w:ascii="宋体" w:hAnsi="宋体" w:eastAsia="宋体" w:cs="宋体"/>
                <w:bCs/>
                <w:sz w:val="24"/>
                <w:szCs w:val="24"/>
              </w:rPr>
              <w:t>法定代表人：</w:t>
            </w:r>
          </w:p>
          <w:p w14:paraId="40041803">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rPr>
            </w:pPr>
            <w:r>
              <w:rPr>
                <w:rFonts w:hint="eastAsia" w:ascii="宋体" w:hAnsi="宋体" w:eastAsia="宋体" w:cs="宋体"/>
                <w:bCs/>
                <w:sz w:val="24"/>
                <w:szCs w:val="24"/>
              </w:rPr>
              <w:t>委托代理人：</w:t>
            </w:r>
          </w:p>
          <w:p w14:paraId="4C2D2D0E">
            <w:pPr>
              <w:keepNext w:val="0"/>
              <w:keepLines w:val="0"/>
              <w:pageBreakBefore w:val="0"/>
              <w:kinsoku/>
              <w:wordWrap/>
              <w:overflowPunct/>
              <w:topLinePunct w:val="0"/>
              <w:bidi w:val="0"/>
              <w:spacing w:line="360" w:lineRule="auto"/>
              <w:ind w:right="-82"/>
              <w:textAlignment w:val="auto"/>
              <w:rPr>
                <w:rFonts w:hint="eastAsia" w:ascii="宋体" w:hAnsi="宋体" w:eastAsia="宋体" w:cs="宋体"/>
                <w:bCs/>
                <w:sz w:val="24"/>
                <w:szCs w:val="24"/>
              </w:rPr>
            </w:pPr>
            <w:r>
              <w:rPr>
                <w:rFonts w:hint="eastAsia" w:ascii="宋体" w:hAnsi="宋体" w:eastAsia="宋体" w:cs="宋体"/>
                <w:bCs/>
                <w:sz w:val="24"/>
                <w:szCs w:val="24"/>
              </w:rPr>
              <w:t>日期：</w:t>
            </w:r>
          </w:p>
        </w:tc>
      </w:tr>
    </w:tbl>
    <w:p w14:paraId="0F8156B5">
      <w:pPr>
        <w:keepNext w:val="0"/>
        <w:keepLines w:val="0"/>
        <w:pageBreakBefore w:val="0"/>
        <w:kinsoku/>
        <w:wordWrap/>
        <w:overflowPunct/>
        <w:topLinePunct w:val="0"/>
        <w:bidi w:val="0"/>
        <w:spacing w:line="360" w:lineRule="auto"/>
        <w:ind w:left="0" w:right="-82" w:firstLine="0"/>
        <w:textAlignment w:val="auto"/>
        <w:rPr>
          <w:rFonts w:hint="eastAsia" w:ascii="宋体" w:hAnsi="宋体" w:cs="宋体"/>
          <w:sz w:val="24"/>
          <w:szCs w:val="24"/>
        </w:rPr>
        <w:sectPr>
          <w:headerReference r:id="rId5" w:type="first"/>
          <w:footerReference r:id="rId7" w:type="first"/>
          <w:headerReference r:id="rId4" w:type="default"/>
          <w:footerReference r:id="rId6" w:type="default"/>
          <w:pgSz w:w="11906" w:h="16838"/>
          <w:pgMar w:top="1134" w:right="1021" w:bottom="1134" w:left="1247" w:header="851" w:footer="992" w:gutter="0"/>
          <w:pgNumType w:fmt="decimal" w:start="1"/>
          <w:cols w:space="720" w:num="1"/>
          <w:titlePg/>
          <w:docGrid w:type="lines" w:linePitch="416" w:charSpace="0"/>
        </w:sectPr>
      </w:pPr>
    </w:p>
    <w:p w14:paraId="5F5A0E52">
      <w:pPr>
        <w:keepNext w:val="0"/>
        <w:keepLines w:val="0"/>
        <w:pageBreakBefore w:val="0"/>
        <w:widowControl w:val="0"/>
        <w:kinsoku/>
        <w:wordWrap/>
        <w:overflowPunct/>
        <w:topLinePunct w:val="0"/>
        <w:autoSpaceDE w:val="0"/>
        <w:autoSpaceDN w:val="0"/>
        <w:bidi w:val="0"/>
        <w:adjustRightInd w:val="0"/>
        <w:snapToGrid/>
        <w:spacing w:line="480" w:lineRule="auto"/>
        <w:jc w:val="left"/>
        <w:textAlignment w:val="auto"/>
        <w:rPr>
          <w:rFonts w:hint="eastAsia" w:ascii="宋体" w:hAnsi="宋体" w:eastAsia="宋体" w:cs="宋体"/>
          <w:b/>
          <w:bCs/>
          <w:kern w:val="0"/>
          <w:sz w:val="28"/>
          <w:szCs w:val="28"/>
          <w:lang w:val="en-US" w:eastAsia="zh-CN"/>
        </w:rPr>
      </w:pPr>
      <w:r>
        <w:rPr>
          <w:rFonts w:hint="eastAsia" w:ascii="宋体" w:hAnsi="宋体" w:eastAsia="宋体" w:cs="宋体"/>
          <w:b/>
          <w:bCs/>
          <w:kern w:val="0"/>
          <w:sz w:val="28"/>
          <w:szCs w:val="28"/>
          <w:lang w:val="en-US" w:eastAsia="zh-CN"/>
        </w:rPr>
        <w:t>附件一：廉洁共建协议</w:t>
      </w:r>
    </w:p>
    <w:p w14:paraId="1973D01B">
      <w:pPr>
        <w:keepNext w:val="0"/>
        <w:keepLines w:val="0"/>
        <w:pageBreakBefore w:val="0"/>
        <w:widowControl w:val="0"/>
        <w:kinsoku/>
        <w:wordWrap/>
        <w:overflowPunct/>
        <w:topLinePunct w:val="0"/>
        <w:autoSpaceDE w:val="0"/>
        <w:autoSpaceDN w:val="0"/>
        <w:bidi w:val="0"/>
        <w:adjustRightInd w:val="0"/>
        <w:snapToGrid/>
        <w:spacing w:line="480" w:lineRule="auto"/>
        <w:jc w:val="center"/>
        <w:textAlignment w:val="auto"/>
        <w:rPr>
          <w:rFonts w:hint="eastAsia" w:ascii="宋体" w:hAnsi="宋体" w:eastAsia="宋体" w:cs="宋体"/>
          <w:b/>
          <w:bCs/>
          <w:kern w:val="0"/>
          <w:sz w:val="48"/>
          <w:szCs w:val="48"/>
          <w:highlight w:val="none"/>
        </w:rPr>
      </w:pPr>
      <w:r>
        <w:rPr>
          <w:rFonts w:hint="eastAsia" w:ascii="宋体" w:hAnsi="宋体" w:eastAsia="宋体" w:cs="宋体"/>
          <w:b/>
          <w:bCs/>
          <w:kern w:val="0"/>
          <w:sz w:val="48"/>
          <w:szCs w:val="48"/>
          <w:highlight w:val="none"/>
        </w:rPr>
        <w:t>廉洁共建协议</w:t>
      </w:r>
    </w:p>
    <w:p w14:paraId="695C1FF0">
      <w:pPr>
        <w:keepNext w:val="0"/>
        <w:keepLines w:val="0"/>
        <w:pageBreakBefore w:val="0"/>
        <w:widowControl w:val="0"/>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甲方：</w:t>
      </w:r>
      <w:r>
        <w:rPr>
          <w:rFonts w:hint="eastAsia" w:ascii="宋体" w:hAnsi="宋体" w:eastAsia="宋体" w:cs="宋体"/>
          <w:kern w:val="0"/>
          <w:sz w:val="24"/>
          <w:szCs w:val="24"/>
          <w:highlight w:val="none"/>
          <w:lang w:val="en-US" w:eastAsia="zh-CN"/>
        </w:rPr>
        <w:t>亳州通恒置业有限公司</w:t>
      </w:r>
      <w:r>
        <w:rPr>
          <w:rFonts w:hint="eastAsia" w:ascii="宋体" w:hAnsi="宋体" w:eastAsia="宋体" w:cs="宋体"/>
          <w:kern w:val="0"/>
          <w:sz w:val="24"/>
          <w:szCs w:val="24"/>
          <w:highlight w:val="none"/>
        </w:rPr>
        <w:t xml:space="preserve">          </w:t>
      </w:r>
    </w:p>
    <w:p w14:paraId="4CF699F8">
      <w:pPr>
        <w:keepNext w:val="0"/>
        <w:keepLines w:val="0"/>
        <w:pageBreakBefore w:val="0"/>
        <w:widowControl w:val="0"/>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xml:space="preserve">           </w:t>
      </w:r>
    </w:p>
    <w:p w14:paraId="0141E759">
      <w:pPr>
        <w:keepNext w:val="0"/>
        <w:keepLines w:val="0"/>
        <w:pageBreakBefore w:val="0"/>
        <w:widowControl w:val="0"/>
        <w:kinsoku/>
        <w:wordWrap/>
        <w:overflowPunct/>
        <w:topLinePunct w:val="0"/>
        <w:autoSpaceDE w:val="0"/>
        <w:autoSpaceDN w:val="0"/>
        <w:bidi w:val="0"/>
        <w:adjustRightInd w:val="0"/>
        <w:spacing w:line="360" w:lineRule="auto"/>
        <w:ind w:left="559" w:leftChars="266"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为加强双方诚信合作、实现友好共赢，保证评估服务及相关合作业务公平、公正展开，有效保护双方权益，避免腐败舞弊事件发生，本着“廉洁自律、求真务实”的原则，经双方协商一致，作出如下约定（本协议适用于甲乙双方集团总部及分子公司）：   </w:t>
      </w:r>
    </w:p>
    <w:p w14:paraId="1705E8A2">
      <w:pPr>
        <w:keepNext w:val="0"/>
        <w:keepLines w:val="0"/>
        <w:pageBreakBefore w:val="0"/>
        <w:widowControl w:val="0"/>
        <w:numPr>
          <w:ilvl w:val="0"/>
          <w:numId w:val="3"/>
        </w:numPr>
        <w:kinsoku/>
        <w:wordWrap/>
        <w:overflowPunct/>
        <w:topLinePunct w:val="0"/>
        <w:autoSpaceDE w:val="0"/>
        <w:autoSpaceDN w:val="0"/>
        <w:bidi w:val="0"/>
        <w:adjustRightInd w:val="0"/>
        <w:spacing w:line="360" w:lineRule="auto"/>
        <w:ind w:firstLine="482"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甲方职责与权利</w:t>
      </w:r>
    </w:p>
    <w:p w14:paraId="656C8EE8">
      <w:pPr>
        <w:keepNext w:val="0"/>
        <w:keepLines w:val="0"/>
        <w:pageBreakBefore w:val="0"/>
        <w:widowControl w:val="0"/>
        <w:numPr>
          <w:ilvl w:val="0"/>
          <w:numId w:val="4"/>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甲方需对本单位人员进行廉洁从业教育；甲方（含所属管理的相关单位及个人）应廉洁自律，不得收受或索取商业贿赂，不得以任何方式为乙方安排可能影响公正执行工作任务的活动，不得有违背廉洁规定和效能监察等行为；</w:t>
      </w:r>
    </w:p>
    <w:p w14:paraId="5098CE97">
      <w:pPr>
        <w:keepNext w:val="0"/>
        <w:keepLines w:val="0"/>
        <w:pageBreakBefore w:val="0"/>
        <w:widowControl w:val="0"/>
        <w:numPr>
          <w:ilvl w:val="0"/>
          <w:numId w:val="4"/>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甲方需明确告知其所有供应商关于甲方廉洁自律管理规定要求及甲方与乙方建立的廉洁共建协议；</w:t>
      </w:r>
    </w:p>
    <w:p w14:paraId="10E53EA2">
      <w:pPr>
        <w:keepNext w:val="0"/>
        <w:keepLines w:val="0"/>
        <w:pageBreakBefore w:val="0"/>
        <w:widowControl w:val="0"/>
        <w:numPr>
          <w:ilvl w:val="0"/>
          <w:numId w:val="4"/>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如乙方员工存在下述第二条第三款第一项所禁止的行为的（即接受甲方或甲方关联方接送机、接送站、预定酒店等行为），甲方有权随时向乙方反馈/投诉，乙方将按照公司制度规定对违规员工作出书面警告、通报批评等处罚处理；</w:t>
      </w:r>
    </w:p>
    <w:p w14:paraId="4F141F66">
      <w:pPr>
        <w:keepNext w:val="0"/>
        <w:keepLines w:val="0"/>
        <w:pageBreakBefore w:val="0"/>
        <w:widowControl w:val="0"/>
        <w:numPr>
          <w:ilvl w:val="0"/>
          <w:numId w:val="4"/>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如乙方员工存在下述第二条第三款第二项所禁止行为的（即接受甲方或甲方关联方宴请、唱歌等娱乐活动），乙方将按照公司制度规定对违规员工作通报批评、开除等处罚处理；同时甲方应按照本集团/公司廉洁自律管理规定对宴请方/宴请相关方严肃处理，并将处理结果书面通知乙方；</w:t>
      </w:r>
    </w:p>
    <w:p w14:paraId="5D3C4B8C">
      <w:pPr>
        <w:keepNext w:val="0"/>
        <w:keepLines w:val="0"/>
        <w:pageBreakBefore w:val="0"/>
        <w:widowControl w:val="0"/>
        <w:numPr>
          <w:ilvl w:val="0"/>
          <w:numId w:val="4"/>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如评估项目相关人员有行贿行为的，甲方确认乙方有权对存在行贿情况的被评项目给予评估分数为0分处理；</w:t>
      </w:r>
    </w:p>
    <w:p w14:paraId="3987ECF4">
      <w:pPr>
        <w:keepNext w:val="0"/>
        <w:keepLines w:val="0"/>
        <w:pageBreakBefore w:val="0"/>
        <w:widowControl w:val="0"/>
        <w:kinsoku/>
        <w:wordWrap/>
        <w:overflowPunct/>
        <w:topLinePunct w:val="0"/>
        <w:autoSpaceDE w:val="0"/>
        <w:autoSpaceDN w:val="0"/>
        <w:bidi w:val="0"/>
        <w:adjustRightInd w:val="0"/>
        <w:spacing w:line="360" w:lineRule="auto"/>
        <w:ind w:left="36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（六）甲乙双方评估服务合同履行期间，甲方对总包等单位作出如下要求：</w:t>
      </w:r>
    </w:p>
    <w:p w14:paraId="1ED3C7C3">
      <w:pPr>
        <w:keepNext w:val="0"/>
        <w:keepLines w:val="0"/>
        <w:pageBreakBefore w:val="0"/>
        <w:widowControl w:val="0"/>
        <w:kinsoku/>
        <w:wordWrap/>
        <w:overflowPunct/>
        <w:topLinePunct w:val="0"/>
        <w:autoSpaceDE w:val="0"/>
        <w:autoSpaceDN w:val="0"/>
        <w:bidi w:val="0"/>
        <w:adjustRightInd w:val="0"/>
        <w:spacing w:line="360" w:lineRule="auto"/>
        <w:ind w:firstLine="48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1、甲方应严令禁止总包等单位向瑞捷咨询及员工行贿、宴请或邀请瑞捷咨询员工进行其他娱乐等活动；</w:t>
      </w:r>
    </w:p>
    <w:p w14:paraId="557C501B">
      <w:pPr>
        <w:keepNext w:val="0"/>
        <w:keepLines w:val="0"/>
        <w:pageBreakBefore w:val="0"/>
        <w:widowControl w:val="0"/>
        <w:kinsoku/>
        <w:wordWrap/>
        <w:overflowPunct/>
        <w:topLinePunct w:val="0"/>
        <w:autoSpaceDE w:val="0"/>
        <w:autoSpaceDN w:val="0"/>
        <w:bidi w:val="0"/>
        <w:adjustRightInd w:val="0"/>
        <w:spacing w:line="360" w:lineRule="auto"/>
        <w:ind w:firstLine="48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甲方有权没收行贿财物，并对行贿单位及相关工作人员按照其与甲方签署的主合同总价款的10%承担违约责任，进行通报批评，并将相应处罚通报情况知会瑞捷咨询。行贿方违约、违法情况严重而被当地公安、纪检、监察、检察机关立案调查的，除追究行贿方上述责任外，甲方还有权终止合同，如行贿方行为给甲方造成实际经济损失的，行贿方还应当全部赔偿；</w:t>
      </w:r>
    </w:p>
    <w:p w14:paraId="4034F36A">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七</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rPr>
        <w:t>甲方确认将公平、公正处理廉洁事件各方，给予行贿方及受贿方对等处罚。</w:t>
      </w:r>
    </w:p>
    <w:p w14:paraId="29AD17D4">
      <w:pPr>
        <w:keepNext w:val="0"/>
        <w:keepLines w:val="0"/>
        <w:pageBreakBefore w:val="0"/>
        <w:widowControl w:val="0"/>
        <w:numPr>
          <w:ilvl w:val="0"/>
          <w:numId w:val="3"/>
        </w:numPr>
        <w:kinsoku/>
        <w:wordWrap/>
        <w:overflowPunct/>
        <w:topLinePunct w:val="0"/>
        <w:autoSpaceDE w:val="0"/>
        <w:autoSpaceDN w:val="0"/>
        <w:bidi w:val="0"/>
        <w:adjustRightInd w:val="0"/>
        <w:spacing w:line="360" w:lineRule="auto"/>
        <w:ind w:firstLine="482"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乙方职责与权利</w:t>
      </w:r>
    </w:p>
    <w:p w14:paraId="2452E547">
      <w:pPr>
        <w:keepNext w:val="0"/>
        <w:keepLines w:val="0"/>
        <w:pageBreakBefore w:val="0"/>
        <w:widowControl w:val="0"/>
        <w:numPr>
          <w:ilvl w:val="0"/>
          <w:numId w:val="5"/>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需对本单位人员进行廉洁从业教育，乙方（含所属管理的相关单位及个人）应廉洁自律，不得收受或索取商业贿赂；不得参与甲方及相关单位安排的可能影响公正执行工作任务的活动，不得有违背廉洁规定和效能监察等行为；</w:t>
      </w:r>
    </w:p>
    <w:p w14:paraId="5C104F88">
      <w:pPr>
        <w:keepNext w:val="0"/>
        <w:keepLines w:val="0"/>
        <w:pageBreakBefore w:val="0"/>
        <w:widowControl w:val="0"/>
        <w:numPr>
          <w:ilvl w:val="0"/>
          <w:numId w:val="5"/>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乙方内部建立并逐步完善《廉洁考核管理制度》、《反商业贿赂管理制度》、《廉洁行为指引》、《神秘人行动方案和制度》等全方位监督和管理机制，确保评估工作公平、公正展开；</w:t>
      </w:r>
    </w:p>
    <w:p w14:paraId="2869B885">
      <w:pPr>
        <w:keepNext w:val="0"/>
        <w:keepLines w:val="0"/>
        <w:pageBreakBefore w:val="0"/>
        <w:widowControl w:val="0"/>
        <w:numPr>
          <w:ilvl w:val="0"/>
          <w:numId w:val="5"/>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在</w:t>
      </w:r>
      <w:r>
        <w:rPr>
          <w:rFonts w:hint="eastAsia" w:ascii="宋体" w:hAnsi="宋体" w:eastAsia="宋体" w:cs="宋体"/>
          <w:kern w:val="0"/>
          <w:sz w:val="24"/>
          <w:szCs w:val="24"/>
          <w:lang w:val="en-US" w:eastAsia="zh-CN"/>
        </w:rPr>
        <w:t>评估服务</w:t>
      </w:r>
      <w:r>
        <w:rPr>
          <w:rFonts w:hint="eastAsia" w:ascii="宋体" w:hAnsi="宋体" w:eastAsia="宋体" w:cs="宋体"/>
          <w:kern w:val="0"/>
          <w:sz w:val="24"/>
          <w:szCs w:val="24"/>
        </w:rPr>
        <w:t>合同履行期间，乙方及其员工禁止出现下列任何行为：</w:t>
      </w:r>
    </w:p>
    <w:p w14:paraId="535EC043">
      <w:pPr>
        <w:keepNext w:val="0"/>
        <w:keepLines w:val="0"/>
        <w:pageBreakBefore w:val="0"/>
        <w:widowControl w:val="0"/>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1、接受甲方或甲方关联方接送机、接送站、预定酒店等行为；</w:t>
      </w:r>
    </w:p>
    <w:p w14:paraId="2F199961">
      <w:pPr>
        <w:keepNext w:val="0"/>
        <w:keepLines w:val="0"/>
        <w:pageBreakBefore w:val="0"/>
        <w:widowControl w:val="0"/>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2、接受甲方或甲方关联方宴请、唱歌等娱乐活动；</w:t>
      </w:r>
    </w:p>
    <w:p w14:paraId="600B951B">
      <w:pPr>
        <w:keepNext w:val="0"/>
        <w:keepLines w:val="0"/>
        <w:pageBreakBefore w:val="0"/>
        <w:widowControl w:val="0"/>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3、接受甲方或甲方关联方有价证券、烟酒、礼物、红包等财物。</w:t>
      </w:r>
    </w:p>
    <w:p w14:paraId="5AE1D14E">
      <w:pPr>
        <w:keepNext w:val="0"/>
        <w:keepLines w:val="0"/>
        <w:pageBreakBefore w:val="0"/>
        <w:widowControl w:val="0"/>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如乙方及员工存在上述行为的，甲方有权要求乙方依照双方签署的评估服务合同及廉政协议约定承担相应违约责任，但甲乙双方有特殊约定的除外。</w:t>
      </w:r>
    </w:p>
    <w:p w14:paraId="2AE9F92E">
      <w:pPr>
        <w:keepNext w:val="0"/>
        <w:keepLines w:val="0"/>
        <w:pageBreakBefore w:val="0"/>
        <w:widowControl w:val="0"/>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四）如乙方发生拒绝收受贿赂行为的，乙方承诺将在拒贿行为发生1小时内汇报至甲方集团总部，乙方工作人员在总结会当场将拒贿财物退还至甲方（要求拍照或视频留档）；甲方应依照事件具体情况在内部管控考核中或第三方协议中给予行贿人或行贿人所在单位包括且不限于：限期处理、通报批评、评估分数扣减、罚款、纳入甲方供应商黑名单、追究民事及刑事责任等。</w:t>
      </w:r>
    </w:p>
    <w:p w14:paraId="73635317">
      <w:pPr>
        <w:pStyle w:val="39"/>
        <w:keepNext w:val="0"/>
        <w:keepLines w:val="0"/>
        <w:pageBreakBefore w:val="0"/>
        <w:widowControl w:val="0"/>
        <w:numPr>
          <w:ilvl w:val="0"/>
          <w:numId w:val="3"/>
        </w:numPr>
        <w:kinsoku/>
        <w:wordWrap/>
        <w:overflowPunct/>
        <w:topLinePunct w:val="0"/>
        <w:bidi w:val="0"/>
        <w:adjustRightInd w:val="0"/>
        <w:snapToGrid w:val="0"/>
        <w:spacing w:line="360" w:lineRule="auto"/>
        <w:ind w:firstLine="480" w:firstLineChars="0"/>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甲乙双方确认，如任意一方（含所属管理的相关单位及个人）发生舞弊行为，拒贿方拒贿后应及时告知甲方集团，经查证属实的，对行贿方负有管理义务的一方将行贿款项没收并建立廉洁奖励基金，可用于合理奖励对甲乙双方廉洁管理作出贡献的相关人员，并对相关当事人给予通报表扬。</w:t>
      </w:r>
    </w:p>
    <w:p w14:paraId="0D116038">
      <w:pPr>
        <w:keepNext w:val="0"/>
        <w:keepLines w:val="0"/>
        <w:pageBreakBefore w:val="0"/>
        <w:widowControl w:val="0"/>
        <w:numPr>
          <w:ilvl w:val="0"/>
          <w:numId w:val="3"/>
        </w:numPr>
        <w:kinsoku/>
        <w:wordWrap/>
        <w:overflowPunct/>
        <w:topLinePunct w:val="0"/>
        <w:autoSpaceDE w:val="0"/>
        <w:autoSpaceDN w:val="0"/>
        <w:bidi w:val="0"/>
        <w:adjustRightInd w:val="0"/>
        <w:spacing w:line="360" w:lineRule="auto"/>
        <w:ind w:firstLine="482"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甲乙双方均有义务告知其工作人员及相关合作单位有关本协议内容并要求其遵守本协议约定。甲乙双方在廉洁维度互相合作，互相帮助，资料、信息共享，共同调查事实，共造风清气正工作环境。</w:t>
      </w:r>
    </w:p>
    <w:p w14:paraId="68953FE7">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jc w:val="left"/>
        <w:textAlignment w:val="auto"/>
        <w:rPr>
          <w:rFonts w:hint="eastAsia" w:ascii="宋体" w:hAnsi="宋体" w:eastAsia="宋体" w:cs="宋体"/>
          <w:b/>
          <w:kern w:val="0"/>
          <w:sz w:val="24"/>
          <w:szCs w:val="24"/>
        </w:rPr>
      </w:pPr>
    </w:p>
    <w:p w14:paraId="4C301D49">
      <w:pPr>
        <w:keepNext w:val="0"/>
        <w:keepLines w:val="0"/>
        <w:pageBreakBefore w:val="0"/>
        <w:widowControl w:val="0"/>
        <w:numPr>
          <w:ilvl w:val="0"/>
          <w:numId w:val="3"/>
        </w:numPr>
        <w:kinsoku/>
        <w:wordWrap/>
        <w:overflowPunct/>
        <w:topLinePunct w:val="0"/>
        <w:autoSpaceDE w:val="0"/>
        <w:autoSpaceDN w:val="0"/>
        <w:bidi w:val="0"/>
        <w:adjustRightInd w:val="0"/>
        <w:spacing w:after="95" w:afterLines="30" w:line="360" w:lineRule="auto"/>
        <w:ind w:firstLine="482" w:firstLineChars="200"/>
        <w:jc w:val="left"/>
        <w:textAlignment w:val="auto"/>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投诉举报途径</w:t>
      </w:r>
    </w:p>
    <w:p w14:paraId="03519942">
      <w:pPr>
        <w:keepNext w:val="0"/>
        <w:keepLines w:val="0"/>
        <w:pageBreakBefore w:val="0"/>
        <w:widowControl w:val="0"/>
        <w:kinsoku/>
        <w:wordWrap/>
        <w:overflowPunct/>
        <w:topLinePunct w:val="0"/>
        <w:autoSpaceDE w:val="0"/>
        <w:autoSpaceDN w:val="0"/>
        <w:bidi w:val="0"/>
        <w:adjustRightInd w:val="0"/>
        <w:spacing w:after="95" w:afterLines="30" w:line="360" w:lineRule="auto"/>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甲方受理举报地址：【</w:t>
      </w:r>
      <w:r>
        <w:rPr>
          <w:rFonts w:hint="eastAsia" w:ascii="宋体" w:hAnsi="宋体" w:eastAsia="宋体" w:cs="宋体"/>
          <w:sz w:val="24"/>
          <w:szCs w:val="21"/>
          <w:highlight w:val="none"/>
          <w:lang w:eastAsia="zh-CN"/>
        </w:rPr>
        <w:t>安徽省亳州市高新技术产业开发区酒城大道高铁南站金融商务中心2号楼</w:t>
      </w:r>
      <w:r>
        <w:rPr>
          <w:rFonts w:hint="eastAsia" w:ascii="宋体" w:hAnsi="宋体" w:eastAsia="宋体" w:cs="宋体"/>
          <w:kern w:val="0"/>
          <w:sz w:val="24"/>
          <w:szCs w:val="24"/>
          <w:highlight w:val="none"/>
        </w:rPr>
        <w:t>】</w:t>
      </w:r>
    </w:p>
    <w:p w14:paraId="525A1DE4">
      <w:pPr>
        <w:keepNext w:val="0"/>
        <w:keepLines w:val="0"/>
        <w:pageBreakBefore w:val="0"/>
        <w:kinsoku/>
        <w:wordWrap/>
        <w:overflowPunct/>
        <w:topLinePunct w:val="0"/>
        <w:bidi w:val="0"/>
        <w:spacing w:line="360" w:lineRule="auto"/>
        <w:ind w:right="-82"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受理举报电话：【</w:t>
      </w:r>
      <w:r>
        <w:rPr>
          <w:rFonts w:hint="eastAsia" w:ascii="宋体" w:hAnsi="宋体" w:eastAsia="宋体" w:cs="宋体"/>
          <w:sz w:val="24"/>
          <w:szCs w:val="21"/>
          <w:highlight w:val="none"/>
          <w:lang w:val="en-US" w:eastAsia="zh-CN"/>
        </w:rPr>
        <w:t>0558-5998970</w:t>
      </w:r>
      <w:r>
        <w:rPr>
          <w:rFonts w:hint="eastAsia" w:ascii="宋体" w:hAnsi="宋体" w:eastAsia="宋体" w:cs="宋体"/>
          <w:kern w:val="0"/>
          <w:sz w:val="24"/>
          <w:szCs w:val="24"/>
          <w:highlight w:val="none"/>
        </w:rPr>
        <w:t xml:space="preserve">】                           </w:t>
      </w:r>
    </w:p>
    <w:p w14:paraId="481687C8">
      <w:pPr>
        <w:keepNext w:val="0"/>
        <w:keepLines w:val="0"/>
        <w:pageBreakBefore w:val="0"/>
        <w:widowControl w:val="0"/>
        <w:kinsoku/>
        <w:wordWrap/>
        <w:overflowPunct/>
        <w:topLinePunct w:val="0"/>
        <w:autoSpaceDE w:val="0"/>
        <w:autoSpaceDN w:val="0"/>
        <w:bidi w:val="0"/>
        <w:adjustRightInd w:val="0"/>
        <w:spacing w:after="95" w:afterLines="30" w:line="360" w:lineRule="auto"/>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受理举报电子邮箱：【】</w:t>
      </w:r>
    </w:p>
    <w:p w14:paraId="4A95C8DB">
      <w:pPr>
        <w:pStyle w:val="39"/>
        <w:keepNext w:val="0"/>
        <w:keepLines w:val="0"/>
        <w:pageBreakBefore w:val="0"/>
        <w:widowControl w:val="0"/>
        <w:kinsoku/>
        <w:wordWrap/>
        <w:overflowPunct/>
        <w:topLinePunct w:val="0"/>
        <w:bidi w:val="0"/>
        <w:spacing w:after="95" w:afterLines="30" w:line="360" w:lineRule="auto"/>
        <w:ind w:firstLine="480" w:firstLineChars="200"/>
        <w:textAlignment w:val="auto"/>
        <w:rPr>
          <w:rFonts w:hint="eastAsia" w:ascii="宋体" w:hAnsi="宋体" w:eastAsia="宋体" w:cs="宋体"/>
          <w:kern w:val="0"/>
          <w:sz w:val="24"/>
          <w:szCs w:val="24"/>
          <w:highlight w:val="none"/>
        </w:rPr>
      </w:pPr>
    </w:p>
    <w:p w14:paraId="055ED486">
      <w:pPr>
        <w:pStyle w:val="39"/>
        <w:keepNext w:val="0"/>
        <w:keepLines w:val="0"/>
        <w:pageBreakBefore w:val="0"/>
        <w:widowControl w:val="0"/>
        <w:kinsoku/>
        <w:wordWrap/>
        <w:overflowPunct/>
        <w:topLinePunct w:val="0"/>
        <w:bidi w:val="0"/>
        <w:spacing w:after="95" w:afterLines="30" w:line="360" w:lineRule="auto"/>
        <w:ind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rPr>
        <w:t>乙方受理举报地址：</w:t>
      </w:r>
      <w:r>
        <w:rPr>
          <w:rFonts w:hint="eastAsia" w:ascii="宋体" w:hAnsi="宋体" w:eastAsia="宋体" w:cs="宋体"/>
          <w:kern w:val="0"/>
          <w:sz w:val="24"/>
          <w:szCs w:val="24"/>
          <w:highlight w:val="none"/>
          <w:lang w:val="en-US" w:eastAsia="zh-CN"/>
        </w:rPr>
        <w:t xml:space="preserve"> 【   】</w:t>
      </w:r>
    </w:p>
    <w:p w14:paraId="62BFE12F">
      <w:pPr>
        <w:pStyle w:val="39"/>
        <w:keepNext w:val="0"/>
        <w:keepLines w:val="0"/>
        <w:pageBreakBefore w:val="0"/>
        <w:widowControl w:val="0"/>
        <w:kinsoku/>
        <w:wordWrap/>
        <w:overflowPunct/>
        <w:topLinePunct w:val="0"/>
        <w:bidi w:val="0"/>
        <w:spacing w:after="95" w:afterLines="30" w:line="360" w:lineRule="auto"/>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受理举报电话：</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 xml:space="preserve">   </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 xml:space="preserve">  </w:t>
      </w:r>
      <w:r>
        <w:rPr>
          <w:rFonts w:hint="eastAsia" w:ascii="宋体" w:hAnsi="宋体" w:eastAsia="宋体" w:cs="宋体"/>
          <w:kern w:val="0"/>
          <w:sz w:val="24"/>
          <w:szCs w:val="24"/>
          <w:highlight w:val="none"/>
        </w:rPr>
        <w:t xml:space="preserve">            </w:t>
      </w:r>
    </w:p>
    <w:p w14:paraId="67BA2640">
      <w:pPr>
        <w:pStyle w:val="39"/>
        <w:keepNext w:val="0"/>
        <w:keepLines w:val="0"/>
        <w:pageBreakBefore w:val="0"/>
        <w:widowControl w:val="0"/>
        <w:kinsoku/>
        <w:wordWrap/>
        <w:overflowPunct/>
        <w:topLinePunct w:val="0"/>
        <w:bidi w:val="0"/>
        <w:spacing w:after="95" w:afterLines="30" w:line="360" w:lineRule="auto"/>
        <w:ind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rPr>
        <w:t>受理举报电子邮箱：</w:t>
      </w:r>
      <w:r>
        <w:rPr>
          <w:rFonts w:hint="eastAsia" w:ascii="宋体" w:hAnsi="宋体" w:eastAsia="宋体" w:cs="宋体"/>
          <w:sz w:val="24"/>
          <w:szCs w:val="24"/>
          <w:highlight w:val="none"/>
          <w:lang w:val="en-US" w:eastAsia="zh-CN"/>
        </w:rPr>
        <w:t xml:space="preserve"> 【   】</w:t>
      </w:r>
    </w:p>
    <w:p w14:paraId="5A56A8A0">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rPr>
        <w:t>受理举报微信二维码：</w:t>
      </w:r>
      <w:r>
        <w:rPr>
          <w:rFonts w:hint="eastAsia" w:ascii="宋体" w:hAnsi="宋体" w:eastAsia="宋体" w:cs="宋体"/>
          <w:kern w:val="0"/>
          <w:sz w:val="24"/>
          <w:szCs w:val="24"/>
          <w:highlight w:val="none"/>
        </w:rPr>
        <w:tab/>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 xml:space="preserve">   </w:t>
      </w:r>
      <w:r>
        <w:rPr>
          <w:rFonts w:hint="eastAsia" w:ascii="宋体" w:hAnsi="宋体" w:eastAsia="宋体" w:cs="宋体"/>
          <w:kern w:val="0"/>
          <w:sz w:val="24"/>
          <w:szCs w:val="24"/>
          <w:highlight w:val="none"/>
          <w:lang w:eastAsia="zh-CN"/>
        </w:rPr>
        <w:t>】</w:t>
      </w:r>
    </w:p>
    <w:p w14:paraId="1BBFE904">
      <w:pPr>
        <w:widowControl w:val="0"/>
        <w:jc w:val="both"/>
        <w:rPr>
          <w:rFonts w:hint="eastAsia" w:ascii="宋体" w:hAnsi="Courier New" w:eastAsia="宋体" w:cs="Times New Roman"/>
          <w:kern w:val="2"/>
          <w:sz w:val="21"/>
          <w:szCs w:val="20"/>
          <w:lang w:val="en-US" w:eastAsia="zh-CN" w:bidi="ar-SA"/>
        </w:rPr>
      </w:pPr>
    </w:p>
    <w:p w14:paraId="3FFB2CD9">
      <w:pPr>
        <w:keepNext w:val="0"/>
        <w:keepLines w:val="0"/>
        <w:pageBreakBefore w:val="0"/>
        <w:widowControl w:val="0"/>
        <w:numPr>
          <w:ilvl w:val="0"/>
          <w:numId w:val="3"/>
        </w:numPr>
        <w:kinsoku/>
        <w:wordWrap/>
        <w:overflowPunct/>
        <w:topLinePunct w:val="0"/>
        <w:autoSpaceDE w:val="0"/>
        <w:autoSpaceDN w:val="0"/>
        <w:bidi w:val="0"/>
        <w:adjustRightInd w:val="0"/>
        <w:spacing w:line="360" w:lineRule="auto"/>
        <w:ind w:firstLine="482"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本协议一式陆份，甲乙双方各执叁份，具有同等法律效力，自双方签字盖章之日起生效。</w:t>
      </w:r>
    </w:p>
    <w:p w14:paraId="2DF2C12F">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0" w:firstLineChars="0"/>
        <w:jc w:val="left"/>
        <w:textAlignment w:val="auto"/>
        <w:rPr>
          <w:rFonts w:hint="eastAsia" w:ascii="宋体" w:hAnsi="宋体" w:eastAsia="宋体" w:cs="宋体"/>
          <w:b/>
          <w:kern w:val="0"/>
          <w:sz w:val="24"/>
          <w:szCs w:val="24"/>
        </w:rPr>
      </w:pPr>
    </w:p>
    <w:tbl>
      <w:tblPr>
        <w:tblStyle w:val="21"/>
        <w:tblpPr w:leftFromText="180" w:rightFromText="180" w:vertAnchor="text" w:horzAnchor="page" w:tblpX="917" w:tblpY="234"/>
        <w:tblOverlap w:val="never"/>
        <w:tblW w:w="9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1"/>
        <w:gridCol w:w="5142"/>
      </w:tblGrid>
      <w:tr w14:paraId="57DE1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4841" w:type="dxa"/>
            <w:noWrap w:val="0"/>
            <w:vAlign w:val="center"/>
          </w:tcPr>
          <w:p w14:paraId="38322604">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甲方：</w:t>
            </w:r>
            <w:r>
              <w:rPr>
                <w:rFonts w:hint="eastAsia" w:ascii="宋体" w:hAnsi="宋体" w:eastAsia="宋体" w:cs="宋体"/>
                <w:kern w:val="0"/>
                <w:sz w:val="24"/>
                <w:szCs w:val="24"/>
                <w:highlight w:val="none"/>
                <w:lang w:val="en-US" w:eastAsia="zh-CN"/>
              </w:rPr>
              <w:t xml:space="preserve">亳州通恒置业有限公司         </w:t>
            </w:r>
            <w:r>
              <w:rPr>
                <w:rFonts w:hint="eastAsia" w:ascii="宋体" w:hAnsi="宋体" w:eastAsia="宋体" w:cs="宋体"/>
                <w:kern w:val="0"/>
                <w:sz w:val="24"/>
                <w:szCs w:val="24"/>
                <w:highlight w:val="none"/>
              </w:rPr>
              <w:t xml:space="preserve"> </w:t>
            </w:r>
          </w:p>
        </w:tc>
        <w:tc>
          <w:tcPr>
            <w:tcW w:w="5142" w:type="dxa"/>
            <w:noWrap w:val="0"/>
            <w:vAlign w:val="center"/>
          </w:tcPr>
          <w:p w14:paraId="0242D5D5">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乙方：</w:t>
            </w:r>
            <w:r>
              <w:rPr>
                <w:rFonts w:hint="eastAsia" w:ascii="宋体" w:hAnsi="宋体" w:eastAsia="宋体" w:cs="宋体"/>
                <w:kern w:val="0"/>
                <w:sz w:val="24"/>
                <w:szCs w:val="24"/>
                <w:lang w:val="en-US" w:eastAsia="zh-CN"/>
              </w:rPr>
              <w:t xml:space="preserve"> </w:t>
            </w:r>
          </w:p>
        </w:tc>
      </w:tr>
      <w:tr w14:paraId="22A58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5" w:hRule="atLeast"/>
        </w:trPr>
        <w:tc>
          <w:tcPr>
            <w:tcW w:w="4841" w:type="dxa"/>
            <w:noWrap w:val="0"/>
            <w:vAlign w:val="center"/>
          </w:tcPr>
          <w:p w14:paraId="18B9D3F0">
            <w:pPr>
              <w:keepNext w:val="0"/>
              <w:keepLines w:val="0"/>
              <w:pageBreakBefore w:val="0"/>
              <w:kinsoku/>
              <w:wordWrap/>
              <w:overflowPunct/>
              <w:topLinePunct w:val="0"/>
              <w:bidi w:val="0"/>
              <w:spacing w:line="360" w:lineRule="auto"/>
              <w:ind w:right="-82"/>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地址：</w:t>
            </w:r>
            <w:r>
              <w:rPr>
                <w:rFonts w:hint="eastAsia" w:ascii="宋体" w:hAnsi="宋体" w:eastAsia="宋体" w:cs="宋体"/>
                <w:sz w:val="24"/>
                <w:szCs w:val="21"/>
                <w:highlight w:val="none"/>
                <w:lang w:eastAsia="zh-CN"/>
              </w:rPr>
              <w:t>安徽省亳州市高新技术产业开发区酒城大道高铁南站金融商务中心2号楼</w:t>
            </w:r>
          </w:p>
          <w:p w14:paraId="527867DC">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联系人：</w:t>
            </w:r>
          </w:p>
          <w:p w14:paraId="619F38C9">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授权代表/法人：                  </w:t>
            </w:r>
          </w:p>
          <w:p w14:paraId="52B04D70">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签署日期：  年  月  日</w:t>
            </w:r>
          </w:p>
        </w:tc>
        <w:tc>
          <w:tcPr>
            <w:tcW w:w="5142" w:type="dxa"/>
            <w:noWrap w:val="0"/>
            <w:vAlign w:val="center"/>
          </w:tcPr>
          <w:p w14:paraId="0A44649D">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sz w:val="24"/>
                <w:szCs w:val="24"/>
                <w:lang w:val="en-US" w:eastAsia="zh-CN"/>
              </w:rPr>
            </w:pPr>
            <w:r>
              <w:rPr>
                <w:rFonts w:hint="eastAsia" w:ascii="宋体" w:hAnsi="宋体" w:eastAsia="宋体" w:cs="宋体"/>
                <w:kern w:val="0"/>
                <w:sz w:val="24"/>
                <w:szCs w:val="24"/>
              </w:rPr>
              <w:t>地址：</w:t>
            </w:r>
            <w:r>
              <w:rPr>
                <w:rFonts w:hint="eastAsia" w:ascii="宋体" w:hAnsi="宋体" w:eastAsia="宋体" w:cs="宋体"/>
                <w:sz w:val="24"/>
                <w:szCs w:val="24"/>
                <w:lang w:val="en-US" w:eastAsia="zh-CN"/>
              </w:rPr>
              <w:t xml:space="preserve"> </w:t>
            </w:r>
          </w:p>
          <w:p w14:paraId="55FD49EF">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联系人：  </w:t>
            </w:r>
          </w:p>
          <w:p w14:paraId="602608F5">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授权代表/法人：                      </w:t>
            </w:r>
          </w:p>
          <w:p w14:paraId="36A205B8">
            <w:pPr>
              <w:keepNext w:val="0"/>
              <w:keepLines w:val="0"/>
              <w:pageBreakBefore w:val="0"/>
              <w:widowControl w:val="0"/>
              <w:kinsoku/>
              <w:wordWrap/>
              <w:overflowPunct/>
              <w:topLinePunct w:val="0"/>
              <w:bidi w:val="0"/>
              <w:spacing w:line="360" w:lineRule="auto"/>
              <w:jc w:val="both"/>
              <w:textAlignment w:val="auto"/>
              <w:rPr>
                <w:rFonts w:hint="eastAsia" w:ascii="宋体" w:hAnsi="宋体" w:eastAsia="宋体" w:cs="宋体"/>
                <w:kern w:val="0"/>
                <w:sz w:val="24"/>
                <w:szCs w:val="24"/>
              </w:rPr>
            </w:pPr>
            <w:r>
              <w:rPr>
                <w:rFonts w:hint="eastAsia" w:ascii="宋体" w:hAnsi="宋体" w:eastAsia="宋体" w:cs="宋体"/>
                <w:kern w:val="0"/>
                <w:sz w:val="24"/>
                <w:szCs w:val="24"/>
              </w:rPr>
              <w:t>签署日期：  年  月  日</w:t>
            </w:r>
          </w:p>
        </w:tc>
      </w:tr>
    </w:tbl>
    <w:p w14:paraId="44AE6515">
      <w:pPr>
        <w:keepNext w:val="0"/>
        <w:keepLines w:val="0"/>
        <w:pageBreakBefore w:val="0"/>
        <w:kinsoku/>
        <w:wordWrap/>
        <w:overflowPunct/>
        <w:topLinePunct w:val="0"/>
        <w:bidi w:val="0"/>
        <w:spacing w:line="360" w:lineRule="auto"/>
        <w:ind w:left="0" w:right="-82" w:firstLine="0"/>
        <w:textAlignment w:val="auto"/>
        <w:rPr>
          <w:rFonts w:hint="eastAsia" w:ascii="宋体" w:hAnsi="宋体" w:eastAsia="宋体" w:cs="宋体"/>
          <w:sz w:val="24"/>
          <w:szCs w:val="24"/>
        </w:rPr>
      </w:pPr>
    </w:p>
    <w:p w14:paraId="477B387C">
      <w:pPr>
        <w:rPr>
          <w:rFonts w:hint="eastAsia" w:asciiTheme="majorEastAsia" w:hAnsiTheme="majorEastAsia" w:eastAsiaTheme="majorEastAsia" w:cstheme="majorEastAsia"/>
          <w:b/>
          <w:bCs/>
          <w:sz w:val="32"/>
          <w:szCs w:val="32"/>
          <w:highlight w:val="none"/>
          <w:lang w:val="en-US" w:eastAsia="zh-CN"/>
        </w:rPr>
      </w:pPr>
    </w:p>
    <w:p w14:paraId="0BE22603">
      <w:pPr>
        <w:pStyle w:val="2"/>
        <w:rPr>
          <w:rFonts w:hint="eastAsia" w:asciiTheme="majorEastAsia" w:hAnsiTheme="majorEastAsia" w:eastAsiaTheme="majorEastAsia" w:cstheme="majorEastAsia"/>
          <w:b/>
          <w:bCs/>
          <w:sz w:val="32"/>
          <w:szCs w:val="32"/>
          <w:highlight w:val="none"/>
          <w:lang w:val="en-US" w:eastAsia="zh-CN"/>
        </w:rPr>
      </w:pPr>
    </w:p>
    <w:p w14:paraId="1A08D6FA">
      <w:pPr>
        <w:rPr>
          <w:rFonts w:hint="eastAsia" w:asciiTheme="majorEastAsia" w:hAnsiTheme="majorEastAsia" w:eastAsiaTheme="majorEastAsia" w:cstheme="majorEastAsia"/>
          <w:b/>
          <w:bCs/>
          <w:sz w:val="32"/>
          <w:szCs w:val="32"/>
          <w:highlight w:val="none"/>
          <w:lang w:val="en-US" w:eastAsia="zh-CN"/>
        </w:rPr>
      </w:pPr>
    </w:p>
    <w:p w14:paraId="1769D662">
      <w:pPr>
        <w:rPr>
          <w:rFonts w:hint="eastAsia" w:ascii="Times New Roman" w:hAnsi="Times New Roman" w:cs="Times New Roman"/>
          <w:kern w:val="0"/>
          <w:sz w:val="24"/>
          <w:szCs w:val="24"/>
          <w:highlight w:val="none"/>
          <w:shd w:val="clear" w:color="auto" w:fill="auto"/>
          <w:vertAlign w:val="baseline"/>
          <w:lang w:val="en-US" w:eastAsia="zh-CN"/>
        </w:rPr>
      </w:pPr>
    </w:p>
    <w:bookmarkEnd w:id="234"/>
    <w:bookmarkEnd w:id="235"/>
    <w:bookmarkEnd w:id="236"/>
    <w:bookmarkEnd w:id="237"/>
    <w:bookmarkEnd w:id="238"/>
    <w:bookmarkEnd w:id="239"/>
    <w:bookmarkEnd w:id="240"/>
    <w:bookmarkEnd w:id="241"/>
    <w:p w14:paraId="0F6F68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3C51A17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val="0"/>
          <w:bCs w:val="0"/>
          <w:sz w:val="28"/>
          <w:szCs w:val="28"/>
          <w:highlight w:val="none"/>
          <w:lang w:val="en-US" w:eastAsia="zh-CN"/>
        </w:rPr>
      </w:pPr>
    </w:p>
    <w:p w14:paraId="741A198B">
      <w:pPr>
        <w:spacing w:line="540" w:lineRule="exact"/>
        <w:jc w:val="both"/>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详见询比公告及合同模板。</w:t>
      </w:r>
    </w:p>
    <w:p w14:paraId="3E352F4B">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采购清单</w:t>
      </w:r>
    </w:p>
    <w:tbl>
      <w:tblPr>
        <w:tblStyle w:val="21"/>
        <w:tblW w:w="933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5"/>
        <w:gridCol w:w="2476"/>
        <w:gridCol w:w="1384"/>
        <w:gridCol w:w="2043"/>
        <w:gridCol w:w="761"/>
        <w:gridCol w:w="1539"/>
        <w:gridCol w:w="486"/>
      </w:tblGrid>
      <w:tr w14:paraId="7DDF3A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3" w:hRule="atLeast"/>
          <w:jc w:val="center"/>
        </w:trPr>
        <w:tc>
          <w:tcPr>
            <w:tcW w:w="645" w:type="dxa"/>
            <w:noWrap w:val="0"/>
            <w:vAlign w:val="center"/>
          </w:tcPr>
          <w:p w14:paraId="78C78A87">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序号</w:t>
            </w:r>
          </w:p>
        </w:tc>
        <w:tc>
          <w:tcPr>
            <w:tcW w:w="2476" w:type="dxa"/>
            <w:noWrap w:val="0"/>
            <w:vAlign w:val="center"/>
          </w:tcPr>
          <w:p w14:paraId="3D596FD0">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服务类型</w:t>
            </w:r>
          </w:p>
        </w:tc>
        <w:tc>
          <w:tcPr>
            <w:tcW w:w="1384" w:type="dxa"/>
            <w:noWrap w:val="0"/>
            <w:vAlign w:val="center"/>
          </w:tcPr>
          <w:p w14:paraId="2825C494">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检查人数</w:t>
            </w:r>
          </w:p>
        </w:tc>
        <w:tc>
          <w:tcPr>
            <w:tcW w:w="2043" w:type="dxa"/>
            <w:noWrap w:val="0"/>
            <w:vAlign w:val="center"/>
          </w:tcPr>
          <w:p w14:paraId="5CD7736A">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单价（元）</w:t>
            </w:r>
          </w:p>
        </w:tc>
        <w:tc>
          <w:tcPr>
            <w:tcW w:w="761" w:type="dxa"/>
            <w:noWrap w:val="0"/>
            <w:vAlign w:val="center"/>
          </w:tcPr>
          <w:p w14:paraId="7F0E8106">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次数预估</w:t>
            </w:r>
          </w:p>
        </w:tc>
        <w:tc>
          <w:tcPr>
            <w:tcW w:w="1539" w:type="dxa"/>
            <w:noWrap w:val="0"/>
            <w:vAlign w:val="center"/>
          </w:tcPr>
          <w:p w14:paraId="0BCAC58C">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单价</w:t>
            </w:r>
            <w:r>
              <w:rPr>
                <w:rFonts w:hint="eastAsia" w:ascii="Times New Roman" w:hAnsi="Times New Roman" w:cs="Times New Roman"/>
                <w:kern w:val="0"/>
                <w:sz w:val="21"/>
                <w:szCs w:val="21"/>
                <w:highlight w:val="none"/>
                <w:shd w:val="clear" w:color="auto" w:fill="auto"/>
                <w:vertAlign w:val="baseline"/>
                <w:lang w:val="en-US" w:eastAsia="zh-CN" w:bidi="ar-SA"/>
              </w:rPr>
              <w:t>最高限价</w:t>
            </w:r>
          </w:p>
        </w:tc>
        <w:tc>
          <w:tcPr>
            <w:tcW w:w="486" w:type="dxa"/>
            <w:noWrap w:val="0"/>
            <w:vAlign w:val="center"/>
          </w:tcPr>
          <w:p w14:paraId="32BAD178">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合计费用</w:t>
            </w:r>
          </w:p>
        </w:tc>
      </w:tr>
      <w:tr w14:paraId="59F90B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7" w:hRule="atLeast"/>
          <w:jc w:val="center"/>
        </w:trPr>
        <w:tc>
          <w:tcPr>
            <w:tcW w:w="645" w:type="dxa"/>
            <w:noWrap w:val="0"/>
            <w:vAlign w:val="center"/>
          </w:tcPr>
          <w:p w14:paraId="30172791">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1</w:t>
            </w:r>
          </w:p>
        </w:tc>
        <w:tc>
          <w:tcPr>
            <w:tcW w:w="2476" w:type="dxa"/>
            <w:noWrap w:val="0"/>
            <w:vAlign w:val="center"/>
          </w:tcPr>
          <w:p w14:paraId="11C9A2C3">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毛坯项目及精装修项目土建施工阶段过程评估</w:t>
            </w:r>
          </w:p>
        </w:tc>
        <w:tc>
          <w:tcPr>
            <w:tcW w:w="1384" w:type="dxa"/>
            <w:noWrap w:val="0"/>
            <w:vAlign w:val="center"/>
          </w:tcPr>
          <w:p w14:paraId="3A303EE8">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 xml:space="preserve"> 不少于2人</w:t>
            </w:r>
          </w:p>
        </w:tc>
        <w:tc>
          <w:tcPr>
            <w:tcW w:w="2043" w:type="dxa"/>
            <w:noWrap w:val="0"/>
            <w:vAlign w:val="center"/>
          </w:tcPr>
          <w:p w14:paraId="6C36D068">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元/</w:t>
            </w:r>
            <w:bookmarkStart w:id="259" w:name="OLE_LINK1"/>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标段·次</w:t>
            </w:r>
            <w:bookmarkEnd w:id="259"/>
          </w:p>
        </w:tc>
        <w:tc>
          <w:tcPr>
            <w:tcW w:w="761" w:type="dxa"/>
            <w:noWrap w:val="0"/>
            <w:vAlign w:val="center"/>
          </w:tcPr>
          <w:p w14:paraId="0CADB0FC">
            <w:pPr>
              <w:pStyle w:val="17"/>
              <w:jc w:val="center"/>
              <w:rPr>
                <w:rFonts w:hint="default"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kern w:val="0"/>
                <w:sz w:val="21"/>
                <w:szCs w:val="21"/>
                <w:highlight w:val="none"/>
                <w:shd w:val="clear" w:color="auto" w:fill="auto"/>
                <w:vertAlign w:val="baseline"/>
                <w:lang w:val="en-US" w:eastAsia="zh-CN" w:bidi="ar-SA"/>
              </w:rPr>
              <w:t>8</w:t>
            </w:r>
          </w:p>
        </w:tc>
        <w:tc>
          <w:tcPr>
            <w:tcW w:w="1539" w:type="dxa"/>
            <w:noWrap w:val="0"/>
            <w:vAlign w:val="center"/>
          </w:tcPr>
          <w:p w14:paraId="18969794">
            <w:pPr>
              <w:pStyle w:val="17"/>
              <w:ind w:firstLine="206" w:firstLineChars="0"/>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kern w:val="0"/>
                <w:sz w:val="21"/>
                <w:szCs w:val="21"/>
                <w:highlight w:val="none"/>
                <w:shd w:val="clear" w:color="auto" w:fill="auto"/>
                <w:vertAlign w:val="baseline"/>
                <w:lang w:val="en-US" w:eastAsia="zh-CN" w:bidi="ar-SA"/>
              </w:rPr>
              <w:t>8500</w:t>
            </w: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元/标段·次</w:t>
            </w:r>
          </w:p>
        </w:tc>
        <w:tc>
          <w:tcPr>
            <w:tcW w:w="486" w:type="dxa"/>
            <w:noWrap w:val="0"/>
            <w:vAlign w:val="center"/>
          </w:tcPr>
          <w:p w14:paraId="7846C23C">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r>
      <w:tr w14:paraId="238230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78AD6484">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2</w:t>
            </w:r>
          </w:p>
        </w:tc>
        <w:tc>
          <w:tcPr>
            <w:tcW w:w="2476" w:type="dxa"/>
            <w:noWrap w:val="0"/>
            <w:vAlign w:val="center"/>
          </w:tcPr>
          <w:p w14:paraId="2BD66C1D">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毛坯项目及精装修项目门窗专项评估（厂检、窗框、窗扇各一次）</w:t>
            </w:r>
          </w:p>
        </w:tc>
        <w:tc>
          <w:tcPr>
            <w:tcW w:w="1384" w:type="dxa"/>
            <w:noWrap w:val="0"/>
            <w:vAlign w:val="center"/>
          </w:tcPr>
          <w:p w14:paraId="55207258">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不少于1人</w:t>
            </w:r>
          </w:p>
        </w:tc>
        <w:tc>
          <w:tcPr>
            <w:tcW w:w="2043" w:type="dxa"/>
            <w:noWrap w:val="0"/>
            <w:vAlign w:val="center"/>
          </w:tcPr>
          <w:p w14:paraId="62DBE85F">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元/标段</w:t>
            </w:r>
            <w:bookmarkStart w:id="260" w:name="OLE_LINK3"/>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 xml:space="preserve">· </w:t>
            </w:r>
            <w:bookmarkEnd w:id="260"/>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3次（注：每次门窗专项单价元）</w:t>
            </w:r>
          </w:p>
        </w:tc>
        <w:tc>
          <w:tcPr>
            <w:tcW w:w="761" w:type="dxa"/>
            <w:noWrap w:val="0"/>
            <w:vAlign w:val="center"/>
          </w:tcPr>
          <w:p w14:paraId="64486A80">
            <w:pPr>
              <w:pStyle w:val="17"/>
              <w:jc w:val="center"/>
              <w:rPr>
                <w:rFonts w:hint="default"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kern w:val="0"/>
                <w:sz w:val="21"/>
                <w:szCs w:val="21"/>
                <w:highlight w:val="none"/>
                <w:shd w:val="clear" w:color="auto" w:fill="auto"/>
                <w:vertAlign w:val="baseline"/>
                <w:lang w:val="en-US" w:eastAsia="zh-CN" w:bidi="ar-SA"/>
              </w:rPr>
              <w:t>1</w:t>
            </w:r>
          </w:p>
        </w:tc>
        <w:tc>
          <w:tcPr>
            <w:tcW w:w="1539" w:type="dxa"/>
            <w:noWrap w:val="0"/>
            <w:vAlign w:val="center"/>
          </w:tcPr>
          <w:p w14:paraId="5E92FA62">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1</w:t>
            </w:r>
            <w:r>
              <w:rPr>
                <w:rFonts w:hint="eastAsia" w:ascii="Times New Roman" w:hAnsi="Times New Roman" w:cs="Times New Roman"/>
                <w:kern w:val="0"/>
                <w:sz w:val="21"/>
                <w:szCs w:val="21"/>
                <w:highlight w:val="none"/>
                <w:shd w:val="clear" w:color="auto" w:fill="auto"/>
                <w:vertAlign w:val="baseline"/>
                <w:lang w:val="en-US" w:eastAsia="zh-CN" w:bidi="ar-SA"/>
              </w:rPr>
              <w:t>20</w:t>
            </w: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00元/标段· 3次(注:每次门窗专项单价4</w:t>
            </w:r>
            <w:r>
              <w:rPr>
                <w:rFonts w:hint="eastAsia" w:ascii="Times New Roman" w:hAnsi="Times New Roman" w:cs="Times New Roman"/>
                <w:kern w:val="0"/>
                <w:sz w:val="21"/>
                <w:szCs w:val="21"/>
                <w:highlight w:val="none"/>
                <w:shd w:val="clear" w:color="auto" w:fill="auto"/>
                <w:vertAlign w:val="baseline"/>
                <w:lang w:val="en-US" w:eastAsia="zh-CN" w:bidi="ar-SA"/>
              </w:rPr>
              <w:t>0</w:t>
            </w: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00元/标段)</w:t>
            </w:r>
          </w:p>
        </w:tc>
        <w:tc>
          <w:tcPr>
            <w:tcW w:w="486" w:type="dxa"/>
            <w:noWrap w:val="0"/>
            <w:vAlign w:val="center"/>
          </w:tcPr>
          <w:p w14:paraId="09C83F43">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r>
      <w:tr w14:paraId="2789EF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2927CDCB">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3</w:t>
            </w:r>
          </w:p>
        </w:tc>
        <w:tc>
          <w:tcPr>
            <w:tcW w:w="2476" w:type="dxa"/>
            <w:noWrap w:val="0"/>
            <w:vAlign w:val="center"/>
          </w:tcPr>
          <w:p w14:paraId="2CDD4A68">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正式交付评估（交付前20天）</w:t>
            </w:r>
          </w:p>
        </w:tc>
        <w:tc>
          <w:tcPr>
            <w:tcW w:w="1384" w:type="dxa"/>
            <w:noWrap w:val="0"/>
            <w:vAlign w:val="center"/>
          </w:tcPr>
          <w:p w14:paraId="1B6A6E7D">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不少于3人</w:t>
            </w:r>
          </w:p>
        </w:tc>
        <w:tc>
          <w:tcPr>
            <w:tcW w:w="2043" w:type="dxa"/>
            <w:noWrap w:val="0"/>
            <w:vAlign w:val="center"/>
          </w:tcPr>
          <w:p w14:paraId="153A0E23">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元/交付批</w:t>
            </w:r>
            <w:bookmarkStart w:id="261" w:name="OLE_LINK4"/>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w:t>
            </w:r>
            <w:bookmarkEnd w:id="261"/>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次</w:t>
            </w:r>
          </w:p>
        </w:tc>
        <w:tc>
          <w:tcPr>
            <w:tcW w:w="761" w:type="dxa"/>
            <w:noWrap w:val="0"/>
            <w:vAlign w:val="center"/>
          </w:tcPr>
          <w:p w14:paraId="6F939411">
            <w:pPr>
              <w:pStyle w:val="17"/>
              <w:jc w:val="center"/>
              <w:rPr>
                <w:rFonts w:hint="default"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kern w:val="0"/>
                <w:sz w:val="21"/>
                <w:szCs w:val="21"/>
                <w:highlight w:val="none"/>
                <w:shd w:val="clear" w:color="auto" w:fill="auto"/>
                <w:vertAlign w:val="baseline"/>
                <w:lang w:val="en-US" w:eastAsia="zh-CN" w:bidi="ar-SA"/>
              </w:rPr>
              <w:t>1</w:t>
            </w:r>
          </w:p>
        </w:tc>
        <w:tc>
          <w:tcPr>
            <w:tcW w:w="1539" w:type="dxa"/>
            <w:noWrap w:val="0"/>
            <w:vAlign w:val="center"/>
          </w:tcPr>
          <w:p w14:paraId="5A7A5E44">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1</w:t>
            </w:r>
            <w:r>
              <w:rPr>
                <w:rFonts w:hint="eastAsia" w:ascii="Times New Roman" w:hAnsi="Times New Roman" w:cs="Times New Roman"/>
                <w:kern w:val="0"/>
                <w:sz w:val="21"/>
                <w:szCs w:val="21"/>
                <w:highlight w:val="none"/>
                <w:shd w:val="clear" w:color="auto" w:fill="auto"/>
                <w:vertAlign w:val="baseline"/>
                <w:lang w:val="en-US" w:eastAsia="zh-CN" w:bidi="ar-SA"/>
              </w:rPr>
              <w:t>0</w:t>
            </w: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000元/交付批·次</w:t>
            </w:r>
          </w:p>
        </w:tc>
        <w:tc>
          <w:tcPr>
            <w:tcW w:w="486" w:type="dxa"/>
            <w:noWrap w:val="0"/>
            <w:vAlign w:val="center"/>
          </w:tcPr>
          <w:p w14:paraId="0153A8EC">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r>
      <w:tr w14:paraId="0EC849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19457D84">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4</w:t>
            </w:r>
          </w:p>
        </w:tc>
        <w:tc>
          <w:tcPr>
            <w:tcW w:w="2476" w:type="dxa"/>
            <w:noWrap w:val="0"/>
            <w:vAlign w:val="center"/>
          </w:tcPr>
          <w:p w14:paraId="46443139">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预交付评估（交付前50-60天）</w:t>
            </w:r>
          </w:p>
        </w:tc>
        <w:tc>
          <w:tcPr>
            <w:tcW w:w="1384" w:type="dxa"/>
            <w:noWrap w:val="0"/>
            <w:vAlign w:val="center"/>
          </w:tcPr>
          <w:p w14:paraId="7FC0617F">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3人</w:t>
            </w:r>
          </w:p>
        </w:tc>
        <w:tc>
          <w:tcPr>
            <w:tcW w:w="2043" w:type="dxa"/>
            <w:noWrap w:val="0"/>
            <w:vAlign w:val="center"/>
          </w:tcPr>
          <w:p w14:paraId="1002164C">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元/交付批·次</w:t>
            </w:r>
          </w:p>
        </w:tc>
        <w:tc>
          <w:tcPr>
            <w:tcW w:w="761" w:type="dxa"/>
            <w:noWrap w:val="0"/>
            <w:vAlign w:val="center"/>
          </w:tcPr>
          <w:p w14:paraId="4A2B35CC">
            <w:pPr>
              <w:pStyle w:val="17"/>
              <w:jc w:val="center"/>
              <w:rPr>
                <w:rFonts w:hint="default"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kern w:val="0"/>
                <w:sz w:val="21"/>
                <w:szCs w:val="21"/>
                <w:highlight w:val="none"/>
                <w:shd w:val="clear" w:color="auto" w:fill="auto"/>
                <w:vertAlign w:val="baseline"/>
                <w:lang w:val="en-US" w:eastAsia="zh-CN" w:bidi="ar-SA"/>
              </w:rPr>
              <w:t>1</w:t>
            </w:r>
          </w:p>
        </w:tc>
        <w:tc>
          <w:tcPr>
            <w:tcW w:w="1539" w:type="dxa"/>
            <w:noWrap w:val="0"/>
            <w:vAlign w:val="center"/>
          </w:tcPr>
          <w:p w14:paraId="04F8F44B">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1</w:t>
            </w:r>
            <w:r>
              <w:rPr>
                <w:rFonts w:hint="eastAsia" w:ascii="Times New Roman" w:hAnsi="Times New Roman" w:cs="Times New Roman"/>
                <w:kern w:val="0"/>
                <w:sz w:val="21"/>
                <w:szCs w:val="21"/>
                <w:highlight w:val="none"/>
                <w:shd w:val="clear" w:color="auto" w:fill="auto"/>
                <w:vertAlign w:val="baseline"/>
                <w:lang w:val="en-US" w:eastAsia="zh-CN" w:bidi="ar-SA"/>
              </w:rPr>
              <w:t>00</w:t>
            </w: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00元/交付批·次</w:t>
            </w:r>
          </w:p>
        </w:tc>
        <w:tc>
          <w:tcPr>
            <w:tcW w:w="486" w:type="dxa"/>
            <w:noWrap w:val="0"/>
            <w:vAlign w:val="center"/>
          </w:tcPr>
          <w:p w14:paraId="7489AD1B">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r>
      <w:tr w14:paraId="70CEFF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6C4E2E85">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5</w:t>
            </w:r>
          </w:p>
        </w:tc>
        <w:tc>
          <w:tcPr>
            <w:tcW w:w="2476" w:type="dxa"/>
            <w:noWrap w:val="0"/>
            <w:vAlign w:val="center"/>
          </w:tcPr>
          <w:p w14:paraId="33EC4D20">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预交付评估渗漏复查</w:t>
            </w:r>
          </w:p>
        </w:tc>
        <w:tc>
          <w:tcPr>
            <w:tcW w:w="1384" w:type="dxa"/>
            <w:noWrap w:val="0"/>
            <w:vAlign w:val="center"/>
          </w:tcPr>
          <w:p w14:paraId="54E5541F">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1人</w:t>
            </w:r>
          </w:p>
        </w:tc>
        <w:tc>
          <w:tcPr>
            <w:tcW w:w="2043" w:type="dxa"/>
            <w:noWrap w:val="0"/>
            <w:vAlign w:val="center"/>
          </w:tcPr>
          <w:p w14:paraId="2DDCA1F3">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元/交付批·次</w:t>
            </w:r>
          </w:p>
        </w:tc>
        <w:tc>
          <w:tcPr>
            <w:tcW w:w="761" w:type="dxa"/>
            <w:noWrap w:val="0"/>
            <w:vAlign w:val="center"/>
          </w:tcPr>
          <w:p w14:paraId="7E12AA09">
            <w:pPr>
              <w:pStyle w:val="17"/>
              <w:jc w:val="center"/>
              <w:rPr>
                <w:rFonts w:hint="default"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kern w:val="0"/>
                <w:sz w:val="21"/>
                <w:szCs w:val="21"/>
                <w:highlight w:val="none"/>
                <w:shd w:val="clear" w:color="auto" w:fill="auto"/>
                <w:vertAlign w:val="baseline"/>
                <w:lang w:val="en-US" w:eastAsia="zh-CN" w:bidi="ar-SA"/>
              </w:rPr>
              <w:t>2</w:t>
            </w:r>
          </w:p>
        </w:tc>
        <w:tc>
          <w:tcPr>
            <w:tcW w:w="1539" w:type="dxa"/>
            <w:noWrap w:val="0"/>
            <w:vAlign w:val="center"/>
          </w:tcPr>
          <w:p w14:paraId="71874709">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kern w:val="0"/>
                <w:sz w:val="21"/>
                <w:szCs w:val="21"/>
                <w:highlight w:val="none"/>
                <w:shd w:val="clear" w:color="auto" w:fill="auto"/>
                <w:vertAlign w:val="baseline"/>
                <w:lang w:val="en-US" w:eastAsia="zh-CN" w:bidi="ar-SA"/>
              </w:rPr>
              <w:t>5</w:t>
            </w: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000元/交付批·次</w:t>
            </w:r>
          </w:p>
        </w:tc>
        <w:tc>
          <w:tcPr>
            <w:tcW w:w="486" w:type="dxa"/>
            <w:noWrap w:val="0"/>
            <w:vAlign w:val="center"/>
          </w:tcPr>
          <w:p w14:paraId="7FCF9795">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r>
      <w:tr w14:paraId="5C6F18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645" w:type="dxa"/>
            <w:noWrap w:val="0"/>
            <w:vAlign w:val="center"/>
          </w:tcPr>
          <w:p w14:paraId="52F8A24E">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6</w:t>
            </w:r>
          </w:p>
        </w:tc>
        <w:tc>
          <w:tcPr>
            <w:tcW w:w="2476" w:type="dxa"/>
            <w:noWrap w:val="0"/>
            <w:vAlign w:val="center"/>
          </w:tcPr>
          <w:p w14:paraId="534BD762">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t>总计</w:t>
            </w:r>
          </w:p>
        </w:tc>
        <w:tc>
          <w:tcPr>
            <w:tcW w:w="1384" w:type="dxa"/>
            <w:noWrap w:val="0"/>
            <w:vAlign w:val="center"/>
          </w:tcPr>
          <w:p w14:paraId="7E39DA3B">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c>
          <w:tcPr>
            <w:tcW w:w="2043" w:type="dxa"/>
            <w:noWrap w:val="0"/>
            <w:vAlign w:val="center"/>
          </w:tcPr>
          <w:p w14:paraId="0174C164">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c>
          <w:tcPr>
            <w:tcW w:w="761" w:type="dxa"/>
            <w:noWrap w:val="0"/>
            <w:vAlign w:val="center"/>
          </w:tcPr>
          <w:p w14:paraId="4A39C5C0">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c>
          <w:tcPr>
            <w:tcW w:w="1539" w:type="dxa"/>
            <w:noWrap w:val="0"/>
            <w:vAlign w:val="center"/>
          </w:tcPr>
          <w:p w14:paraId="35E498AA">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c>
          <w:tcPr>
            <w:tcW w:w="486" w:type="dxa"/>
            <w:noWrap w:val="0"/>
            <w:vAlign w:val="center"/>
          </w:tcPr>
          <w:p w14:paraId="2254E688">
            <w:pPr>
              <w:pStyle w:val="17"/>
              <w:rPr>
                <w:rFonts w:hint="eastAsia" w:ascii="Times New Roman" w:hAnsi="Times New Roman" w:cs="Times New Roman" w:eastAsiaTheme="minorEastAsia"/>
                <w:kern w:val="0"/>
                <w:sz w:val="21"/>
                <w:szCs w:val="21"/>
                <w:highlight w:val="none"/>
                <w:shd w:val="clear" w:color="auto" w:fill="auto"/>
                <w:vertAlign w:val="baseline"/>
                <w:lang w:val="en-US" w:eastAsia="zh-CN" w:bidi="ar-SA"/>
              </w:rPr>
            </w:pPr>
          </w:p>
        </w:tc>
      </w:tr>
    </w:tbl>
    <w:p w14:paraId="66A0A4D7">
      <w:pPr>
        <w:pStyle w:val="17"/>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p>
    <w:p w14:paraId="265230D9">
      <w:pPr>
        <w:pStyle w:val="17"/>
        <w:rPr>
          <w:rFonts w:hint="eastAsia" w:ascii="Times New Roman" w:hAnsi="Times New Roman" w:cs="Times New Roman" w:eastAsiaTheme="minorEastAsia"/>
          <w:color w:val="FF0000"/>
          <w:kern w:val="0"/>
          <w:sz w:val="21"/>
          <w:szCs w:val="21"/>
          <w:highlight w:val="none"/>
          <w:shd w:val="clear" w:color="auto" w:fill="auto"/>
          <w:vertAlign w:val="baseline"/>
          <w:lang w:val="en-US" w:eastAsia="zh-CN" w:bidi="ar-SA"/>
        </w:rPr>
      </w:pPr>
      <w:r>
        <w:rPr>
          <w:rFonts w:hint="eastAsia" w:ascii="Times New Roman" w:hAnsi="Times New Roman" w:cs="Times New Roman" w:eastAsiaTheme="minorEastAsia"/>
          <w:color w:val="FF0000"/>
          <w:kern w:val="0"/>
          <w:sz w:val="21"/>
          <w:szCs w:val="21"/>
          <w:highlight w:val="none"/>
          <w:shd w:val="clear" w:color="auto" w:fill="auto"/>
          <w:vertAlign w:val="baseline"/>
          <w:lang w:val="en-US" w:eastAsia="zh-CN" w:bidi="ar-SA"/>
        </w:rPr>
        <w:t>备注：供应商需按照</w:t>
      </w:r>
      <w:r>
        <w:rPr>
          <w:rFonts w:hint="eastAsia" w:ascii="Times New Roman" w:hAnsi="Times New Roman" w:cs="Times New Roman"/>
          <w:color w:val="FF0000"/>
          <w:kern w:val="0"/>
          <w:sz w:val="21"/>
          <w:szCs w:val="21"/>
          <w:highlight w:val="none"/>
          <w:shd w:val="clear" w:color="auto" w:fill="auto"/>
          <w:vertAlign w:val="baseline"/>
          <w:lang w:val="en-US" w:eastAsia="zh-CN" w:bidi="ar-SA"/>
        </w:rPr>
        <w:t>上述</w:t>
      </w:r>
      <w:r>
        <w:rPr>
          <w:rFonts w:hint="eastAsia" w:ascii="Times New Roman" w:hAnsi="Times New Roman" w:cs="Times New Roman" w:eastAsiaTheme="minorEastAsia"/>
          <w:color w:val="FF0000"/>
          <w:kern w:val="0"/>
          <w:sz w:val="21"/>
          <w:szCs w:val="21"/>
          <w:highlight w:val="none"/>
          <w:shd w:val="clear" w:color="auto" w:fill="auto"/>
          <w:vertAlign w:val="baseline"/>
          <w:lang w:val="en-US" w:eastAsia="zh-CN" w:bidi="ar-SA"/>
        </w:rPr>
        <w:t>采购清单进行报价且单价不超过表中的单项限价。报价超出限价或低于成本价的，按无效报价处理；</w:t>
      </w:r>
    </w:p>
    <w:p w14:paraId="5AF604E1">
      <w:pPr>
        <w:pStyle w:val="17"/>
        <w:rPr>
          <w:rFonts w:hint="eastAsia" w:asciiTheme="majorEastAsia" w:hAnsiTheme="majorEastAsia" w:eastAsiaTheme="majorEastAsia" w:cstheme="majorEastAsia"/>
          <w:b/>
          <w:bCs/>
          <w:sz w:val="32"/>
          <w:szCs w:val="32"/>
          <w:highlight w:val="none"/>
          <w:lang w:val="en-US" w:eastAsia="zh-CN"/>
        </w:rPr>
      </w:pPr>
    </w:p>
    <w:p w14:paraId="58A6B1F6">
      <w:pPr>
        <w:pStyle w:val="17"/>
        <w:rPr>
          <w:rFonts w:hint="eastAsia" w:asciiTheme="majorEastAsia" w:hAnsiTheme="majorEastAsia" w:eastAsiaTheme="majorEastAsia" w:cstheme="majorEastAsia"/>
          <w:b/>
          <w:bCs/>
          <w:sz w:val="32"/>
          <w:szCs w:val="32"/>
          <w:highlight w:val="none"/>
          <w:lang w:val="en-US" w:eastAsia="zh-CN"/>
        </w:rPr>
      </w:pPr>
    </w:p>
    <w:p w14:paraId="686E6AFB">
      <w:pPr>
        <w:pStyle w:val="17"/>
        <w:rPr>
          <w:rFonts w:hint="eastAsia" w:asciiTheme="majorEastAsia" w:hAnsiTheme="majorEastAsia" w:eastAsiaTheme="majorEastAsia" w:cstheme="majorEastAsia"/>
          <w:b/>
          <w:bCs/>
          <w:sz w:val="32"/>
          <w:szCs w:val="32"/>
          <w:highlight w:val="none"/>
          <w:lang w:val="en-US" w:eastAsia="zh-CN"/>
        </w:rPr>
      </w:pPr>
    </w:p>
    <w:p w14:paraId="1DEA6E74">
      <w:pPr>
        <w:pStyle w:val="17"/>
        <w:rPr>
          <w:rFonts w:hint="eastAsia" w:asciiTheme="majorEastAsia" w:hAnsiTheme="majorEastAsia" w:eastAsiaTheme="majorEastAsia" w:cstheme="majorEastAsia"/>
          <w:b/>
          <w:bCs/>
          <w:sz w:val="32"/>
          <w:szCs w:val="32"/>
          <w:highlight w:val="none"/>
          <w:lang w:val="en-US" w:eastAsia="zh-CN"/>
        </w:rPr>
      </w:pPr>
    </w:p>
    <w:p w14:paraId="026BC980">
      <w:pPr>
        <w:pStyle w:val="17"/>
        <w:rPr>
          <w:rFonts w:hint="eastAsia" w:asciiTheme="majorEastAsia" w:hAnsiTheme="majorEastAsia" w:eastAsiaTheme="majorEastAsia" w:cstheme="majorEastAsia"/>
          <w:b/>
          <w:bCs/>
          <w:sz w:val="32"/>
          <w:szCs w:val="32"/>
          <w:highlight w:val="none"/>
          <w:lang w:val="en-US" w:eastAsia="zh-CN"/>
        </w:rPr>
      </w:pPr>
    </w:p>
    <w:p w14:paraId="02D63414">
      <w:pPr>
        <w:pStyle w:val="17"/>
        <w:rPr>
          <w:rFonts w:hint="eastAsia" w:asciiTheme="majorEastAsia" w:hAnsiTheme="majorEastAsia" w:eastAsiaTheme="majorEastAsia" w:cstheme="majorEastAsia"/>
          <w:b/>
          <w:bCs/>
          <w:sz w:val="32"/>
          <w:szCs w:val="32"/>
          <w:highlight w:val="none"/>
          <w:lang w:val="en-US" w:eastAsia="zh-CN"/>
        </w:rPr>
      </w:pPr>
    </w:p>
    <w:p w14:paraId="7053C5DF">
      <w:pPr>
        <w:pStyle w:val="17"/>
        <w:rPr>
          <w:rFonts w:hint="eastAsia" w:asciiTheme="majorEastAsia" w:hAnsiTheme="majorEastAsia" w:eastAsiaTheme="majorEastAsia" w:cstheme="majorEastAsia"/>
          <w:b/>
          <w:bCs/>
          <w:sz w:val="32"/>
          <w:szCs w:val="32"/>
          <w:highlight w:val="none"/>
          <w:lang w:val="en-US" w:eastAsia="zh-CN"/>
        </w:rPr>
      </w:pPr>
    </w:p>
    <w:p w14:paraId="73C985A3">
      <w:pPr>
        <w:pStyle w:val="17"/>
        <w:rPr>
          <w:rFonts w:hint="eastAsia" w:asciiTheme="majorEastAsia" w:hAnsiTheme="majorEastAsia" w:eastAsiaTheme="majorEastAsia" w:cstheme="majorEastAsia"/>
          <w:b/>
          <w:bCs/>
          <w:sz w:val="32"/>
          <w:szCs w:val="32"/>
          <w:highlight w:val="none"/>
          <w:lang w:val="en-US" w:eastAsia="zh-CN"/>
        </w:rPr>
      </w:pPr>
    </w:p>
    <w:p w14:paraId="278399D8">
      <w:pPr>
        <w:pStyle w:val="17"/>
        <w:rPr>
          <w:rFonts w:hint="eastAsia" w:asciiTheme="majorEastAsia" w:hAnsiTheme="majorEastAsia" w:eastAsiaTheme="majorEastAsia" w:cstheme="majorEastAsia"/>
          <w:b/>
          <w:bCs/>
          <w:sz w:val="32"/>
          <w:szCs w:val="32"/>
          <w:highlight w:val="none"/>
          <w:lang w:val="en-US" w:eastAsia="zh-CN"/>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060B400">
      <w:pPr>
        <w:pStyle w:val="17"/>
        <w:rPr>
          <w:rFonts w:hint="eastAsia" w:asciiTheme="majorEastAsia" w:hAnsiTheme="majorEastAsia" w:eastAsiaTheme="majorEastAsia" w:cstheme="majorEastAsia"/>
          <w:b/>
          <w:bCs/>
          <w:sz w:val="32"/>
          <w:szCs w:val="32"/>
          <w:highlight w:val="none"/>
          <w:lang w:val="en-US" w:eastAsia="zh-CN"/>
        </w:rPr>
      </w:pPr>
    </w:p>
    <w:p w14:paraId="74A5D56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77707CD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FA8D4B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A5477D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3619199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5EA64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7E489AC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3DCC0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DE3B7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22ED4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7EAA1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63CB34E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A020C6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FF3D43A">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770AD7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054F52A2">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5DC77E28">
      <w:pPr>
        <w:pStyle w:val="4"/>
        <w:jc w:val="center"/>
        <w:rPr>
          <w:rFonts w:hint="default" w:ascii="Times New Roman" w:hAnsi="Times New Roman" w:cs="Times New Roman"/>
        </w:rPr>
      </w:pPr>
      <w:bookmarkStart w:id="262" w:name="_Toc247527827"/>
      <w:bookmarkStart w:id="263" w:name="_Toc144974856"/>
      <w:bookmarkStart w:id="264" w:name="_Toc152045787"/>
      <w:bookmarkStart w:id="265" w:name="_Toc152042576"/>
      <w:bookmarkStart w:id="266" w:name="_Toc300835209"/>
      <w:bookmarkStart w:id="267" w:name="_Toc247514246"/>
      <w:r>
        <w:rPr>
          <w:rFonts w:hint="default" w:ascii="Times New Roman" w:hAnsi="Times New Roman" w:cs="Times New Roman"/>
        </w:rPr>
        <w:t>目    录</w:t>
      </w:r>
      <w:bookmarkEnd w:id="262"/>
      <w:bookmarkEnd w:id="263"/>
      <w:bookmarkEnd w:id="264"/>
      <w:bookmarkEnd w:id="265"/>
      <w:bookmarkEnd w:id="266"/>
      <w:bookmarkEnd w:id="267"/>
    </w:p>
    <w:p w14:paraId="23C32A73">
      <w:pPr>
        <w:spacing w:line="540" w:lineRule="exact"/>
        <w:rPr>
          <w:rFonts w:hint="default" w:ascii="Times New Roman" w:hAnsi="Times New Roman" w:cs="Times New Roman"/>
        </w:rPr>
      </w:pPr>
    </w:p>
    <w:tbl>
      <w:tblPr>
        <w:tblStyle w:val="2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2C514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E3276D4">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1C3ADD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35067042">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6CAD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5E54E36">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4863336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604920F0">
            <w:pPr>
              <w:spacing w:line="540" w:lineRule="exact"/>
              <w:jc w:val="center"/>
              <w:rPr>
                <w:rFonts w:hint="default" w:ascii="Times New Roman" w:hAnsi="Times New Roman" w:cs="Times New Roman"/>
                <w:vertAlign w:val="baseline"/>
              </w:rPr>
            </w:pPr>
          </w:p>
        </w:tc>
      </w:tr>
      <w:tr w14:paraId="47D4E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03A218">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D1D28B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7BEC599E">
            <w:pPr>
              <w:spacing w:line="540" w:lineRule="exact"/>
              <w:jc w:val="center"/>
              <w:rPr>
                <w:rFonts w:hint="default" w:ascii="Times New Roman" w:hAnsi="Times New Roman" w:cs="Times New Roman"/>
                <w:vertAlign w:val="baseline"/>
              </w:rPr>
            </w:pPr>
          </w:p>
        </w:tc>
      </w:tr>
      <w:tr w14:paraId="0CB4D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356834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5C1ED173">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263CEF41">
            <w:pPr>
              <w:spacing w:line="540" w:lineRule="exact"/>
              <w:jc w:val="center"/>
              <w:rPr>
                <w:rFonts w:hint="default" w:ascii="Times New Roman" w:hAnsi="Times New Roman" w:cs="Times New Roman"/>
                <w:vertAlign w:val="baseline"/>
              </w:rPr>
            </w:pPr>
          </w:p>
        </w:tc>
      </w:tr>
      <w:tr w14:paraId="77162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5001C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四</w:t>
            </w:r>
          </w:p>
        </w:tc>
        <w:tc>
          <w:tcPr>
            <w:tcW w:w="4681" w:type="dxa"/>
            <w:vAlign w:val="center"/>
          </w:tcPr>
          <w:p w14:paraId="651B4D2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B1E91B8">
            <w:pPr>
              <w:spacing w:line="540" w:lineRule="exact"/>
              <w:jc w:val="center"/>
              <w:rPr>
                <w:rFonts w:hint="default" w:ascii="Times New Roman" w:hAnsi="Times New Roman" w:cs="Times New Roman"/>
                <w:vertAlign w:val="baseline"/>
              </w:rPr>
            </w:pPr>
          </w:p>
        </w:tc>
      </w:tr>
      <w:tr w14:paraId="3628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366F2C4">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p>
        </w:tc>
        <w:tc>
          <w:tcPr>
            <w:tcW w:w="4681" w:type="dxa"/>
            <w:vAlign w:val="center"/>
          </w:tcPr>
          <w:p w14:paraId="251B13B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40D2AEA5">
            <w:pPr>
              <w:spacing w:line="540" w:lineRule="exact"/>
              <w:jc w:val="center"/>
              <w:rPr>
                <w:rFonts w:hint="default" w:ascii="Times New Roman" w:hAnsi="Times New Roman" w:cs="Times New Roman"/>
                <w:vertAlign w:val="baseline"/>
              </w:rPr>
            </w:pPr>
          </w:p>
        </w:tc>
      </w:tr>
      <w:tr w14:paraId="3E065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CC49B5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六</w:t>
            </w:r>
          </w:p>
        </w:tc>
        <w:tc>
          <w:tcPr>
            <w:tcW w:w="4681" w:type="dxa"/>
            <w:vAlign w:val="center"/>
          </w:tcPr>
          <w:p w14:paraId="09ABFB5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7C89FB0">
            <w:pPr>
              <w:spacing w:line="540" w:lineRule="exact"/>
              <w:jc w:val="center"/>
              <w:rPr>
                <w:rFonts w:hint="default" w:ascii="Times New Roman" w:hAnsi="Times New Roman" w:cs="Times New Roman"/>
                <w:vertAlign w:val="baseline"/>
              </w:rPr>
            </w:pPr>
          </w:p>
        </w:tc>
      </w:tr>
      <w:tr w14:paraId="3C8EB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6D3A4D2">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597FF1A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FC141E3">
            <w:pPr>
              <w:spacing w:line="540" w:lineRule="exact"/>
              <w:jc w:val="center"/>
              <w:rPr>
                <w:rFonts w:hint="default" w:ascii="Times New Roman" w:hAnsi="Times New Roman" w:cs="Times New Roman"/>
                <w:vertAlign w:val="baseline"/>
              </w:rPr>
            </w:pPr>
          </w:p>
        </w:tc>
      </w:tr>
      <w:tr w14:paraId="1DE0B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AB73DFF">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6239DBD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4B212987">
            <w:pPr>
              <w:spacing w:line="540" w:lineRule="exact"/>
              <w:jc w:val="center"/>
              <w:rPr>
                <w:rFonts w:hint="default" w:ascii="Times New Roman" w:hAnsi="Times New Roman" w:cs="Times New Roman"/>
                <w:vertAlign w:val="baseline"/>
              </w:rPr>
            </w:pPr>
          </w:p>
        </w:tc>
      </w:tr>
      <w:tr w14:paraId="3DEE0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2889A6C">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shd w:val="clear" w:color="auto" w:fill="auto"/>
            <w:vAlign w:val="center"/>
          </w:tcPr>
          <w:p w14:paraId="713FD02E">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2F650644">
            <w:pPr>
              <w:spacing w:line="540" w:lineRule="exact"/>
              <w:jc w:val="center"/>
              <w:rPr>
                <w:rFonts w:hint="default" w:ascii="Times New Roman" w:hAnsi="Times New Roman" w:cs="Times New Roman"/>
                <w:vertAlign w:val="baseline"/>
              </w:rPr>
            </w:pPr>
          </w:p>
        </w:tc>
      </w:tr>
    </w:tbl>
    <w:p w14:paraId="07FE601A">
      <w:pPr>
        <w:spacing w:line="540" w:lineRule="exact"/>
        <w:rPr>
          <w:rFonts w:hint="default" w:ascii="Times New Roman" w:hAnsi="Times New Roman" w:cs="Times New Roman"/>
          <w:highlight w:val="none"/>
          <w:lang w:val="en-US" w:eastAsia="zh-CN"/>
        </w:rPr>
      </w:pPr>
    </w:p>
    <w:p w14:paraId="6929DC3F">
      <w:pPr>
        <w:spacing w:line="540" w:lineRule="exact"/>
        <w:rPr>
          <w:rFonts w:hint="default" w:ascii="Times New Roman" w:hAnsi="Times New Roman" w:cs="Times New Roman"/>
        </w:rPr>
      </w:pPr>
      <w:r>
        <w:rPr>
          <w:rFonts w:hint="default" w:ascii="Times New Roman" w:hAnsi="Times New Roman" w:cs="Times New Roman"/>
        </w:rPr>
        <w:t xml:space="preserve"> </w:t>
      </w:r>
    </w:p>
    <w:p w14:paraId="750C883D">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683764F">
      <w:pPr>
        <w:pStyle w:val="4"/>
        <w:jc w:val="center"/>
        <w:rPr>
          <w:rFonts w:hint="default" w:ascii="Times New Roman" w:hAnsi="Times New Roman" w:eastAsia="黑体" w:cs="Times New Roman"/>
          <w:sz w:val="20"/>
          <w:szCs w:val="20"/>
        </w:rPr>
      </w:pPr>
      <w:bookmarkStart w:id="268" w:name="_Toc247514247"/>
      <w:bookmarkStart w:id="269" w:name="_Toc152042577"/>
      <w:bookmarkStart w:id="270" w:name="_Toc300835210"/>
      <w:bookmarkStart w:id="271" w:name="_Toc152045788"/>
      <w:bookmarkStart w:id="272" w:name="_Toc144974857"/>
      <w:bookmarkStart w:id="273"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8"/>
      <w:bookmarkEnd w:id="269"/>
      <w:bookmarkEnd w:id="270"/>
      <w:bookmarkEnd w:id="271"/>
      <w:bookmarkEnd w:id="272"/>
      <w:bookmarkEnd w:id="273"/>
    </w:p>
    <w:p w14:paraId="014B1904">
      <w:pPr>
        <w:spacing w:line="440" w:lineRule="exact"/>
        <w:rPr>
          <w:rFonts w:hint="default" w:ascii="Times New Roman" w:hAnsi="Times New Roman" w:cs="Times New Roman"/>
          <w:szCs w:val="21"/>
        </w:rPr>
      </w:pPr>
      <w:bookmarkStart w:id="274" w:name="_Toc152042579"/>
      <w:bookmarkStart w:id="275" w:name="_Toc247527830"/>
      <w:bookmarkStart w:id="276" w:name="_Toc300835212"/>
      <w:bookmarkStart w:id="277" w:name="_Toc144974859"/>
      <w:bookmarkStart w:id="278" w:name="_Toc247514249"/>
      <w:bookmarkStart w:id="279" w:name="_Toc15204579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627D17A">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3" w:edGrp="everyone"/>
      <w:r>
        <w:rPr>
          <w:rFonts w:hint="eastAsia" w:ascii="Times New Roman" w:hAnsi="Times New Roman" w:cs="Times New Roman"/>
          <w:szCs w:val="21"/>
          <w:lang w:val="en-US" w:eastAsia="zh-CN"/>
        </w:rPr>
        <w:t>（含税6%）人民币（大写）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lang w:val="en-US" w:eastAsia="zh-CN"/>
        </w:rPr>
        <w:t>）具体详见报价表</w:t>
      </w:r>
      <w:permEnd w:id="53"/>
      <w:r>
        <w:rPr>
          <w:rFonts w:hint="eastAsia" w:ascii="Times New Roman" w:hAnsi="Times New Roman" w:cs="Times New Roman"/>
          <w:szCs w:val="21"/>
          <w:lang w:val="en-US" w:eastAsia="zh-CN"/>
        </w:rPr>
        <w:t>，服务期限：</w:t>
      </w:r>
      <w:permStart w:id="54"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自合同签订之日起900日历天或项目交付后</w:t>
      </w:r>
      <w:permEnd w:id="54"/>
      <w:r>
        <w:rPr>
          <w:rFonts w:hint="eastAsia" w:ascii="Times New Roman" w:hAnsi="Times New Roman" w:cs="Times New Roman"/>
          <w:szCs w:val="21"/>
          <w:u w:val="none"/>
          <w:lang w:val="en-US" w:eastAsia="zh-CN"/>
        </w:rPr>
        <w:t>，按合同约定完成本项目全部工作。</w:t>
      </w:r>
    </w:p>
    <w:p w14:paraId="2F43DFD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16A416D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186AEF4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5474325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4F93094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712F074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040F5B04">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6850DC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18B353D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6F61E1EB">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6223135B">
      <w:pPr>
        <w:spacing w:line="440" w:lineRule="exact"/>
        <w:rPr>
          <w:rFonts w:hint="default" w:ascii="Times New Roman" w:hAnsi="Times New Roman" w:cs="Times New Roman"/>
          <w:szCs w:val="21"/>
        </w:rPr>
      </w:pPr>
    </w:p>
    <w:p w14:paraId="34E97A32">
      <w:pPr>
        <w:spacing w:line="440" w:lineRule="exact"/>
        <w:ind w:firstLine="2310" w:firstLineChars="1100"/>
        <w:rPr>
          <w:rFonts w:hint="eastAsia" w:ascii="Times New Roman" w:hAnsi="Times New Roman" w:cs="Times New Roman"/>
          <w:szCs w:val="21"/>
          <w:lang w:val="en-US" w:eastAsia="zh-CN"/>
        </w:rPr>
      </w:pPr>
    </w:p>
    <w:p w14:paraId="29DB9211">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7FDAAA1">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1152C0E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D97447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2B6D9E6">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981FF19">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4"/>
    <w:bookmarkEnd w:id="275"/>
    <w:bookmarkEnd w:id="276"/>
    <w:bookmarkEnd w:id="277"/>
    <w:bookmarkEnd w:id="278"/>
    <w:bookmarkEnd w:id="279"/>
    <w:p w14:paraId="40EF5622">
      <w:pPr>
        <w:pStyle w:val="4"/>
        <w:jc w:val="both"/>
        <w:rPr>
          <w:rFonts w:hint="default" w:ascii="Times New Roman" w:hAnsi="Times New Roman" w:cs="Times New Roman"/>
        </w:rPr>
      </w:pPr>
      <w:bookmarkStart w:id="280" w:name="_Toc152042580"/>
      <w:bookmarkStart w:id="281" w:name="_Toc144974860"/>
      <w:bookmarkStart w:id="282" w:name="_Toc300835213"/>
      <w:bookmarkStart w:id="283" w:name="_Toc247527831"/>
      <w:bookmarkStart w:id="284" w:name="_Toc152045791"/>
      <w:bookmarkStart w:id="285" w:name="_Toc247514283"/>
    </w:p>
    <w:p w14:paraId="7B642380">
      <w:pPr>
        <w:rPr>
          <w:rFonts w:hint="default"/>
        </w:rPr>
      </w:pPr>
    </w:p>
    <w:p w14:paraId="14398C86">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80"/>
      <w:bookmarkEnd w:id="281"/>
      <w:bookmarkEnd w:id="282"/>
      <w:bookmarkEnd w:id="283"/>
      <w:bookmarkEnd w:id="284"/>
      <w:bookmarkEnd w:id="285"/>
    </w:p>
    <w:p w14:paraId="1B879BF8">
      <w:pPr>
        <w:spacing w:line="440" w:lineRule="exact"/>
        <w:rPr>
          <w:rFonts w:hint="default" w:ascii="Times New Roman" w:hAnsi="Times New Roman" w:cs="Times New Roman"/>
          <w:sz w:val="20"/>
          <w:szCs w:val="20"/>
        </w:rPr>
      </w:pPr>
    </w:p>
    <w:p w14:paraId="5DFB0C40">
      <w:pPr>
        <w:spacing w:line="440" w:lineRule="exact"/>
        <w:rPr>
          <w:rFonts w:hint="default" w:ascii="Times New Roman" w:hAnsi="Times New Roman" w:cs="Times New Roman"/>
          <w:szCs w:val="21"/>
        </w:rPr>
      </w:pPr>
    </w:p>
    <w:p w14:paraId="35306403">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0431354F">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5DC136D0">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4E4F47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273A275">
      <w:pPr>
        <w:spacing w:line="440" w:lineRule="exact"/>
        <w:rPr>
          <w:rFonts w:hint="default" w:ascii="Times New Roman" w:hAnsi="Times New Roman" w:cs="Times New Roman"/>
          <w:szCs w:val="21"/>
        </w:rPr>
      </w:pPr>
    </w:p>
    <w:p w14:paraId="5DC8C23E">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728F612C">
      <w:pPr>
        <w:spacing w:line="440" w:lineRule="exact"/>
        <w:rPr>
          <w:rFonts w:hint="default" w:ascii="Times New Roman" w:hAnsi="Times New Roman" w:cs="Times New Roman"/>
          <w:szCs w:val="21"/>
        </w:rPr>
      </w:pPr>
    </w:p>
    <w:p w14:paraId="6F19C974">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69823C01">
      <w:pPr>
        <w:spacing w:line="440" w:lineRule="exact"/>
        <w:rPr>
          <w:rFonts w:hint="eastAsia" w:ascii="Times New Roman" w:hAnsi="Times New Roman" w:cs="Times New Roman"/>
          <w:szCs w:val="21"/>
          <w:lang w:val="en-US" w:eastAsia="zh-CN"/>
        </w:rPr>
      </w:pPr>
    </w:p>
    <w:p w14:paraId="7924509C">
      <w:pPr>
        <w:spacing w:line="440" w:lineRule="exact"/>
        <w:rPr>
          <w:rFonts w:hint="default" w:ascii="Times New Roman" w:hAnsi="Times New Roman" w:cs="Times New Roman"/>
          <w:szCs w:val="21"/>
          <w:lang w:val="en-US" w:eastAsia="zh-CN"/>
        </w:rPr>
      </w:pPr>
    </w:p>
    <w:p w14:paraId="76D778C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22D2F7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DA07C57">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A803A38">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1A8CF9E">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6" w:name="_Toc247514284"/>
      <w:bookmarkStart w:id="287" w:name="_Toc152042581"/>
      <w:bookmarkStart w:id="288" w:name="_Toc247527832"/>
      <w:bookmarkStart w:id="289" w:name="_Toc152045792"/>
      <w:bookmarkStart w:id="290" w:name="_Toc300835214"/>
      <w:bookmarkStart w:id="291"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6"/>
      <w:bookmarkEnd w:id="287"/>
      <w:bookmarkEnd w:id="288"/>
      <w:bookmarkEnd w:id="289"/>
      <w:bookmarkEnd w:id="290"/>
      <w:bookmarkEnd w:id="291"/>
    </w:p>
    <w:p w14:paraId="12894172">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6C5476F">
      <w:pPr>
        <w:spacing w:line="440" w:lineRule="exact"/>
        <w:rPr>
          <w:rFonts w:hint="default" w:ascii="Times New Roman" w:hAnsi="Times New Roman" w:eastAsia="黑体" w:cs="Times New Roman"/>
          <w:szCs w:val="21"/>
        </w:rPr>
      </w:pPr>
    </w:p>
    <w:p w14:paraId="0ACCD14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0E10F9D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F3CC304">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105D94F4">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21731597">
      <w:pPr>
        <w:spacing w:line="440" w:lineRule="exact"/>
        <w:ind w:firstLine="420" w:firstLineChars="200"/>
        <w:rPr>
          <w:rFonts w:hint="eastAsia" w:ascii="Times New Roman" w:hAnsi="Times New Roman" w:cs="Times New Roman"/>
          <w:szCs w:val="21"/>
          <w:lang w:val="en-US" w:eastAsia="zh-CN"/>
        </w:rPr>
      </w:pPr>
    </w:p>
    <w:p w14:paraId="4143FE6E">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37946B3B">
      <w:pPr>
        <w:spacing w:line="440" w:lineRule="exact"/>
        <w:rPr>
          <w:rFonts w:hint="default" w:ascii="Times New Roman" w:hAnsi="Times New Roman" w:cs="Times New Roman"/>
          <w:szCs w:val="21"/>
        </w:rPr>
      </w:pPr>
    </w:p>
    <w:p w14:paraId="476C165A">
      <w:pPr>
        <w:spacing w:line="440" w:lineRule="exact"/>
        <w:rPr>
          <w:rFonts w:hint="default" w:ascii="Times New Roman" w:hAnsi="Times New Roman" w:cs="Times New Roman"/>
          <w:szCs w:val="21"/>
        </w:rPr>
      </w:pPr>
    </w:p>
    <w:p w14:paraId="38B78799">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5E621FE">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0D7ABFF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86E2B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8CEBCBB">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8076462">
      <w:pPr>
        <w:spacing w:line="440" w:lineRule="exact"/>
        <w:rPr>
          <w:rFonts w:hint="default" w:ascii="Times New Roman" w:hAnsi="Times New Roman" w:cs="Times New Roman"/>
          <w:szCs w:val="21"/>
        </w:rPr>
      </w:pPr>
    </w:p>
    <w:p w14:paraId="10FC7130">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0F31B1C">
      <w:pPr>
        <w:spacing w:line="400" w:lineRule="exact"/>
        <w:rPr>
          <w:rFonts w:hint="default" w:ascii="Times New Roman" w:hAnsi="Times New Roman" w:eastAsia="黑体" w:cs="Times New Roman"/>
          <w:sz w:val="20"/>
          <w:szCs w:val="20"/>
        </w:rPr>
      </w:pPr>
    </w:p>
    <w:p w14:paraId="6290AA84">
      <w:pPr>
        <w:spacing w:line="400" w:lineRule="exact"/>
        <w:rPr>
          <w:rFonts w:hint="default" w:ascii="Times New Roman" w:hAnsi="Times New Roman" w:eastAsia="黑体" w:cs="Times New Roman"/>
          <w:sz w:val="20"/>
          <w:szCs w:val="20"/>
        </w:rPr>
      </w:pPr>
    </w:p>
    <w:p w14:paraId="1E955A47">
      <w:pPr>
        <w:spacing w:line="400" w:lineRule="exact"/>
        <w:rPr>
          <w:rFonts w:hint="default" w:ascii="Times New Roman" w:hAnsi="Times New Roman" w:eastAsia="黑体" w:cs="Times New Roman"/>
          <w:sz w:val="20"/>
          <w:szCs w:val="20"/>
        </w:rPr>
      </w:pPr>
    </w:p>
    <w:p w14:paraId="3D0195E7">
      <w:pPr>
        <w:spacing w:line="400" w:lineRule="exact"/>
        <w:rPr>
          <w:rFonts w:hint="default" w:ascii="Times New Roman" w:hAnsi="Times New Roman" w:eastAsia="黑体" w:cs="Times New Roman"/>
          <w:sz w:val="20"/>
          <w:szCs w:val="20"/>
        </w:rPr>
      </w:pPr>
    </w:p>
    <w:p w14:paraId="6958C80B">
      <w:pPr>
        <w:spacing w:line="400" w:lineRule="exact"/>
        <w:rPr>
          <w:rFonts w:hint="default" w:ascii="Times New Roman" w:hAnsi="Times New Roman" w:eastAsia="黑体" w:cs="Times New Roman"/>
          <w:sz w:val="20"/>
          <w:szCs w:val="20"/>
        </w:rPr>
      </w:pPr>
    </w:p>
    <w:p w14:paraId="20EB2648">
      <w:pPr>
        <w:spacing w:line="400" w:lineRule="exact"/>
        <w:rPr>
          <w:rFonts w:hint="default" w:ascii="Times New Roman" w:hAnsi="Times New Roman" w:eastAsia="黑体" w:cs="Times New Roman"/>
          <w:sz w:val="20"/>
          <w:szCs w:val="20"/>
        </w:rPr>
      </w:pPr>
    </w:p>
    <w:p w14:paraId="2F800CC5">
      <w:pPr>
        <w:topLinePunct/>
        <w:spacing w:line="440" w:lineRule="exact"/>
        <w:jc w:val="both"/>
        <w:rPr>
          <w:rFonts w:hint="eastAsia" w:ascii="Times New Roman" w:hAnsi="Times New Roman" w:cs="Times New Roman"/>
          <w:szCs w:val="21"/>
          <w:lang w:val="en-US" w:eastAsia="zh-CN"/>
        </w:rPr>
      </w:pPr>
      <w:bookmarkStart w:id="292" w:name="_Toc247514286"/>
      <w:bookmarkStart w:id="293" w:name="_Toc144974862"/>
      <w:bookmarkStart w:id="294" w:name="_Toc247527834"/>
      <w:bookmarkStart w:id="295" w:name="_Toc152045794"/>
      <w:bookmarkStart w:id="296" w:name="_Toc152042583"/>
      <w:bookmarkStart w:id="297" w:name="_Toc300835216"/>
      <w:r>
        <w:rPr>
          <w:rFonts w:hint="eastAsia" w:ascii="Times New Roman" w:hAnsi="Times New Roman" w:cs="Times New Roman"/>
          <w:szCs w:val="21"/>
          <w:lang w:val="en-US" w:eastAsia="zh-CN"/>
        </w:rPr>
        <w:t xml:space="preserve">                                 </w:t>
      </w:r>
    </w:p>
    <w:p w14:paraId="051E4133">
      <w:pPr>
        <w:topLinePunct/>
        <w:spacing w:line="440" w:lineRule="exact"/>
        <w:ind w:firstLine="420" w:firstLineChars="200"/>
        <w:jc w:val="center"/>
        <w:rPr>
          <w:rFonts w:hint="eastAsia" w:ascii="Times New Roman" w:hAnsi="Times New Roman" w:cs="Times New Roman"/>
          <w:szCs w:val="21"/>
          <w:lang w:val="en-US" w:eastAsia="zh-CN"/>
        </w:rPr>
      </w:pPr>
    </w:p>
    <w:p w14:paraId="2C8C5B33">
      <w:pPr>
        <w:topLinePunct/>
        <w:spacing w:line="440" w:lineRule="exact"/>
        <w:jc w:val="both"/>
        <w:rPr>
          <w:rFonts w:hint="eastAsia" w:ascii="Times New Roman" w:hAnsi="Times New Roman" w:cs="Times New Roman"/>
          <w:szCs w:val="21"/>
          <w:lang w:val="en-US" w:eastAsia="zh-CN"/>
        </w:rPr>
      </w:pPr>
    </w:p>
    <w:p w14:paraId="038A3525">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92"/>
      <w:bookmarkEnd w:id="293"/>
      <w:bookmarkEnd w:id="294"/>
      <w:bookmarkEnd w:id="295"/>
      <w:bookmarkEnd w:id="296"/>
      <w:bookmarkEnd w:id="297"/>
    </w:p>
    <w:p w14:paraId="501CD77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641866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D98D9C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AC84C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97BE7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B3FDE6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ED6DCF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0EE5A2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93E218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01D4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9740B03">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ECF642E">
      <w:pPr>
        <w:spacing w:line="440" w:lineRule="exact"/>
        <w:rPr>
          <w:rFonts w:hint="default" w:ascii="Times New Roman" w:hAnsi="Times New Roman" w:cs="Times New Roman"/>
          <w:b/>
          <w:bCs/>
        </w:rPr>
      </w:pPr>
    </w:p>
    <w:bookmarkEnd w:id="298"/>
    <w:p w14:paraId="025609D3">
      <w:pPr>
        <w:rPr>
          <w:rFonts w:hint="default" w:ascii="Times New Roman" w:hAnsi="Times New Roman" w:cs="Times New Roman"/>
        </w:rPr>
      </w:pPr>
      <w:bookmarkStart w:id="299" w:name="_Toc247514287"/>
      <w:bookmarkStart w:id="300" w:name="_Toc152045795"/>
      <w:bookmarkStart w:id="301" w:name="_Toc144974863"/>
      <w:bookmarkStart w:id="302" w:name="_Toc300835218"/>
      <w:bookmarkStart w:id="303" w:name="_Toc247527835"/>
      <w:bookmarkStart w:id="304" w:name="_Toc152042584"/>
      <w:r>
        <w:rPr>
          <w:rFonts w:hint="default" w:ascii="Times New Roman" w:hAnsi="Times New Roman" w:cs="Times New Roman"/>
        </w:rPr>
        <w:br w:type="page"/>
      </w:r>
    </w:p>
    <w:p w14:paraId="58DA1ACD">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7FB90F47">
      <w:pPr>
        <w:spacing w:before="53"/>
      </w:pPr>
    </w:p>
    <w:p w14:paraId="12D3DD83">
      <w:pPr>
        <w:spacing w:before="53"/>
      </w:pPr>
    </w:p>
    <w:tbl>
      <w:tblPr>
        <w:tblStyle w:val="36"/>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4050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07DE5360">
            <w:pPr>
              <w:pStyle w:val="35"/>
              <w:spacing w:before="174" w:line="221" w:lineRule="auto"/>
              <w:ind w:left="344"/>
              <w:rPr>
                <w:sz w:val="21"/>
                <w:szCs w:val="21"/>
              </w:rPr>
            </w:pPr>
            <w:r>
              <w:rPr>
                <w:spacing w:val="6"/>
                <w:sz w:val="21"/>
                <w:szCs w:val="21"/>
              </w:rPr>
              <w:t>序号</w:t>
            </w:r>
          </w:p>
        </w:tc>
        <w:tc>
          <w:tcPr>
            <w:tcW w:w="3106" w:type="dxa"/>
            <w:vAlign w:val="top"/>
          </w:tcPr>
          <w:p w14:paraId="7804C3F8">
            <w:pPr>
              <w:pStyle w:val="35"/>
              <w:spacing w:before="172" w:line="219" w:lineRule="auto"/>
              <w:ind w:left="511"/>
              <w:rPr>
                <w:sz w:val="21"/>
                <w:szCs w:val="21"/>
              </w:rPr>
            </w:pPr>
            <w:r>
              <w:rPr>
                <w:spacing w:val="1"/>
                <w:sz w:val="21"/>
                <w:szCs w:val="21"/>
              </w:rPr>
              <w:t>采购文件章节及条款号</w:t>
            </w:r>
          </w:p>
        </w:tc>
        <w:tc>
          <w:tcPr>
            <w:tcW w:w="3117" w:type="dxa"/>
            <w:vAlign w:val="top"/>
          </w:tcPr>
          <w:p w14:paraId="63829CEC">
            <w:pPr>
              <w:pStyle w:val="35"/>
              <w:spacing w:before="172" w:line="219" w:lineRule="auto"/>
              <w:ind w:left="524"/>
              <w:rPr>
                <w:sz w:val="21"/>
                <w:szCs w:val="21"/>
              </w:rPr>
            </w:pPr>
            <w:r>
              <w:rPr>
                <w:spacing w:val="1"/>
                <w:sz w:val="21"/>
                <w:szCs w:val="21"/>
              </w:rPr>
              <w:t>响应文件章节及条款号</w:t>
            </w:r>
          </w:p>
        </w:tc>
        <w:tc>
          <w:tcPr>
            <w:tcW w:w="1713" w:type="dxa"/>
            <w:vAlign w:val="top"/>
          </w:tcPr>
          <w:p w14:paraId="6C632420">
            <w:pPr>
              <w:pStyle w:val="35"/>
              <w:spacing w:before="173" w:line="219" w:lineRule="auto"/>
              <w:ind w:left="417"/>
              <w:rPr>
                <w:sz w:val="21"/>
                <w:szCs w:val="21"/>
              </w:rPr>
            </w:pPr>
            <w:r>
              <w:rPr>
                <w:spacing w:val="5"/>
                <w:sz w:val="21"/>
                <w:szCs w:val="21"/>
              </w:rPr>
              <w:t>偏差说明</w:t>
            </w:r>
          </w:p>
        </w:tc>
      </w:tr>
      <w:tr w14:paraId="32E34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305A9600">
            <w:pPr>
              <w:pStyle w:val="35"/>
              <w:spacing w:before="233" w:line="184" w:lineRule="auto"/>
              <w:ind w:left="495"/>
              <w:rPr>
                <w:sz w:val="21"/>
                <w:szCs w:val="21"/>
              </w:rPr>
            </w:pPr>
            <w:r>
              <w:rPr>
                <w:sz w:val="21"/>
                <w:szCs w:val="21"/>
              </w:rPr>
              <w:t>1</w:t>
            </w:r>
          </w:p>
        </w:tc>
        <w:tc>
          <w:tcPr>
            <w:tcW w:w="3106" w:type="dxa"/>
            <w:vAlign w:val="top"/>
          </w:tcPr>
          <w:p w14:paraId="10A167D7">
            <w:pPr>
              <w:rPr>
                <w:rFonts w:ascii="Arial"/>
                <w:sz w:val="21"/>
              </w:rPr>
            </w:pPr>
          </w:p>
        </w:tc>
        <w:tc>
          <w:tcPr>
            <w:tcW w:w="3117" w:type="dxa"/>
            <w:vAlign w:val="top"/>
          </w:tcPr>
          <w:p w14:paraId="3F31E8C2">
            <w:pPr>
              <w:rPr>
                <w:rFonts w:ascii="Arial"/>
                <w:sz w:val="21"/>
              </w:rPr>
            </w:pPr>
          </w:p>
        </w:tc>
        <w:tc>
          <w:tcPr>
            <w:tcW w:w="1713" w:type="dxa"/>
            <w:vAlign w:val="top"/>
          </w:tcPr>
          <w:p w14:paraId="2B66CCA6">
            <w:pPr>
              <w:rPr>
                <w:rFonts w:ascii="Arial"/>
                <w:sz w:val="21"/>
              </w:rPr>
            </w:pPr>
          </w:p>
        </w:tc>
      </w:tr>
      <w:tr w14:paraId="1C643C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42325D11">
            <w:pPr>
              <w:pStyle w:val="35"/>
              <w:spacing w:before="235" w:line="183" w:lineRule="auto"/>
              <w:ind w:left="495"/>
              <w:rPr>
                <w:sz w:val="21"/>
                <w:szCs w:val="21"/>
              </w:rPr>
            </w:pPr>
            <w:r>
              <w:rPr>
                <w:sz w:val="21"/>
                <w:szCs w:val="21"/>
              </w:rPr>
              <w:t>2</w:t>
            </w:r>
          </w:p>
        </w:tc>
        <w:tc>
          <w:tcPr>
            <w:tcW w:w="3106" w:type="dxa"/>
            <w:vAlign w:val="top"/>
          </w:tcPr>
          <w:p w14:paraId="6D3966E8">
            <w:pPr>
              <w:rPr>
                <w:rFonts w:ascii="Arial"/>
                <w:sz w:val="21"/>
              </w:rPr>
            </w:pPr>
          </w:p>
        </w:tc>
        <w:tc>
          <w:tcPr>
            <w:tcW w:w="3117" w:type="dxa"/>
            <w:vAlign w:val="top"/>
          </w:tcPr>
          <w:p w14:paraId="76AE0E61">
            <w:pPr>
              <w:rPr>
                <w:rFonts w:ascii="Arial"/>
                <w:sz w:val="21"/>
              </w:rPr>
            </w:pPr>
          </w:p>
        </w:tc>
        <w:tc>
          <w:tcPr>
            <w:tcW w:w="1713" w:type="dxa"/>
            <w:vAlign w:val="top"/>
          </w:tcPr>
          <w:p w14:paraId="3E10304A">
            <w:pPr>
              <w:rPr>
                <w:rFonts w:ascii="Arial"/>
                <w:sz w:val="21"/>
              </w:rPr>
            </w:pPr>
          </w:p>
        </w:tc>
      </w:tr>
      <w:tr w14:paraId="1B5F52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924F75C">
            <w:pPr>
              <w:pStyle w:val="35"/>
              <w:spacing w:before="236" w:line="183" w:lineRule="auto"/>
              <w:ind w:left="495"/>
              <w:rPr>
                <w:sz w:val="21"/>
                <w:szCs w:val="21"/>
              </w:rPr>
            </w:pPr>
            <w:r>
              <w:rPr>
                <w:sz w:val="21"/>
                <w:szCs w:val="21"/>
              </w:rPr>
              <w:t>3</w:t>
            </w:r>
          </w:p>
        </w:tc>
        <w:tc>
          <w:tcPr>
            <w:tcW w:w="3106" w:type="dxa"/>
            <w:vAlign w:val="top"/>
          </w:tcPr>
          <w:p w14:paraId="365AEDF1">
            <w:pPr>
              <w:rPr>
                <w:rFonts w:ascii="Arial"/>
                <w:sz w:val="21"/>
              </w:rPr>
            </w:pPr>
          </w:p>
        </w:tc>
        <w:tc>
          <w:tcPr>
            <w:tcW w:w="3117" w:type="dxa"/>
            <w:vAlign w:val="top"/>
          </w:tcPr>
          <w:p w14:paraId="1BF7BE05">
            <w:pPr>
              <w:rPr>
                <w:rFonts w:ascii="Arial"/>
                <w:sz w:val="21"/>
              </w:rPr>
            </w:pPr>
          </w:p>
        </w:tc>
        <w:tc>
          <w:tcPr>
            <w:tcW w:w="1713" w:type="dxa"/>
            <w:vAlign w:val="top"/>
          </w:tcPr>
          <w:p w14:paraId="318A1FCB">
            <w:pPr>
              <w:rPr>
                <w:rFonts w:ascii="Arial"/>
                <w:sz w:val="21"/>
              </w:rPr>
            </w:pPr>
          </w:p>
        </w:tc>
      </w:tr>
      <w:tr w14:paraId="09456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6740FAD">
            <w:pPr>
              <w:pStyle w:val="35"/>
              <w:spacing w:before="227" w:line="183" w:lineRule="auto"/>
              <w:ind w:left="495"/>
              <w:rPr>
                <w:sz w:val="21"/>
                <w:szCs w:val="21"/>
              </w:rPr>
            </w:pPr>
            <w:r>
              <w:rPr>
                <w:sz w:val="21"/>
                <w:szCs w:val="21"/>
              </w:rPr>
              <w:t>4</w:t>
            </w:r>
          </w:p>
        </w:tc>
        <w:tc>
          <w:tcPr>
            <w:tcW w:w="3106" w:type="dxa"/>
            <w:vAlign w:val="top"/>
          </w:tcPr>
          <w:p w14:paraId="5002BD88">
            <w:pPr>
              <w:rPr>
                <w:rFonts w:ascii="Arial"/>
                <w:sz w:val="21"/>
              </w:rPr>
            </w:pPr>
          </w:p>
        </w:tc>
        <w:tc>
          <w:tcPr>
            <w:tcW w:w="3117" w:type="dxa"/>
            <w:vAlign w:val="top"/>
          </w:tcPr>
          <w:p w14:paraId="70719A42">
            <w:pPr>
              <w:rPr>
                <w:rFonts w:ascii="Arial"/>
                <w:sz w:val="21"/>
              </w:rPr>
            </w:pPr>
          </w:p>
        </w:tc>
        <w:tc>
          <w:tcPr>
            <w:tcW w:w="1713" w:type="dxa"/>
            <w:vAlign w:val="top"/>
          </w:tcPr>
          <w:p w14:paraId="3E2A2F34">
            <w:pPr>
              <w:rPr>
                <w:rFonts w:ascii="Arial"/>
                <w:sz w:val="21"/>
              </w:rPr>
            </w:pPr>
          </w:p>
        </w:tc>
      </w:tr>
      <w:tr w14:paraId="13AEDC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74AABD01">
            <w:pPr>
              <w:pStyle w:val="35"/>
              <w:spacing w:before="241" w:line="182" w:lineRule="auto"/>
              <w:ind w:left="495"/>
              <w:rPr>
                <w:sz w:val="21"/>
                <w:szCs w:val="21"/>
              </w:rPr>
            </w:pPr>
            <w:r>
              <w:rPr>
                <w:sz w:val="21"/>
                <w:szCs w:val="21"/>
              </w:rPr>
              <w:t>5</w:t>
            </w:r>
          </w:p>
        </w:tc>
        <w:tc>
          <w:tcPr>
            <w:tcW w:w="3106" w:type="dxa"/>
            <w:vAlign w:val="top"/>
          </w:tcPr>
          <w:p w14:paraId="5849C2F4">
            <w:pPr>
              <w:rPr>
                <w:rFonts w:ascii="Arial"/>
                <w:sz w:val="21"/>
              </w:rPr>
            </w:pPr>
          </w:p>
        </w:tc>
        <w:tc>
          <w:tcPr>
            <w:tcW w:w="3117" w:type="dxa"/>
            <w:vAlign w:val="top"/>
          </w:tcPr>
          <w:p w14:paraId="789B3C16">
            <w:pPr>
              <w:rPr>
                <w:rFonts w:ascii="Arial"/>
                <w:sz w:val="21"/>
              </w:rPr>
            </w:pPr>
          </w:p>
        </w:tc>
        <w:tc>
          <w:tcPr>
            <w:tcW w:w="1713" w:type="dxa"/>
            <w:vAlign w:val="top"/>
          </w:tcPr>
          <w:p w14:paraId="78EBC752">
            <w:pPr>
              <w:rPr>
                <w:rFonts w:ascii="Arial"/>
                <w:sz w:val="21"/>
              </w:rPr>
            </w:pPr>
          </w:p>
        </w:tc>
      </w:tr>
      <w:tr w14:paraId="42D9A8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D153D9B">
            <w:pPr>
              <w:pStyle w:val="35"/>
              <w:spacing w:before="198" w:line="331" w:lineRule="exact"/>
              <w:ind w:left="344"/>
              <w:rPr>
                <w:sz w:val="21"/>
                <w:szCs w:val="21"/>
              </w:rPr>
            </w:pPr>
            <w:r>
              <w:rPr>
                <w:spacing w:val="-6"/>
                <w:position w:val="2"/>
                <w:sz w:val="21"/>
                <w:szCs w:val="21"/>
              </w:rPr>
              <w:t>……</w:t>
            </w:r>
          </w:p>
        </w:tc>
        <w:tc>
          <w:tcPr>
            <w:tcW w:w="3106" w:type="dxa"/>
            <w:vAlign w:val="top"/>
          </w:tcPr>
          <w:p w14:paraId="67F4EE4A">
            <w:pPr>
              <w:rPr>
                <w:rFonts w:ascii="Arial"/>
                <w:sz w:val="21"/>
              </w:rPr>
            </w:pPr>
          </w:p>
        </w:tc>
        <w:tc>
          <w:tcPr>
            <w:tcW w:w="3117" w:type="dxa"/>
            <w:vAlign w:val="top"/>
          </w:tcPr>
          <w:p w14:paraId="53F4EFD0">
            <w:pPr>
              <w:rPr>
                <w:rFonts w:ascii="Arial"/>
                <w:sz w:val="21"/>
              </w:rPr>
            </w:pPr>
          </w:p>
        </w:tc>
        <w:tc>
          <w:tcPr>
            <w:tcW w:w="1713" w:type="dxa"/>
            <w:vAlign w:val="top"/>
          </w:tcPr>
          <w:p w14:paraId="13394119">
            <w:pPr>
              <w:rPr>
                <w:rFonts w:ascii="Arial"/>
                <w:sz w:val="21"/>
              </w:rPr>
            </w:pPr>
          </w:p>
        </w:tc>
      </w:tr>
    </w:tbl>
    <w:p w14:paraId="6C92D55B">
      <w:pPr>
        <w:pStyle w:val="9"/>
        <w:spacing w:line="252" w:lineRule="auto"/>
      </w:pPr>
    </w:p>
    <w:p w14:paraId="7EB13322">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88E6DCC">
      <w:pPr>
        <w:rPr>
          <w:rFonts w:hint="eastAsia" w:ascii="Times New Roman" w:hAnsi="Times New Roman" w:cs="Times New Roman"/>
          <w:lang w:val="en-US" w:eastAsia="zh-CN"/>
        </w:rPr>
      </w:pPr>
    </w:p>
    <w:p w14:paraId="59EEB19B">
      <w:pPr>
        <w:rPr>
          <w:rFonts w:hint="eastAsia" w:ascii="Times New Roman" w:hAnsi="Times New Roman" w:cs="Times New Roman"/>
          <w:lang w:val="en-US" w:eastAsia="zh-CN"/>
        </w:rPr>
      </w:pPr>
    </w:p>
    <w:p w14:paraId="3628ACE2">
      <w:pPr>
        <w:rPr>
          <w:rFonts w:hint="eastAsia" w:ascii="Times New Roman" w:hAnsi="Times New Roman" w:cs="Times New Roman"/>
          <w:lang w:val="en-US" w:eastAsia="zh-CN"/>
        </w:rPr>
      </w:pPr>
    </w:p>
    <w:p w14:paraId="7EDA0198">
      <w:pPr>
        <w:rPr>
          <w:rFonts w:hint="eastAsia" w:ascii="Times New Roman" w:hAnsi="Times New Roman" w:cs="Times New Roman"/>
          <w:lang w:val="en-US" w:eastAsia="zh-CN"/>
        </w:rPr>
      </w:pPr>
    </w:p>
    <w:p w14:paraId="046502F4">
      <w:pPr>
        <w:rPr>
          <w:rFonts w:hint="eastAsia" w:ascii="Times New Roman" w:hAnsi="Times New Roman" w:cs="Times New Roman"/>
          <w:lang w:val="en-US" w:eastAsia="zh-CN"/>
        </w:rPr>
      </w:pPr>
    </w:p>
    <w:p w14:paraId="21573CD9">
      <w:pPr>
        <w:rPr>
          <w:rFonts w:hint="eastAsia" w:ascii="Times New Roman" w:hAnsi="Times New Roman" w:cs="Times New Roman"/>
          <w:lang w:val="en-US" w:eastAsia="zh-CN"/>
        </w:rPr>
      </w:pPr>
    </w:p>
    <w:p w14:paraId="524EF6C7">
      <w:pPr>
        <w:rPr>
          <w:rFonts w:hint="eastAsia" w:ascii="Times New Roman" w:hAnsi="Times New Roman" w:cs="Times New Roman"/>
          <w:lang w:val="en-US" w:eastAsia="zh-CN"/>
        </w:rPr>
      </w:pPr>
    </w:p>
    <w:p w14:paraId="6E3CE66A">
      <w:pPr>
        <w:rPr>
          <w:rFonts w:hint="eastAsia" w:ascii="Times New Roman" w:hAnsi="Times New Roman" w:cs="Times New Roman"/>
          <w:lang w:val="en-US" w:eastAsia="zh-CN"/>
        </w:rPr>
      </w:pPr>
    </w:p>
    <w:p w14:paraId="43ED001C">
      <w:pPr>
        <w:rPr>
          <w:rFonts w:hint="eastAsia" w:ascii="Times New Roman" w:hAnsi="Times New Roman" w:cs="Times New Roman"/>
          <w:lang w:val="en-US" w:eastAsia="zh-CN"/>
        </w:rPr>
      </w:pPr>
    </w:p>
    <w:p w14:paraId="083B218E">
      <w:pPr>
        <w:rPr>
          <w:rFonts w:hint="eastAsia" w:ascii="Times New Roman" w:hAnsi="Times New Roman" w:cs="Times New Roman"/>
          <w:lang w:val="en-US" w:eastAsia="zh-CN"/>
        </w:rPr>
      </w:pPr>
    </w:p>
    <w:p w14:paraId="0D352EBB">
      <w:pPr>
        <w:rPr>
          <w:rFonts w:hint="eastAsia" w:ascii="Times New Roman" w:hAnsi="Times New Roman" w:cs="Times New Roman"/>
          <w:lang w:val="en-US" w:eastAsia="zh-CN"/>
        </w:rPr>
      </w:pPr>
    </w:p>
    <w:p w14:paraId="2D96FF7A">
      <w:pPr>
        <w:rPr>
          <w:rFonts w:hint="eastAsia" w:ascii="Times New Roman" w:hAnsi="Times New Roman" w:cs="Times New Roman"/>
          <w:lang w:val="en-US" w:eastAsia="zh-CN"/>
        </w:rPr>
      </w:pPr>
    </w:p>
    <w:p w14:paraId="00A38A86">
      <w:pPr>
        <w:rPr>
          <w:rFonts w:hint="eastAsia" w:ascii="Times New Roman" w:hAnsi="Times New Roman" w:cs="Times New Roman"/>
          <w:lang w:val="en-US" w:eastAsia="zh-CN"/>
        </w:rPr>
      </w:pPr>
    </w:p>
    <w:p w14:paraId="1F1FDFD0">
      <w:pPr>
        <w:rPr>
          <w:rFonts w:hint="eastAsia" w:ascii="Times New Roman" w:hAnsi="Times New Roman" w:cs="Times New Roman"/>
          <w:lang w:val="en-US" w:eastAsia="zh-CN"/>
        </w:rPr>
      </w:pPr>
    </w:p>
    <w:p w14:paraId="02905EE8">
      <w:pPr>
        <w:rPr>
          <w:rFonts w:hint="eastAsia" w:ascii="Times New Roman" w:hAnsi="Times New Roman" w:cs="Times New Roman"/>
          <w:lang w:val="en-US" w:eastAsia="zh-CN"/>
        </w:rPr>
      </w:pPr>
    </w:p>
    <w:p w14:paraId="69F775EF">
      <w:pPr>
        <w:rPr>
          <w:rFonts w:hint="eastAsia" w:ascii="Times New Roman" w:hAnsi="Times New Roman" w:cs="Times New Roman"/>
          <w:lang w:val="en-US" w:eastAsia="zh-CN"/>
        </w:rPr>
      </w:pPr>
    </w:p>
    <w:p w14:paraId="5B703252">
      <w:pPr>
        <w:rPr>
          <w:rFonts w:hint="eastAsia" w:ascii="Times New Roman" w:hAnsi="Times New Roman" w:cs="Times New Roman"/>
          <w:lang w:val="en-US" w:eastAsia="zh-CN"/>
        </w:rPr>
      </w:pPr>
    </w:p>
    <w:p w14:paraId="6CCC7012">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0DEE5679">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656FFE6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114EB03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62DD42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1717664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79C9425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0A0F47E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68F4687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39895C">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1D7B4F5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07A56C04">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480CD1F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0A32DAF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853BF08">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A1E062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A576ABC">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299"/>
      <w:bookmarkEnd w:id="300"/>
      <w:bookmarkEnd w:id="301"/>
      <w:bookmarkEnd w:id="302"/>
      <w:bookmarkEnd w:id="303"/>
      <w:bookmarkEnd w:id="304"/>
      <w:r>
        <w:rPr>
          <w:rFonts w:hint="eastAsia" w:ascii="Times New Roman" w:hAnsi="Times New Roman" w:cs="Times New Roman"/>
          <w:lang w:val="en-US" w:eastAsia="zh-CN"/>
        </w:rPr>
        <w:t>报价表</w:t>
      </w:r>
    </w:p>
    <w:p w14:paraId="212E0419">
      <w:pPr>
        <w:rPr>
          <w:rFonts w:hint="default" w:ascii="Times New Roman" w:hAnsi="Times New Roman" w:cs="Times New Roman"/>
        </w:rPr>
      </w:pPr>
      <w:bookmarkStart w:id="305" w:name="_Toc300835221"/>
      <w:bookmarkStart w:id="306" w:name="_Toc152045796"/>
      <w:bookmarkStart w:id="307" w:name="_Toc247514288"/>
      <w:bookmarkStart w:id="308" w:name="_Toc152042585"/>
      <w:bookmarkStart w:id="309" w:name="_Toc144974864"/>
      <w:bookmarkStart w:id="310" w:name="_Toc247527836"/>
    </w:p>
    <w:p w14:paraId="5DC4E855">
      <w:pPr>
        <w:rPr>
          <w:rFonts w:hint="default" w:ascii="Times New Roman" w:hAnsi="Times New Roman" w:cs="Times New Roman"/>
        </w:rPr>
      </w:pPr>
    </w:p>
    <w:p w14:paraId="7C371FDC">
      <w:pP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供应商自拟。</w:t>
      </w:r>
    </w:p>
    <w:p w14:paraId="012F76EA">
      <w:pPr>
        <w:rPr>
          <w:rFonts w:hint="default" w:ascii="Times New Roman" w:hAnsi="Times New Roman" w:cs="Times New Roman"/>
        </w:rPr>
      </w:pPr>
    </w:p>
    <w:p w14:paraId="0FBE7F65">
      <w:pPr>
        <w:rPr>
          <w:rFonts w:hint="default" w:ascii="Times New Roman" w:hAnsi="Times New Roman" w:cs="Times New Roman"/>
        </w:rPr>
      </w:pPr>
      <w:r>
        <w:rPr>
          <w:rFonts w:hint="default" w:ascii="Times New Roman" w:hAnsi="Times New Roman" w:cs="Times New Roman"/>
        </w:rPr>
        <w:br w:type="page"/>
      </w:r>
    </w:p>
    <w:p w14:paraId="43434CD2">
      <w:pPr>
        <w:pStyle w:val="4"/>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5"/>
      <w:bookmarkEnd w:id="306"/>
      <w:bookmarkEnd w:id="307"/>
      <w:bookmarkEnd w:id="308"/>
      <w:bookmarkEnd w:id="309"/>
      <w:bookmarkEnd w:id="310"/>
      <w:bookmarkStart w:id="311" w:name="_Toc300835223"/>
      <w:r>
        <w:t>资格审查资料</w:t>
      </w:r>
    </w:p>
    <w:p w14:paraId="6DFA455F">
      <w:pPr>
        <w:pStyle w:val="5"/>
        <w:jc w:val="both"/>
        <w:rPr>
          <w:rFonts w:hint="eastAsia"/>
        </w:rPr>
      </w:pPr>
      <w:bookmarkStart w:id="312" w:name="_Toc247085891"/>
      <w:bookmarkStart w:id="313" w:name="_Toc179632828"/>
      <w:bookmarkStart w:id="314" w:name="_Toc246996373"/>
      <w:bookmarkStart w:id="315" w:name="_Toc246997116"/>
      <w:bookmarkStart w:id="316" w:name="_Toc296602618"/>
      <w:r>
        <w:t>（一）</w:t>
      </w:r>
      <w:r>
        <w:rPr>
          <w:rFonts w:hint="eastAsia"/>
          <w:lang w:eastAsia="zh-CN"/>
        </w:rPr>
        <w:t>供应商</w:t>
      </w:r>
      <w:r>
        <w:t>基本情况表</w:t>
      </w:r>
      <w:bookmarkEnd w:id="312"/>
      <w:bookmarkEnd w:id="313"/>
      <w:bookmarkEnd w:id="314"/>
      <w:bookmarkEnd w:id="315"/>
      <w:bookmarkEnd w:id="316"/>
    </w:p>
    <w:tbl>
      <w:tblPr>
        <w:tblStyle w:val="2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2B6109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ADAAD72">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4197F58">
            <w:pPr>
              <w:topLinePunct/>
              <w:spacing w:line="440" w:lineRule="exact"/>
              <w:jc w:val="center"/>
              <w:rPr>
                <w:szCs w:val="21"/>
              </w:rPr>
            </w:pPr>
          </w:p>
        </w:tc>
      </w:tr>
      <w:tr w14:paraId="7E2AD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CB7A208">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53EDB6AB">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4D23E16C">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0740F0D">
            <w:pPr>
              <w:topLinePunct/>
              <w:spacing w:line="440" w:lineRule="exact"/>
              <w:jc w:val="center"/>
              <w:rPr>
                <w:szCs w:val="21"/>
              </w:rPr>
            </w:pPr>
          </w:p>
        </w:tc>
      </w:tr>
      <w:tr w14:paraId="5280D0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4BC45DBD">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FB97E17">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59B940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B3979CB">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FEEEAB2">
            <w:pPr>
              <w:topLinePunct/>
              <w:spacing w:line="440" w:lineRule="exact"/>
              <w:jc w:val="center"/>
              <w:rPr>
                <w:szCs w:val="21"/>
              </w:rPr>
            </w:pPr>
          </w:p>
        </w:tc>
      </w:tr>
      <w:tr w14:paraId="7B44D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2BA7C6B7">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F2A8137">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3DE3D25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95000F3">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9E27D1E">
            <w:pPr>
              <w:topLinePunct/>
              <w:spacing w:line="440" w:lineRule="exact"/>
              <w:jc w:val="center"/>
              <w:rPr>
                <w:szCs w:val="21"/>
              </w:rPr>
            </w:pPr>
          </w:p>
        </w:tc>
      </w:tr>
      <w:tr w14:paraId="59D773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983629">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A6B3673">
            <w:pPr>
              <w:topLinePunct/>
              <w:spacing w:line="440" w:lineRule="exact"/>
              <w:jc w:val="center"/>
              <w:rPr>
                <w:szCs w:val="21"/>
              </w:rPr>
            </w:pPr>
          </w:p>
        </w:tc>
      </w:tr>
      <w:tr w14:paraId="08A6E6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A6712FC">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4817E42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0AB9ED2B">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15BCE3F0">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09649A4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3304000">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98E7E00">
            <w:pPr>
              <w:topLinePunct/>
              <w:spacing w:line="440" w:lineRule="exact"/>
              <w:jc w:val="center"/>
              <w:rPr>
                <w:szCs w:val="21"/>
              </w:rPr>
            </w:pPr>
          </w:p>
        </w:tc>
      </w:tr>
      <w:tr w14:paraId="497E08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03E778A">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A442E40">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CFE0528">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5C13CDB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8284C15">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CFE93CE">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CC85489">
            <w:pPr>
              <w:topLinePunct/>
              <w:spacing w:line="440" w:lineRule="exact"/>
              <w:jc w:val="center"/>
              <w:rPr>
                <w:szCs w:val="21"/>
              </w:rPr>
            </w:pPr>
          </w:p>
        </w:tc>
      </w:tr>
      <w:tr w14:paraId="6C812F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3831187">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817CEA9">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2515ED5F">
            <w:pPr>
              <w:topLinePunct/>
              <w:spacing w:line="440" w:lineRule="exact"/>
              <w:ind w:firstLine="105" w:firstLineChars="50"/>
              <w:jc w:val="center"/>
              <w:rPr>
                <w:szCs w:val="21"/>
              </w:rPr>
            </w:pPr>
            <w:r>
              <w:rPr>
                <w:szCs w:val="21"/>
              </w:rPr>
              <w:t>员工总人数：</w:t>
            </w:r>
          </w:p>
        </w:tc>
      </w:tr>
      <w:tr w14:paraId="5C5DEF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A5ED06">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EF48A7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5D411983">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2514596">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20CF4B5">
            <w:pPr>
              <w:topLinePunct/>
              <w:spacing w:line="440" w:lineRule="exact"/>
              <w:jc w:val="center"/>
              <w:rPr>
                <w:szCs w:val="21"/>
              </w:rPr>
            </w:pPr>
          </w:p>
        </w:tc>
      </w:tr>
      <w:tr w14:paraId="1B2C66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83A6F8B">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254552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5A8E71C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CE4869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A91C1F9">
            <w:pPr>
              <w:topLinePunct/>
              <w:spacing w:line="440" w:lineRule="exact"/>
              <w:jc w:val="center"/>
              <w:rPr>
                <w:szCs w:val="21"/>
              </w:rPr>
            </w:pPr>
          </w:p>
        </w:tc>
      </w:tr>
      <w:tr w14:paraId="3FC8ED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D64FB9A">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E38A32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14BCFBD">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140D870">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81B4898">
            <w:pPr>
              <w:topLinePunct/>
              <w:spacing w:line="440" w:lineRule="exact"/>
              <w:jc w:val="center"/>
              <w:rPr>
                <w:szCs w:val="21"/>
              </w:rPr>
            </w:pPr>
          </w:p>
        </w:tc>
      </w:tr>
      <w:tr w14:paraId="78D35C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EE0D526">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E1A852F">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1F1D80E">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B39BCD5">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FC34865">
            <w:pPr>
              <w:topLinePunct/>
              <w:spacing w:line="440" w:lineRule="exact"/>
              <w:jc w:val="center"/>
              <w:rPr>
                <w:szCs w:val="21"/>
              </w:rPr>
            </w:pPr>
          </w:p>
        </w:tc>
      </w:tr>
      <w:tr w14:paraId="48F832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6078165">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10A497C">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2264204">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4EA6F8B">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6A3BCF2">
            <w:pPr>
              <w:topLinePunct/>
              <w:spacing w:line="440" w:lineRule="exact"/>
              <w:jc w:val="center"/>
              <w:rPr>
                <w:szCs w:val="21"/>
              </w:rPr>
            </w:pPr>
          </w:p>
        </w:tc>
      </w:tr>
      <w:tr w14:paraId="281115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086AFE52">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4A361BA4">
            <w:pPr>
              <w:topLinePunct/>
              <w:spacing w:line="440" w:lineRule="exact"/>
              <w:jc w:val="center"/>
              <w:rPr>
                <w:szCs w:val="21"/>
              </w:rPr>
            </w:pPr>
          </w:p>
          <w:p w14:paraId="1B6743AC">
            <w:pPr>
              <w:topLinePunct/>
              <w:spacing w:line="440" w:lineRule="exact"/>
              <w:jc w:val="center"/>
              <w:rPr>
                <w:szCs w:val="21"/>
              </w:rPr>
            </w:pPr>
          </w:p>
          <w:p w14:paraId="2141D30D">
            <w:pPr>
              <w:topLinePunct/>
              <w:spacing w:line="440" w:lineRule="exact"/>
              <w:jc w:val="center"/>
              <w:rPr>
                <w:szCs w:val="21"/>
              </w:rPr>
            </w:pPr>
          </w:p>
          <w:p w14:paraId="5DADB907">
            <w:pPr>
              <w:topLinePunct/>
              <w:spacing w:line="440" w:lineRule="exact"/>
              <w:jc w:val="center"/>
              <w:rPr>
                <w:szCs w:val="21"/>
              </w:rPr>
            </w:pPr>
          </w:p>
          <w:p w14:paraId="131545F7">
            <w:pPr>
              <w:topLinePunct/>
              <w:spacing w:line="440" w:lineRule="exact"/>
              <w:rPr>
                <w:szCs w:val="21"/>
              </w:rPr>
            </w:pPr>
          </w:p>
        </w:tc>
      </w:tr>
      <w:tr w14:paraId="7296EA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5169024">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7E44ADC">
            <w:pPr>
              <w:topLinePunct/>
              <w:spacing w:line="440" w:lineRule="exact"/>
              <w:jc w:val="center"/>
              <w:rPr>
                <w:szCs w:val="21"/>
              </w:rPr>
            </w:pPr>
          </w:p>
        </w:tc>
      </w:tr>
    </w:tbl>
    <w:p w14:paraId="356226AC">
      <w:pPr>
        <w:rPr>
          <w:rFonts w:hint="default" w:ascii="Times New Roman" w:hAnsi="Times New Roman" w:cs="Times New Roman"/>
        </w:rPr>
      </w:pPr>
    </w:p>
    <w:p w14:paraId="02A67E5C">
      <w:pPr>
        <w:rPr>
          <w:rFonts w:hint="default" w:ascii="Times New Roman" w:hAnsi="Times New Roman" w:cs="Times New Roman"/>
        </w:rPr>
      </w:pPr>
      <w:r>
        <w:rPr>
          <w:rFonts w:hint="default" w:ascii="Times New Roman" w:hAnsi="Times New Roman" w:cs="Times New Roman"/>
        </w:rPr>
        <w:br w:type="page"/>
      </w:r>
    </w:p>
    <w:p w14:paraId="7D104973">
      <w:pPr>
        <w:pStyle w:val="5"/>
        <w:jc w:val="both"/>
      </w:pPr>
      <w:bookmarkStart w:id="317" w:name="_Toc246996370"/>
      <w:bookmarkStart w:id="318" w:name="_Toc296602615"/>
      <w:bookmarkStart w:id="319" w:name="_Toc246997113"/>
      <w:bookmarkStart w:id="320" w:name="_Toc247085888"/>
      <w:bookmarkStart w:id="321" w:name="_Toc152045810"/>
      <w:bookmarkStart w:id="322" w:name="_Toc144974878"/>
      <w:bookmarkStart w:id="323" w:name="_Toc247527850"/>
      <w:bookmarkStart w:id="324" w:name="_Toc247514302"/>
      <w:bookmarkStart w:id="325" w:name="_Toc152042599"/>
      <w:bookmarkStart w:id="326" w:name="_Toc300835226"/>
      <w:r>
        <w:t>（</w:t>
      </w:r>
      <w:r>
        <w:rPr>
          <w:rFonts w:hint="eastAsia"/>
          <w:lang w:val="en-US" w:eastAsia="zh-CN"/>
        </w:rPr>
        <w:t>二</w:t>
      </w:r>
      <w:r>
        <w:t>）项目管理机构组成表</w:t>
      </w:r>
      <w:bookmarkEnd w:id="317"/>
      <w:bookmarkEnd w:id="318"/>
      <w:bookmarkEnd w:id="319"/>
      <w:bookmarkEnd w:id="320"/>
    </w:p>
    <w:p w14:paraId="7ACC4587">
      <w:pPr>
        <w:spacing w:line="440" w:lineRule="exact"/>
        <w:jc w:val="center"/>
        <w:rPr>
          <w:rFonts w:eastAsia="黑体"/>
          <w:sz w:val="23"/>
          <w:szCs w:val="23"/>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93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5F08B85">
            <w:pPr>
              <w:spacing w:line="440" w:lineRule="exact"/>
              <w:jc w:val="center"/>
              <w:rPr>
                <w:szCs w:val="21"/>
              </w:rPr>
            </w:pPr>
            <w:r>
              <w:rPr>
                <w:szCs w:val="21"/>
              </w:rPr>
              <w:t>职务</w:t>
            </w:r>
          </w:p>
        </w:tc>
        <w:tc>
          <w:tcPr>
            <w:tcW w:w="721" w:type="dxa"/>
            <w:vMerge w:val="restart"/>
            <w:noWrap w:val="0"/>
            <w:vAlign w:val="center"/>
          </w:tcPr>
          <w:p w14:paraId="1F9D5EC8">
            <w:pPr>
              <w:spacing w:line="440" w:lineRule="exact"/>
              <w:jc w:val="center"/>
              <w:rPr>
                <w:szCs w:val="21"/>
              </w:rPr>
            </w:pPr>
            <w:r>
              <w:rPr>
                <w:szCs w:val="21"/>
              </w:rPr>
              <w:t>姓名</w:t>
            </w:r>
          </w:p>
        </w:tc>
        <w:tc>
          <w:tcPr>
            <w:tcW w:w="719" w:type="dxa"/>
            <w:vMerge w:val="restart"/>
            <w:noWrap w:val="0"/>
            <w:vAlign w:val="center"/>
          </w:tcPr>
          <w:p w14:paraId="536A5ABD">
            <w:pPr>
              <w:spacing w:line="440" w:lineRule="exact"/>
              <w:jc w:val="center"/>
              <w:rPr>
                <w:szCs w:val="21"/>
              </w:rPr>
            </w:pPr>
            <w:r>
              <w:rPr>
                <w:szCs w:val="21"/>
              </w:rPr>
              <w:t>职称</w:t>
            </w:r>
          </w:p>
        </w:tc>
        <w:tc>
          <w:tcPr>
            <w:tcW w:w="5763" w:type="dxa"/>
            <w:gridSpan w:val="5"/>
            <w:noWrap w:val="0"/>
            <w:vAlign w:val="center"/>
          </w:tcPr>
          <w:p w14:paraId="5FC00982">
            <w:pPr>
              <w:spacing w:line="440" w:lineRule="exact"/>
              <w:jc w:val="center"/>
              <w:rPr>
                <w:szCs w:val="21"/>
              </w:rPr>
            </w:pPr>
            <w:r>
              <w:rPr>
                <w:szCs w:val="21"/>
              </w:rPr>
              <w:t>执业或职业资格证明</w:t>
            </w:r>
          </w:p>
        </w:tc>
        <w:tc>
          <w:tcPr>
            <w:tcW w:w="672" w:type="dxa"/>
            <w:noWrap w:val="0"/>
            <w:vAlign w:val="center"/>
          </w:tcPr>
          <w:p w14:paraId="071E7EE4">
            <w:pPr>
              <w:spacing w:line="440" w:lineRule="exact"/>
              <w:jc w:val="center"/>
              <w:rPr>
                <w:szCs w:val="21"/>
              </w:rPr>
            </w:pPr>
            <w:r>
              <w:rPr>
                <w:szCs w:val="21"/>
              </w:rPr>
              <w:t>备注</w:t>
            </w:r>
          </w:p>
        </w:tc>
      </w:tr>
      <w:tr w14:paraId="14AA1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0311FD1A">
            <w:pPr>
              <w:spacing w:line="440" w:lineRule="exact"/>
              <w:jc w:val="center"/>
              <w:rPr>
                <w:szCs w:val="21"/>
              </w:rPr>
            </w:pPr>
          </w:p>
        </w:tc>
        <w:tc>
          <w:tcPr>
            <w:tcW w:w="721" w:type="dxa"/>
            <w:vMerge w:val="continue"/>
            <w:noWrap w:val="0"/>
            <w:vAlign w:val="center"/>
          </w:tcPr>
          <w:p w14:paraId="45C98B7C">
            <w:pPr>
              <w:spacing w:line="440" w:lineRule="exact"/>
              <w:jc w:val="center"/>
              <w:rPr>
                <w:szCs w:val="21"/>
              </w:rPr>
            </w:pPr>
          </w:p>
        </w:tc>
        <w:tc>
          <w:tcPr>
            <w:tcW w:w="719" w:type="dxa"/>
            <w:vMerge w:val="continue"/>
            <w:noWrap w:val="0"/>
            <w:vAlign w:val="center"/>
          </w:tcPr>
          <w:p w14:paraId="4D3396A2">
            <w:pPr>
              <w:spacing w:line="440" w:lineRule="exact"/>
              <w:jc w:val="center"/>
              <w:rPr>
                <w:szCs w:val="21"/>
              </w:rPr>
            </w:pPr>
          </w:p>
        </w:tc>
        <w:tc>
          <w:tcPr>
            <w:tcW w:w="1081" w:type="dxa"/>
            <w:noWrap w:val="0"/>
            <w:vAlign w:val="center"/>
          </w:tcPr>
          <w:p w14:paraId="3836F49C">
            <w:pPr>
              <w:spacing w:line="440" w:lineRule="exact"/>
              <w:jc w:val="center"/>
              <w:rPr>
                <w:szCs w:val="21"/>
              </w:rPr>
            </w:pPr>
            <w:r>
              <w:rPr>
                <w:szCs w:val="21"/>
              </w:rPr>
              <w:t>证书名称</w:t>
            </w:r>
          </w:p>
        </w:tc>
        <w:tc>
          <w:tcPr>
            <w:tcW w:w="719" w:type="dxa"/>
            <w:noWrap w:val="0"/>
            <w:vAlign w:val="center"/>
          </w:tcPr>
          <w:p w14:paraId="47931D5C">
            <w:pPr>
              <w:spacing w:line="440" w:lineRule="exact"/>
              <w:jc w:val="center"/>
              <w:rPr>
                <w:szCs w:val="21"/>
              </w:rPr>
            </w:pPr>
            <w:r>
              <w:rPr>
                <w:szCs w:val="21"/>
              </w:rPr>
              <w:t>级别</w:t>
            </w:r>
          </w:p>
        </w:tc>
        <w:tc>
          <w:tcPr>
            <w:tcW w:w="721" w:type="dxa"/>
            <w:noWrap w:val="0"/>
            <w:vAlign w:val="center"/>
          </w:tcPr>
          <w:p w14:paraId="2C4B3DAA">
            <w:pPr>
              <w:spacing w:line="440" w:lineRule="exact"/>
              <w:jc w:val="center"/>
              <w:rPr>
                <w:szCs w:val="21"/>
              </w:rPr>
            </w:pPr>
            <w:r>
              <w:rPr>
                <w:szCs w:val="21"/>
              </w:rPr>
              <w:t>证号</w:t>
            </w:r>
          </w:p>
        </w:tc>
        <w:tc>
          <w:tcPr>
            <w:tcW w:w="719" w:type="dxa"/>
            <w:noWrap w:val="0"/>
            <w:vAlign w:val="center"/>
          </w:tcPr>
          <w:p w14:paraId="39DD3B80">
            <w:pPr>
              <w:spacing w:line="440" w:lineRule="exact"/>
              <w:jc w:val="center"/>
              <w:rPr>
                <w:szCs w:val="21"/>
              </w:rPr>
            </w:pPr>
            <w:r>
              <w:rPr>
                <w:szCs w:val="21"/>
              </w:rPr>
              <w:t>专业</w:t>
            </w:r>
          </w:p>
        </w:tc>
        <w:tc>
          <w:tcPr>
            <w:tcW w:w="2523" w:type="dxa"/>
            <w:noWrap w:val="0"/>
            <w:vAlign w:val="center"/>
          </w:tcPr>
          <w:p w14:paraId="548ED0BE">
            <w:pPr>
              <w:spacing w:line="440" w:lineRule="exact"/>
              <w:jc w:val="center"/>
              <w:rPr>
                <w:szCs w:val="21"/>
              </w:rPr>
            </w:pPr>
            <w:r>
              <w:rPr>
                <w:szCs w:val="21"/>
              </w:rPr>
              <w:t>养老保险</w:t>
            </w:r>
          </w:p>
        </w:tc>
        <w:tc>
          <w:tcPr>
            <w:tcW w:w="672" w:type="dxa"/>
            <w:noWrap w:val="0"/>
            <w:vAlign w:val="center"/>
          </w:tcPr>
          <w:p w14:paraId="193196D0">
            <w:pPr>
              <w:spacing w:line="440" w:lineRule="exact"/>
              <w:jc w:val="center"/>
              <w:rPr>
                <w:szCs w:val="21"/>
              </w:rPr>
            </w:pPr>
          </w:p>
        </w:tc>
      </w:tr>
      <w:tr w14:paraId="195F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3C570E5E">
            <w:pPr>
              <w:spacing w:line="440" w:lineRule="exact"/>
              <w:jc w:val="center"/>
              <w:rPr>
                <w:szCs w:val="21"/>
              </w:rPr>
            </w:pPr>
          </w:p>
        </w:tc>
        <w:tc>
          <w:tcPr>
            <w:tcW w:w="721" w:type="dxa"/>
            <w:noWrap w:val="0"/>
            <w:vAlign w:val="center"/>
          </w:tcPr>
          <w:p w14:paraId="750FF9B3">
            <w:pPr>
              <w:spacing w:line="440" w:lineRule="exact"/>
              <w:jc w:val="center"/>
              <w:rPr>
                <w:szCs w:val="21"/>
              </w:rPr>
            </w:pPr>
          </w:p>
        </w:tc>
        <w:tc>
          <w:tcPr>
            <w:tcW w:w="719" w:type="dxa"/>
            <w:noWrap w:val="0"/>
            <w:vAlign w:val="center"/>
          </w:tcPr>
          <w:p w14:paraId="316B7AE1">
            <w:pPr>
              <w:spacing w:line="440" w:lineRule="exact"/>
              <w:jc w:val="center"/>
              <w:rPr>
                <w:szCs w:val="21"/>
              </w:rPr>
            </w:pPr>
          </w:p>
        </w:tc>
        <w:tc>
          <w:tcPr>
            <w:tcW w:w="1081" w:type="dxa"/>
            <w:noWrap w:val="0"/>
            <w:vAlign w:val="center"/>
          </w:tcPr>
          <w:p w14:paraId="38C7A588">
            <w:pPr>
              <w:spacing w:line="440" w:lineRule="exact"/>
              <w:jc w:val="center"/>
              <w:rPr>
                <w:szCs w:val="21"/>
              </w:rPr>
            </w:pPr>
          </w:p>
        </w:tc>
        <w:tc>
          <w:tcPr>
            <w:tcW w:w="719" w:type="dxa"/>
            <w:noWrap w:val="0"/>
            <w:vAlign w:val="center"/>
          </w:tcPr>
          <w:p w14:paraId="3E12E3CE">
            <w:pPr>
              <w:spacing w:line="440" w:lineRule="exact"/>
              <w:jc w:val="center"/>
              <w:rPr>
                <w:szCs w:val="21"/>
              </w:rPr>
            </w:pPr>
          </w:p>
        </w:tc>
        <w:tc>
          <w:tcPr>
            <w:tcW w:w="721" w:type="dxa"/>
            <w:noWrap w:val="0"/>
            <w:vAlign w:val="center"/>
          </w:tcPr>
          <w:p w14:paraId="1B151D42">
            <w:pPr>
              <w:spacing w:line="440" w:lineRule="exact"/>
              <w:jc w:val="center"/>
              <w:rPr>
                <w:szCs w:val="21"/>
              </w:rPr>
            </w:pPr>
          </w:p>
        </w:tc>
        <w:tc>
          <w:tcPr>
            <w:tcW w:w="719" w:type="dxa"/>
            <w:noWrap w:val="0"/>
            <w:vAlign w:val="center"/>
          </w:tcPr>
          <w:p w14:paraId="4BF6CFCF">
            <w:pPr>
              <w:spacing w:line="440" w:lineRule="exact"/>
              <w:jc w:val="center"/>
              <w:rPr>
                <w:szCs w:val="21"/>
              </w:rPr>
            </w:pPr>
          </w:p>
        </w:tc>
        <w:tc>
          <w:tcPr>
            <w:tcW w:w="2523" w:type="dxa"/>
            <w:noWrap w:val="0"/>
            <w:vAlign w:val="center"/>
          </w:tcPr>
          <w:p w14:paraId="43FBA04C">
            <w:pPr>
              <w:spacing w:line="440" w:lineRule="exact"/>
              <w:jc w:val="center"/>
              <w:rPr>
                <w:szCs w:val="21"/>
              </w:rPr>
            </w:pPr>
          </w:p>
        </w:tc>
        <w:tc>
          <w:tcPr>
            <w:tcW w:w="672" w:type="dxa"/>
            <w:noWrap w:val="0"/>
            <w:vAlign w:val="center"/>
          </w:tcPr>
          <w:p w14:paraId="3CCDDEE5">
            <w:pPr>
              <w:spacing w:line="440" w:lineRule="exact"/>
              <w:jc w:val="center"/>
              <w:rPr>
                <w:szCs w:val="21"/>
              </w:rPr>
            </w:pPr>
          </w:p>
        </w:tc>
      </w:tr>
      <w:tr w14:paraId="19A85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4AEB888">
            <w:pPr>
              <w:spacing w:line="440" w:lineRule="exact"/>
              <w:jc w:val="center"/>
              <w:rPr>
                <w:szCs w:val="21"/>
              </w:rPr>
            </w:pPr>
          </w:p>
        </w:tc>
        <w:tc>
          <w:tcPr>
            <w:tcW w:w="721" w:type="dxa"/>
            <w:noWrap w:val="0"/>
            <w:vAlign w:val="top"/>
          </w:tcPr>
          <w:p w14:paraId="2C4AEA9B">
            <w:pPr>
              <w:spacing w:line="440" w:lineRule="exact"/>
              <w:jc w:val="center"/>
              <w:rPr>
                <w:szCs w:val="21"/>
              </w:rPr>
            </w:pPr>
          </w:p>
        </w:tc>
        <w:tc>
          <w:tcPr>
            <w:tcW w:w="719" w:type="dxa"/>
            <w:noWrap w:val="0"/>
            <w:vAlign w:val="top"/>
          </w:tcPr>
          <w:p w14:paraId="0C6387E1">
            <w:pPr>
              <w:spacing w:line="440" w:lineRule="exact"/>
              <w:jc w:val="center"/>
              <w:rPr>
                <w:szCs w:val="21"/>
              </w:rPr>
            </w:pPr>
          </w:p>
        </w:tc>
        <w:tc>
          <w:tcPr>
            <w:tcW w:w="1081" w:type="dxa"/>
            <w:noWrap w:val="0"/>
            <w:vAlign w:val="top"/>
          </w:tcPr>
          <w:p w14:paraId="5742BB2F">
            <w:pPr>
              <w:spacing w:line="440" w:lineRule="exact"/>
              <w:jc w:val="center"/>
              <w:rPr>
                <w:szCs w:val="21"/>
              </w:rPr>
            </w:pPr>
          </w:p>
        </w:tc>
        <w:tc>
          <w:tcPr>
            <w:tcW w:w="719" w:type="dxa"/>
            <w:noWrap w:val="0"/>
            <w:vAlign w:val="top"/>
          </w:tcPr>
          <w:p w14:paraId="2A233076">
            <w:pPr>
              <w:spacing w:line="440" w:lineRule="exact"/>
              <w:jc w:val="center"/>
              <w:rPr>
                <w:szCs w:val="21"/>
              </w:rPr>
            </w:pPr>
          </w:p>
        </w:tc>
        <w:tc>
          <w:tcPr>
            <w:tcW w:w="721" w:type="dxa"/>
            <w:noWrap w:val="0"/>
            <w:vAlign w:val="top"/>
          </w:tcPr>
          <w:p w14:paraId="3AC90D2E">
            <w:pPr>
              <w:spacing w:line="440" w:lineRule="exact"/>
              <w:jc w:val="center"/>
              <w:rPr>
                <w:szCs w:val="21"/>
              </w:rPr>
            </w:pPr>
          </w:p>
        </w:tc>
        <w:tc>
          <w:tcPr>
            <w:tcW w:w="719" w:type="dxa"/>
            <w:noWrap w:val="0"/>
            <w:vAlign w:val="top"/>
          </w:tcPr>
          <w:p w14:paraId="3916C8FF">
            <w:pPr>
              <w:spacing w:line="440" w:lineRule="exact"/>
              <w:jc w:val="center"/>
              <w:rPr>
                <w:szCs w:val="21"/>
              </w:rPr>
            </w:pPr>
          </w:p>
        </w:tc>
        <w:tc>
          <w:tcPr>
            <w:tcW w:w="2523" w:type="dxa"/>
            <w:noWrap w:val="0"/>
            <w:vAlign w:val="top"/>
          </w:tcPr>
          <w:p w14:paraId="14EB3F32">
            <w:pPr>
              <w:spacing w:line="440" w:lineRule="exact"/>
              <w:jc w:val="center"/>
              <w:rPr>
                <w:szCs w:val="21"/>
              </w:rPr>
            </w:pPr>
          </w:p>
        </w:tc>
        <w:tc>
          <w:tcPr>
            <w:tcW w:w="672" w:type="dxa"/>
            <w:noWrap w:val="0"/>
            <w:vAlign w:val="top"/>
          </w:tcPr>
          <w:p w14:paraId="54AA80A2">
            <w:pPr>
              <w:spacing w:line="440" w:lineRule="exact"/>
              <w:jc w:val="center"/>
              <w:rPr>
                <w:szCs w:val="21"/>
              </w:rPr>
            </w:pPr>
          </w:p>
        </w:tc>
      </w:tr>
      <w:tr w14:paraId="2268A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5F6B7E1">
            <w:pPr>
              <w:spacing w:line="440" w:lineRule="exact"/>
              <w:jc w:val="center"/>
              <w:rPr>
                <w:szCs w:val="21"/>
              </w:rPr>
            </w:pPr>
          </w:p>
        </w:tc>
        <w:tc>
          <w:tcPr>
            <w:tcW w:w="721" w:type="dxa"/>
            <w:noWrap w:val="0"/>
            <w:vAlign w:val="top"/>
          </w:tcPr>
          <w:p w14:paraId="6D17371B">
            <w:pPr>
              <w:spacing w:line="440" w:lineRule="exact"/>
              <w:jc w:val="center"/>
              <w:rPr>
                <w:szCs w:val="21"/>
              </w:rPr>
            </w:pPr>
          </w:p>
        </w:tc>
        <w:tc>
          <w:tcPr>
            <w:tcW w:w="719" w:type="dxa"/>
            <w:noWrap w:val="0"/>
            <w:vAlign w:val="top"/>
          </w:tcPr>
          <w:p w14:paraId="64FC39E0">
            <w:pPr>
              <w:spacing w:line="440" w:lineRule="exact"/>
              <w:jc w:val="center"/>
              <w:rPr>
                <w:szCs w:val="21"/>
              </w:rPr>
            </w:pPr>
          </w:p>
        </w:tc>
        <w:tc>
          <w:tcPr>
            <w:tcW w:w="1081" w:type="dxa"/>
            <w:noWrap w:val="0"/>
            <w:vAlign w:val="top"/>
          </w:tcPr>
          <w:p w14:paraId="1C8A8DD4">
            <w:pPr>
              <w:spacing w:line="440" w:lineRule="exact"/>
              <w:jc w:val="center"/>
              <w:rPr>
                <w:szCs w:val="21"/>
              </w:rPr>
            </w:pPr>
          </w:p>
        </w:tc>
        <w:tc>
          <w:tcPr>
            <w:tcW w:w="719" w:type="dxa"/>
            <w:noWrap w:val="0"/>
            <w:vAlign w:val="top"/>
          </w:tcPr>
          <w:p w14:paraId="50599E27">
            <w:pPr>
              <w:spacing w:line="440" w:lineRule="exact"/>
              <w:jc w:val="center"/>
              <w:rPr>
                <w:szCs w:val="21"/>
              </w:rPr>
            </w:pPr>
          </w:p>
        </w:tc>
        <w:tc>
          <w:tcPr>
            <w:tcW w:w="721" w:type="dxa"/>
            <w:noWrap w:val="0"/>
            <w:vAlign w:val="top"/>
          </w:tcPr>
          <w:p w14:paraId="07B3846D">
            <w:pPr>
              <w:spacing w:line="440" w:lineRule="exact"/>
              <w:jc w:val="center"/>
              <w:rPr>
                <w:szCs w:val="21"/>
              </w:rPr>
            </w:pPr>
          </w:p>
        </w:tc>
        <w:tc>
          <w:tcPr>
            <w:tcW w:w="719" w:type="dxa"/>
            <w:noWrap w:val="0"/>
            <w:vAlign w:val="top"/>
          </w:tcPr>
          <w:p w14:paraId="4858A112">
            <w:pPr>
              <w:spacing w:line="440" w:lineRule="exact"/>
              <w:jc w:val="center"/>
              <w:rPr>
                <w:szCs w:val="21"/>
              </w:rPr>
            </w:pPr>
          </w:p>
        </w:tc>
        <w:tc>
          <w:tcPr>
            <w:tcW w:w="2523" w:type="dxa"/>
            <w:noWrap w:val="0"/>
            <w:vAlign w:val="top"/>
          </w:tcPr>
          <w:p w14:paraId="17E7A059">
            <w:pPr>
              <w:spacing w:line="440" w:lineRule="exact"/>
              <w:jc w:val="center"/>
              <w:rPr>
                <w:szCs w:val="21"/>
              </w:rPr>
            </w:pPr>
          </w:p>
        </w:tc>
        <w:tc>
          <w:tcPr>
            <w:tcW w:w="672" w:type="dxa"/>
            <w:noWrap w:val="0"/>
            <w:vAlign w:val="top"/>
          </w:tcPr>
          <w:p w14:paraId="2234E839">
            <w:pPr>
              <w:spacing w:line="440" w:lineRule="exact"/>
              <w:jc w:val="center"/>
              <w:rPr>
                <w:szCs w:val="21"/>
              </w:rPr>
            </w:pPr>
          </w:p>
        </w:tc>
      </w:tr>
      <w:tr w14:paraId="5EB07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E003C5A">
            <w:pPr>
              <w:spacing w:line="440" w:lineRule="exact"/>
              <w:jc w:val="center"/>
              <w:rPr>
                <w:szCs w:val="21"/>
              </w:rPr>
            </w:pPr>
          </w:p>
        </w:tc>
        <w:tc>
          <w:tcPr>
            <w:tcW w:w="721" w:type="dxa"/>
            <w:noWrap w:val="0"/>
            <w:vAlign w:val="top"/>
          </w:tcPr>
          <w:p w14:paraId="4F359FBA">
            <w:pPr>
              <w:spacing w:line="440" w:lineRule="exact"/>
              <w:jc w:val="center"/>
              <w:rPr>
                <w:szCs w:val="21"/>
              </w:rPr>
            </w:pPr>
          </w:p>
        </w:tc>
        <w:tc>
          <w:tcPr>
            <w:tcW w:w="719" w:type="dxa"/>
            <w:noWrap w:val="0"/>
            <w:vAlign w:val="top"/>
          </w:tcPr>
          <w:p w14:paraId="7F34E30F">
            <w:pPr>
              <w:spacing w:line="440" w:lineRule="exact"/>
              <w:jc w:val="center"/>
              <w:rPr>
                <w:szCs w:val="21"/>
              </w:rPr>
            </w:pPr>
          </w:p>
        </w:tc>
        <w:tc>
          <w:tcPr>
            <w:tcW w:w="1081" w:type="dxa"/>
            <w:noWrap w:val="0"/>
            <w:vAlign w:val="top"/>
          </w:tcPr>
          <w:p w14:paraId="32098C44">
            <w:pPr>
              <w:spacing w:line="440" w:lineRule="exact"/>
              <w:jc w:val="center"/>
              <w:rPr>
                <w:szCs w:val="21"/>
              </w:rPr>
            </w:pPr>
          </w:p>
        </w:tc>
        <w:tc>
          <w:tcPr>
            <w:tcW w:w="719" w:type="dxa"/>
            <w:noWrap w:val="0"/>
            <w:vAlign w:val="top"/>
          </w:tcPr>
          <w:p w14:paraId="3770CCAD">
            <w:pPr>
              <w:spacing w:line="440" w:lineRule="exact"/>
              <w:jc w:val="center"/>
              <w:rPr>
                <w:szCs w:val="21"/>
              </w:rPr>
            </w:pPr>
          </w:p>
        </w:tc>
        <w:tc>
          <w:tcPr>
            <w:tcW w:w="721" w:type="dxa"/>
            <w:noWrap w:val="0"/>
            <w:vAlign w:val="top"/>
          </w:tcPr>
          <w:p w14:paraId="5F156797">
            <w:pPr>
              <w:spacing w:line="440" w:lineRule="exact"/>
              <w:jc w:val="center"/>
              <w:rPr>
                <w:szCs w:val="21"/>
              </w:rPr>
            </w:pPr>
          </w:p>
        </w:tc>
        <w:tc>
          <w:tcPr>
            <w:tcW w:w="719" w:type="dxa"/>
            <w:noWrap w:val="0"/>
            <w:vAlign w:val="top"/>
          </w:tcPr>
          <w:p w14:paraId="7826A171">
            <w:pPr>
              <w:spacing w:line="440" w:lineRule="exact"/>
              <w:jc w:val="center"/>
              <w:rPr>
                <w:szCs w:val="21"/>
              </w:rPr>
            </w:pPr>
          </w:p>
        </w:tc>
        <w:tc>
          <w:tcPr>
            <w:tcW w:w="2523" w:type="dxa"/>
            <w:noWrap w:val="0"/>
            <w:vAlign w:val="top"/>
          </w:tcPr>
          <w:p w14:paraId="1DB43ABD">
            <w:pPr>
              <w:spacing w:line="440" w:lineRule="exact"/>
              <w:jc w:val="center"/>
              <w:rPr>
                <w:szCs w:val="21"/>
              </w:rPr>
            </w:pPr>
          </w:p>
        </w:tc>
        <w:tc>
          <w:tcPr>
            <w:tcW w:w="672" w:type="dxa"/>
            <w:noWrap w:val="0"/>
            <w:vAlign w:val="top"/>
          </w:tcPr>
          <w:p w14:paraId="1464D21F">
            <w:pPr>
              <w:spacing w:line="440" w:lineRule="exact"/>
              <w:jc w:val="center"/>
              <w:rPr>
                <w:szCs w:val="21"/>
              </w:rPr>
            </w:pPr>
          </w:p>
        </w:tc>
      </w:tr>
      <w:tr w14:paraId="71778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872D9E1">
            <w:pPr>
              <w:spacing w:line="440" w:lineRule="exact"/>
              <w:jc w:val="center"/>
              <w:rPr>
                <w:szCs w:val="21"/>
              </w:rPr>
            </w:pPr>
          </w:p>
        </w:tc>
        <w:tc>
          <w:tcPr>
            <w:tcW w:w="721" w:type="dxa"/>
            <w:noWrap w:val="0"/>
            <w:vAlign w:val="top"/>
          </w:tcPr>
          <w:p w14:paraId="51CAD222">
            <w:pPr>
              <w:spacing w:line="440" w:lineRule="exact"/>
              <w:jc w:val="center"/>
              <w:rPr>
                <w:szCs w:val="21"/>
              </w:rPr>
            </w:pPr>
          </w:p>
        </w:tc>
        <w:tc>
          <w:tcPr>
            <w:tcW w:w="719" w:type="dxa"/>
            <w:noWrap w:val="0"/>
            <w:vAlign w:val="top"/>
          </w:tcPr>
          <w:p w14:paraId="67B35068">
            <w:pPr>
              <w:spacing w:line="440" w:lineRule="exact"/>
              <w:jc w:val="center"/>
              <w:rPr>
                <w:szCs w:val="21"/>
              </w:rPr>
            </w:pPr>
          </w:p>
        </w:tc>
        <w:tc>
          <w:tcPr>
            <w:tcW w:w="1081" w:type="dxa"/>
            <w:noWrap w:val="0"/>
            <w:vAlign w:val="top"/>
          </w:tcPr>
          <w:p w14:paraId="21291531">
            <w:pPr>
              <w:spacing w:line="440" w:lineRule="exact"/>
              <w:jc w:val="center"/>
              <w:rPr>
                <w:szCs w:val="21"/>
              </w:rPr>
            </w:pPr>
          </w:p>
        </w:tc>
        <w:tc>
          <w:tcPr>
            <w:tcW w:w="719" w:type="dxa"/>
            <w:noWrap w:val="0"/>
            <w:vAlign w:val="top"/>
          </w:tcPr>
          <w:p w14:paraId="3B77BFA7">
            <w:pPr>
              <w:spacing w:line="440" w:lineRule="exact"/>
              <w:jc w:val="center"/>
              <w:rPr>
                <w:szCs w:val="21"/>
              </w:rPr>
            </w:pPr>
          </w:p>
        </w:tc>
        <w:tc>
          <w:tcPr>
            <w:tcW w:w="721" w:type="dxa"/>
            <w:noWrap w:val="0"/>
            <w:vAlign w:val="top"/>
          </w:tcPr>
          <w:p w14:paraId="2ED2BF0E">
            <w:pPr>
              <w:spacing w:line="440" w:lineRule="exact"/>
              <w:jc w:val="center"/>
              <w:rPr>
                <w:szCs w:val="21"/>
              </w:rPr>
            </w:pPr>
          </w:p>
        </w:tc>
        <w:tc>
          <w:tcPr>
            <w:tcW w:w="719" w:type="dxa"/>
            <w:noWrap w:val="0"/>
            <w:vAlign w:val="top"/>
          </w:tcPr>
          <w:p w14:paraId="386781E0">
            <w:pPr>
              <w:spacing w:line="440" w:lineRule="exact"/>
              <w:jc w:val="center"/>
              <w:rPr>
                <w:szCs w:val="21"/>
              </w:rPr>
            </w:pPr>
          </w:p>
        </w:tc>
        <w:tc>
          <w:tcPr>
            <w:tcW w:w="2523" w:type="dxa"/>
            <w:noWrap w:val="0"/>
            <w:vAlign w:val="top"/>
          </w:tcPr>
          <w:p w14:paraId="0FB1E62D">
            <w:pPr>
              <w:spacing w:line="440" w:lineRule="exact"/>
              <w:jc w:val="center"/>
              <w:rPr>
                <w:szCs w:val="21"/>
              </w:rPr>
            </w:pPr>
          </w:p>
        </w:tc>
        <w:tc>
          <w:tcPr>
            <w:tcW w:w="672" w:type="dxa"/>
            <w:noWrap w:val="0"/>
            <w:vAlign w:val="top"/>
          </w:tcPr>
          <w:p w14:paraId="3D3F5DFA">
            <w:pPr>
              <w:spacing w:line="440" w:lineRule="exact"/>
              <w:jc w:val="center"/>
              <w:rPr>
                <w:szCs w:val="21"/>
              </w:rPr>
            </w:pPr>
          </w:p>
        </w:tc>
      </w:tr>
      <w:tr w14:paraId="63705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0D5C43B">
            <w:pPr>
              <w:spacing w:line="440" w:lineRule="exact"/>
              <w:jc w:val="center"/>
              <w:rPr>
                <w:szCs w:val="21"/>
              </w:rPr>
            </w:pPr>
          </w:p>
        </w:tc>
        <w:tc>
          <w:tcPr>
            <w:tcW w:w="721" w:type="dxa"/>
            <w:noWrap w:val="0"/>
            <w:vAlign w:val="top"/>
          </w:tcPr>
          <w:p w14:paraId="04516700">
            <w:pPr>
              <w:spacing w:line="440" w:lineRule="exact"/>
              <w:jc w:val="center"/>
              <w:rPr>
                <w:szCs w:val="21"/>
              </w:rPr>
            </w:pPr>
          </w:p>
        </w:tc>
        <w:tc>
          <w:tcPr>
            <w:tcW w:w="719" w:type="dxa"/>
            <w:noWrap w:val="0"/>
            <w:vAlign w:val="top"/>
          </w:tcPr>
          <w:p w14:paraId="78D52A36">
            <w:pPr>
              <w:spacing w:line="440" w:lineRule="exact"/>
              <w:jc w:val="center"/>
              <w:rPr>
                <w:szCs w:val="21"/>
              </w:rPr>
            </w:pPr>
          </w:p>
        </w:tc>
        <w:tc>
          <w:tcPr>
            <w:tcW w:w="1081" w:type="dxa"/>
            <w:noWrap w:val="0"/>
            <w:vAlign w:val="top"/>
          </w:tcPr>
          <w:p w14:paraId="2ED1DBC6">
            <w:pPr>
              <w:spacing w:line="440" w:lineRule="exact"/>
              <w:jc w:val="center"/>
              <w:rPr>
                <w:szCs w:val="21"/>
              </w:rPr>
            </w:pPr>
          </w:p>
        </w:tc>
        <w:tc>
          <w:tcPr>
            <w:tcW w:w="719" w:type="dxa"/>
            <w:noWrap w:val="0"/>
            <w:vAlign w:val="top"/>
          </w:tcPr>
          <w:p w14:paraId="3E5E9289">
            <w:pPr>
              <w:spacing w:line="440" w:lineRule="exact"/>
              <w:jc w:val="center"/>
              <w:rPr>
                <w:szCs w:val="21"/>
              </w:rPr>
            </w:pPr>
          </w:p>
        </w:tc>
        <w:tc>
          <w:tcPr>
            <w:tcW w:w="721" w:type="dxa"/>
            <w:noWrap w:val="0"/>
            <w:vAlign w:val="top"/>
          </w:tcPr>
          <w:p w14:paraId="75D17D62">
            <w:pPr>
              <w:spacing w:line="440" w:lineRule="exact"/>
              <w:jc w:val="center"/>
              <w:rPr>
                <w:szCs w:val="21"/>
              </w:rPr>
            </w:pPr>
          </w:p>
        </w:tc>
        <w:tc>
          <w:tcPr>
            <w:tcW w:w="719" w:type="dxa"/>
            <w:noWrap w:val="0"/>
            <w:vAlign w:val="top"/>
          </w:tcPr>
          <w:p w14:paraId="7346B82D">
            <w:pPr>
              <w:spacing w:line="440" w:lineRule="exact"/>
              <w:jc w:val="center"/>
              <w:rPr>
                <w:szCs w:val="21"/>
              </w:rPr>
            </w:pPr>
          </w:p>
        </w:tc>
        <w:tc>
          <w:tcPr>
            <w:tcW w:w="2523" w:type="dxa"/>
            <w:noWrap w:val="0"/>
            <w:vAlign w:val="top"/>
          </w:tcPr>
          <w:p w14:paraId="67261954">
            <w:pPr>
              <w:spacing w:line="440" w:lineRule="exact"/>
              <w:jc w:val="center"/>
              <w:rPr>
                <w:szCs w:val="21"/>
              </w:rPr>
            </w:pPr>
          </w:p>
        </w:tc>
        <w:tc>
          <w:tcPr>
            <w:tcW w:w="672" w:type="dxa"/>
            <w:noWrap w:val="0"/>
            <w:vAlign w:val="top"/>
          </w:tcPr>
          <w:p w14:paraId="23A66F58">
            <w:pPr>
              <w:spacing w:line="440" w:lineRule="exact"/>
              <w:jc w:val="center"/>
              <w:rPr>
                <w:szCs w:val="21"/>
              </w:rPr>
            </w:pPr>
          </w:p>
        </w:tc>
      </w:tr>
      <w:tr w14:paraId="0A5B3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CB6EE27">
            <w:pPr>
              <w:spacing w:line="440" w:lineRule="exact"/>
              <w:jc w:val="center"/>
              <w:rPr>
                <w:szCs w:val="21"/>
              </w:rPr>
            </w:pPr>
          </w:p>
        </w:tc>
        <w:tc>
          <w:tcPr>
            <w:tcW w:w="721" w:type="dxa"/>
            <w:noWrap w:val="0"/>
            <w:vAlign w:val="top"/>
          </w:tcPr>
          <w:p w14:paraId="505D6023">
            <w:pPr>
              <w:spacing w:line="440" w:lineRule="exact"/>
              <w:jc w:val="center"/>
              <w:rPr>
                <w:szCs w:val="21"/>
              </w:rPr>
            </w:pPr>
          </w:p>
        </w:tc>
        <w:tc>
          <w:tcPr>
            <w:tcW w:w="719" w:type="dxa"/>
            <w:noWrap w:val="0"/>
            <w:vAlign w:val="top"/>
          </w:tcPr>
          <w:p w14:paraId="18019F33">
            <w:pPr>
              <w:spacing w:line="440" w:lineRule="exact"/>
              <w:jc w:val="center"/>
              <w:rPr>
                <w:szCs w:val="21"/>
              </w:rPr>
            </w:pPr>
          </w:p>
        </w:tc>
        <w:tc>
          <w:tcPr>
            <w:tcW w:w="1081" w:type="dxa"/>
            <w:noWrap w:val="0"/>
            <w:vAlign w:val="top"/>
          </w:tcPr>
          <w:p w14:paraId="55E434A7">
            <w:pPr>
              <w:spacing w:line="440" w:lineRule="exact"/>
              <w:jc w:val="center"/>
              <w:rPr>
                <w:szCs w:val="21"/>
              </w:rPr>
            </w:pPr>
          </w:p>
        </w:tc>
        <w:tc>
          <w:tcPr>
            <w:tcW w:w="719" w:type="dxa"/>
            <w:noWrap w:val="0"/>
            <w:vAlign w:val="top"/>
          </w:tcPr>
          <w:p w14:paraId="4C774C50">
            <w:pPr>
              <w:spacing w:line="440" w:lineRule="exact"/>
              <w:jc w:val="center"/>
              <w:rPr>
                <w:szCs w:val="21"/>
              </w:rPr>
            </w:pPr>
          </w:p>
        </w:tc>
        <w:tc>
          <w:tcPr>
            <w:tcW w:w="721" w:type="dxa"/>
            <w:noWrap w:val="0"/>
            <w:vAlign w:val="top"/>
          </w:tcPr>
          <w:p w14:paraId="4DDD6052">
            <w:pPr>
              <w:spacing w:line="440" w:lineRule="exact"/>
              <w:jc w:val="center"/>
              <w:rPr>
                <w:szCs w:val="21"/>
              </w:rPr>
            </w:pPr>
          </w:p>
        </w:tc>
        <w:tc>
          <w:tcPr>
            <w:tcW w:w="719" w:type="dxa"/>
            <w:noWrap w:val="0"/>
            <w:vAlign w:val="top"/>
          </w:tcPr>
          <w:p w14:paraId="744144FC">
            <w:pPr>
              <w:spacing w:line="440" w:lineRule="exact"/>
              <w:jc w:val="center"/>
              <w:rPr>
                <w:szCs w:val="21"/>
              </w:rPr>
            </w:pPr>
          </w:p>
        </w:tc>
        <w:tc>
          <w:tcPr>
            <w:tcW w:w="2523" w:type="dxa"/>
            <w:noWrap w:val="0"/>
            <w:vAlign w:val="top"/>
          </w:tcPr>
          <w:p w14:paraId="70C9BE12">
            <w:pPr>
              <w:spacing w:line="440" w:lineRule="exact"/>
              <w:jc w:val="center"/>
              <w:rPr>
                <w:szCs w:val="21"/>
              </w:rPr>
            </w:pPr>
          </w:p>
        </w:tc>
        <w:tc>
          <w:tcPr>
            <w:tcW w:w="672" w:type="dxa"/>
            <w:noWrap w:val="0"/>
            <w:vAlign w:val="top"/>
          </w:tcPr>
          <w:p w14:paraId="3960E368">
            <w:pPr>
              <w:spacing w:line="440" w:lineRule="exact"/>
              <w:jc w:val="center"/>
              <w:rPr>
                <w:szCs w:val="21"/>
              </w:rPr>
            </w:pPr>
          </w:p>
        </w:tc>
      </w:tr>
      <w:tr w14:paraId="301AB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99FC9E0">
            <w:pPr>
              <w:spacing w:line="440" w:lineRule="exact"/>
              <w:jc w:val="center"/>
              <w:rPr>
                <w:szCs w:val="21"/>
              </w:rPr>
            </w:pPr>
          </w:p>
        </w:tc>
        <w:tc>
          <w:tcPr>
            <w:tcW w:w="721" w:type="dxa"/>
            <w:noWrap w:val="0"/>
            <w:vAlign w:val="top"/>
          </w:tcPr>
          <w:p w14:paraId="5C5DC475">
            <w:pPr>
              <w:spacing w:line="440" w:lineRule="exact"/>
              <w:jc w:val="center"/>
              <w:rPr>
                <w:szCs w:val="21"/>
              </w:rPr>
            </w:pPr>
          </w:p>
        </w:tc>
        <w:tc>
          <w:tcPr>
            <w:tcW w:w="719" w:type="dxa"/>
            <w:noWrap w:val="0"/>
            <w:vAlign w:val="top"/>
          </w:tcPr>
          <w:p w14:paraId="6F0B132D">
            <w:pPr>
              <w:spacing w:line="440" w:lineRule="exact"/>
              <w:jc w:val="center"/>
              <w:rPr>
                <w:szCs w:val="21"/>
              </w:rPr>
            </w:pPr>
          </w:p>
        </w:tc>
        <w:tc>
          <w:tcPr>
            <w:tcW w:w="1081" w:type="dxa"/>
            <w:noWrap w:val="0"/>
            <w:vAlign w:val="top"/>
          </w:tcPr>
          <w:p w14:paraId="05B5AD5E">
            <w:pPr>
              <w:spacing w:line="440" w:lineRule="exact"/>
              <w:jc w:val="center"/>
              <w:rPr>
                <w:szCs w:val="21"/>
              </w:rPr>
            </w:pPr>
          </w:p>
        </w:tc>
        <w:tc>
          <w:tcPr>
            <w:tcW w:w="719" w:type="dxa"/>
            <w:noWrap w:val="0"/>
            <w:vAlign w:val="top"/>
          </w:tcPr>
          <w:p w14:paraId="64981C3A">
            <w:pPr>
              <w:spacing w:line="440" w:lineRule="exact"/>
              <w:jc w:val="center"/>
              <w:rPr>
                <w:szCs w:val="21"/>
              </w:rPr>
            </w:pPr>
          </w:p>
        </w:tc>
        <w:tc>
          <w:tcPr>
            <w:tcW w:w="721" w:type="dxa"/>
            <w:noWrap w:val="0"/>
            <w:vAlign w:val="top"/>
          </w:tcPr>
          <w:p w14:paraId="13F2B417">
            <w:pPr>
              <w:spacing w:line="440" w:lineRule="exact"/>
              <w:jc w:val="center"/>
              <w:rPr>
                <w:szCs w:val="21"/>
              </w:rPr>
            </w:pPr>
          </w:p>
        </w:tc>
        <w:tc>
          <w:tcPr>
            <w:tcW w:w="719" w:type="dxa"/>
            <w:noWrap w:val="0"/>
            <w:vAlign w:val="top"/>
          </w:tcPr>
          <w:p w14:paraId="30468840">
            <w:pPr>
              <w:spacing w:line="440" w:lineRule="exact"/>
              <w:jc w:val="center"/>
              <w:rPr>
                <w:szCs w:val="21"/>
              </w:rPr>
            </w:pPr>
          </w:p>
        </w:tc>
        <w:tc>
          <w:tcPr>
            <w:tcW w:w="2523" w:type="dxa"/>
            <w:noWrap w:val="0"/>
            <w:vAlign w:val="top"/>
          </w:tcPr>
          <w:p w14:paraId="00FD6921">
            <w:pPr>
              <w:spacing w:line="440" w:lineRule="exact"/>
              <w:jc w:val="center"/>
              <w:rPr>
                <w:szCs w:val="21"/>
              </w:rPr>
            </w:pPr>
          </w:p>
        </w:tc>
        <w:tc>
          <w:tcPr>
            <w:tcW w:w="672" w:type="dxa"/>
            <w:noWrap w:val="0"/>
            <w:vAlign w:val="top"/>
          </w:tcPr>
          <w:p w14:paraId="0EE1663D">
            <w:pPr>
              <w:spacing w:line="440" w:lineRule="exact"/>
              <w:jc w:val="center"/>
              <w:rPr>
                <w:szCs w:val="21"/>
              </w:rPr>
            </w:pPr>
          </w:p>
        </w:tc>
      </w:tr>
      <w:tr w14:paraId="3F64A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A1F67C5">
            <w:pPr>
              <w:spacing w:line="440" w:lineRule="exact"/>
              <w:jc w:val="center"/>
              <w:rPr>
                <w:szCs w:val="21"/>
              </w:rPr>
            </w:pPr>
          </w:p>
        </w:tc>
        <w:tc>
          <w:tcPr>
            <w:tcW w:w="721" w:type="dxa"/>
            <w:noWrap w:val="0"/>
            <w:vAlign w:val="top"/>
          </w:tcPr>
          <w:p w14:paraId="6A0D8EB2">
            <w:pPr>
              <w:spacing w:line="440" w:lineRule="exact"/>
              <w:jc w:val="center"/>
              <w:rPr>
                <w:szCs w:val="21"/>
              </w:rPr>
            </w:pPr>
          </w:p>
        </w:tc>
        <w:tc>
          <w:tcPr>
            <w:tcW w:w="719" w:type="dxa"/>
            <w:noWrap w:val="0"/>
            <w:vAlign w:val="top"/>
          </w:tcPr>
          <w:p w14:paraId="510861CB">
            <w:pPr>
              <w:spacing w:line="440" w:lineRule="exact"/>
              <w:jc w:val="center"/>
              <w:rPr>
                <w:szCs w:val="21"/>
              </w:rPr>
            </w:pPr>
          </w:p>
        </w:tc>
        <w:tc>
          <w:tcPr>
            <w:tcW w:w="1081" w:type="dxa"/>
            <w:noWrap w:val="0"/>
            <w:vAlign w:val="top"/>
          </w:tcPr>
          <w:p w14:paraId="7FCE6741">
            <w:pPr>
              <w:spacing w:line="440" w:lineRule="exact"/>
              <w:jc w:val="center"/>
              <w:rPr>
                <w:szCs w:val="21"/>
              </w:rPr>
            </w:pPr>
          </w:p>
        </w:tc>
        <w:tc>
          <w:tcPr>
            <w:tcW w:w="719" w:type="dxa"/>
            <w:noWrap w:val="0"/>
            <w:vAlign w:val="top"/>
          </w:tcPr>
          <w:p w14:paraId="5C319704">
            <w:pPr>
              <w:spacing w:line="440" w:lineRule="exact"/>
              <w:jc w:val="center"/>
              <w:rPr>
                <w:szCs w:val="21"/>
              </w:rPr>
            </w:pPr>
          </w:p>
        </w:tc>
        <w:tc>
          <w:tcPr>
            <w:tcW w:w="721" w:type="dxa"/>
            <w:noWrap w:val="0"/>
            <w:vAlign w:val="top"/>
          </w:tcPr>
          <w:p w14:paraId="36F3607E">
            <w:pPr>
              <w:spacing w:line="440" w:lineRule="exact"/>
              <w:jc w:val="center"/>
              <w:rPr>
                <w:szCs w:val="21"/>
              </w:rPr>
            </w:pPr>
          </w:p>
        </w:tc>
        <w:tc>
          <w:tcPr>
            <w:tcW w:w="719" w:type="dxa"/>
            <w:noWrap w:val="0"/>
            <w:vAlign w:val="top"/>
          </w:tcPr>
          <w:p w14:paraId="5A9DAA91">
            <w:pPr>
              <w:spacing w:line="440" w:lineRule="exact"/>
              <w:jc w:val="center"/>
              <w:rPr>
                <w:szCs w:val="21"/>
              </w:rPr>
            </w:pPr>
          </w:p>
        </w:tc>
        <w:tc>
          <w:tcPr>
            <w:tcW w:w="2523" w:type="dxa"/>
            <w:noWrap w:val="0"/>
            <w:vAlign w:val="top"/>
          </w:tcPr>
          <w:p w14:paraId="26D14923">
            <w:pPr>
              <w:spacing w:line="440" w:lineRule="exact"/>
              <w:jc w:val="center"/>
              <w:rPr>
                <w:szCs w:val="21"/>
              </w:rPr>
            </w:pPr>
          </w:p>
        </w:tc>
        <w:tc>
          <w:tcPr>
            <w:tcW w:w="672" w:type="dxa"/>
            <w:noWrap w:val="0"/>
            <w:vAlign w:val="top"/>
          </w:tcPr>
          <w:p w14:paraId="6ED26328">
            <w:pPr>
              <w:spacing w:line="440" w:lineRule="exact"/>
              <w:jc w:val="center"/>
              <w:rPr>
                <w:szCs w:val="21"/>
              </w:rPr>
            </w:pPr>
          </w:p>
        </w:tc>
      </w:tr>
      <w:tr w14:paraId="32150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2741D2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F9D330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E5B38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4B0D1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B1E5A4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E40DF2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ECDF94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9119D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7B3053F">
            <w:pPr>
              <w:spacing w:line="440" w:lineRule="exact"/>
              <w:jc w:val="center"/>
              <w:rPr>
                <w:szCs w:val="21"/>
              </w:rPr>
            </w:pPr>
          </w:p>
        </w:tc>
      </w:tr>
      <w:tr w14:paraId="4D54E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5580CA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E4B2F1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E7DB6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C92054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AA5CCA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AF9D64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FD4546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DC9367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67868A7">
            <w:pPr>
              <w:spacing w:line="440" w:lineRule="exact"/>
              <w:jc w:val="center"/>
              <w:rPr>
                <w:szCs w:val="21"/>
              </w:rPr>
            </w:pPr>
          </w:p>
        </w:tc>
      </w:tr>
      <w:tr w14:paraId="441F7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7C4B29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4637A3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E0330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C712D5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8A006B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DAB03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AEFEB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F2B844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10E6D48">
            <w:pPr>
              <w:spacing w:line="440" w:lineRule="exact"/>
              <w:jc w:val="center"/>
              <w:rPr>
                <w:szCs w:val="21"/>
              </w:rPr>
            </w:pPr>
          </w:p>
        </w:tc>
      </w:tr>
      <w:tr w14:paraId="5ACCE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84C0C2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AC0A4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E29E76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9E9A74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F744C0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ACB46C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36575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6675C2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5FDA88E">
            <w:pPr>
              <w:spacing w:line="440" w:lineRule="exact"/>
              <w:jc w:val="center"/>
              <w:rPr>
                <w:szCs w:val="21"/>
              </w:rPr>
            </w:pPr>
          </w:p>
        </w:tc>
      </w:tr>
      <w:tr w14:paraId="4437B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FB555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82D6F4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E6FC0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F73C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CD94AE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C833EC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219863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D728A4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489AC4F">
            <w:pPr>
              <w:spacing w:line="440" w:lineRule="exact"/>
              <w:jc w:val="center"/>
              <w:rPr>
                <w:szCs w:val="21"/>
              </w:rPr>
            </w:pPr>
          </w:p>
        </w:tc>
      </w:tr>
      <w:tr w14:paraId="60506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34F6D3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E5E2C7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62EC15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CCD7B4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38466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CAA3C6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4FDF900">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DA12D7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323D8E5">
            <w:pPr>
              <w:spacing w:line="440" w:lineRule="exact"/>
              <w:jc w:val="center"/>
              <w:rPr>
                <w:szCs w:val="21"/>
              </w:rPr>
            </w:pPr>
          </w:p>
        </w:tc>
      </w:tr>
      <w:tr w14:paraId="078DF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FCF93A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DE43FA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E8726F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2A0FDC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8E817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EBF4D3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3D4AB8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601670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DAC554F">
            <w:pPr>
              <w:spacing w:line="440" w:lineRule="exact"/>
              <w:jc w:val="center"/>
              <w:rPr>
                <w:szCs w:val="21"/>
              </w:rPr>
            </w:pPr>
          </w:p>
        </w:tc>
      </w:tr>
      <w:tr w14:paraId="2002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3F52EF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19839D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EB3636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5991E3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D0AB84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5058D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134FC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F67327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5301FF">
            <w:pPr>
              <w:spacing w:line="440" w:lineRule="exact"/>
              <w:jc w:val="center"/>
              <w:rPr>
                <w:szCs w:val="21"/>
              </w:rPr>
            </w:pPr>
          </w:p>
        </w:tc>
      </w:tr>
      <w:tr w14:paraId="766D4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D5A9E5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321A32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67B87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D4DA8B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075BD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56EDE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7EF16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65DA7F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2CB129C">
            <w:pPr>
              <w:spacing w:line="440" w:lineRule="exact"/>
              <w:jc w:val="center"/>
              <w:rPr>
                <w:szCs w:val="21"/>
              </w:rPr>
            </w:pPr>
          </w:p>
        </w:tc>
      </w:tr>
      <w:tr w14:paraId="2C1CB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FDA464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467643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76A89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8A6DA8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0F01F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1DEDC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2623AB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8692D2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5BAA23D">
            <w:pPr>
              <w:spacing w:line="440" w:lineRule="exact"/>
              <w:jc w:val="center"/>
              <w:rPr>
                <w:szCs w:val="21"/>
              </w:rPr>
            </w:pPr>
          </w:p>
        </w:tc>
      </w:tr>
    </w:tbl>
    <w:p w14:paraId="45DB90F4">
      <w:pPr>
        <w:topLinePunct/>
        <w:spacing w:line="440" w:lineRule="exact"/>
        <w:jc w:val="center"/>
        <w:rPr>
          <w:sz w:val="20"/>
        </w:rPr>
      </w:pPr>
    </w:p>
    <w:p w14:paraId="640F5935">
      <w:pPr>
        <w:topLinePunct/>
        <w:spacing w:line="440" w:lineRule="exact"/>
        <w:jc w:val="center"/>
        <w:rPr>
          <w:rFonts w:hint="eastAsia"/>
          <w:sz w:val="20"/>
        </w:rPr>
      </w:pPr>
      <w:r>
        <w:rPr>
          <w:sz w:val="20"/>
        </w:rPr>
        <w:br w:type="page"/>
      </w:r>
    </w:p>
    <w:p w14:paraId="5D44EA88">
      <w:pPr>
        <w:pStyle w:val="5"/>
        <w:jc w:val="both"/>
        <w:rPr>
          <w:rFonts w:eastAsia="黑体"/>
          <w:sz w:val="23"/>
          <w:szCs w:val="23"/>
        </w:rPr>
      </w:pPr>
      <w:bookmarkStart w:id="327" w:name="_Toc296602616"/>
      <w:bookmarkStart w:id="328" w:name="_Toc246996371"/>
      <w:bookmarkStart w:id="329" w:name="_Toc247085889"/>
      <w:bookmarkStart w:id="330" w:name="_Toc246997114"/>
      <w:r>
        <w:t>（</w:t>
      </w:r>
      <w:r>
        <w:rPr>
          <w:rFonts w:hint="eastAsia"/>
          <w:lang w:val="en-US" w:eastAsia="zh-CN"/>
        </w:rPr>
        <w:t>三</w:t>
      </w:r>
      <w:r>
        <w:t>）</w:t>
      </w:r>
      <w:r>
        <w:rPr>
          <w:rFonts w:hint="eastAsia"/>
          <w:lang w:eastAsia="zh-CN"/>
        </w:rPr>
        <w:t>项目负责人</w:t>
      </w:r>
      <w:r>
        <w:t>简历表</w:t>
      </w:r>
      <w:bookmarkEnd w:id="327"/>
      <w:bookmarkEnd w:id="328"/>
      <w:bookmarkEnd w:id="329"/>
      <w:bookmarkEnd w:id="330"/>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5E5C1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2E83479D">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32557B9">
            <w:pPr>
              <w:spacing w:line="440" w:lineRule="exact"/>
              <w:jc w:val="center"/>
              <w:rPr>
                <w:rFonts w:ascii="宋体" w:hAnsi="宋体"/>
                <w:szCs w:val="21"/>
              </w:rPr>
            </w:pPr>
          </w:p>
        </w:tc>
        <w:tc>
          <w:tcPr>
            <w:tcW w:w="927" w:type="dxa"/>
            <w:noWrap w:val="0"/>
            <w:vAlign w:val="center"/>
          </w:tcPr>
          <w:p w14:paraId="681DAA84">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0E2674E2">
            <w:pPr>
              <w:spacing w:line="440" w:lineRule="exact"/>
              <w:jc w:val="center"/>
              <w:rPr>
                <w:rFonts w:ascii="宋体" w:hAnsi="宋体"/>
                <w:szCs w:val="21"/>
              </w:rPr>
            </w:pPr>
          </w:p>
        </w:tc>
        <w:tc>
          <w:tcPr>
            <w:tcW w:w="2130" w:type="dxa"/>
            <w:gridSpan w:val="3"/>
            <w:noWrap w:val="0"/>
            <w:vAlign w:val="center"/>
          </w:tcPr>
          <w:p w14:paraId="2AF4A9C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6ACC00F8">
            <w:pPr>
              <w:spacing w:line="440" w:lineRule="exact"/>
              <w:rPr>
                <w:rFonts w:ascii="宋体" w:hAnsi="宋体"/>
                <w:szCs w:val="21"/>
              </w:rPr>
            </w:pPr>
          </w:p>
        </w:tc>
      </w:tr>
      <w:tr w14:paraId="0B766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BD8B511">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238DB119">
            <w:pPr>
              <w:spacing w:line="440" w:lineRule="exact"/>
              <w:jc w:val="center"/>
              <w:rPr>
                <w:rFonts w:ascii="宋体" w:hAnsi="宋体"/>
                <w:szCs w:val="21"/>
              </w:rPr>
            </w:pPr>
          </w:p>
        </w:tc>
        <w:tc>
          <w:tcPr>
            <w:tcW w:w="927" w:type="dxa"/>
            <w:noWrap w:val="0"/>
            <w:vAlign w:val="center"/>
          </w:tcPr>
          <w:p w14:paraId="68079E0F">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0932F35">
            <w:pPr>
              <w:spacing w:line="440" w:lineRule="exact"/>
              <w:jc w:val="center"/>
              <w:rPr>
                <w:rFonts w:ascii="宋体" w:hAnsi="宋体"/>
                <w:szCs w:val="21"/>
              </w:rPr>
            </w:pPr>
          </w:p>
        </w:tc>
        <w:tc>
          <w:tcPr>
            <w:tcW w:w="2130" w:type="dxa"/>
            <w:gridSpan w:val="3"/>
            <w:noWrap w:val="0"/>
            <w:vAlign w:val="center"/>
          </w:tcPr>
          <w:p w14:paraId="08C60FD8">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53504F78">
            <w:pPr>
              <w:spacing w:line="440" w:lineRule="exact"/>
              <w:rPr>
                <w:rFonts w:ascii="宋体" w:hAnsi="宋体"/>
                <w:szCs w:val="21"/>
              </w:rPr>
            </w:pPr>
          </w:p>
        </w:tc>
      </w:tr>
      <w:tr w14:paraId="026C5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38CB83D">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4EF4E36">
            <w:pPr>
              <w:spacing w:line="440" w:lineRule="exact"/>
              <w:rPr>
                <w:rFonts w:ascii="宋体" w:hAnsi="宋体"/>
                <w:szCs w:val="21"/>
              </w:rPr>
            </w:pPr>
            <w:r>
              <w:rPr>
                <w:rFonts w:ascii="宋体" w:hAnsi="宋体"/>
                <w:szCs w:val="21"/>
              </w:rPr>
              <w:t xml:space="preserve">      年毕业于            学校        专业</w:t>
            </w:r>
          </w:p>
        </w:tc>
      </w:tr>
      <w:tr w14:paraId="71FD1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2E0A3705">
            <w:pPr>
              <w:spacing w:line="440" w:lineRule="exact"/>
              <w:rPr>
                <w:rFonts w:ascii="宋体" w:hAnsi="宋体"/>
                <w:szCs w:val="21"/>
              </w:rPr>
            </w:pPr>
            <w:r>
              <w:rPr>
                <w:rFonts w:ascii="宋体" w:hAnsi="宋体"/>
                <w:szCs w:val="21"/>
              </w:rPr>
              <w:t>主要工作经历</w:t>
            </w:r>
          </w:p>
        </w:tc>
      </w:tr>
      <w:tr w14:paraId="2D07B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0264C3B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6DDCCE3">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1274801B">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277BBA93">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435A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E9A509">
            <w:pPr>
              <w:spacing w:line="440" w:lineRule="exact"/>
              <w:rPr>
                <w:rFonts w:eastAsia="黑体"/>
                <w:szCs w:val="21"/>
              </w:rPr>
            </w:pPr>
          </w:p>
        </w:tc>
        <w:tc>
          <w:tcPr>
            <w:tcW w:w="3420" w:type="dxa"/>
            <w:gridSpan w:val="4"/>
            <w:noWrap w:val="0"/>
            <w:vAlign w:val="top"/>
          </w:tcPr>
          <w:p w14:paraId="28949BBF">
            <w:pPr>
              <w:spacing w:line="440" w:lineRule="exact"/>
              <w:rPr>
                <w:rFonts w:eastAsia="黑体"/>
                <w:szCs w:val="21"/>
              </w:rPr>
            </w:pPr>
          </w:p>
        </w:tc>
        <w:tc>
          <w:tcPr>
            <w:tcW w:w="1261" w:type="dxa"/>
            <w:noWrap w:val="0"/>
            <w:vAlign w:val="top"/>
          </w:tcPr>
          <w:p w14:paraId="0710FCCE">
            <w:pPr>
              <w:spacing w:line="440" w:lineRule="exact"/>
              <w:rPr>
                <w:rFonts w:eastAsia="黑体"/>
                <w:szCs w:val="21"/>
              </w:rPr>
            </w:pPr>
          </w:p>
        </w:tc>
        <w:tc>
          <w:tcPr>
            <w:tcW w:w="2296" w:type="dxa"/>
            <w:gridSpan w:val="2"/>
            <w:noWrap w:val="0"/>
            <w:vAlign w:val="top"/>
          </w:tcPr>
          <w:p w14:paraId="746303A7">
            <w:pPr>
              <w:spacing w:line="440" w:lineRule="exact"/>
              <w:rPr>
                <w:rFonts w:eastAsia="黑体"/>
                <w:szCs w:val="21"/>
              </w:rPr>
            </w:pPr>
          </w:p>
        </w:tc>
      </w:tr>
      <w:tr w14:paraId="288B8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CE99D5D">
            <w:pPr>
              <w:spacing w:line="440" w:lineRule="exact"/>
              <w:rPr>
                <w:rFonts w:eastAsia="黑体"/>
                <w:szCs w:val="21"/>
              </w:rPr>
            </w:pPr>
          </w:p>
        </w:tc>
        <w:tc>
          <w:tcPr>
            <w:tcW w:w="3420" w:type="dxa"/>
            <w:gridSpan w:val="4"/>
            <w:noWrap w:val="0"/>
            <w:vAlign w:val="top"/>
          </w:tcPr>
          <w:p w14:paraId="114B7F63">
            <w:pPr>
              <w:spacing w:line="440" w:lineRule="exact"/>
              <w:rPr>
                <w:rFonts w:eastAsia="黑体"/>
                <w:szCs w:val="21"/>
              </w:rPr>
            </w:pPr>
          </w:p>
        </w:tc>
        <w:tc>
          <w:tcPr>
            <w:tcW w:w="1261" w:type="dxa"/>
            <w:noWrap w:val="0"/>
            <w:vAlign w:val="top"/>
          </w:tcPr>
          <w:p w14:paraId="2DEC8FE4">
            <w:pPr>
              <w:spacing w:line="440" w:lineRule="exact"/>
              <w:rPr>
                <w:rFonts w:eastAsia="黑体"/>
                <w:szCs w:val="21"/>
              </w:rPr>
            </w:pPr>
          </w:p>
        </w:tc>
        <w:tc>
          <w:tcPr>
            <w:tcW w:w="2296" w:type="dxa"/>
            <w:gridSpan w:val="2"/>
            <w:noWrap w:val="0"/>
            <w:vAlign w:val="top"/>
          </w:tcPr>
          <w:p w14:paraId="5B1D0BC3">
            <w:pPr>
              <w:spacing w:line="440" w:lineRule="exact"/>
              <w:rPr>
                <w:rFonts w:eastAsia="黑体"/>
                <w:szCs w:val="21"/>
              </w:rPr>
            </w:pPr>
          </w:p>
        </w:tc>
      </w:tr>
      <w:tr w14:paraId="4186E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2CCC054">
            <w:pPr>
              <w:spacing w:line="440" w:lineRule="exact"/>
              <w:rPr>
                <w:rFonts w:eastAsia="黑体"/>
                <w:szCs w:val="21"/>
              </w:rPr>
            </w:pPr>
          </w:p>
        </w:tc>
        <w:tc>
          <w:tcPr>
            <w:tcW w:w="3420" w:type="dxa"/>
            <w:gridSpan w:val="4"/>
            <w:noWrap w:val="0"/>
            <w:vAlign w:val="top"/>
          </w:tcPr>
          <w:p w14:paraId="3B771033">
            <w:pPr>
              <w:spacing w:line="440" w:lineRule="exact"/>
              <w:rPr>
                <w:rFonts w:eastAsia="黑体"/>
                <w:szCs w:val="21"/>
              </w:rPr>
            </w:pPr>
          </w:p>
        </w:tc>
        <w:tc>
          <w:tcPr>
            <w:tcW w:w="1261" w:type="dxa"/>
            <w:noWrap w:val="0"/>
            <w:vAlign w:val="top"/>
          </w:tcPr>
          <w:p w14:paraId="4F0FEF4C">
            <w:pPr>
              <w:spacing w:line="440" w:lineRule="exact"/>
              <w:rPr>
                <w:rFonts w:eastAsia="黑体"/>
                <w:szCs w:val="21"/>
              </w:rPr>
            </w:pPr>
          </w:p>
        </w:tc>
        <w:tc>
          <w:tcPr>
            <w:tcW w:w="2296" w:type="dxa"/>
            <w:gridSpan w:val="2"/>
            <w:noWrap w:val="0"/>
            <w:vAlign w:val="top"/>
          </w:tcPr>
          <w:p w14:paraId="538571D4">
            <w:pPr>
              <w:spacing w:line="440" w:lineRule="exact"/>
              <w:rPr>
                <w:rFonts w:eastAsia="黑体"/>
                <w:szCs w:val="21"/>
              </w:rPr>
            </w:pPr>
          </w:p>
        </w:tc>
      </w:tr>
      <w:tr w14:paraId="0599B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3253461">
            <w:pPr>
              <w:spacing w:line="440" w:lineRule="exact"/>
              <w:rPr>
                <w:rFonts w:eastAsia="黑体"/>
                <w:szCs w:val="21"/>
              </w:rPr>
            </w:pPr>
          </w:p>
        </w:tc>
        <w:tc>
          <w:tcPr>
            <w:tcW w:w="3420" w:type="dxa"/>
            <w:gridSpan w:val="4"/>
            <w:noWrap w:val="0"/>
            <w:vAlign w:val="top"/>
          </w:tcPr>
          <w:p w14:paraId="7A976477">
            <w:pPr>
              <w:spacing w:line="440" w:lineRule="exact"/>
              <w:rPr>
                <w:rFonts w:eastAsia="黑体"/>
                <w:szCs w:val="21"/>
              </w:rPr>
            </w:pPr>
          </w:p>
        </w:tc>
        <w:tc>
          <w:tcPr>
            <w:tcW w:w="1261" w:type="dxa"/>
            <w:noWrap w:val="0"/>
            <w:vAlign w:val="top"/>
          </w:tcPr>
          <w:p w14:paraId="43386F54">
            <w:pPr>
              <w:spacing w:line="440" w:lineRule="exact"/>
              <w:rPr>
                <w:rFonts w:eastAsia="黑体"/>
                <w:szCs w:val="21"/>
              </w:rPr>
            </w:pPr>
          </w:p>
        </w:tc>
        <w:tc>
          <w:tcPr>
            <w:tcW w:w="2296" w:type="dxa"/>
            <w:gridSpan w:val="2"/>
            <w:noWrap w:val="0"/>
            <w:vAlign w:val="top"/>
          </w:tcPr>
          <w:p w14:paraId="3D8DEF85">
            <w:pPr>
              <w:spacing w:line="440" w:lineRule="exact"/>
              <w:rPr>
                <w:rFonts w:eastAsia="黑体"/>
                <w:szCs w:val="21"/>
              </w:rPr>
            </w:pPr>
          </w:p>
        </w:tc>
      </w:tr>
      <w:tr w14:paraId="65A1E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892384D">
            <w:pPr>
              <w:spacing w:line="440" w:lineRule="exact"/>
              <w:rPr>
                <w:rFonts w:eastAsia="黑体"/>
                <w:szCs w:val="21"/>
              </w:rPr>
            </w:pPr>
          </w:p>
        </w:tc>
        <w:tc>
          <w:tcPr>
            <w:tcW w:w="3420" w:type="dxa"/>
            <w:gridSpan w:val="4"/>
            <w:noWrap w:val="0"/>
            <w:vAlign w:val="top"/>
          </w:tcPr>
          <w:p w14:paraId="0B025321">
            <w:pPr>
              <w:spacing w:line="440" w:lineRule="exact"/>
              <w:rPr>
                <w:rFonts w:eastAsia="黑体"/>
                <w:szCs w:val="21"/>
              </w:rPr>
            </w:pPr>
          </w:p>
        </w:tc>
        <w:tc>
          <w:tcPr>
            <w:tcW w:w="1261" w:type="dxa"/>
            <w:noWrap w:val="0"/>
            <w:vAlign w:val="top"/>
          </w:tcPr>
          <w:p w14:paraId="07BF45D7">
            <w:pPr>
              <w:spacing w:line="440" w:lineRule="exact"/>
              <w:rPr>
                <w:rFonts w:eastAsia="黑体"/>
                <w:szCs w:val="21"/>
              </w:rPr>
            </w:pPr>
          </w:p>
        </w:tc>
        <w:tc>
          <w:tcPr>
            <w:tcW w:w="2296" w:type="dxa"/>
            <w:gridSpan w:val="2"/>
            <w:noWrap w:val="0"/>
            <w:vAlign w:val="top"/>
          </w:tcPr>
          <w:p w14:paraId="08BBDF04">
            <w:pPr>
              <w:spacing w:line="440" w:lineRule="exact"/>
              <w:rPr>
                <w:rFonts w:eastAsia="黑体"/>
                <w:szCs w:val="21"/>
              </w:rPr>
            </w:pPr>
          </w:p>
        </w:tc>
      </w:tr>
      <w:tr w14:paraId="7F404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0B146A">
            <w:pPr>
              <w:spacing w:line="440" w:lineRule="exact"/>
              <w:rPr>
                <w:rFonts w:eastAsia="黑体"/>
                <w:szCs w:val="21"/>
              </w:rPr>
            </w:pPr>
          </w:p>
        </w:tc>
        <w:tc>
          <w:tcPr>
            <w:tcW w:w="3420" w:type="dxa"/>
            <w:gridSpan w:val="4"/>
            <w:noWrap w:val="0"/>
            <w:vAlign w:val="top"/>
          </w:tcPr>
          <w:p w14:paraId="127A4E80">
            <w:pPr>
              <w:spacing w:line="440" w:lineRule="exact"/>
              <w:rPr>
                <w:rFonts w:eastAsia="黑体"/>
                <w:szCs w:val="21"/>
              </w:rPr>
            </w:pPr>
          </w:p>
        </w:tc>
        <w:tc>
          <w:tcPr>
            <w:tcW w:w="1261" w:type="dxa"/>
            <w:noWrap w:val="0"/>
            <w:vAlign w:val="top"/>
          </w:tcPr>
          <w:p w14:paraId="2FACA7BE">
            <w:pPr>
              <w:spacing w:line="440" w:lineRule="exact"/>
              <w:rPr>
                <w:rFonts w:eastAsia="黑体"/>
                <w:szCs w:val="21"/>
              </w:rPr>
            </w:pPr>
          </w:p>
        </w:tc>
        <w:tc>
          <w:tcPr>
            <w:tcW w:w="2296" w:type="dxa"/>
            <w:gridSpan w:val="2"/>
            <w:noWrap w:val="0"/>
            <w:vAlign w:val="top"/>
          </w:tcPr>
          <w:p w14:paraId="174CC8EC">
            <w:pPr>
              <w:spacing w:line="440" w:lineRule="exact"/>
              <w:rPr>
                <w:rFonts w:eastAsia="黑体"/>
                <w:szCs w:val="21"/>
              </w:rPr>
            </w:pPr>
          </w:p>
        </w:tc>
      </w:tr>
      <w:tr w14:paraId="0BA32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6FEDA33">
            <w:pPr>
              <w:spacing w:line="440" w:lineRule="exact"/>
              <w:rPr>
                <w:rFonts w:eastAsia="黑体"/>
                <w:szCs w:val="21"/>
              </w:rPr>
            </w:pPr>
          </w:p>
        </w:tc>
        <w:tc>
          <w:tcPr>
            <w:tcW w:w="3420" w:type="dxa"/>
            <w:gridSpan w:val="4"/>
            <w:noWrap w:val="0"/>
            <w:vAlign w:val="top"/>
          </w:tcPr>
          <w:p w14:paraId="7445E57E">
            <w:pPr>
              <w:spacing w:line="440" w:lineRule="exact"/>
              <w:rPr>
                <w:rFonts w:eastAsia="黑体"/>
                <w:szCs w:val="21"/>
              </w:rPr>
            </w:pPr>
          </w:p>
        </w:tc>
        <w:tc>
          <w:tcPr>
            <w:tcW w:w="1261" w:type="dxa"/>
            <w:noWrap w:val="0"/>
            <w:vAlign w:val="top"/>
          </w:tcPr>
          <w:p w14:paraId="30F28347">
            <w:pPr>
              <w:spacing w:line="440" w:lineRule="exact"/>
              <w:rPr>
                <w:rFonts w:eastAsia="黑体"/>
                <w:szCs w:val="21"/>
              </w:rPr>
            </w:pPr>
          </w:p>
        </w:tc>
        <w:tc>
          <w:tcPr>
            <w:tcW w:w="2296" w:type="dxa"/>
            <w:gridSpan w:val="2"/>
            <w:noWrap w:val="0"/>
            <w:vAlign w:val="top"/>
          </w:tcPr>
          <w:p w14:paraId="2B4A14EA">
            <w:pPr>
              <w:spacing w:line="440" w:lineRule="exact"/>
              <w:rPr>
                <w:rFonts w:eastAsia="黑体"/>
                <w:szCs w:val="21"/>
              </w:rPr>
            </w:pPr>
          </w:p>
        </w:tc>
      </w:tr>
      <w:tr w14:paraId="034B6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4A14978">
            <w:pPr>
              <w:spacing w:line="440" w:lineRule="exact"/>
              <w:rPr>
                <w:rFonts w:eastAsia="黑体"/>
                <w:szCs w:val="21"/>
              </w:rPr>
            </w:pPr>
          </w:p>
        </w:tc>
        <w:tc>
          <w:tcPr>
            <w:tcW w:w="3420" w:type="dxa"/>
            <w:gridSpan w:val="4"/>
            <w:noWrap w:val="0"/>
            <w:vAlign w:val="top"/>
          </w:tcPr>
          <w:p w14:paraId="370BC822">
            <w:pPr>
              <w:spacing w:line="440" w:lineRule="exact"/>
              <w:rPr>
                <w:rFonts w:eastAsia="黑体"/>
                <w:szCs w:val="21"/>
              </w:rPr>
            </w:pPr>
          </w:p>
        </w:tc>
        <w:tc>
          <w:tcPr>
            <w:tcW w:w="1261" w:type="dxa"/>
            <w:noWrap w:val="0"/>
            <w:vAlign w:val="top"/>
          </w:tcPr>
          <w:p w14:paraId="4C154EA2">
            <w:pPr>
              <w:spacing w:line="440" w:lineRule="exact"/>
              <w:rPr>
                <w:rFonts w:eastAsia="黑体"/>
                <w:szCs w:val="21"/>
              </w:rPr>
            </w:pPr>
          </w:p>
        </w:tc>
        <w:tc>
          <w:tcPr>
            <w:tcW w:w="2296" w:type="dxa"/>
            <w:gridSpan w:val="2"/>
            <w:noWrap w:val="0"/>
            <w:vAlign w:val="top"/>
          </w:tcPr>
          <w:p w14:paraId="2022E5CE">
            <w:pPr>
              <w:spacing w:line="440" w:lineRule="exact"/>
              <w:rPr>
                <w:rFonts w:eastAsia="黑体"/>
                <w:szCs w:val="21"/>
              </w:rPr>
            </w:pPr>
          </w:p>
        </w:tc>
      </w:tr>
      <w:tr w14:paraId="3448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D6F65CD">
            <w:pPr>
              <w:spacing w:line="440" w:lineRule="exact"/>
              <w:rPr>
                <w:rFonts w:eastAsia="黑体"/>
                <w:szCs w:val="21"/>
              </w:rPr>
            </w:pPr>
          </w:p>
        </w:tc>
        <w:tc>
          <w:tcPr>
            <w:tcW w:w="3420" w:type="dxa"/>
            <w:gridSpan w:val="4"/>
            <w:noWrap w:val="0"/>
            <w:vAlign w:val="top"/>
          </w:tcPr>
          <w:p w14:paraId="4F98A272">
            <w:pPr>
              <w:spacing w:line="440" w:lineRule="exact"/>
              <w:rPr>
                <w:rFonts w:eastAsia="黑体"/>
                <w:szCs w:val="21"/>
              </w:rPr>
            </w:pPr>
          </w:p>
        </w:tc>
        <w:tc>
          <w:tcPr>
            <w:tcW w:w="1261" w:type="dxa"/>
            <w:noWrap w:val="0"/>
            <w:vAlign w:val="top"/>
          </w:tcPr>
          <w:p w14:paraId="71220ED3">
            <w:pPr>
              <w:spacing w:line="440" w:lineRule="exact"/>
              <w:rPr>
                <w:rFonts w:eastAsia="黑体"/>
                <w:szCs w:val="21"/>
              </w:rPr>
            </w:pPr>
          </w:p>
        </w:tc>
        <w:tc>
          <w:tcPr>
            <w:tcW w:w="2296" w:type="dxa"/>
            <w:gridSpan w:val="2"/>
            <w:noWrap w:val="0"/>
            <w:vAlign w:val="top"/>
          </w:tcPr>
          <w:p w14:paraId="671D5C0F">
            <w:pPr>
              <w:spacing w:line="440" w:lineRule="exact"/>
              <w:rPr>
                <w:rFonts w:eastAsia="黑体"/>
                <w:szCs w:val="21"/>
              </w:rPr>
            </w:pPr>
          </w:p>
        </w:tc>
      </w:tr>
      <w:tr w14:paraId="6CDB9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8D31E2F">
            <w:pPr>
              <w:spacing w:line="440" w:lineRule="exact"/>
              <w:rPr>
                <w:rFonts w:eastAsia="黑体"/>
                <w:szCs w:val="21"/>
              </w:rPr>
            </w:pPr>
          </w:p>
        </w:tc>
        <w:tc>
          <w:tcPr>
            <w:tcW w:w="3420" w:type="dxa"/>
            <w:gridSpan w:val="4"/>
            <w:noWrap w:val="0"/>
            <w:vAlign w:val="top"/>
          </w:tcPr>
          <w:p w14:paraId="67CC0B42">
            <w:pPr>
              <w:spacing w:line="440" w:lineRule="exact"/>
              <w:rPr>
                <w:rFonts w:eastAsia="黑体"/>
                <w:szCs w:val="21"/>
              </w:rPr>
            </w:pPr>
          </w:p>
        </w:tc>
        <w:tc>
          <w:tcPr>
            <w:tcW w:w="1261" w:type="dxa"/>
            <w:noWrap w:val="0"/>
            <w:vAlign w:val="top"/>
          </w:tcPr>
          <w:p w14:paraId="76A5623A">
            <w:pPr>
              <w:spacing w:line="440" w:lineRule="exact"/>
              <w:rPr>
                <w:rFonts w:eastAsia="黑体"/>
                <w:szCs w:val="21"/>
              </w:rPr>
            </w:pPr>
          </w:p>
        </w:tc>
        <w:tc>
          <w:tcPr>
            <w:tcW w:w="2296" w:type="dxa"/>
            <w:gridSpan w:val="2"/>
            <w:noWrap w:val="0"/>
            <w:vAlign w:val="top"/>
          </w:tcPr>
          <w:p w14:paraId="00C897C5">
            <w:pPr>
              <w:spacing w:line="440" w:lineRule="exact"/>
              <w:rPr>
                <w:rFonts w:eastAsia="黑体"/>
                <w:szCs w:val="21"/>
              </w:rPr>
            </w:pPr>
          </w:p>
        </w:tc>
      </w:tr>
      <w:tr w14:paraId="4568A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0577A2">
            <w:pPr>
              <w:spacing w:line="440" w:lineRule="exact"/>
              <w:rPr>
                <w:rFonts w:eastAsia="黑体"/>
                <w:szCs w:val="21"/>
              </w:rPr>
            </w:pPr>
          </w:p>
        </w:tc>
        <w:tc>
          <w:tcPr>
            <w:tcW w:w="3420" w:type="dxa"/>
            <w:gridSpan w:val="4"/>
            <w:noWrap w:val="0"/>
            <w:vAlign w:val="top"/>
          </w:tcPr>
          <w:p w14:paraId="743663DB">
            <w:pPr>
              <w:spacing w:line="440" w:lineRule="exact"/>
              <w:rPr>
                <w:rFonts w:eastAsia="黑体"/>
                <w:szCs w:val="21"/>
              </w:rPr>
            </w:pPr>
          </w:p>
        </w:tc>
        <w:tc>
          <w:tcPr>
            <w:tcW w:w="1261" w:type="dxa"/>
            <w:noWrap w:val="0"/>
            <w:vAlign w:val="top"/>
          </w:tcPr>
          <w:p w14:paraId="45D4146F">
            <w:pPr>
              <w:spacing w:line="440" w:lineRule="exact"/>
              <w:rPr>
                <w:rFonts w:eastAsia="黑体"/>
                <w:szCs w:val="21"/>
              </w:rPr>
            </w:pPr>
          </w:p>
        </w:tc>
        <w:tc>
          <w:tcPr>
            <w:tcW w:w="2296" w:type="dxa"/>
            <w:gridSpan w:val="2"/>
            <w:noWrap w:val="0"/>
            <w:vAlign w:val="top"/>
          </w:tcPr>
          <w:p w14:paraId="526208E5">
            <w:pPr>
              <w:spacing w:line="440" w:lineRule="exact"/>
              <w:rPr>
                <w:rFonts w:eastAsia="黑体"/>
                <w:szCs w:val="21"/>
              </w:rPr>
            </w:pPr>
          </w:p>
        </w:tc>
      </w:tr>
      <w:tr w14:paraId="7E5E7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CBFEDC1">
            <w:pPr>
              <w:spacing w:line="440" w:lineRule="exact"/>
              <w:rPr>
                <w:rFonts w:eastAsia="黑体"/>
                <w:szCs w:val="21"/>
              </w:rPr>
            </w:pPr>
          </w:p>
        </w:tc>
        <w:tc>
          <w:tcPr>
            <w:tcW w:w="3420" w:type="dxa"/>
            <w:gridSpan w:val="4"/>
            <w:noWrap w:val="0"/>
            <w:vAlign w:val="top"/>
          </w:tcPr>
          <w:p w14:paraId="45EDFAD0">
            <w:pPr>
              <w:spacing w:line="440" w:lineRule="exact"/>
              <w:rPr>
                <w:rFonts w:eastAsia="黑体"/>
                <w:szCs w:val="21"/>
              </w:rPr>
            </w:pPr>
          </w:p>
        </w:tc>
        <w:tc>
          <w:tcPr>
            <w:tcW w:w="1261" w:type="dxa"/>
            <w:noWrap w:val="0"/>
            <w:vAlign w:val="top"/>
          </w:tcPr>
          <w:p w14:paraId="72284B48">
            <w:pPr>
              <w:spacing w:line="440" w:lineRule="exact"/>
              <w:rPr>
                <w:rFonts w:eastAsia="黑体"/>
                <w:szCs w:val="21"/>
              </w:rPr>
            </w:pPr>
          </w:p>
        </w:tc>
        <w:tc>
          <w:tcPr>
            <w:tcW w:w="2296" w:type="dxa"/>
            <w:gridSpan w:val="2"/>
            <w:noWrap w:val="0"/>
            <w:vAlign w:val="top"/>
          </w:tcPr>
          <w:p w14:paraId="552BD85E">
            <w:pPr>
              <w:spacing w:line="440" w:lineRule="exact"/>
              <w:rPr>
                <w:rFonts w:eastAsia="黑体"/>
                <w:szCs w:val="21"/>
              </w:rPr>
            </w:pPr>
          </w:p>
        </w:tc>
      </w:tr>
    </w:tbl>
    <w:p w14:paraId="12B39111">
      <w:pPr>
        <w:rPr>
          <w:rFonts w:hint="default" w:ascii="Times New Roman" w:hAnsi="Times New Roman" w:cs="Times New Roman"/>
        </w:rPr>
      </w:pPr>
      <w:r>
        <w:rPr>
          <w:rFonts w:hint="default" w:ascii="Times New Roman" w:hAnsi="Times New Roman" w:cs="Times New Roman"/>
        </w:rPr>
        <w:br w:type="page"/>
      </w:r>
    </w:p>
    <w:p w14:paraId="6DE60C35">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21"/>
      <w:bookmarkEnd w:id="322"/>
      <w:bookmarkEnd w:id="323"/>
      <w:bookmarkEnd w:id="324"/>
      <w:bookmarkEnd w:id="325"/>
      <w:bookmarkEnd w:id="326"/>
    </w:p>
    <w:p w14:paraId="603B5C77">
      <w:pPr>
        <w:spacing w:line="440" w:lineRule="exact"/>
        <w:jc w:val="center"/>
        <w:rPr>
          <w:rFonts w:hint="default" w:ascii="Times New Roman" w:hAnsi="Times New Roman" w:eastAsia="黑体" w:cs="Times New Roman"/>
          <w:sz w:val="23"/>
          <w:szCs w:val="23"/>
        </w:rPr>
      </w:pP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8D86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BFFB35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0A08D72D">
            <w:pPr>
              <w:topLinePunct/>
              <w:spacing w:line="440" w:lineRule="exact"/>
              <w:rPr>
                <w:rFonts w:hint="default" w:ascii="Times New Roman" w:hAnsi="Times New Roman" w:cs="Times New Roman"/>
                <w:szCs w:val="21"/>
                <w:highlight w:val="black"/>
              </w:rPr>
            </w:pPr>
          </w:p>
        </w:tc>
      </w:tr>
      <w:tr w14:paraId="46E07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A3A0A0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4DE92541">
            <w:pPr>
              <w:topLinePunct/>
              <w:spacing w:line="440" w:lineRule="exact"/>
              <w:rPr>
                <w:rFonts w:hint="default" w:ascii="Times New Roman" w:hAnsi="Times New Roman" w:cs="Times New Roman"/>
                <w:szCs w:val="21"/>
              </w:rPr>
            </w:pPr>
          </w:p>
        </w:tc>
      </w:tr>
      <w:tr w14:paraId="45B9F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F1DB34B">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3EE1A9E9">
            <w:pPr>
              <w:topLinePunct/>
              <w:spacing w:line="440" w:lineRule="exact"/>
              <w:rPr>
                <w:rFonts w:hint="default" w:ascii="Times New Roman" w:hAnsi="Times New Roman" w:cs="Times New Roman"/>
                <w:szCs w:val="21"/>
              </w:rPr>
            </w:pPr>
          </w:p>
        </w:tc>
      </w:tr>
      <w:tr w14:paraId="5A81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C18924E">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3AE923E5">
            <w:pPr>
              <w:topLinePunct/>
              <w:spacing w:line="440" w:lineRule="exact"/>
              <w:rPr>
                <w:rFonts w:hint="default" w:ascii="Times New Roman" w:hAnsi="Times New Roman" w:cs="Times New Roman"/>
                <w:szCs w:val="21"/>
              </w:rPr>
            </w:pPr>
          </w:p>
        </w:tc>
      </w:tr>
      <w:tr w14:paraId="1E4EF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530C8FA">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505D8BC6">
            <w:pPr>
              <w:topLinePunct/>
              <w:spacing w:line="440" w:lineRule="exact"/>
              <w:rPr>
                <w:rFonts w:hint="default" w:ascii="Times New Roman" w:hAnsi="Times New Roman" w:cs="Times New Roman"/>
                <w:szCs w:val="21"/>
              </w:rPr>
            </w:pPr>
          </w:p>
        </w:tc>
      </w:tr>
      <w:tr w14:paraId="64DB1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A552D7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6844BA26">
            <w:pPr>
              <w:topLinePunct/>
              <w:spacing w:line="440" w:lineRule="exact"/>
              <w:rPr>
                <w:rFonts w:hint="default" w:ascii="Times New Roman" w:hAnsi="Times New Roman" w:cs="Times New Roman"/>
                <w:szCs w:val="21"/>
              </w:rPr>
            </w:pPr>
          </w:p>
        </w:tc>
      </w:tr>
      <w:tr w14:paraId="319FE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191402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87235D8">
            <w:pPr>
              <w:topLinePunct/>
              <w:spacing w:line="440" w:lineRule="exact"/>
              <w:rPr>
                <w:rFonts w:hint="default" w:ascii="Times New Roman" w:hAnsi="Times New Roman" w:cs="Times New Roman"/>
                <w:szCs w:val="21"/>
              </w:rPr>
            </w:pPr>
          </w:p>
          <w:p w14:paraId="24F70353">
            <w:pPr>
              <w:topLinePunct/>
              <w:spacing w:line="440" w:lineRule="exact"/>
              <w:rPr>
                <w:rFonts w:hint="default" w:ascii="Times New Roman" w:hAnsi="Times New Roman" w:cs="Times New Roman"/>
                <w:szCs w:val="21"/>
              </w:rPr>
            </w:pPr>
          </w:p>
          <w:p w14:paraId="024F10C3">
            <w:pPr>
              <w:topLinePunct/>
              <w:spacing w:line="440" w:lineRule="exact"/>
              <w:rPr>
                <w:rFonts w:hint="default" w:ascii="Times New Roman" w:hAnsi="Times New Roman" w:cs="Times New Roman"/>
                <w:szCs w:val="21"/>
              </w:rPr>
            </w:pPr>
          </w:p>
          <w:p w14:paraId="33F0DF61">
            <w:pPr>
              <w:topLinePunct/>
              <w:spacing w:line="440" w:lineRule="exact"/>
              <w:rPr>
                <w:rFonts w:hint="default" w:ascii="Times New Roman" w:hAnsi="Times New Roman" w:cs="Times New Roman"/>
                <w:szCs w:val="21"/>
              </w:rPr>
            </w:pPr>
          </w:p>
          <w:p w14:paraId="2BE65F0C">
            <w:pPr>
              <w:topLinePunct/>
              <w:spacing w:line="440" w:lineRule="exact"/>
              <w:rPr>
                <w:rFonts w:hint="default" w:ascii="Times New Roman" w:hAnsi="Times New Roman" w:cs="Times New Roman"/>
                <w:szCs w:val="21"/>
              </w:rPr>
            </w:pPr>
          </w:p>
          <w:p w14:paraId="069B8DCB">
            <w:pPr>
              <w:topLinePunct/>
              <w:spacing w:line="440" w:lineRule="exact"/>
              <w:rPr>
                <w:rFonts w:hint="default" w:ascii="Times New Roman" w:hAnsi="Times New Roman" w:cs="Times New Roman"/>
                <w:szCs w:val="21"/>
              </w:rPr>
            </w:pPr>
          </w:p>
          <w:p w14:paraId="1AE81610">
            <w:pPr>
              <w:topLinePunct/>
              <w:spacing w:line="440" w:lineRule="exact"/>
              <w:rPr>
                <w:rFonts w:hint="default" w:ascii="Times New Roman" w:hAnsi="Times New Roman" w:cs="Times New Roman"/>
                <w:szCs w:val="21"/>
              </w:rPr>
            </w:pPr>
          </w:p>
        </w:tc>
      </w:tr>
      <w:tr w14:paraId="272FC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1081EE8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CEDCAC0">
            <w:pPr>
              <w:topLinePunct/>
              <w:spacing w:line="440" w:lineRule="exact"/>
              <w:rPr>
                <w:rFonts w:hint="default" w:ascii="Times New Roman" w:hAnsi="Times New Roman" w:cs="Times New Roman"/>
                <w:szCs w:val="21"/>
              </w:rPr>
            </w:pPr>
          </w:p>
        </w:tc>
      </w:tr>
    </w:tbl>
    <w:p w14:paraId="0283D51D">
      <w:pPr>
        <w:spacing w:line="440" w:lineRule="exact"/>
        <w:rPr>
          <w:rFonts w:hint="default" w:ascii="Times New Roman" w:hAnsi="Times New Roman" w:cs="Times New Roman"/>
        </w:rPr>
      </w:pPr>
      <w:bookmarkStart w:id="331" w:name="_Toc247527851"/>
      <w:bookmarkStart w:id="332" w:name="_Toc144974879"/>
      <w:bookmarkStart w:id="333" w:name="_Toc152045811"/>
      <w:bookmarkStart w:id="334" w:name="_Toc152042600"/>
      <w:bookmarkStart w:id="335" w:name="_Toc247514303"/>
    </w:p>
    <w:p w14:paraId="68EFEBD6">
      <w:pPr>
        <w:spacing w:line="440" w:lineRule="exact"/>
        <w:rPr>
          <w:rFonts w:hint="default" w:ascii="Times New Roman" w:hAnsi="Times New Roman" w:cs="Times New Roman"/>
        </w:rPr>
      </w:pPr>
    </w:p>
    <w:bookmarkEnd w:id="331"/>
    <w:bookmarkEnd w:id="332"/>
    <w:bookmarkEnd w:id="333"/>
    <w:bookmarkEnd w:id="334"/>
    <w:bookmarkEnd w:id="335"/>
    <w:p w14:paraId="6A01D066">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14DB0090">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214264BD">
      <w:pPr>
        <w:tabs>
          <w:tab w:val="left" w:pos="720"/>
        </w:tabs>
        <w:spacing w:line="440" w:lineRule="exact"/>
        <w:ind w:firstLine="756" w:firstLineChars="360"/>
        <w:rPr>
          <w:rFonts w:hint="default" w:ascii="Times New Roman" w:hAnsi="Times New Roman" w:cs="Times New Roman"/>
          <w:szCs w:val="21"/>
        </w:rPr>
      </w:pPr>
    </w:p>
    <w:p w14:paraId="792A8086">
      <w:pPr>
        <w:rPr>
          <w:rFonts w:hint="default" w:ascii="Times New Roman" w:hAnsi="Times New Roman" w:cs="Times New Roman"/>
          <w:szCs w:val="21"/>
        </w:rPr>
      </w:pPr>
      <w:r>
        <w:rPr>
          <w:rFonts w:hint="default" w:ascii="Times New Roman" w:hAnsi="Times New Roman" w:cs="Times New Roman"/>
          <w:szCs w:val="21"/>
        </w:rPr>
        <w:br w:type="page"/>
      </w:r>
    </w:p>
    <w:bookmarkEnd w:id="311"/>
    <w:p w14:paraId="036EDB1D">
      <w:pPr>
        <w:pStyle w:val="5"/>
        <w:jc w:val="center"/>
        <w:rPr>
          <w:rFonts w:hint="default" w:ascii="Times New Roman" w:hAnsi="Times New Roman" w:cs="Times New Roman"/>
          <w:lang w:val="en-US" w:eastAsia="zh-CN"/>
        </w:rPr>
      </w:pPr>
      <w:bookmarkStart w:id="336" w:name="_Toc246997115"/>
      <w:bookmarkStart w:id="337" w:name="_Toc179632827"/>
      <w:bookmarkStart w:id="338" w:name="_Toc152042597"/>
      <w:bookmarkStart w:id="339" w:name="_Toc152045807"/>
      <w:bookmarkStart w:id="340" w:name="_Toc247085890"/>
      <w:bookmarkStart w:id="341" w:name="_Toc144974875"/>
      <w:bookmarkStart w:id="342" w:name="_Toc152042596"/>
      <w:bookmarkStart w:id="343" w:name="_Toc152045808"/>
      <w:bookmarkStart w:id="344" w:name="_Toc247514300"/>
      <w:bookmarkStart w:id="345" w:name="_Toc247527848"/>
      <w:bookmarkStart w:id="346" w:name="_Toc246996372"/>
      <w:bookmarkStart w:id="347" w:name="_Toc300835224"/>
      <w:bookmarkStart w:id="348" w:name="_Toc296602617"/>
      <w:bookmarkStart w:id="349" w:name="_Toc144974876"/>
      <w:r>
        <w:rPr>
          <w:rFonts w:hint="eastAsia" w:ascii="Times New Roman" w:hAnsi="Times New Roman" w:cs="Times New Roman"/>
          <w:lang w:val="en-US" w:eastAsia="zh-CN"/>
        </w:rPr>
        <w:t>八、</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r>
        <w:rPr>
          <w:rFonts w:hint="eastAsia" w:ascii="Times New Roman" w:hAnsi="Times New Roman" w:cs="Times New Roman"/>
          <w:lang w:val="en-US" w:eastAsia="zh-CN"/>
        </w:rPr>
        <w:t xml:space="preserve">响应方案 </w:t>
      </w:r>
    </w:p>
    <w:p w14:paraId="490A87B9">
      <w:pPr>
        <w:spacing w:line="440" w:lineRule="exact"/>
        <w:rPr>
          <w:rFonts w:hint="default" w:ascii="Times New Roman" w:hAnsi="Times New Roman" w:cs="Times New Roman" w:eastAsiaTheme="minorEastAsia"/>
          <w:lang w:val="en-US" w:eastAsia="zh-CN"/>
        </w:rPr>
      </w:pPr>
      <w:bookmarkStart w:id="350" w:name="_Toc152045813"/>
      <w:bookmarkStart w:id="351" w:name="_Toc152042602"/>
      <w:bookmarkStart w:id="352" w:name="_Toc247527853"/>
      <w:bookmarkStart w:id="353" w:name="_Toc144974881"/>
      <w:bookmarkStart w:id="354" w:name="_Toc247514305"/>
      <w:bookmarkStart w:id="355" w:name="_Toc247530162"/>
      <w:r>
        <w:rPr>
          <w:rFonts w:hint="eastAsia" w:ascii="Times New Roman" w:hAnsi="Times New Roman" w:cs="Times New Roman"/>
          <w:lang w:val="en-US" w:eastAsia="zh-CN"/>
        </w:rPr>
        <w:t>格式供应商自拟。</w:t>
      </w:r>
    </w:p>
    <w:bookmarkEnd w:id="350"/>
    <w:bookmarkEnd w:id="351"/>
    <w:bookmarkEnd w:id="352"/>
    <w:bookmarkEnd w:id="353"/>
    <w:bookmarkEnd w:id="354"/>
    <w:bookmarkEnd w:id="355"/>
    <w:p w14:paraId="12815117">
      <w:pPr>
        <w:pStyle w:val="4"/>
        <w:jc w:val="center"/>
        <w:rPr>
          <w:rFonts w:hint="default" w:ascii="Times New Roman" w:hAnsi="Times New Roman" w:cs="Times New Roman"/>
        </w:rPr>
      </w:pPr>
      <w:bookmarkStart w:id="356" w:name="_Toc300835233"/>
      <w:bookmarkStart w:id="357" w:name="_Toc271821942"/>
      <w:r>
        <w:rPr>
          <w:rFonts w:hint="eastAsia" w:ascii="Times New Roman" w:hAnsi="Times New Roman" w:cs="Times New Roman"/>
          <w:lang w:val="en-US" w:eastAsia="zh-CN"/>
        </w:rPr>
        <w:t>九</w:t>
      </w:r>
      <w:r>
        <w:rPr>
          <w:rFonts w:hint="default" w:ascii="Times New Roman" w:hAnsi="Times New Roman" w:cs="Times New Roman"/>
        </w:rPr>
        <w:t>、其他资料</w:t>
      </w:r>
      <w:bookmarkEnd w:id="356"/>
      <w:bookmarkEnd w:id="357"/>
    </w:p>
    <w:p w14:paraId="0D783E7B">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1D83A03D">
      <w:pPr>
        <w:rPr>
          <w:rFonts w:hint="default" w:ascii="Times New Roman" w:hAnsi="Times New Roman" w:eastAsia="宋体" w:cs="Times New Roman"/>
          <w:b w:val="0"/>
          <w:bCs w:val="0"/>
          <w:kern w:val="0"/>
          <w:sz w:val="24"/>
          <w:szCs w:val="24"/>
          <w:highlight w:val="none"/>
          <w:lang w:val="en-US" w:eastAsia="zh-CN" w:bidi="ar-SA"/>
        </w:rPr>
      </w:pPr>
    </w:p>
    <w:sectPr>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E40A206-FA0E-417E-8BCE-27DCE2B3FDCB}"/>
  </w:font>
  <w:font w:name="Arial">
    <w:panose1 w:val="020B0604020202020204"/>
    <w:charset w:val="01"/>
    <w:family w:val="swiss"/>
    <w:pitch w:val="default"/>
    <w:sig w:usb0="E0002EFF" w:usb1="C000785B" w:usb2="00000009" w:usb3="00000000" w:csb0="400001FF" w:csb1="FFFF0000"/>
    <w:embedRegular r:id="rId2" w:fontKey="{F9807607-B095-4253-8D6E-FEE2BFD69FF5}"/>
  </w:font>
  <w:font w:name="黑体">
    <w:panose1 w:val="02010609060101010101"/>
    <w:charset w:val="86"/>
    <w:family w:val="auto"/>
    <w:pitch w:val="default"/>
    <w:sig w:usb0="800002BF" w:usb1="38CF7CFA" w:usb2="00000016" w:usb3="00000000" w:csb0="00040001" w:csb1="00000000"/>
    <w:embedRegular r:id="rId3" w:fontKey="{F767979C-1CB4-4C8F-B92B-5B10F6121D64}"/>
  </w:font>
  <w:font w:name="Courier New">
    <w:panose1 w:val="02070309020205020404"/>
    <w:charset w:val="01"/>
    <w:family w:val="modern"/>
    <w:pitch w:val="default"/>
    <w:sig w:usb0="E0002EFF" w:usb1="C0007843" w:usb2="00000009" w:usb3="00000000" w:csb0="400001FF" w:csb1="FFFF0000"/>
    <w:embedRegular r:id="rId4" w:fontKey="{F45EF5F5-ABFE-455C-A22A-CB7C0BA5332B}"/>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5" w:fontKey="{0CB887B6-222F-4D18-91C3-5333BEAA9D68}"/>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6" w:fontKey="{88CB4EAD-4DB7-45A9-AB0E-7037F7E70FBC}"/>
  </w:font>
  <w:font w:name="仿宋_GB2312">
    <w:panose1 w:val="02010609030101010101"/>
    <w:charset w:val="86"/>
    <w:family w:val="modern"/>
    <w:pitch w:val="default"/>
    <w:sig w:usb0="00000001" w:usb1="080E0000" w:usb2="00000000" w:usb3="00000000" w:csb0="00040000" w:csb1="00000000"/>
    <w:embedRegular r:id="rId7" w:fontKey="{482342EF-EE8E-4AA5-95AF-41278948AB03}"/>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auto"/>
    <w:pitch w:val="default"/>
    <w:sig w:usb0="800002BF" w:usb1="38CF7CFA" w:usb2="00000016" w:usb3="00000000" w:csb0="00040001" w:csb1="00000000"/>
    <w:embedRegular r:id="rId8" w:fontKey="{7BE520E7-2F78-489E-8288-782366BC74CD}"/>
  </w:font>
  <w:font w:name="Wingdings 2">
    <w:panose1 w:val="05020102010507070707"/>
    <w:charset w:val="00"/>
    <w:family w:val="auto"/>
    <w:pitch w:val="default"/>
    <w:sig w:usb0="00000000" w:usb1="00000000" w:usb2="00000000" w:usb3="00000000" w:csb0="80000000" w:csb1="00000000"/>
    <w:embedRegular r:id="rId9" w:fontKey="{2637B994-BC9E-4226-9BC4-A880B4B9961A}"/>
  </w:font>
  <w:font w:name="方正仿宋_GB2312">
    <w:altName w:val="仿宋"/>
    <w:panose1 w:val="02000000000000000000"/>
    <w:charset w:val="86"/>
    <w:family w:val="auto"/>
    <w:pitch w:val="default"/>
    <w:sig w:usb0="00000000" w:usb1="00000000" w:usb2="00000012" w:usb3="00000000" w:csb0="00040001" w:csb1="00000000"/>
    <w:embedRegular r:id="rId10" w:fontKey="{8815A381-435F-4096-9CFC-E45A32C3F4B7}"/>
  </w:font>
  <w:font w:name="仿宋">
    <w:panose1 w:val="02010609060101010101"/>
    <w:charset w:val="86"/>
    <w:family w:val="modern"/>
    <w:pitch w:val="default"/>
    <w:sig w:usb0="800002BF" w:usb1="38CF7CFA" w:usb2="00000016" w:usb3="00000000" w:csb0="00040001" w:csb1="00000000"/>
    <w:embedRegular r:id="rId11" w:fontKey="{EB91FDC4-0F74-459D-8180-B43D7DA59C05}"/>
  </w:font>
  <w:font w:name="Tahoma">
    <w:panose1 w:val="020B0604030504040204"/>
    <w:charset w:val="00"/>
    <w:family w:val="auto"/>
    <w:pitch w:val="default"/>
    <w:sig w:usb0="E1002EFF" w:usb1="C000605B" w:usb2="00000029" w:usb3="00000000" w:csb0="200101FF" w:csb1="20280000"/>
  </w:font>
  <w:font w:name="KSOFE885277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F41D9">
    <w:pPr>
      <w:pStyle w:val="14"/>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C5472">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A9EAE0">
                          <w:pPr>
                            <w:widowControl w:val="0"/>
                            <w:snapToGrid w:val="0"/>
                            <w:jc w:val="center"/>
                          </w:pPr>
                          <w:r>
                            <w:rPr>
                              <w:rFonts w:hint="eastAsia" w:ascii="Times New Roman" w:hAnsi="Times New Roman" w:eastAsia="宋体" w:cs="Times New Roman"/>
                              <w:kern w:val="0"/>
                              <w:sz w:val="18"/>
                              <w:szCs w:val="18"/>
                              <w:lang w:val="en-US" w:eastAsia="zh-CN" w:bidi="ar-SA"/>
                            </w:rPr>
                            <w:t xml:space="preserve">第 </w:t>
                          </w:r>
                          <w:r>
                            <w:rPr>
                              <w:rFonts w:ascii="Times New Roman" w:hAnsi="Times New Roman" w:eastAsia="宋体" w:cs="Times New Roman"/>
                              <w:kern w:val="0"/>
                              <w:sz w:val="18"/>
                              <w:szCs w:val="18"/>
                              <w:lang w:val="en-US" w:eastAsia="zh-CN" w:bidi="ar-SA"/>
                            </w:rPr>
                            <w:fldChar w:fldCharType="begin"/>
                          </w:r>
                          <w:r>
                            <w:rPr>
                              <w:rFonts w:ascii="Times New Roman" w:hAnsi="Times New Roman" w:eastAsia="宋体" w:cs="Times New Roman"/>
                              <w:kern w:val="0"/>
                              <w:sz w:val="18"/>
                              <w:szCs w:val="18"/>
                              <w:lang w:val="en-US" w:eastAsia="zh-CN" w:bidi="ar-SA"/>
                            </w:rPr>
                            <w:instrText xml:space="preserve"> PAGE </w:instrText>
                          </w:r>
                          <w:r>
                            <w:rPr>
                              <w:rFonts w:ascii="Times New Roman" w:hAnsi="Times New Roman" w:eastAsia="宋体" w:cs="Times New Roman"/>
                              <w:kern w:val="0"/>
                              <w:sz w:val="18"/>
                              <w:szCs w:val="18"/>
                              <w:lang w:val="en-US" w:eastAsia="zh-CN" w:bidi="ar-SA"/>
                            </w:rPr>
                            <w:fldChar w:fldCharType="separate"/>
                          </w:r>
                          <w:r>
                            <w:rPr>
                              <w:rFonts w:ascii="Times New Roman" w:hAnsi="Times New Roman" w:eastAsia="宋体" w:cs="Times New Roman"/>
                              <w:kern w:val="0"/>
                              <w:sz w:val="18"/>
                              <w:szCs w:val="18"/>
                              <w:lang w:val="en-US" w:eastAsia="zh-CN" w:bidi="ar-SA"/>
                            </w:rPr>
                            <w:t>8</w:t>
                          </w:r>
                          <w:r>
                            <w:rPr>
                              <w:rFonts w:ascii="Times New Roman" w:hAnsi="Times New Roman" w:eastAsia="宋体" w:cs="Times New Roman"/>
                              <w:kern w:val="0"/>
                              <w:sz w:val="18"/>
                              <w:szCs w:val="18"/>
                              <w:lang w:val="en-US" w:eastAsia="zh-CN" w:bidi="ar-SA"/>
                            </w:rPr>
                            <w:fldChar w:fldCharType="end"/>
                          </w:r>
                          <w:r>
                            <w:rPr>
                              <w:rFonts w:hint="eastAsia" w:ascii="Times New Roman" w:hAnsi="Times New Roman" w:eastAsia="宋体" w:cs="Times New Roman"/>
                              <w:kern w:val="0"/>
                              <w:sz w:val="18"/>
                              <w:szCs w:val="18"/>
                              <w:lang w:val="en-US" w:eastAsia="zh-CN" w:bidi="ar-SA"/>
                            </w:rP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FA9EAE0">
                    <w:pPr>
                      <w:widowControl w:val="0"/>
                      <w:snapToGrid w:val="0"/>
                      <w:jc w:val="center"/>
                    </w:pPr>
                    <w:r>
                      <w:rPr>
                        <w:rFonts w:hint="eastAsia" w:ascii="Times New Roman" w:hAnsi="Times New Roman" w:eastAsia="宋体" w:cs="Times New Roman"/>
                        <w:kern w:val="0"/>
                        <w:sz w:val="18"/>
                        <w:szCs w:val="18"/>
                        <w:lang w:val="en-US" w:eastAsia="zh-CN" w:bidi="ar-SA"/>
                      </w:rPr>
                      <w:t xml:space="preserve">第 </w:t>
                    </w:r>
                    <w:r>
                      <w:rPr>
                        <w:rFonts w:ascii="Times New Roman" w:hAnsi="Times New Roman" w:eastAsia="宋体" w:cs="Times New Roman"/>
                        <w:kern w:val="0"/>
                        <w:sz w:val="18"/>
                        <w:szCs w:val="18"/>
                        <w:lang w:val="en-US" w:eastAsia="zh-CN" w:bidi="ar-SA"/>
                      </w:rPr>
                      <w:fldChar w:fldCharType="begin"/>
                    </w:r>
                    <w:r>
                      <w:rPr>
                        <w:rFonts w:ascii="Times New Roman" w:hAnsi="Times New Roman" w:eastAsia="宋体" w:cs="Times New Roman"/>
                        <w:kern w:val="0"/>
                        <w:sz w:val="18"/>
                        <w:szCs w:val="18"/>
                        <w:lang w:val="en-US" w:eastAsia="zh-CN" w:bidi="ar-SA"/>
                      </w:rPr>
                      <w:instrText xml:space="preserve"> PAGE </w:instrText>
                    </w:r>
                    <w:r>
                      <w:rPr>
                        <w:rFonts w:ascii="Times New Roman" w:hAnsi="Times New Roman" w:eastAsia="宋体" w:cs="Times New Roman"/>
                        <w:kern w:val="0"/>
                        <w:sz w:val="18"/>
                        <w:szCs w:val="18"/>
                        <w:lang w:val="en-US" w:eastAsia="zh-CN" w:bidi="ar-SA"/>
                      </w:rPr>
                      <w:fldChar w:fldCharType="separate"/>
                    </w:r>
                    <w:r>
                      <w:rPr>
                        <w:rFonts w:ascii="Times New Roman" w:hAnsi="Times New Roman" w:eastAsia="宋体" w:cs="Times New Roman"/>
                        <w:kern w:val="0"/>
                        <w:sz w:val="18"/>
                        <w:szCs w:val="18"/>
                        <w:lang w:val="en-US" w:eastAsia="zh-CN" w:bidi="ar-SA"/>
                      </w:rPr>
                      <w:t>8</w:t>
                    </w:r>
                    <w:r>
                      <w:rPr>
                        <w:rFonts w:ascii="Times New Roman" w:hAnsi="Times New Roman" w:eastAsia="宋体" w:cs="Times New Roman"/>
                        <w:kern w:val="0"/>
                        <w:sz w:val="18"/>
                        <w:szCs w:val="18"/>
                        <w:lang w:val="en-US" w:eastAsia="zh-CN" w:bidi="ar-SA"/>
                      </w:rPr>
                      <w:fldChar w:fldCharType="end"/>
                    </w:r>
                    <w:r>
                      <w:rPr>
                        <w:rFonts w:hint="eastAsia" w:ascii="Times New Roman" w:hAnsi="Times New Roman" w:eastAsia="宋体" w:cs="Times New Roman"/>
                        <w:kern w:val="0"/>
                        <w:sz w:val="18"/>
                        <w:szCs w:val="18"/>
                        <w:lang w:val="en-US" w:eastAsia="zh-CN" w:bidi="ar-SA"/>
                      </w:rPr>
                      <w:t xml:space="preserve"> 页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60A79">
    <w:pPr>
      <w:widowControl w:val="0"/>
      <w:snapToGrid w:val="0"/>
      <w:jc w:val="center"/>
      <w:rPr>
        <w:rFonts w:ascii="宋体" w:hAnsi="宋体" w:eastAsia="宋体"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4A43A6">
                          <w:pPr>
                            <w:widowControl w:val="0"/>
                            <w:snapToGrid w:val="0"/>
                            <w:jc w:val="center"/>
                          </w:pPr>
                          <w:r>
                            <w:rPr>
                              <w:rFonts w:hint="eastAsia" w:ascii="宋体" w:hAnsi="宋体" w:eastAsia="宋体" w:cs="Times New Roman"/>
                              <w:kern w:val="0"/>
                              <w:sz w:val="18"/>
                              <w:szCs w:val="18"/>
                              <w:lang w:val="en-US" w:eastAsia="zh-CN" w:bidi="ar-SA"/>
                            </w:rPr>
                            <w:t xml:space="preserve">第 </w:t>
                          </w:r>
                          <w:r>
                            <w:rPr>
                              <w:rFonts w:ascii="宋体" w:hAnsi="宋体" w:eastAsia="宋体" w:cs="Times New Roman"/>
                              <w:kern w:val="0"/>
                              <w:sz w:val="18"/>
                              <w:szCs w:val="18"/>
                              <w:lang w:val="en-US" w:eastAsia="zh-CN" w:bidi="ar-SA"/>
                            </w:rPr>
                            <w:fldChar w:fldCharType="begin"/>
                          </w:r>
                          <w:r>
                            <w:rPr>
                              <w:rFonts w:ascii="宋体" w:hAnsi="宋体" w:eastAsia="宋体" w:cs="Times New Roman"/>
                              <w:kern w:val="0"/>
                              <w:sz w:val="18"/>
                              <w:szCs w:val="18"/>
                              <w:lang w:val="en-US" w:eastAsia="zh-CN" w:bidi="ar-SA"/>
                            </w:rPr>
                            <w:instrText xml:space="preserve"> PAGE </w:instrText>
                          </w:r>
                          <w:r>
                            <w:rPr>
                              <w:rFonts w:ascii="宋体" w:hAnsi="宋体" w:eastAsia="宋体" w:cs="Times New Roman"/>
                              <w:kern w:val="0"/>
                              <w:sz w:val="18"/>
                              <w:szCs w:val="18"/>
                              <w:lang w:val="en-US" w:eastAsia="zh-CN" w:bidi="ar-SA"/>
                            </w:rPr>
                            <w:fldChar w:fldCharType="separate"/>
                          </w:r>
                          <w:r>
                            <w:rPr>
                              <w:rFonts w:ascii="宋体" w:hAnsi="宋体" w:eastAsia="宋体" w:cs="Times New Roman"/>
                              <w:kern w:val="0"/>
                              <w:sz w:val="18"/>
                              <w:szCs w:val="18"/>
                              <w:lang w:val="en-US" w:eastAsia="zh-CN" w:bidi="ar-SA"/>
                            </w:rPr>
                            <w:t>1</w:t>
                          </w:r>
                          <w:r>
                            <w:rPr>
                              <w:rFonts w:ascii="宋体" w:hAnsi="宋体" w:eastAsia="宋体" w:cs="Times New Roman"/>
                              <w:kern w:val="0"/>
                              <w:sz w:val="18"/>
                              <w:szCs w:val="18"/>
                              <w:lang w:val="en-US" w:eastAsia="zh-CN" w:bidi="ar-SA"/>
                            </w:rPr>
                            <w:fldChar w:fldCharType="end"/>
                          </w:r>
                          <w:r>
                            <w:rPr>
                              <w:rFonts w:hint="eastAsia" w:ascii="宋体" w:hAnsi="宋体" w:eastAsia="宋体" w:cs="Times New Roman"/>
                              <w:kern w:val="0"/>
                              <w:sz w:val="18"/>
                              <w:szCs w:val="18"/>
                              <w:lang w:val="en-US" w:eastAsia="zh-CN" w:bidi="ar-SA"/>
                            </w:rP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64A43A6">
                    <w:pPr>
                      <w:widowControl w:val="0"/>
                      <w:snapToGrid w:val="0"/>
                      <w:jc w:val="center"/>
                    </w:pPr>
                    <w:r>
                      <w:rPr>
                        <w:rFonts w:hint="eastAsia" w:ascii="宋体" w:hAnsi="宋体" w:eastAsia="宋体" w:cs="Times New Roman"/>
                        <w:kern w:val="0"/>
                        <w:sz w:val="18"/>
                        <w:szCs w:val="18"/>
                        <w:lang w:val="en-US" w:eastAsia="zh-CN" w:bidi="ar-SA"/>
                      </w:rPr>
                      <w:t xml:space="preserve">第 </w:t>
                    </w:r>
                    <w:r>
                      <w:rPr>
                        <w:rFonts w:ascii="宋体" w:hAnsi="宋体" w:eastAsia="宋体" w:cs="Times New Roman"/>
                        <w:kern w:val="0"/>
                        <w:sz w:val="18"/>
                        <w:szCs w:val="18"/>
                        <w:lang w:val="en-US" w:eastAsia="zh-CN" w:bidi="ar-SA"/>
                      </w:rPr>
                      <w:fldChar w:fldCharType="begin"/>
                    </w:r>
                    <w:r>
                      <w:rPr>
                        <w:rFonts w:ascii="宋体" w:hAnsi="宋体" w:eastAsia="宋体" w:cs="Times New Roman"/>
                        <w:kern w:val="0"/>
                        <w:sz w:val="18"/>
                        <w:szCs w:val="18"/>
                        <w:lang w:val="en-US" w:eastAsia="zh-CN" w:bidi="ar-SA"/>
                      </w:rPr>
                      <w:instrText xml:space="preserve"> PAGE </w:instrText>
                    </w:r>
                    <w:r>
                      <w:rPr>
                        <w:rFonts w:ascii="宋体" w:hAnsi="宋体" w:eastAsia="宋体" w:cs="Times New Roman"/>
                        <w:kern w:val="0"/>
                        <w:sz w:val="18"/>
                        <w:szCs w:val="18"/>
                        <w:lang w:val="en-US" w:eastAsia="zh-CN" w:bidi="ar-SA"/>
                      </w:rPr>
                      <w:fldChar w:fldCharType="separate"/>
                    </w:r>
                    <w:r>
                      <w:rPr>
                        <w:rFonts w:ascii="宋体" w:hAnsi="宋体" w:eastAsia="宋体" w:cs="Times New Roman"/>
                        <w:kern w:val="0"/>
                        <w:sz w:val="18"/>
                        <w:szCs w:val="18"/>
                        <w:lang w:val="en-US" w:eastAsia="zh-CN" w:bidi="ar-SA"/>
                      </w:rPr>
                      <w:t>1</w:t>
                    </w:r>
                    <w:r>
                      <w:rPr>
                        <w:rFonts w:ascii="宋体" w:hAnsi="宋体" w:eastAsia="宋体" w:cs="Times New Roman"/>
                        <w:kern w:val="0"/>
                        <w:sz w:val="18"/>
                        <w:szCs w:val="18"/>
                        <w:lang w:val="en-US" w:eastAsia="zh-CN" w:bidi="ar-SA"/>
                      </w:rPr>
                      <w:fldChar w:fldCharType="end"/>
                    </w:r>
                    <w:r>
                      <w:rPr>
                        <w:rFonts w:hint="eastAsia" w:ascii="宋体" w:hAnsi="宋体" w:eastAsia="宋体" w:cs="Times New Roman"/>
                        <w:kern w:val="0"/>
                        <w:sz w:val="18"/>
                        <w:szCs w:val="18"/>
                        <w:lang w:val="en-US" w:eastAsia="zh-CN" w:bidi="ar-SA"/>
                      </w:rPr>
                      <w:t xml:space="preserve"> 页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B183">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754361">
                          <w:pPr>
                            <w:pStyle w:val="1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754361">
                    <w:pPr>
                      <w:pStyle w:val="1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8FFB7">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617B5A">
                          <w:pPr>
                            <w:pStyle w:val="1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2617B5A">
                    <w:pPr>
                      <w:pStyle w:val="1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27796">
    <w:pPr>
      <w:widowControl w:val="0"/>
      <w:pBdr>
        <w:bottom w:val="single" w:color="auto" w:sz="6" w:space="1"/>
      </w:pBdr>
      <w:snapToGrid w:val="0"/>
      <w:jc w:val="both"/>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88143">
    <w:pPr>
      <w:widowControl w:val="0"/>
      <w:pBdr>
        <w:bottom w:val="single" w:color="auto" w:sz="6" w:space="1"/>
      </w:pBdr>
      <w:snapToGrid w:val="0"/>
      <w:jc w:val="both"/>
      <w:rPr>
        <w:rFonts w:hint="eastAsia" w:ascii="宋体" w:hAnsi="宋体" w:eastAsia="宋体" w:cs="Times New Roman"/>
        <w:kern w:val="2"/>
        <w:sz w:val="18"/>
        <w:szCs w:val="18"/>
        <w:lang w:val="en-US" w:eastAsia="zh-CN" w:bidi="ar-SA"/>
      </w:rPr>
    </w:pPr>
  </w:p>
  <w:p w14:paraId="2A0C7587">
    <w:pPr>
      <w:widowControl w:val="0"/>
      <w:pBdr>
        <w:bottom w:val="single" w:color="auto" w:sz="6" w:space="1"/>
      </w:pBdr>
      <w:snapToGrid w:val="0"/>
      <w:jc w:val="both"/>
      <w:rPr>
        <w:rFonts w:ascii="宋体" w:hAnsi="宋体" w:eastAsia="宋体" w:cs="Times New Roman"/>
        <w:kern w:val="2"/>
        <w:sz w:val="18"/>
        <w:szCs w:val="18"/>
        <w:lang w:val="en-US" w:eastAsia="zh-CN" w:bidi="ar-SA"/>
      </w:rPr>
    </w:pPr>
    <w:r>
      <w:rPr>
        <w:rFonts w:hint="eastAsia" w:ascii="宋体" w:hAnsi="宋体" w:eastAsia="宋体" w:cs="Times New Roman"/>
        <w:kern w:val="2"/>
        <w:sz w:val="18"/>
        <w:szCs w:val="18"/>
        <w:lang w:val="en-US" w:eastAsia="zh-CN" w:bidi="ar-S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C681F">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D4359"/>
    <w:multiLevelType w:val="singleLevel"/>
    <w:tmpl w:val="FBDD4359"/>
    <w:lvl w:ilvl="0" w:tentative="0">
      <w:start w:val="1"/>
      <w:numFmt w:val="decimal"/>
      <w:suff w:val="nothing"/>
      <w:lvlText w:val="（%1）"/>
      <w:lvlJc w:val="left"/>
    </w:lvl>
  </w:abstractNum>
  <w:abstractNum w:abstractNumId="1">
    <w:nsid w:val="14AC7271"/>
    <w:multiLevelType w:val="singleLevel"/>
    <w:tmpl w:val="14AC7271"/>
    <w:lvl w:ilvl="0" w:tentative="0">
      <w:start w:val="1"/>
      <w:numFmt w:val="chineseCounting"/>
      <w:suff w:val="nothing"/>
      <w:lvlText w:val="%1、"/>
      <w:lvlJc w:val="left"/>
      <w:rPr>
        <w:rFonts w:hint="eastAsia"/>
      </w:rPr>
    </w:lvl>
  </w:abstractNum>
  <w:abstractNum w:abstractNumId="2">
    <w:nsid w:val="1B9E191A"/>
    <w:multiLevelType w:val="singleLevel"/>
    <w:tmpl w:val="1B9E191A"/>
    <w:lvl w:ilvl="0" w:tentative="0">
      <w:start w:val="1"/>
      <w:numFmt w:val="chineseCounting"/>
      <w:suff w:val="nothing"/>
      <w:lvlText w:val="（%1）"/>
      <w:lvlJc w:val="left"/>
      <w:rPr>
        <w:rFonts w:hint="eastAsia"/>
      </w:rPr>
    </w:lvl>
  </w:abstractNum>
  <w:abstractNum w:abstractNumId="3">
    <w:nsid w:val="4EDC1A7D"/>
    <w:multiLevelType w:val="multilevel"/>
    <w:tmpl w:val="4EDC1A7D"/>
    <w:lvl w:ilvl="0" w:tentative="0">
      <w:start w:val="1"/>
      <w:numFmt w:val="bullet"/>
      <w:lvlText w:val=""/>
      <w:lvlJc w:val="left"/>
      <w:pPr>
        <w:ind w:left="660" w:hanging="420"/>
      </w:pPr>
      <w:rPr>
        <w:rFonts w:hint="default" w:ascii="Wingdings" w:hAnsi="Wingdings"/>
      </w:rPr>
    </w:lvl>
    <w:lvl w:ilvl="1" w:tentative="0">
      <w:start w:val="1"/>
      <w:numFmt w:val="bullet"/>
      <w:lvlText w:val=""/>
      <w:lvlJc w:val="left"/>
      <w:pPr>
        <w:ind w:left="1080" w:hanging="420"/>
      </w:pPr>
      <w:rPr>
        <w:rFonts w:hint="default" w:ascii="Wingdings" w:hAnsi="Wingdings"/>
      </w:rPr>
    </w:lvl>
    <w:lvl w:ilvl="2" w:tentative="0">
      <w:start w:val="1"/>
      <w:numFmt w:val="bullet"/>
      <w:lvlText w:val=""/>
      <w:lvlJc w:val="left"/>
      <w:pPr>
        <w:ind w:left="1500" w:hanging="420"/>
      </w:pPr>
      <w:rPr>
        <w:rFonts w:hint="default" w:ascii="Wingdings" w:hAnsi="Wingdings"/>
      </w:rPr>
    </w:lvl>
    <w:lvl w:ilvl="3" w:tentative="0">
      <w:start w:val="1"/>
      <w:numFmt w:val="bullet"/>
      <w:lvlText w:val=""/>
      <w:lvlJc w:val="left"/>
      <w:pPr>
        <w:ind w:left="1920" w:hanging="420"/>
      </w:pPr>
      <w:rPr>
        <w:rFonts w:hint="default" w:ascii="Wingdings" w:hAnsi="Wingdings"/>
      </w:rPr>
    </w:lvl>
    <w:lvl w:ilvl="4" w:tentative="0">
      <w:start w:val="1"/>
      <w:numFmt w:val="bullet"/>
      <w:lvlText w:val=""/>
      <w:lvlJc w:val="left"/>
      <w:pPr>
        <w:ind w:left="2340" w:hanging="420"/>
      </w:pPr>
      <w:rPr>
        <w:rFonts w:hint="default" w:ascii="Wingdings" w:hAnsi="Wingdings"/>
      </w:rPr>
    </w:lvl>
    <w:lvl w:ilvl="5" w:tentative="0">
      <w:start w:val="1"/>
      <w:numFmt w:val="bullet"/>
      <w:lvlText w:val=""/>
      <w:lvlJc w:val="left"/>
      <w:pPr>
        <w:ind w:left="2760" w:hanging="420"/>
      </w:pPr>
      <w:rPr>
        <w:rFonts w:hint="default" w:ascii="Wingdings" w:hAnsi="Wingdings"/>
      </w:rPr>
    </w:lvl>
    <w:lvl w:ilvl="6" w:tentative="0">
      <w:start w:val="1"/>
      <w:numFmt w:val="bullet"/>
      <w:lvlText w:val=""/>
      <w:lvlJc w:val="left"/>
      <w:pPr>
        <w:ind w:left="3180" w:hanging="420"/>
      </w:pPr>
      <w:rPr>
        <w:rFonts w:hint="default" w:ascii="Wingdings" w:hAnsi="Wingdings"/>
      </w:rPr>
    </w:lvl>
    <w:lvl w:ilvl="7" w:tentative="0">
      <w:start w:val="1"/>
      <w:numFmt w:val="bullet"/>
      <w:lvlText w:val=""/>
      <w:lvlJc w:val="left"/>
      <w:pPr>
        <w:ind w:left="3600" w:hanging="420"/>
      </w:pPr>
      <w:rPr>
        <w:rFonts w:hint="default" w:ascii="Wingdings" w:hAnsi="Wingdings"/>
      </w:rPr>
    </w:lvl>
    <w:lvl w:ilvl="8" w:tentative="0">
      <w:start w:val="1"/>
      <w:numFmt w:val="bullet"/>
      <w:lvlText w:val=""/>
      <w:lvlJc w:val="left"/>
      <w:pPr>
        <w:ind w:left="4020" w:hanging="420"/>
      </w:pPr>
      <w:rPr>
        <w:rFonts w:hint="default" w:ascii="Wingdings" w:hAnsi="Wingdings"/>
      </w:rPr>
    </w:lvl>
  </w:abstractNum>
  <w:abstractNum w:abstractNumId="4">
    <w:nsid w:val="5A80A781"/>
    <w:multiLevelType w:val="singleLevel"/>
    <w:tmpl w:val="5A80A781"/>
    <w:lvl w:ilvl="0" w:tentative="0">
      <w:start w:val="1"/>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 w:numId="5">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alala">
    <w15:presenceInfo w15:providerId="WPS Office" w15:userId="51004742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jZTU0NWQ3ZDc2MTNlNTU2NzI3OTFhYWE0NmEwZjg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52FF2"/>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05A50"/>
    <w:rsid w:val="0462668B"/>
    <w:rsid w:val="046441B2"/>
    <w:rsid w:val="04885B47"/>
    <w:rsid w:val="04A52387"/>
    <w:rsid w:val="04B073F7"/>
    <w:rsid w:val="04B54547"/>
    <w:rsid w:val="04C35D04"/>
    <w:rsid w:val="04CD15E8"/>
    <w:rsid w:val="04CF4810"/>
    <w:rsid w:val="04D23235"/>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1964"/>
    <w:rsid w:val="067240CC"/>
    <w:rsid w:val="067A79B9"/>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041C7C"/>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44369"/>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0679F"/>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BFE0C13"/>
    <w:rsid w:val="0C110CA2"/>
    <w:rsid w:val="0C165556"/>
    <w:rsid w:val="0C581CC5"/>
    <w:rsid w:val="0C773477"/>
    <w:rsid w:val="0C873133"/>
    <w:rsid w:val="0C9F113B"/>
    <w:rsid w:val="0CA74A68"/>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14423"/>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0265B"/>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4D028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479EB"/>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32AF7"/>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06840"/>
    <w:rsid w:val="14773A8D"/>
    <w:rsid w:val="147E2423"/>
    <w:rsid w:val="1487273A"/>
    <w:rsid w:val="148C28CB"/>
    <w:rsid w:val="14944440"/>
    <w:rsid w:val="14A059A0"/>
    <w:rsid w:val="14A800EA"/>
    <w:rsid w:val="14B97B05"/>
    <w:rsid w:val="14CD31B9"/>
    <w:rsid w:val="14DA6BBE"/>
    <w:rsid w:val="14DB226E"/>
    <w:rsid w:val="14DD70DD"/>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740E05"/>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879A4"/>
    <w:rsid w:val="1A6E148E"/>
    <w:rsid w:val="1A797469"/>
    <w:rsid w:val="1A8850B8"/>
    <w:rsid w:val="1A9B5FFB"/>
    <w:rsid w:val="1AA066C8"/>
    <w:rsid w:val="1ABF2F84"/>
    <w:rsid w:val="1ADB0B95"/>
    <w:rsid w:val="1AE31E7C"/>
    <w:rsid w:val="1AF775F6"/>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A205D"/>
    <w:rsid w:val="1C4E114E"/>
    <w:rsid w:val="1C5D5F8B"/>
    <w:rsid w:val="1C630441"/>
    <w:rsid w:val="1C671A57"/>
    <w:rsid w:val="1C6934B1"/>
    <w:rsid w:val="1C6E241C"/>
    <w:rsid w:val="1CB07DF9"/>
    <w:rsid w:val="1CB612AF"/>
    <w:rsid w:val="1CC3681B"/>
    <w:rsid w:val="1CF251D3"/>
    <w:rsid w:val="1CF806C3"/>
    <w:rsid w:val="1CFF3217"/>
    <w:rsid w:val="1D01483C"/>
    <w:rsid w:val="1D0460DA"/>
    <w:rsid w:val="1D0C3E62"/>
    <w:rsid w:val="1D1D0D81"/>
    <w:rsid w:val="1D35436C"/>
    <w:rsid w:val="1D3A1AFC"/>
    <w:rsid w:val="1D4B5AB7"/>
    <w:rsid w:val="1D546098"/>
    <w:rsid w:val="1D5801D4"/>
    <w:rsid w:val="1D5835F0"/>
    <w:rsid w:val="1D594678"/>
    <w:rsid w:val="1D65672A"/>
    <w:rsid w:val="1D834BF6"/>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1FF607F5"/>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CA738D"/>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5E564A"/>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7A49DE"/>
    <w:rsid w:val="2293123C"/>
    <w:rsid w:val="229E633A"/>
    <w:rsid w:val="22A570EC"/>
    <w:rsid w:val="22CA396A"/>
    <w:rsid w:val="22D569A0"/>
    <w:rsid w:val="230F1167"/>
    <w:rsid w:val="231F71F7"/>
    <w:rsid w:val="232E56FD"/>
    <w:rsid w:val="233F5F96"/>
    <w:rsid w:val="235A4CA6"/>
    <w:rsid w:val="235F4D23"/>
    <w:rsid w:val="236D4028"/>
    <w:rsid w:val="238A4DFC"/>
    <w:rsid w:val="23954F56"/>
    <w:rsid w:val="23955CDE"/>
    <w:rsid w:val="23BD5235"/>
    <w:rsid w:val="24226CC5"/>
    <w:rsid w:val="24312A4A"/>
    <w:rsid w:val="244A5E9A"/>
    <w:rsid w:val="244C4BB8"/>
    <w:rsid w:val="246851A0"/>
    <w:rsid w:val="24691193"/>
    <w:rsid w:val="246C3A46"/>
    <w:rsid w:val="247152E7"/>
    <w:rsid w:val="247E6772"/>
    <w:rsid w:val="24961D0D"/>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12E2"/>
    <w:rsid w:val="268A362E"/>
    <w:rsid w:val="269560EE"/>
    <w:rsid w:val="26AF686C"/>
    <w:rsid w:val="26CA60FC"/>
    <w:rsid w:val="26D16018"/>
    <w:rsid w:val="26DB3228"/>
    <w:rsid w:val="26DF6074"/>
    <w:rsid w:val="26E05716"/>
    <w:rsid w:val="26E31456"/>
    <w:rsid w:val="26FB685D"/>
    <w:rsid w:val="26FE679C"/>
    <w:rsid w:val="27135B8A"/>
    <w:rsid w:val="27301EDB"/>
    <w:rsid w:val="27453115"/>
    <w:rsid w:val="276500BD"/>
    <w:rsid w:val="27692945"/>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55FEA"/>
    <w:rsid w:val="29891E41"/>
    <w:rsid w:val="29967FD2"/>
    <w:rsid w:val="29A52D8F"/>
    <w:rsid w:val="29A948BE"/>
    <w:rsid w:val="29C56C3A"/>
    <w:rsid w:val="29D85278"/>
    <w:rsid w:val="29E1380C"/>
    <w:rsid w:val="29E277A3"/>
    <w:rsid w:val="29E85046"/>
    <w:rsid w:val="2A017BFD"/>
    <w:rsid w:val="2A0A71F8"/>
    <w:rsid w:val="2A4913A2"/>
    <w:rsid w:val="2A5E1909"/>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025"/>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1819BF"/>
    <w:rsid w:val="2F2C3498"/>
    <w:rsid w:val="2F3565C7"/>
    <w:rsid w:val="2F3E191F"/>
    <w:rsid w:val="2F436846"/>
    <w:rsid w:val="2F4556CE"/>
    <w:rsid w:val="2F6F3C93"/>
    <w:rsid w:val="2F754A27"/>
    <w:rsid w:val="2F8135BA"/>
    <w:rsid w:val="2FAC78C5"/>
    <w:rsid w:val="2FB1448A"/>
    <w:rsid w:val="2FC802AE"/>
    <w:rsid w:val="2FCC29AF"/>
    <w:rsid w:val="2FCC2A87"/>
    <w:rsid w:val="2FD374AF"/>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110A"/>
    <w:rsid w:val="32BB4ABE"/>
    <w:rsid w:val="32BF7CD8"/>
    <w:rsid w:val="32C24615"/>
    <w:rsid w:val="32C8549C"/>
    <w:rsid w:val="32CA16D9"/>
    <w:rsid w:val="32DA54BB"/>
    <w:rsid w:val="32E83928"/>
    <w:rsid w:val="32F11987"/>
    <w:rsid w:val="32F45590"/>
    <w:rsid w:val="331A580D"/>
    <w:rsid w:val="331C19F3"/>
    <w:rsid w:val="331F55C4"/>
    <w:rsid w:val="33240E2C"/>
    <w:rsid w:val="33380434"/>
    <w:rsid w:val="333F7A1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DC5263"/>
    <w:rsid w:val="33ED39C2"/>
    <w:rsid w:val="3402309A"/>
    <w:rsid w:val="340F56DE"/>
    <w:rsid w:val="342235BE"/>
    <w:rsid w:val="3425597D"/>
    <w:rsid w:val="342804A8"/>
    <w:rsid w:val="342A5DF5"/>
    <w:rsid w:val="34331D5F"/>
    <w:rsid w:val="343819DA"/>
    <w:rsid w:val="344851FD"/>
    <w:rsid w:val="346A0AC1"/>
    <w:rsid w:val="348B2B5D"/>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04D95"/>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606D5"/>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90FA7"/>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2620A"/>
    <w:rsid w:val="39663F4D"/>
    <w:rsid w:val="397B716D"/>
    <w:rsid w:val="39821F75"/>
    <w:rsid w:val="39882115"/>
    <w:rsid w:val="398B5520"/>
    <w:rsid w:val="398C3DB7"/>
    <w:rsid w:val="39916AF0"/>
    <w:rsid w:val="39932868"/>
    <w:rsid w:val="399E647D"/>
    <w:rsid w:val="39AB6275"/>
    <w:rsid w:val="39B32692"/>
    <w:rsid w:val="39BA7DF4"/>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EE5665"/>
    <w:rsid w:val="3AF47336"/>
    <w:rsid w:val="3AFF2C64"/>
    <w:rsid w:val="3B010619"/>
    <w:rsid w:val="3B081118"/>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5B65B1"/>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2D1069"/>
    <w:rsid w:val="3F3C595E"/>
    <w:rsid w:val="3F59346C"/>
    <w:rsid w:val="3F657308"/>
    <w:rsid w:val="3F685210"/>
    <w:rsid w:val="3F731171"/>
    <w:rsid w:val="3F732F1F"/>
    <w:rsid w:val="3F7856B5"/>
    <w:rsid w:val="3F7970EE"/>
    <w:rsid w:val="3F7C4554"/>
    <w:rsid w:val="3F8003ED"/>
    <w:rsid w:val="3F827A5D"/>
    <w:rsid w:val="3F8B5F41"/>
    <w:rsid w:val="3F902B34"/>
    <w:rsid w:val="3F9B61F7"/>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43E5D"/>
    <w:rsid w:val="41761D35"/>
    <w:rsid w:val="417626E4"/>
    <w:rsid w:val="417843F2"/>
    <w:rsid w:val="41807B75"/>
    <w:rsid w:val="41864563"/>
    <w:rsid w:val="418A1799"/>
    <w:rsid w:val="41A61C3F"/>
    <w:rsid w:val="41B17185"/>
    <w:rsid w:val="41C45CB4"/>
    <w:rsid w:val="41DB6A6F"/>
    <w:rsid w:val="41EC6DB7"/>
    <w:rsid w:val="41ED19B3"/>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03C94"/>
    <w:rsid w:val="44477A7A"/>
    <w:rsid w:val="44501A81"/>
    <w:rsid w:val="44564BBE"/>
    <w:rsid w:val="445A5900"/>
    <w:rsid w:val="446A440B"/>
    <w:rsid w:val="44831552"/>
    <w:rsid w:val="4488746D"/>
    <w:rsid w:val="44912DD9"/>
    <w:rsid w:val="449C52EA"/>
    <w:rsid w:val="44A72CB4"/>
    <w:rsid w:val="44BF09B5"/>
    <w:rsid w:val="44DC0CFE"/>
    <w:rsid w:val="44DC4FCA"/>
    <w:rsid w:val="44FC7513"/>
    <w:rsid w:val="44FD1C6D"/>
    <w:rsid w:val="45245377"/>
    <w:rsid w:val="453249CF"/>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53D76"/>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DD3AFF"/>
    <w:rsid w:val="48F556EA"/>
    <w:rsid w:val="490B241B"/>
    <w:rsid w:val="491946D3"/>
    <w:rsid w:val="4922747B"/>
    <w:rsid w:val="4924047E"/>
    <w:rsid w:val="49276380"/>
    <w:rsid w:val="49441489"/>
    <w:rsid w:val="49470D20"/>
    <w:rsid w:val="4948117F"/>
    <w:rsid w:val="494B0B0D"/>
    <w:rsid w:val="49553696"/>
    <w:rsid w:val="4968214A"/>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A9096E"/>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63AE4"/>
    <w:rsid w:val="4C87254B"/>
    <w:rsid w:val="4CBD57DA"/>
    <w:rsid w:val="4CD46FC7"/>
    <w:rsid w:val="4CDE4416"/>
    <w:rsid w:val="4CF003CA"/>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103B3"/>
    <w:rsid w:val="4EF43B16"/>
    <w:rsid w:val="4F0E1E8F"/>
    <w:rsid w:val="4F1D6A04"/>
    <w:rsid w:val="4F2B6C13"/>
    <w:rsid w:val="4F3153D3"/>
    <w:rsid w:val="4F5F3ED1"/>
    <w:rsid w:val="4F676F0A"/>
    <w:rsid w:val="4F766114"/>
    <w:rsid w:val="4F804E7C"/>
    <w:rsid w:val="4F833928"/>
    <w:rsid w:val="4F851C22"/>
    <w:rsid w:val="4F85516A"/>
    <w:rsid w:val="4F897FC0"/>
    <w:rsid w:val="4F8B6063"/>
    <w:rsid w:val="4F9071D6"/>
    <w:rsid w:val="4F932AC0"/>
    <w:rsid w:val="4F944D8F"/>
    <w:rsid w:val="4FB21842"/>
    <w:rsid w:val="4FB75BBE"/>
    <w:rsid w:val="4FCA5221"/>
    <w:rsid w:val="4FED0FB9"/>
    <w:rsid w:val="4FF01E38"/>
    <w:rsid w:val="500A342C"/>
    <w:rsid w:val="502F5BB5"/>
    <w:rsid w:val="502F7384"/>
    <w:rsid w:val="50324731"/>
    <w:rsid w:val="50561719"/>
    <w:rsid w:val="5061076D"/>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45BE4"/>
    <w:rsid w:val="51151213"/>
    <w:rsid w:val="512D5F57"/>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1FE52AC"/>
    <w:rsid w:val="5219226D"/>
    <w:rsid w:val="521A0101"/>
    <w:rsid w:val="52241967"/>
    <w:rsid w:val="52263E21"/>
    <w:rsid w:val="52267BB8"/>
    <w:rsid w:val="522851B7"/>
    <w:rsid w:val="522D1CB6"/>
    <w:rsid w:val="523B1A3B"/>
    <w:rsid w:val="52410C5B"/>
    <w:rsid w:val="52444C58"/>
    <w:rsid w:val="52481FEA"/>
    <w:rsid w:val="524E0600"/>
    <w:rsid w:val="525070F0"/>
    <w:rsid w:val="5252412C"/>
    <w:rsid w:val="52595FA5"/>
    <w:rsid w:val="5263075C"/>
    <w:rsid w:val="52660A26"/>
    <w:rsid w:val="52717995"/>
    <w:rsid w:val="528315FB"/>
    <w:rsid w:val="528738A2"/>
    <w:rsid w:val="52910142"/>
    <w:rsid w:val="52990759"/>
    <w:rsid w:val="529B480F"/>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CC75F5"/>
    <w:rsid w:val="54D45DB6"/>
    <w:rsid w:val="54E838DC"/>
    <w:rsid w:val="54F75F49"/>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648"/>
    <w:rsid w:val="56CC3A96"/>
    <w:rsid w:val="56D42684"/>
    <w:rsid w:val="56DD2471"/>
    <w:rsid w:val="56E01510"/>
    <w:rsid w:val="571974A0"/>
    <w:rsid w:val="57210A6D"/>
    <w:rsid w:val="57387588"/>
    <w:rsid w:val="5744214A"/>
    <w:rsid w:val="574B480A"/>
    <w:rsid w:val="57543081"/>
    <w:rsid w:val="578364FC"/>
    <w:rsid w:val="5789649C"/>
    <w:rsid w:val="57A373F0"/>
    <w:rsid w:val="57AF09B6"/>
    <w:rsid w:val="57C83C57"/>
    <w:rsid w:val="57FB2FB4"/>
    <w:rsid w:val="581A61D6"/>
    <w:rsid w:val="582028C2"/>
    <w:rsid w:val="582908A2"/>
    <w:rsid w:val="58382B00"/>
    <w:rsid w:val="583D07DD"/>
    <w:rsid w:val="583D778E"/>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45F2C"/>
    <w:rsid w:val="5B790B4E"/>
    <w:rsid w:val="5B7A2400"/>
    <w:rsid w:val="5B8C403F"/>
    <w:rsid w:val="5B9B626D"/>
    <w:rsid w:val="5BA109BC"/>
    <w:rsid w:val="5BA762EC"/>
    <w:rsid w:val="5BAA161F"/>
    <w:rsid w:val="5BD32897"/>
    <w:rsid w:val="5BD32DCC"/>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57C0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C0CB4"/>
    <w:rsid w:val="603E7832"/>
    <w:rsid w:val="6044067F"/>
    <w:rsid w:val="606A75CF"/>
    <w:rsid w:val="60793AF7"/>
    <w:rsid w:val="6099592B"/>
    <w:rsid w:val="609B3B69"/>
    <w:rsid w:val="60A13AB9"/>
    <w:rsid w:val="60A317BE"/>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0720C"/>
    <w:rsid w:val="64B47494"/>
    <w:rsid w:val="64B70C4D"/>
    <w:rsid w:val="64CF0348"/>
    <w:rsid w:val="64D14920"/>
    <w:rsid w:val="64DC3A26"/>
    <w:rsid w:val="64E114C3"/>
    <w:rsid w:val="64E23632"/>
    <w:rsid w:val="64EA382F"/>
    <w:rsid w:val="64ED3306"/>
    <w:rsid w:val="64F70454"/>
    <w:rsid w:val="65112EA3"/>
    <w:rsid w:val="6511603A"/>
    <w:rsid w:val="65197815"/>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21442"/>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71355"/>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E03D2"/>
    <w:rsid w:val="6BA33A98"/>
    <w:rsid w:val="6BAC2823"/>
    <w:rsid w:val="6BBD5024"/>
    <w:rsid w:val="6BCF6E80"/>
    <w:rsid w:val="6BE02E3B"/>
    <w:rsid w:val="6BF37DF1"/>
    <w:rsid w:val="6BF863D7"/>
    <w:rsid w:val="6C2076DB"/>
    <w:rsid w:val="6C272818"/>
    <w:rsid w:val="6C343972"/>
    <w:rsid w:val="6C5555D7"/>
    <w:rsid w:val="6C630CE9"/>
    <w:rsid w:val="6C727F37"/>
    <w:rsid w:val="6C914CAA"/>
    <w:rsid w:val="6CB46277"/>
    <w:rsid w:val="6CB56076"/>
    <w:rsid w:val="6CB57E24"/>
    <w:rsid w:val="6CC53765"/>
    <w:rsid w:val="6CCC3665"/>
    <w:rsid w:val="6CD34AAD"/>
    <w:rsid w:val="6CEC0F34"/>
    <w:rsid w:val="6CF73CA4"/>
    <w:rsid w:val="6D005FF7"/>
    <w:rsid w:val="6D021C57"/>
    <w:rsid w:val="6D05105B"/>
    <w:rsid w:val="6D207FCD"/>
    <w:rsid w:val="6D280C36"/>
    <w:rsid w:val="6D286C4C"/>
    <w:rsid w:val="6D2B5B01"/>
    <w:rsid w:val="6D350F65"/>
    <w:rsid w:val="6D36363D"/>
    <w:rsid w:val="6D381497"/>
    <w:rsid w:val="6D3D6CCB"/>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3B5C36"/>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025ECB"/>
    <w:rsid w:val="72084E9A"/>
    <w:rsid w:val="720A33A9"/>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919EA"/>
    <w:rsid w:val="782B4A23"/>
    <w:rsid w:val="78302F8F"/>
    <w:rsid w:val="783D54C6"/>
    <w:rsid w:val="784117AB"/>
    <w:rsid w:val="78510397"/>
    <w:rsid w:val="78552936"/>
    <w:rsid w:val="786E559E"/>
    <w:rsid w:val="78731F0E"/>
    <w:rsid w:val="78754CBA"/>
    <w:rsid w:val="78922723"/>
    <w:rsid w:val="789456D9"/>
    <w:rsid w:val="78962FA5"/>
    <w:rsid w:val="78AA0A59"/>
    <w:rsid w:val="78C148AC"/>
    <w:rsid w:val="78C53AE4"/>
    <w:rsid w:val="78CA068C"/>
    <w:rsid w:val="78CA1FEE"/>
    <w:rsid w:val="78CB3FEB"/>
    <w:rsid w:val="78CE219D"/>
    <w:rsid w:val="78CF04BF"/>
    <w:rsid w:val="79053EE1"/>
    <w:rsid w:val="79267AF5"/>
    <w:rsid w:val="792A1316"/>
    <w:rsid w:val="792C2D1F"/>
    <w:rsid w:val="793B5CE2"/>
    <w:rsid w:val="794762A8"/>
    <w:rsid w:val="794C1437"/>
    <w:rsid w:val="795C411F"/>
    <w:rsid w:val="796834B3"/>
    <w:rsid w:val="797B3C8A"/>
    <w:rsid w:val="797F45FC"/>
    <w:rsid w:val="79970647"/>
    <w:rsid w:val="79A81CC2"/>
    <w:rsid w:val="79BD708F"/>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C507E5"/>
    <w:rsid w:val="7DD00A7F"/>
    <w:rsid w:val="7DD547CA"/>
    <w:rsid w:val="7DE14013"/>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885137"/>
    <w:rsid w:val="7F932247"/>
    <w:rsid w:val="7F98785D"/>
    <w:rsid w:val="7FA12A31"/>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Body Text Indent"/>
    <w:basedOn w:val="1"/>
    <w:next w:val="11"/>
    <w:qFormat/>
    <w:uiPriority w:val="0"/>
    <w:pPr>
      <w:spacing w:after="120" w:afterLines="0"/>
      <w:ind w:left="420" w:leftChars="200"/>
    </w:pPr>
  </w:style>
  <w:style w:type="paragraph" w:styleId="11">
    <w:name w:val="envelope return"/>
    <w:basedOn w:val="1"/>
    <w:next w:val="1"/>
    <w:qFormat/>
    <w:uiPriority w:val="0"/>
    <w:pPr>
      <w:widowControl/>
      <w:snapToGrid w:val="0"/>
    </w:pPr>
    <w:rPr>
      <w:rFonts w:ascii="Arial" w:hAnsi="Arial" w:eastAsia="宋体" w:cs="Times New Roman"/>
      <w:kern w:val="0"/>
      <w:szCs w:val="21"/>
    </w:rPr>
  </w:style>
  <w:style w:type="paragraph" w:styleId="12">
    <w:name w:val="index 4"/>
    <w:basedOn w:val="1"/>
    <w:next w:val="1"/>
    <w:qFormat/>
    <w:uiPriority w:val="0"/>
    <w:pPr>
      <w:ind w:left="600" w:leftChars="600"/>
    </w:pPr>
  </w:style>
  <w:style w:type="paragraph" w:styleId="13">
    <w:name w:val="Date"/>
    <w:next w:val="1"/>
    <w:qFormat/>
    <w:uiPriority w:val="0"/>
    <w:pPr>
      <w:widowControl w:val="0"/>
      <w:ind w:left="100" w:leftChars="2500"/>
      <w:jc w:val="both"/>
    </w:pPr>
    <w:rPr>
      <w:rFonts w:ascii="Times New Roman" w:hAnsi="Times New Roman" w:eastAsia="宋体" w:cs="Times New Roman"/>
      <w:kern w:val="2"/>
      <w:sz w:val="21"/>
      <w:szCs w:val="21"/>
      <w:lang w:val="en-US" w:eastAsia="zh-CN" w:bidi="ar-SA"/>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semiHidden/>
    <w:qFormat/>
    <w:uiPriority w:val="0"/>
    <w:pPr>
      <w:spacing w:line="440" w:lineRule="exact"/>
      <w:jc w:val="center"/>
    </w:pPr>
  </w:style>
  <w:style w:type="paragraph" w:styleId="17">
    <w:name w:val="HTML Preformatted"/>
    <w:basedOn w:val="1"/>
    <w:qFormat/>
    <w:uiPriority w:val="0"/>
    <w:pPr>
      <w:jc w:val="left"/>
    </w:pPr>
    <w:rPr>
      <w:rFonts w:hint="eastAsia" w:ascii="宋体" w:hAnsi="宋体"/>
      <w:kern w:val="0"/>
      <w:sz w:val="24"/>
    </w:rPr>
  </w:style>
  <w:style w:type="paragraph" w:styleId="1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9">
    <w:name w:val="Body Text First Indent"/>
    <w:basedOn w:val="9"/>
    <w:qFormat/>
    <w:uiPriority w:val="0"/>
    <w:pPr>
      <w:ind w:firstLine="420" w:firstLineChars="100"/>
    </w:pPr>
  </w:style>
  <w:style w:type="paragraph" w:styleId="20">
    <w:name w:val="Body Text First Indent 2"/>
    <w:basedOn w:val="10"/>
    <w:next w:val="11"/>
    <w:qFormat/>
    <w:uiPriority w:val="0"/>
    <w:pPr>
      <w:ind w:firstLine="420" w:firstLineChars="2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page number"/>
    <w:basedOn w:val="23"/>
    <w:qFormat/>
    <w:uiPriority w:val="0"/>
  </w:style>
  <w:style w:type="paragraph" w:customStyle="1" w:styleId="26">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7">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9">
    <w:name w:val="列出段落1"/>
    <w:basedOn w:val="1"/>
    <w:qFormat/>
    <w:uiPriority w:val="34"/>
    <w:pPr>
      <w:ind w:firstLine="420" w:firstLineChars="200"/>
    </w:pPr>
  </w:style>
  <w:style w:type="character" w:customStyle="1" w:styleId="30">
    <w:name w:val="font11"/>
    <w:basedOn w:val="23"/>
    <w:qFormat/>
    <w:uiPriority w:val="0"/>
    <w:rPr>
      <w:rFonts w:ascii="Calibri" w:hAnsi="Calibri" w:cs="Calibri"/>
      <w:color w:val="000000"/>
      <w:sz w:val="21"/>
      <w:szCs w:val="21"/>
      <w:u w:val="none"/>
    </w:rPr>
  </w:style>
  <w:style w:type="character" w:customStyle="1" w:styleId="31">
    <w:name w:val="font21"/>
    <w:basedOn w:val="23"/>
    <w:qFormat/>
    <w:uiPriority w:val="0"/>
    <w:rPr>
      <w:rFonts w:hint="eastAsia" w:ascii="宋体" w:hAnsi="宋体" w:eastAsia="宋体" w:cs="宋体"/>
      <w:color w:val="000000"/>
      <w:sz w:val="21"/>
      <w:szCs w:val="21"/>
      <w:u w:val="none"/>
    </w:rPr>
  </w:style>
  <w:style w:type="character" w:customStyle="1" w:styleId="32">
    <w:name w:val="font01"/>
    <w:basedOn w:val="23"/>
    <w:qFormat/>
    <w:uiPriority w:val="0"/>
    <w:rPr>
      <w:rFonts w:ascii="Calibri" w:hAnsi="Calibri" w:cs="Calibri"/>
      <w:color w:val="000000"/>
      <w:sz w:val="21"/>
      <w:szCs w:val="21"/>
      <w:u w:val="none"/>
    </w:rPr>
  </w:style>
  <w:style w:type="character" w:customStyle="1" w:styleId="33">
    <w:name w:val="font31"/>
    <w:basedOn w:val="23"/>
    <w:qFormat/>
    <w:uiPriority w:val="0"/>
    <w:rPr>
      <w:rFonts w:hint="default" w:ascii="Calibri" w:hAnsi="Calibri" w:cs="Calibri"/>
      <w:color w:val="000000"/>
      <w:sz w:val="21"/>
      <w:szCs w:val="21"/>
      <w:u w:val="none"/>
    </w:rPr>
  </w:style>
  <w:style w:type="paragraph" w:customStyle="1" w:styleId="34">
    <w:name w:val="Table Paragraph"/>
    <w:basedOn w:val="1"/>
    <w:qFormat/>
    <w:uiPriority w:val="1"/>
    <w:rPr>
      <w:rFonts w:ascii="宋体" w:hAnsi="宋体" w:eastAsia="宋体" w:cs="宋体"/>
    </w:rPr>
  </w:style>
  <w:style w:type="paragraph" w:customStyle="1" w:styleId="35">
    <w:name w:val="Table Text"/>
    <w:basedOn w:val="1"/>
    <w:semiHidden/>
    <w:qFormat/>
    <w:uiPriority w:val="0"/>
    <w:rPr>
      <w:rFonts w:ascii="宋体" w:hAnsi="宋体" w:eastAsia="宋体" w:cs="宋体"/>
      <w:sz w:val="21"/>
      <w:szCs w:val="21"/>
      <w:lang w:val="en-US" w:eastAsia="en-US" w:bidi="ar-SA"/>
    </w:rPr>
  </w:style>
  <w:style w:type="table" w:customStyle="1" w:styleId="36">
    <w:name w:val="Table Normal"/>
    <w:semiHidden/>
    <w:unhideWhenUsed/>
    <w:qFormat/>
    <w:uiPriority w:val="0"/>
    <w:tblPr>
      <w:tblCellMar>
        <w:top w:w="0" w:type="dxa"/>
        <w:left w:w="0" w:type="dxa"/>
        <w:bottom w:w="0" w:type="dxa"/>
        <w:right w:w="0" w:type="dxa"/>
      </w:tblCellMar>
    </w:tblPr>
  </w:style>
  <w:style w:type="paragraph" w:customStyle="1" w:styleId="37">
    <w:name w:val="Default"/>
    <w:qFormat/>
    <w:uiPriority w:val="0"/>
    <w:pPr>
      <w:widowControl w:val="0"/>
      <w:autoSpaceDE w:val="0"/>
      <w:autoSpaceDN w:val="0"/>
      <w:adjustRightInd w:val="0"/>
    </w:pPr>
    <w:rPr>
      <w:rFonts w:ascii="MingLiU" w:hAnsi="Times New Roman" w:eastAsia="MingLiU" w:cs="Times New Roman"/>
      <w:color w:val="000000"/>
      <w:sz w:val="24"/>
      <w:szCs w:val="24"/>
      <w:lang w:val="en-US" w:eastAsia="zh-CN" w:bidi="ar-SA"/>
    </w:rPr>
  </w:style>
  <w:style w:type="paragraph" w:customStyle="1" w:styleId="38">
    <w:name w:val="列出段落3"/>
    <w:qFormat/>
    <w:uiPriority w:val="99"/>
    <w:pPr>
      <w:widowControl w:val="0"/>
      <w:ind w:firstLine="420" w:firstLineChars="200"/>
      <w:jc w:val="both"/>
    </w:pPr>
    <w:rPr>
      <w:rFonts w:ascii="Times New Roman" w:hAnsi="Times New Roman" w:eastAsia="宋体" w:cs="Times New Roman"/>
      <w:kern w:val="2"/>
      <w:sz w:val="21"/>
      <w:szCs w:val="21"/>
      <w:lang w:val="en-US" w:eastAsia="zh-CN" w:bidi="ar-SA"/>
    </w:rPr>
  </w:style>
  <w:style w:type="paragraph" w:styleId="39">
    <w:name w:val="List Paragraph"/>
    <w:qFormat/>
    <w:uiPriority w:val="34"/>
    <w:pPr>
      <w:widowControl w:val="0"/>
      <w:ind w:firstLine="420" w:firstLineChars="20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57</Pages>
  <Words>248</Words>
  <Characters>649</Characters>
  <Lines>0</Lines>
  <Paragraphs>0</Paragraphs>
  <TotalTime>33</TotalTime>
  <ScaleCrop>false</ScaleCrop>
  <LinksUpToDate>false</LinksUpToDate>
  <CharactersWithSpaces>677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2026-01-19T07:17:00Z</cp:lastPrinted>
  <dcterms:modified xsi:type="dcterms:W3CDTF">2026-01-20T08:16:36Z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6C297B8710C6436A8F81CF602F85256E_13</vt:lpwstr>
  </property>
  <property fmtid="{D5CDD505-2E9C-101B-9397-08002B2CF9AE}" pid="4" name="KSOTemplateDocerSaveRecord">
    <vt:lpwstr>eyJoZGlkIjoiMDNjZWFmOTI0OWU0M2E3ZjRhODE1MDBhNDIyZDU3OWMiLCJ1c2VySWQiOiIxMzg0NDY3MDM0In0=</vt:lpwstr>
  </property>
</Properties>
</file>