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427E4F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凤鸣书院项目商业外部亮化工程 </w:t>
      </w:r>
    </w:p>
    <w:permEnd w:id="0"/>
    <w:p w14:paraId="5470AA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BZZC-2026</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003</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亳州市晔瀚置业有限公司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2026 年 1 </w:t>
      </w:r>
      <w:r>
        <w:rPr>
          <w:rFonts w:hint="eastAsia" w:ascii="Times New Roman" w:hAnsi="Times New Roman" w:eastAsia="楷体" w:cs="Times New Roman"/>
          <w:kern w:val="0"/>
          <w:sz w:val="32"/>
          <w:szCs w:val="32"/>
          <w:highlight w:val="none"/>
          <w:u w:val="none"/>
          <w:shd w:val="clear" w:color="auto" w:fill="auto"/>
          <w:lang w:val="en-US" w:eastAsia="zh-CN"/>
        </w:rPr>
        <w:t>月 15 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A534C8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凤鸣书院项目商业外部亮化工程</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96602410"/>
      <w:bookmarkStart w:id="2" w:name="_Toc246996909"/>
      <w:bookmarkStart w:id="3" w:name="_Toc152042295"/>
      <w:bookmarkStart w:id="4" w:name="_Toc246996166"/>
      <w:bookmarkStart w:id="5" w:name="_Toc247085680"/>
      <w:bookmarkStart w:id="6" w:name="_Toc152045519"/>
      <w:bookmarkStart w:id="7" w:name="_Toc144974487"/>
      <w:r>
        <w:rPr>
          <w:rFonts w:hint="eastAsia" w:ascii="宋体" w:hAnsi="宋体" w:eastAsia="宋体" w:cs="宋体"/>
          <w:sz w:val="28"/>
          <w:szCs w:val="28"/>
          <w:highlight w:val="none"/>
          <w:u w:val="single"/>
          <w:lang w:val="en-US" w:eastAsia="zh-CN"/>
        </w:rPr>
        <w:t xml:space="preserve">  凤鸣书院项目商业外部亮化工程 </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296602411"/>
      <w:bookmarkStart w:id="9" w:name="_Toc179632537"/>
      <w:bookmarkStart w:id="10" w:name="_Toc144974488"/>
      <w:bookmarkStart w:id="11" w:name="_Toc246996167"/>
      <w:bookmarkStart w:id="12" w:name="_Toc247085681"/>
      <w:bookmarkStart w:id="13" w:name="_Toc152045520"/>
      <w:bookmarkStart w:id="14" w:name="_Toc246996910"/>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凤鸣书院项目商业外部亮化工程</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BZZC-</w:t>
      </w:r>
      <w:r>
        <w:rPr>
          <w:rFonts w:hint="eastAsia" w:asciiTheme="minorEastAsia" w:hAnsiTheme="minorEastAsia" w:cstheme="minorEastAsia"/>
          <w:sz w:val="28"/>
          <w:szCs w:val="28"/>
          <w:highlight w:val="none"/>
          <w:lang w:val="en-US" w:eastAsia="zh-CN"/>
        </w:rPr>
        <w:t>2026</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003   </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亳州市晔瀚置业有限公司</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企业自筹</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（不含税）</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81315.89元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报价中含清单编制费用（清单编制</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000</w:t>
      </w:r>
      <w:r>
        <w:rPr>
          <w:rFonts w:hint="eastAsia" w:asciiTheme="minorEastAsia" w:hAnsiTheme="minorEastAsia" w:eastAsiaTheme="minorEastAsia" w:cstheme="minorEastAsia"/>
          <w:sz w:val="28"/>
          <w:szCs w:val="28"/>
          <w:highlight w:val="none"/>
          <w:lang w:val="en-US" w:eastAsia="zh-CN"/>
        </w:rPr>
        <w:t>元，由</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单位</w:t>
      </w:r>
      <w:r>
        <w:rPr>
          <w:rFonts w:hint="eastAsia" w:asciiTheme="minorEastAsia" w:hAnsiTheme="minorEastAsia" w:cstheme="minorEastAsia"/>
          <w:sz w:val="28"/>
          <w:szCs w:val="28"/>
          <w:highlight w:val="none"/>
          <w:lang w:val="en-US" w:eastAsia="zh-CN"/>
        </w:rPr>
        <w:t>在合同签订后7日内，一次性支付给清单编制单位。</w:t>
      </w:r>
      <w:r>
        <w:rPr>
          <w:rFonts w:hint="eastAsia" w:asciiTheme="minorEastAsia" w:hAnsiTheme="minorEastAsia" w:eastAsiaTheme="minorEastAsia" w:cstheme="minorEastAsia"/>
          <w:sz w:val="28"/>
          <w:szCs w:val="28"/>
          <w:highlight w:val="none"/>
          <w:lang w:val="en-US" w:eastAsia="zh-CN"/>
        </w:rPr>
        <w:t>）</w:t>
      </w:r>
      <w:bookmarkStart w:id="353" w:name="_GoBack"/>
      <w:bookmarkEnd w:id="353"/>
      <w:r>
        <w:rPr>
          <w:rFonts w:hint="eastAsia" w:asciiTheme="minorEastAsia" w:hAnsiTheme="minorEastAsia" w:eastAsiaTheme="minorEastAsia" w:cstheme="minorEastAsia"/>
          <w:sz w:val="28"/>
          <w:szCs w:val="28"/>
          <w:highlight w:val="none"/>
          <w:lang w:val="en-US" w:eastAsia="zh-CN"/>
        </w:rPr>
        <w:t>此项费用不单独列项，</w:t>
      </w:r>
      <w:r>
        <w:rPr>
          <w:rFonts w:hint="eastAsia" w:asciiTheme="minorEastAsia" w:hAnsiTheme="minorEastAsia" w:cstheme="minorEastAsia"/>
          <w:sz w:val="28"/>
          <w:szCs w:val="28"/>
          <w:highlight w:val="none"/>
          <w:lang w:val="en-US" w:eastAsia="zh-CN"/>
        </w:rPr>
        <w:t>供应商应</w:t>
      </w:r>
      <w:r>
        <w:rPr>
          <w:rFonts w:hint="eastAsia" w:asciiTheme="minorEastAsia" w:hAnsiTheme="minorEastAsia" w:eastAsiaTheme="minorEastAsia" w:cstheme="minorEastAsia"/>
          <w:sz w:val="28"/>
          <w:szCs w:val="28"/>
          <w:highlight w:val="none"/>
          <w:lang w:val="en-US" w:eastAsia="zh-CN"/>
        </w:rPr>
        <w:t>综合考虑。报价超出限价或低于成本价的，按无效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2F147E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 xml:space="preserve"> 包括但不限于灯具及配套用电设备（含配管、电源线路、控制器、配电箱等）的采购、安装、调试及系统集成。</w:t>
      </w:r>
      <w:r>
        <w:rPr>
          <w:rFonts w:hint="eastAsia" w:asciiTheme="minorEastAsia" w:hAnsiTheme="minorEastAsia" w:cstheme="minorEastAsia"/>
          <w:sz w:val="28"/>
          <w:szCs w:val="28"/>
          <w:highlight w:val="none"/>
          <w:lang w:val="en-US" w:eastAsia="zh-CN"/>
        </w:rPr>
        <w:t>详见施工图纸、工程量清单。</w:t>
      </w:r>
    </w:p>
    <w:permEnd w:id="13"/>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 自合同签订之日起10日历天。</w:t>
      </w:r>
      <w:permEnd w:id="14"/>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FF0000"/>
          <w:sz w:val="28"/>
          <w:szCs w:val="28"/>
          <w:highlight w:val="none"/>
          <w:lang w:val="en-US" w:eastAsia="zh-CN"/>
        </w:rPr>
        <w:t xml:space="preserve"> 亳州市养生大道南、文采路东、香蒲路北。  </w:t>
      </w:r>
      <w:permEnd w:id="15"/>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color w:val="FF0000"/>
          <w:sz w:val="28"/>
          <w:szCs w:val="28"/>
          <w:highlight w:val="none"/>
          <w:lang w:val="en-US" w:eastAsia="zh-CN"/>
        </w:rPr>
        <w:t xml:space="preserve"> 符合国家、地方、行业现行相关规范，满足采购人要求。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5CE2E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permStart w:id="18" w:edGrp="everyone"/>
      <w:r>
        <w:rPr>
          <w:rFonts w:hint="eastAsia" w:asciiTheme="minorEastAsia" w:hAnsiTheme="minorEastAsia" w:cstheme="minorEastAsia"/>
          <w:sz w:val="28"/>
          <w:szCs w:val="28"/>
          <w:highlight w:val="none"/>
          <w:lang w:val="en-US" w:eastAsia="zh-CN"/>
        </w:rPr>
        <w:t>具有城市及道路照明工程专业承包三级及以上资质</w:t>
      </w:r>
      <w:permEnd w:id="18"/>
      <w:r>
        <w:rPr>
          <w:rFonts w:hint="eastAsia" w:asciiTheme="minorEastAsia" w:hAnsiTheme="minorEastAsia" w:cstheme="minorEastAsia"/>
          <w:sz w:val="28"/>
          <w:szCs w:val="28"/>
          <w:highlight w:val="none"/>
          <w:lang w:val="en-US" w:eastAsia="zh-CN"/>
        </w:rPr>
        <w:t>；</w:t>
      </w:r>
    </w:p>
    <w:p w14:paraId="561463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（三）主要人员要求：</w:t>
      </w:r>
      <w:permStart w:id="19" w:edGrp="everyone"/>
      <w:r>
        <w:rPr>
          <w:rFonts w:hint="eastAsia" w:asciiTheme="minorEastAsia" w:hAnsiTheme="minorEastAsia" w:cstheme="minorEastAsia"/>
          <w:sz w:val="28"/>
          <w:szCs w:val="28"/>
          <w:highlight w:val="none"/>
          <w:lang w:val="en-US" w:eastAsia="zh-CN"/>
        </w:rPr>
        <w:t>项目负责人具备建筑工程专业二级及以上注册建造师执业资格，具备有效的安全考核合格证书B证；</w:t>
      </w:r>
    </w:p>
    <w:permEnd w:id="19"/>
    <w:p w14:paraId="08C566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（四）业绩要求：</w:t>
      </w:r>
      <w:permStart w:id="20" w:edGrp="everyone"/>
      <w:r>
        <w:rPr>
          <w:rFonts w:hint="eastAsia" w:asciiTheme="minorEastAsia" w:hAnsiTheme="minorEastAsia" w:cstheme="minorEastAsia"/>
          <w:sz w:val="28"/>
          <w:szCs w:val="28"/>
          <w:highlight w:val="none"/>
          <w:lang w:val="en-US" w:eastAsia="zh-CN"/>
        </w:rPr>
        <w:t>提供2025年1月1日至今类似项目业绩1个。类似项目业绩指：单个合同金额达5万元及以上的类似项目亮化工程业绩（以合同签订时间为准）；</w:t>
      </w:r>
    </w:p>
    <w:permEnd w:id="20"/>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1FEECC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备注</w:t>
      </w:r>
      <w:r>
        <w:rPr>
          <w:rFonts w:hint="eastAsia" w:asciiTheme="minorEastAsia" w:hAnsiTheme="minorEastAsia" w:cstheme="minorEastAsia"/>
          <w:sz w:val="28"/>
          <w:szCs w:val="28"/>
          <w:highlight w:val="none"/>
          <w:lang w:val="en-US" w:eastAsia="zh-CN"/>
        </w:rPr>
        <w:t>：信用情况请供应商自行登录“信用中国”网站（www.creditchina.gov.cn）将查询结果等相关资料复印件或扫描件装订入响应文件中。</w:t>
      </w:r>
    </w:p>
    <w:p w14:paraId="12B0D74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23</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3"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安徽省亳州市高新技术产业开发区神农大道与酒城大道交叉口西北高铁南站金融商务中心2号楼6楼评标室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ermEnd w:id="23"/>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687EE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4"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4"/>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5"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1000.00 </w:t>
      </w:r>
      <w:r>
        <w:rPr>
          <w:rFonts w:hint="default" w:asciiTheme="minorEastAsia" w:hAnsiTheme="minorEastAsia" w:eastAsiaTheme="minorEastAsia" w:cstheme="minorEastAsia"/>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 亳州市晔瀚置业有限公司 </w:t>
      </w:r>
    </w:p>
    <w:permEnd w:id="26"/>
    <w:p w14:paraId="521B4F8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7" w:edGrp="everyone"/>
      <w:r>
        <w:rPr>
          <w:rFonts w:hint="eastAsia" w:asciiTheme="minorEastAsia" w:hAnsiTheme="minorEastAsia" w:cstheme="minorEastAsia"/>
          <w:sz w:val="28"/>
          <w:szCs w:val="28"/>
          <w:highlight w:val="none"/>
          <w:lang w:val="en-US" w:eastAsia="zh-CN"/>
        </w:rPr>
        <w:t xml:space="preserve"> 高铁南站金融商务中心2号楼6楼</w:t>
      </w:r>
      <w:permEnd w:id="27"/>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李工  </w:t>
      </w:r>
      <w:permEnd w:id="28"/>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9" w:edGrp="everyone"/>
      <w:r>
        <w:rPr>
          <w:rFonts w:hint="eastAsia" w:asciiTheme="minorEastAsia" w:hAnsiTheme="minorEastAsia" w:cstheme="minorEastAsia"/>
          <w:sz w:val="28"/>
          <w:szCs w:val="28"/>
          <w:highlight w:val="none"/>
          <w:lang w:val="en-US" w:eastAsia="zh-CN"/>
        </w:rPr>
        <w:t xml:space="preserve"> 0558-5998967 </w:t>
      </w:r>
      <w:permEnd w:id="29"/>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0"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亳州市晔瀚置业有限公司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 xml:space="preserve"> 年</w:t>
      </w:r>
      <w:r>
        <w:rPr>
          <w:rFonts w:hint="eastAsia" w:asciiTheme="minorEastAsia" w:hAnsiTheme="minorEastAsia" w:cstheme="minorEastAsia"/>
          <w:color w:val="FF0000"/>
          <w:sz w:val="28"/>
          <w:szCs w:val="28"/>
          <w:highlight w:val="none"/>
          <w:lang w:val="en-US" w:eastAsia="zh-CN"/>
        </w:rPr>
        <w:t xml:space="preserve">  1 </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 xml:space="preserve"> 15 </w:t>
      </w:r>
      <w:r>
        <w:rPr>
          <w:rFonts w:hint="eastAsia" w:asciiTheme="minorEastAsia" w:hAnsiTheme="minorEastAsia" w:eastAsiaTheme="minorEastAsia" w:cstheme="minorEastAsia"/>
          <w:color w:val="FF0000"/>
          <w:sz w:val="28"/>
          <w:szCs w:val="28"/>
          <w:highlight w:val="none"/>
          <w:lang w:val="en-US" w:eastAsia="zh-CN"/>
        </w:rPr>
        <w:t xml:space="preserve"> 日</w:t>
      </w:r>
      <w:permEnd w:id="30"/>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1"/>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3" w:edGrp="everyone"/>
            <w:r>
              <w:rPr>
                <w:rFonts w:hint="eastAsia" w:ascii="Times New Roman" w:hAnsi="Times New Roman" w:cs="Times New Roman"/>
                <w:szCs w:val="21"/>
                <w:highlight w:val="none"/>
                <w:u w:val="single"/>
                <w:lang w:val="en-US" w:eastAsia="zh-CN"/>
              </w:rPr>
              <w:t xml:space="preserve">   2026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19日17:30</w:t>
            </w:r>
            <w:r>
              <w:rPr>
                <w:rFonts w:hint="eastAsia" w:ascii="Times New Roman" w:hAnsi="Times New Roman" w:cs="Times New Roman"/>
                <w:szCs w:val="21"/>
                <w:highlight w:val="none"/>
                <w:u w:val="none"/>
                <w:lang w:val="en-US" w:eastAsia="zh-CN"/>
              </w:rPr>
              <w:t>前</w:t>
            </w:r>
            <w:permEnd w:id="3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4"/>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5"/>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6"/>
            <w:r>
              <w:rPr>
                <w:rFonts w:hint="default" w:ascii="Times New Roman" w:hAnsi="Times New Roman" w:cs="Times New Roman"/>
                <w:szCs w:val="21"/>
                <w:highlight w:val="none"/>
              </w:rPr>
              <w:t>的形式：</w:t>
            </w:r>
            <w:permStart w:id="37" w:edGrp="everyone"/>
            <w:r>
              <w:rPr>
                <w:rFonts w:hint="default" w:ascii="Times New Roman" w:hAnsi="Times New Roman" w:cs="Times New Roman"/>
                <w:color w:val="FF0000"/>
                <w:szCs w:val="21"/>
                <w:highlight w:val="none"/>
              </w:rPr>
              <w:t>银行汇款或转账</w:t>
            </w:r>
            <w:permEnd w:id="37"/>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8" w:edGrp="everyone"/>
            <w:r>
              <w:rPr>
                <w:rFonts w:hint="eastAsia" w:ascii="Times New Roman" w:hAnsi="Times New Roman" w:cs="Times New Roman"/>
                <w:color w:val="auto"/>
                <w:szCs w:val="21"/>
                <w:highlight w:val="none"/>
                <w:u w:val="single"/>
                <w:lang w:val="en-US" w:eastAsia="zh-CN"/>
              </w:rPr>
              <w:t xml:space="preserve">   1000.00元   </w:t>
            </w:r>
            <w:permEnd w:id="38"/>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B64CF3A">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w:t>
            </w:r>
            <w:r>
              <w:rPr>
                <w:rFonts w:hint="eastAsia" w:ascii="Times New Roman" w:hAnsi="Times New Roman" w:cs="Times New Roman"/>
                <w:szCs w:val="21"/>
                <w:highlight w:val="none"/>
                <w:lang w:val="en-US" w:eastAsia="zh-CN"/>
              </w:rPr>
              <w:t>亳州市晔瀚置业有限公司</w:t>
            </w:r>
          </w:p>
          <w:p w14:paraId="0A8BDBB3">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开户银行：交行亳州分行营业部</w:t>
            </w:r>
          </w:p>
          <w:p w14:paraId="6D4B5109">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银行账号：573240000013000176965</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9" w:edGrp="everyone"/>
            <w:r>
              <w:rPr>
                <w:rFonts w:hint="eastAsia" w:ascii="Times New Roman" w:hAnsi="Times New Roman" w:cs="Times New Roman"/>
                <w:color w:val="FF0000"/>
                <w:szCs w:val="21"/>
                <w:highlight w:val="none"/>
                <w:lang w:val="en-US" w:eastAsia="zh-CN"/>
              </w:rPr>
              <w:t xml:space="preserve">BZZC-2026-   </w:t>
            </w:r>
            <w:r>
              <w:rPr>
                <w:rFonts w:hint="eastAsia" w:ascii="Times New Roman" w:hAnsi="Times New Roman" w:cs="Times New Roman"/>
                <w:color w:val="FF0000"/>
                <w:szCs w:val="21"/>
                <w:highlight w:val="none"/>
                <w:u w:val="single"/>
                <w:lang w:val="en-US" w:eastAsia="zh-CN"/>
              </w:rPr>
              <w:t xml:space="preserve">  003 </w:t>
            </w:r>
            <w:r>
              <w:rPr>
                <w:rFonts w:hint="eastAsia" w:ascii="Times New Roman" w:hAnsi="Times New Roman" w:cs="Times New Roman"/>
                <w:color w:val="FF0000"/>
                <w:szCs w:val="21"/>
                <w:highlight w:val="none"/>
                <w:lang w:val="en-US" w:eastAsia="zh-CN"/>
              </w:rPr>
              <w:t>号保证金</w:t>
            </w:r>
            <w:permEnd w:id="3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0"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0"/>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开启地址：安徽省亳州市高新技术产业开发区神农大道与酒城大道交叉口西北高铁南站金融商务中心2号楼6楼评标室）</w:t>
            </w:r>
          </w:p>
          <w:p w14:paraId="53CA8FA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采购人：亳州市晔瀚置业有限公司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凤鸣书院项目商业外部亮化工程 </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项目编号：BZZC-2026-</w:t>
            </w:r>
            <w:r>
              <w:rPr>
                <w:rFonts w:hint="eastAsia" w:ascii="Times New Roman" w:hAnsi="Times New Roman" w:cs="Times New Roman"/>
                <w:color w:val="FF0000"/>
                <w:szCs w:val="21"/>
                <w:highlight w:val="none"/>
                <w:u w:val="single"/>
                <w:lang w:val="en-US" w:eastAsia="zh-CN"/>
              </w:rPr>
              <w:t xml:space="preserve"> 003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2026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23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1"/>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B640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亳州市交通资产管理有限责任公司 </w:t>
            </w:r>
          </w:p>
          <w:p w14:paraId="199229EA">
            <w:pPr>
              <w:keepNext w:val="0"/>
              <w:keepLines w:val="0"/>
              <w:pageBreakBefore w:val="0"/>
              <w:widowControl w:val="0"/>
              <w:kinsoku/>
              <w:wordWrap w:val="0"/>
              <w:overflowPunct/>
              <w:topLinePunct w:val="0"/>
              <w:autoSpaceDE/>
              <w:autoSpaceDN/>
              <w:bidi w:val="0"/>
              <w:adjustRightInd/>
              <w:snapToGrid/>
              <w:spacing w:line="430" w:lineRule="exact"/>
              <w:ind w:firstLine="630" w:firstLineChars="300"/>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李工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安徽省亳州市高新技术产业开发区神农大道与酒城大道交叉口西北高铁南站金融商务中心2号楼6楼法务部（招采中心）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3" w:edGrp="everyone"/>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3"/>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4"/>
          </w:p>
          <w:p w14:paraId="3F768991">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w:t>
            </w:r>
            <w:r>
              <w:rPr>
                <w:rFonts w:hint="eastAsia" w:ascii="Times New Roman" w:hAnsi="Times New Roman" w:cs="Times New Roman"/>
                <w:szCs w:val="21"/>
                <w:highlight w:val="none"/>
                <w:lang w:val="en-US" w:eastAsia="zh-CN"/>
              </w:rPr>
              <w:t>亳州市晔瀚置业有限公司</w:t>
            </w:r>
          </w:p>
          <w:p w14:paraId="5DF1057F">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开户银行：交行亳州分行营业部</w:t>
            </w:r>
          </w:p>
          <w:p w14:paraId="39CF9B46">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银行账号：573240000013000176965</w:t>
            </w: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5"/>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6" w:edGrp="everyone"/>
            <w:r>
              <w:rPr>
                <w:rFonts w:hint="eastAsia" w:ascii="Times New Roman" w:hAnsi="Times New Roman" w:cs="Times New Roman"/>
                <w:b/>
                <w:bCs/>
                <w:color w:val="FF0000"/>
                <w:szCs w:val="21"/>
                <w:highlight w:val="none"/>
                <w:lang w:val="en-US" w:eastAsia="zh-CN"/>
              </w:rPr>
              <w:t xml:space="preserve">  5000.00 元  </w:t>
            </w:r>
            <w:permEnd w:id="46"/>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178"/>
      <w:bookmarkStart w:id="17" w:name="_Toc247085692"/>
      <w:bookmarkStart w:id="18" w:name="_Toc296602423"/>
      <w:bookmarkStart w:id="19" w:name="_Toc152042308"/>
      <w:bookmarkStart w:id="20" w:name="_Toc152045532"/>
      <w:bookmarkStart w:id="21" w:name="_Toc179632549"/>
      <w:bookmarkStart w:id="22" w:name="_Toc246996921"/>
      <w:bookmarkStart w:id="23" w:name="_Toc144974500"/>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6"/>
      <w:bookmarkStart w:id="25" w:name="_Toc246996924"/>
      <w:bookmarkStart w:id="26" w:name="_Toc152042312"/>
      <w:bookmarkStart w:id="27" w:name="_Toc144974504"/>
      <w:bookmarkStart w:id="28" w:name="_Toc296602426"/>
      <w:bookmarkStart w:id="29" w:name="_Toc246996181"/>
      <w:bookmarkStart w:id="30" w:name="_Toc179632553"/>
      <w:bookmarkStart w:id="31" w:name="_Toc247085695"/>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5537"/>
      <w:bookmarkStart w:id="34" w:name="_Toc296602427"/>
      <w:bookmarkStart w:id="35" w:name="_Toc246996925"/>
      <w:bookmarkStart w:id="36" w:name="_Toc246996182"/>
      <w:bookmarkStart w:id="37" w:name="_Toc152042313"/>
      <w:bookmarkStart w:id="38" w:name="_Toc247085696"/>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152042314"/>
      <w:bookmarkStart w:id="42" w:name="_Toc246996183"/>
      <w:bookmarkStart w:id="43" w:name="_Toc247085697"/>
      <w:bookmarkStart w:id="44" w:name="_Toc246996926"/>
      <w:bookmarkStart w:id="45" w:name="_Toc179632555"/>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18"/>
      <w:bookmarkStart w:id="48" w:name="_Toc152045542"/>
      <w:bookmarkStart w:id="49" w:name="_Toc246996930"/>
      <w:bookmarkStart w:id="50" w:name="_Toc179632560"/>
      <w:bookmarkStart w:id="51" w:name="_Toc144974510"/>
      <w:bookmarkStart w:id="52" w:name="_Toc247085701"/>
      <w:bookmarkStart w:id="53" w:name="_Toc296602432"/>
      <w:bookmarkStart w:id="54" w:name="_Toc246996187"/>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179632561"/>
      <w:bookmarkStart w:id="57" w:name="_Toc246996931"/>
      <w:bookmarkStart w:id="58" w:name="_Toc296602433"/>
      <w:bookmarkStart w:id="59" w:name="_Toc152042319"/>
      <w:bookmarkStart w:id="60" w:name="_Toc144974511"/>
      <w:bookmarkStart w:id="61" w:name="_Toc246996188"/>
      <w:bookmarkStart w:id="62" w:name="_Toc247085702"/>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5544"/>
      <w:bookmarkStart w:id="64" w:name="_Toc179632562"/>
      <w:bookmarkStart w:id="65" w:name="_Toc144974512"/>
      <w:bookmarkStart w:id="66" w:name="_Toc246996932"/>
      <w:bookmarkStart w:id="67" w:name="_Toc152042320"/>
      <w:bookmarkStart w:id="68" w:name="_Toc296602434"/>
      <w:bookmarkStart w:id="69" w:name="_Toc247085703"/>
      <w:bookmarkStart w:id="70" w:name="_Toc246996189"/>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79632563"/>
      <w:bookmarkStart w:id="72" w:name="_Toc246996190"/>
      <w:bookmarkStart w:id="73" w:name="_Toc144974513"/>
      <w:bookmarkStart w:id="74" w:name="_Toc247085704"/>
      <w:bookmarkStart w:id="75" w:name="_Toc152042321"/>
      <w:bookmarkStart w:id="76" w:name="_Toc246996933"/>
      <w:bookmarkStart w:id="77" w:name="_Toc152045545"/>
      <w:bookmarkStart w:id="78" w:name="_Toc29660243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6996191"/>
      <w:bookmarkStart w:id="80" w:name="_Toc296602436"/>
      <w:bookmarkStart w:id="81" w:name="_Toc179632564"/>
      <w:bookmarkStart w:id="82" w:name="_Toc152045546"/>
      <w:bookmarkStart w:id="83" w:name="_Toc246996934"/>
      <w:bookmarkStart w:id="84" w:name="_Toc144974514"/>
      <w:bookmarkStart w:id="85" w:name="_Toc152042322"/>
      <w:bookmarkStart w:id="86" w:name="_Toc247085705"/>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2323"/>
      <w:bookmarkStart w:id="88" w:name="_Toc152045547"/>
      <w:bookmarkStart w:id="89" w:name="_Toc246996935"/>
      <w:bookmarkStart w:id="90" w:name="_Toc144974515"/>
      <w:bookmarkStart w:id="91" w:name="_Toc296602437"/>
      <w:bookmarkStart w:id="92" w:name="_Toc246996192"/>
      <w:bookmarkStart w:id="93" w:name="_Toc247085706"/>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79632566"/>
      <w:bookmarkStart w:id="96" w:name="_Toc247085707"/>
      <w:bookmarkStart w:id="97" w:name="_Toc246996193"/>
      <w:bookmarkStart w:id="98" w:name="_Toc152045548"/>
      <w:bookmarkStart w:id="99" w:name="_Toc152042324"/>
      <w:bookmarkStart w:id="100" w:name="_Toc144974516"/>
      <w:bookmarkStart w:id="101" w:name="_Toc296602438"/>
      <w:bookmarkStart w:id="102" w:name="_Toc24699693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79632567"/>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96602439"/>
      <w:bookmarkStart w:id="109" w:name="_Toc246996194"/>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42"/>
      <w:bookmarkStart w:id="112" w:name="_Toc179632573"/>
      <w:bookmarkStart w:id="113" w:name="_Toc247085713"/>
      <w:bookmarkStart w:id="114" w:name="_Toc144974523"/>
      <w:bookmarkStart w:id="115" w:name="_Toc152045555"/>
      <w:bookmarkStart w:id="116" w:name="_Toc152042331"/>
      <w:bookmarkStart w:id="117" w:name="_Toc296602443"/>
      <w:bookmarkStart w:id="118" w:name="_Toc246996199"/>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56"/>
      <w:bookmarkStart w:id="120" w:name="_Toc247085714"/>
      <w:bookmarkStart w:id="121" w:name="_Toc246996943"/>
      <w:bookmarkStart w:id="122" w:name="_Toc179632574"/>
      <w:bookmarkStart w:id="123" w:name="_Toc246996200"/>
      <w:bookmarkStart w:id="124" w:name="_Toc152042332"/>
      <w:bookmarkStart w:id="125" w:name="_Toc144974524"/>
      <w:bookmarkStart w:id="126" w:name="_Toc29660244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6996944"/>
      <w:bookmarkStart w:id="128" w:name="_Toc152045557"/>
      <w:bookmarkStart w:id="129" w:name="_Toc247085715"/>
      <w:bookmarkStart w:id="130" w:name="_Toc246996201"/>
      <w:bookmarkStart w:id="131" w:name="_Toc179632575"/>
      <w:bookmarkStart w:id="132" w:name="_Toc152042333"/>
      <w:bookmarkStart w:id="133"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6"/>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6"/>
      <w:bookmarkStart w:id="135" w:name="_Toc152045558"/>
      <w:bookmarkStart w:id="136" w:name="_Toc246996202"/>
      <w:bookmarkStart w:id="137" w:name="_Toc296602446"/>
      <w:bookmarkStart w:id="138" w:name="_Toc152042334"/>
      <w:bookmarkStart w:id="139" w:name="_Toc247085716"/>
      <w:bookmarkStart w:id="140" w:name="_Toc246996945"/>
      <w:bookmarkStart w:id="141" w:name="_Toc17963257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6996946"/>
      <w:bookmarkStart w:id="143" w:name="_Toc152045559"/>
      <w:bookmarkStart w:id="144" w:name="_Toc246996203"/>
      <w:bookmarkStart w:id="145" w:name="_Toc296602447"/>
      <w:bookmarkStart w:id="146" w:name="_Toc247085717"/>
      <w:bookmarkStart w:id="147" w:name="_Toc144974527"/>
      <w:bookmarkStart w:id="148" w:name="_Toc152042335"/>
      <w:bookmarkStart w:id="149" w:name="_Toc17963257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78"/>
      <w:bookmarkStart w:id="151" w:name="_Toc246996947"/>
      <w:bookmarkStart w:id="152" w:name="_Toc152045560"/>
      <w:bookmarkStart w:id="153" w:name="_Toc296602448"/>
      <w:bookmarkStart w:id="154" w:name="_Toc144974528"/>
      <w:bookmarkStart w:id="155" w:name="_Toc152042336"/>
      <w:bookmarkStart w:id="156" w:name="_Toc247085718"/>
      <w:bookmarkStart w:id="157"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5561"/>
      <w:bookmarkStart w:id="159" w:name="_Toc179632579"/>
      <w:bookmarkStart w:id="160" w:name="_Toc246996205"/>
      <w:bookmarkStart w:id="161" w:name="_Toc144974529"/>
      <w:bookmarkStart w:id="162" w:name="_Toc247085719"/>
      <w:bookmarkStart w:id="163" w:name="_Toc296602449"/>
      <w:bookmarkStart w:id="164" w:name="_Toc152042337"/>
      <w:bookmarkStart w:id="165" w:name="_Toc246996948"/>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询比响应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31"/>
      <w:bookmarkStart w:id="167" w:name="_Toc179632581"/>
      <w:bookmarkStart w:id="168" w:name="_Toc296602452"/>
      <w:bookmarkStart w:id="169" w:name="_Toc246996207"/>
      <w:bookmarkStart w:id="170" w:name="_Toc246996950"/>
      <w:bookmarkStart w:id="171" w:name="_Toc152045563"/>
      <w:bookmarkStart w:id="172" w:name="_Toc247085721"/>
      <w:bookmarkStart w:id="173" w:name="_Toc152042339"/>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79632584"/>
      <w:bookmarkStart w:id="175" w:name="_Toc152045566"/>
      <w:bookmarkStart w:id="176" w:name="_Toc144974534"/>
      <w:bookmarkStart w:id="177" w:name="_Toc247085724"/>
      <w:bookmarkStart w:id="178" w:name="_Toc246996210"/>
      <w:bookmarkStart w:id="179" w:name="_Toc246996953"/>
      <w:bookmarkStart w:id="180" w:name="_Toc296602455"/>
      <w:bookmarkStart w:id="181" w:name="_Toc152042342"/>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211"/>
      <w:bookmarkStart w:id="183" w:name="_Toc296602456"/>
      <w:bookmarkStart w:id="184" w:name="_Toc179632585"/>
      <w:bookmarkStart w:id="185" w:name="_Toc247085725"/>
      <w:bookmarkStart w:id="186" w:name="_Toc152045567"/>
      <w:bookmarkStart w:id="187" w:name="_Toc246996954"/>
      <w:bookmarkStart w:id="188" w:name="_Toc152042343"/>
      <w:bookmarkStart w:id="189" w:name="_Toc14497453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44974536"/>
      <w:bookmarkStart w:id="192" w:name="_Toc296602458"/>
      <w:bookmarkStart w:id="193" w:name="_Toc152042344"/>
      <w:bookmarkStart w:id="194" w:name="_Toc179632586"/>
      <w:bookmarkStart w:id="195" w:name="_Toc246996955"/>
      <w:bookmarkStart w:id="196" w:name="_Toc246996212"/>
      <w:bookmarkStart w:id="197" w:name="_Toc152045568"/>
      <w:bookmarkStart w:id="198" w:name="_Toc24708572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44974537"/>
      <w:bookmarkStart w:id="200" w:name="_Toc152045569"/>
      <w:bookmarkStart w:id="201" w:name="_Toc152042345"/>
      <w:bookmarkStart w:id="202" w:name="_Toc246996956"/>
      <w:bookmarkStart w:id="203" w:name="_Toc246996213"/>
      <w:bookmarkStart w:id="204" w:name="_Toc296602459"/>
      <w:bookmarkStart w:id="205" w:name="_Toc179632587"/>
      <w:bookmarkStart w:id="206" w:name="_Toc24708572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5575"/>
      <w:bookmarkStart w:id="209" w:name="_Toc144974543"/>
      <w:bookmarkStart w:id="210" w:name="_Toc246996962"/>
      <w:bookmarkStart w:id="211" w:name="_Toc296590983"/>
      <w:bookmarkStart w:id="212" w:name="_Toc179632593"/>
      <w:bookmarkStart w:id="213" w:name="_Toc247085733"/>
      <w:bookmarkStart w:id="214" w:name="_Toc246996219"/>
      <w:bookmarkStart w:id="215" w:name="_Toc152042351"/>
      <w:bookmarkStart w:id="216" w:name="_Toc2966024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96602463"/>
      <w:bookmarkStart w:id="218" w:name="_Toc179632594"/>
      <w:bookmarkStart w:id="219" w:name="_Toc247085734"/>
      <w:bookmarkStart w:id="220" w:name="_Toc246996963"/>
      <w:bookmarkStart w:id="221" w:name="_Toc152045576"/>
      <w:bookmarkStart w:id="222" w:name="_Toc246996220"/>
      <w:bookmarkStart w:id="223" w:name="_Toc152042352"/>
      <w:bookmarkStart w:id="224" w:name="_Toc14497454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96602464"/>
      <w:bookmarkStart w:id="226" w:name="_Toc179632595"/>
      <w:bookmarkStart w:id="227" w:name="_Toc152045577"/>
      <w:bookmarkStart w:id="228" w:name="_Toc246996221"/>
      <w:bookmarkStart w:id="229" w:name="_Toc144974545"/>
      <w:bookmarkStart w:id="230" w:name="_Toc247085735"/>
      <w:bookmarkStart w:id="231" w:name="_Toc246996964"/>
      <w:bookmarkStart w:id="232" w:name="_Toc152042353"/>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8" w:edGrp="everyone"/>
      <w:r>
        <w:rPr>
          <w:rFonts w:hint="eastAsia" w:ascii="宋体" w:hAnsi="宋体"/>
          <w:color w:val="FF0000"/>
          <w:sz w:val="24"/>
          <w:lang w:val="en-US" w:eastAsia="zh-CN"/>
        </w:rPr>
        <w:t>综合评估法</w:t>
      </w:r>
      <w:permEnd w:id="48"/>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52045589"/>
      <w:bookmarkStart w:id="234" w:name="_Toc246996232"/>
      <w:bookmarkStart w:id="235" w:name="_Toc152042366"/>
      <w:bookmarkStart w:id="236" w:name="_Toc296602477"/>
      <w:bookmarkStart w:id="237" w:name="_Toc246996975"/>
      <w:bookmarkStart w:id="238" w:name="_Toc144974556"/>
      <w:bookmarkStart w:id="239" w:name="_Toc179632607"/>
      <w:bookmarkStart w:id="240" w:name="_Toc247085747"/>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（适用于综合评估法）</w:t>
      </w:r>
      <w:r>
        <w:rPr>
          <w:rFonts w:hint="eastAsia" w:ascii="宋体" w:hAnsi="宋体"/>
          <w:sz w:val="24"/>
          <w:highlight w:val="none"/>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3DDB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2CAEE3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permStart w:id="49" w:edGrp="everyone" w:colFirst="0" w:colLast="0"/>
            <w:permStart w:id="50" w:edGrp="everyone" w:colFirst="1" w:colLast="1"/>
            <w:permStart w:id="51" w:edGrp="everyone" w:colFirst="2" w:colLast="2"/>
            <w:r>
              <w:rPr>
                <w:rFonts w:hint="eastAsia" w:ascii="Times New Roman" w:hAnsi="Times New Roman" w:cs="Times New Roman"/>
                <w:i w:val="0"/>
                <w:iCs w:val="0"/>
                <w:kern w:val="0"/>
                <w:sz w:val="24"/>
                <w:szCs w:val="24"/>
                <w:highlight w:val="none"/>
                <w:u w:val="none"/>
                <w:lang w:val="en-US" w:eastAsia="zh-CN"/>
              </w:rPr>
              <w:t>施工方案</w:t>
            </w:r>
          </w:p>
          <w:p w14:paraId="2F6077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评分标准</w:t>
            </w:r>
          </w:p>
          <w:p w14:paraId="16D356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2622B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施工方案</w:t>
            </w:r>
          </w:p>
          <w:p w14:paraId="5F078D6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评分标准</w:t>
            </w:r>
          </w:p>
          <w:p w14:paraId="64317EA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yellow"/>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44C61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 1.总体实施与部署。项目理解与目标明确性 ；施工段划分与流程合理性；重难点分析与应对措施；</w:t>
            </w:r>
          </w:p>
          <w:p w14:paraId="3127737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2.施工方案与技术措施。主要分项工程施工方法；工艺先进性与合理性；技术保证措施 ；机械设备与检测仪器配备 ；</w:t>
            </w:r>
          </w:p>
          <w:p w14:paraId="6A62055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3.质量管理体系与措施。质量管理体系与制度；关键工序质量控制点；质量通病防治；</w:t>
            </w:r>
          </w:p>
          <w:p w14:paraId="0A03B0A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4.安全管理体系与措施。安全管理体系与制度 ；专项安全措施；文明施工与环保措施；工期保证措施；</w:t>
            </w:r>
          </w:p>
          <w:p w14:paraId="0E1A311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5.工程进度计划与措施。在施工工艺、施工方法、材料选用、劳动力安排、技术等方面有保证工期的具体措施且措施得当，符合本项目施工实际要求。</w:t>
            </w:r>
          </w:p>
          <w:p w14:paraId="3A1ADAB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6.资源配备计划。劳动力配备计划 ；材料设备供应计划；</w:t>
            </w:r>
          </w:p>
          <w:p w14:paraId="340B8B8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本项满分20分，评审委员会综合考虑，酌情赋分，优秀得15-20分，良好得10-14分，一般得5-9分，差得0-4分。</w:t>
            </w:r>
          </w:p>
        </w:tc>
      </w:tr>
      <w:permEnd w:id="49"/>
      <w:permEnd w:id="50"/>
      <w:permEnd w:id="51"/>
      <w:tr w14:paraId="3A6A96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9" w:hRule="atLeast"/>
        </w:trPr>
        <w:tc>
          <w:tcPr>
            <w:tcW w:w="1700" w:type="dxa"/>
            <w:tcBorders>
              <w:top w:val="single" w:color="auto" w:sz="4" w:space="0"/>
              <w:right w:val="single" w:color="auto" w:sz="4" w:space="0"/>
            </w:tcBorders>
            <w:noWrap w:val="0"/>
            <w:vAlign w:val="center"/>
          </w:tcPr>
          <w:p w14:paraId="78E9A7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permStart w:id="52" w:edGrp="everyone"/>
            <w:r>
              <w:rPr>
                <w:rFonts w:hint="eastAsia" w:ascii="Times New Roman" w:hAnsi="Times New Roman" w:cs="Times New Roman"/>
                <w:i w:val="0"/>
                <w:iCs w:val="0"/>
                <w:kern w:val="0"/>
                <w:sz w:val="24"/>
                <w:szCs w:val="24"/>
                <w:highlight w:val="none"/>
                <w:u w:val="none"/>
                <w:lang w:val="en-US" w:eastAsia="zh-CN"/>
              </w:rPr>
              <w:t xml:space="preserve"> </w:t>
            </w:r>
            <w:r>
              <w:rPr>
                <w:rFonts w:hint="eastAsia" w:ascii="Times New Roman" w:hAnsi="Times New Roman" w:cs="Times New Roman"/>
                <w:i w:val="0"/>
                <w:iCs w:val="0"/>
                <w:color w:val="FF0000"/>
                <w:kern w:val="0"/>
                <w:sz w:val="24"/>
                <w:szCs w:val="24"/>
                <w:highlight w:val="none"/>
                <w:u w:val="none"/>
                <w:lang w:val="en-US" w:eastAsia="zh-CN"/>
              </w:rPr>
              <w:t>企业荣誉</w:t>
            </w:r>
          </w:p>
          <w:p w14:paraId="192182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评分标准</w:t>
            </w:r>
          </w:p>
          <w:p w14:paraId="4879BEC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（20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B1B4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14:paraId="2A7ABE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7A354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在满足询比公告类似项目业绩要求的基础上，供应商每额外提供1项所承建的单个合同金额达5万元以上的类似项</w:t>
            </w:r>
            <w:r>
              <w:rPr>
                <w:rFonts w:hint="eastAsia" w:ascii="Times New Roman" w:hAnsi="Times New Roman" w:cs="Times New Roman"/>
                <w:b w:val="0"/>
                <w:bCs w:val="0"/>
                <w:i w:val="0"/>
                <w:iCs w:val="0"/>
                <w:color w:val="FF0000"/>
                <w:kern w:val="0"/>
                <w:sz w:val="24"/>
                <w:szCs w:val="24"/>
                <w:highlight w:val="none"/>
                <w:u w:val="single"/>
                <w:lang w:val="en-US" w:eastAsia="zh-CN"/>
              </w:rPr>
              <w:t>目</w:t>
            </w:r>
            <w:r>
              <w:rPr>
                <w:rFonts w:hint="eastAsia" w:ascii="Times New Roman" w:hAnsi="Times New Roman" w:cs="Times New Roman"/>
                <w:b w:val="0"/>
                <w:bCs w:val="0"/>
                <w:i w:val="0"/>
                <w:iCs w:val="0"/>
                <w:color w:val="FF0000"/>
                <w:kern w:val="0"/>
                <w:sz w:val="24"/>
                <w:szCs w:val="24"/>
                <w:highlight w:val="none"/>
                <w:u w:val="single"/>
                <w:shd w:val="clear" w:fill="FFFF00"/>
                <w:lang w:val="en-US" w:eastAsia="zh-CN"/>
              </w:rPr>
              <w:t>亮化</w:t>
            </w:r>
            <w:r>
              <w:rPr>
                <w:rFonts w:hint="eastAsia" w:ascii="Times New Roman" w:hAnsi="Times New Roman" w:cs="Times New Roman"/>
                <w:i w:val="0"/>
                <w:iCs w:val="0"/>
                <w:color w:val="FF0000"/>
                <w:kern w:val="0"/>
                <w:sz w:val="24"/>
                <w:szCs w:val="24"/>
                <w:highlight w:val="none"/>
                <w:u w:val="single"/>
                <w:lang w:val="en-US" w:eastAsia="zh-CN"/>
              </w:rPr>
              <w:t>施工工程业绩得10分，此项满分20分。</w:t>
            </w:r>
          </w:p>
          <w:p w14:paraId="3E561BD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注：提供2025年1月1日至今企业类似项目业绩1个，以合同签订时间为准；合同复印件或扫描件装订入响应文件中。 </w:t>
            </w:r>
          </w:p>
        </w:tc>
      </w:tr>
      <w:permEnd w:id="52"/>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0BAD3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lang w:val="en-US" w:eastAsia="zh-CN"/>
              </w:rPr>
            </w:pPr>
            <w:permStart w:id="53" w:edGrp="everyone" w:colFirst="0" w:colLast="0"/>
            <w:permStart w:id="54" w:edGrp="everyone" w:colFirst="1" w:colLast="1"/>
            <w:permStart w:id="55" w:edGrp="everyone" w:colFirst="2" w:colLast="2"/>
            <w:r>
              <w:rPr>
                <w:rFonts w:hint="eastAsia" w:ascii="Times New Roman" w:hAnsi="Times New Roman" w:cs="Times New Roman"/>
                <w:i w:val="0"/>
                <w:iCs w:val="0"/>
                <w:kern w:val="0"/>
                <w:sz w:val="24"/>
                <w:szCs w:val="24"/>
                <w:highlight w:val="none"/>
                <w:lang w:val="en-US" w:eastAsia="zh-CN"/>
              </w:rPr>
              <w:t>商务评分标准</w:t>
            </w:r>
            <w:r>
              <w:rPr>
                <w:rFonts w:hint="default" w:ascii="Times New Roman" w:hAnsi="Times New Roman" w:cs="Times New Roman"/>
                <w:i w:val="0"/>
                <w:iCs w:val="0"/>
                <w:color w:val="FF0000"/>
                <w:kern w:val="0"/>
                <w:sz w:val="24"/>
                <w:szCs w:val="24"/>
                <w:highlight w:val="none"/>
                <w:u w:val="none"/>
                <w:lang w:val="en-US" w:eastAsia="zh-CN"/>
              </w:rPr>
              <w:t>（</w:t>
            </w:r>
            <w:r>
              <w:rPr>
                <w:rFonts w:hint="eastAsia" w:ascii="Times New Roman" w:hAnsi="Times New Roman" w:cs="Times New Roman"/>
                <w:i w:val="0"/>
                <w:iCs w:val="0"/>
                <w:color w:val="FF0000"/>
                <w:kern w:val="0"/>
                <w:sz w:val="24"/>
                <w:szCs w:val="24"/>
                <w:highlight w:val="none"/>
                <w:u w:val="none"/>
                <w:lang w:val="en-US" w:eastAsia="zh-CN"/>
              </w:rPr>
              <w:t>60</w:t>
            </w:r>
            <w:r>
              <w:rPr>
                <w:rFonts w:hint="default" w:ascii="Times New Roman" w:hAnsi="Times New Roman" w:cs="Times New Roman"/>
                <w:i w:val="0"/>
                <w:iCs w:val="0"/>
                <w:color w:val="FF0000"/>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ADA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 xml:space="preserve">响应价格 </w:t>
            </w:r>
          </w:p>
          <w:p w14:paraId="1A39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（60分）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9051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 低于采购人发布的控制价且经评审合格的为有效报价，取有效报价的算术平均值（5家及以上去掉一个最高价和最低价）作为评审基准价，5家以下取所有有效报价的算术平均值作为评审基准价，各供应商的报价得分按以下公式计算：</w:t>
            </w:r>
          </w:p>
          <w:p w14:paraId="64706557">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供应商的报价等于评审基准价得 </w:t>
            </w:r>
          </w:p>
          <w:p w14:paraId="136C74B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60分；</w:t>
            </w:r>
          </w:p>
          <w:p w14:paraId="77E504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（2）供应商的报价高于评审基准价：</w:t>
            </w:r>
          </w:p>
          <w:p w14:paraId="2BA920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60-（供应商报价－评审基准价）/评审基准价*100*0.5；</w:t>
            </w:r>
          </w:p>
          <w:p w14:paraId="4EA485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（3）供应商的报价低于评审基准价：</w:t>
            </w:r>
          </w:p>
          <w:p w14:paraId="70DE4B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60+（供应商报价－评审基准价）/评审基准价*100*0.3；</w:t>
            </w:r>
          </w:p>
          <w:p w14:paraId="19EF75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permEnd w:id="53"/>
      <w:permEnd w:id="54"/>
      <w:permEnd w:id="55"/>
      <w:tr w14:paraId="5E292D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3"/>
            <w:tcBorders>
              <w:top w:val="single" w:color="auto" w:sz="4" w:space="0"/>
              <w:bottom w:val="single" w:color="auto" w:sz="4" w:space="0"/>
              <w:right w:val="single" w:color="auto" w:sz="4" w:space="0"/>
            </w:tcBorders>
            <w:noWrap w:val="0"/>
            <w:vAlign w:val="center"/>
          </w:tcPr>
          <w:p w14:paraId="6DD070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permStart w:id="56" w:edGrp="everyone"/>
            <w:r>
              <w:rPr>
                <w:rFonts w:hint="eastAsia" w:ascii="Times New Roman" w:hAnsi="Times New Roman" w:cs="Times New Roman"/>
                <w:color w:val="FF0000"/>
                <w:kern w:val="0"/>
                <w:sz w:val="24"/>
                <w:szCs w:val="24"/>
                <w:highlight w:val="none"/>
                <w:lang w:val="en-US" w:eastAsia="zh-CN"/>
              </w:rPr>
              <w:t>注：评分区间一律按左闭右闭计算，评分保留2位小数</w:t>
            </w:r>
          </w:p>
        </w:tc>
      </w:tr>
      <w:permEnd w:id="56"/>
    </w:tbl>
    <w:p w14:paraId="7DF9E2D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0C1BAD7">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5527CD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kern w:val="0"/>
          <w:sz w:val="24"/>
          <w:szCs w:val="24"/>
          <w:highlight w:val="none"/>
          <w:lang w:eastAsia="zh-CN"/>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bookmarkStart w:id="241" w:name="_Toc296602481"/>
      <w:bookmarkStart w:id="242" w:name="_Toc246996979"/>
      <w:bookmarkStart w:id="243" w:name="_Toc246996236"/>
      <w:bookmarkStart w:id="244" w:name="_Toc152045593"/>
      <w:bookmarkStart w:id="245" w:name="_Toc152042370"/>
      <w:bookmarkStart w:id="246" w:name="_Toc144974560"/>
      <w:bookmarkStart w:id="247" w:name="_Toc247085751"/>
      <w:bookmarkStart w:id="248" w:name="_Toc179632611"/>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96602484"/>
      <w:bookmarkStart w:id="251" w:name="_Toc179632614"/>
      <w:bookmarkStart w:id="252" w:name="_Toc152045596"/>
      <w:bookmarkStart w:id="253" w:name="_Toc152042373"/>
      <w:bookmarkStart w:id="254" w:name="_Toc246996239"/>
      <w:bookmarkStart w:id="255" w:name="_Toc246996982"/>
      <w:bookmarkStart w:id="256"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BF2F5D6">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ind w:left="0"/>
        <w:jc w:val="center"/>
        <w:textAlignment w:val="auto"/>
        <w:outlineLvl w:val="0"/>
        <w:rPr>
          <w:rFonts w:hint="eastAsia" w:ascii="宋体" w:hAnsi="宋体" w:eastAsia="宋体" w:cs="宋体"/>
          <w:b/>
          <w:kern w:val="44"/>
          <w:sz w:val="44"/>
          <w:szCs w:val="24"/>
          <w:lang w:val="en-US" w:eastAsia="zh-CN" w:bidi="ar-SA"/>
        </w:rPr>
      </w:pPr>
      <w:r>
        <w:rPr>
          <w:rFonts w:hint="eastAsia" w:ascii="宋体" w:hAnsi="宋体" w:eastAsia="宋体" w:cs="宋体"/>
          <w:b/>
          <w:kern w:val="44"/>
          <w:sz w:val="44"/>
          <w:szCs w:val="24"/>
          <w:lang w:val="en-US" w:eastAsia="zh-CN" w:bidi="ar-SA"/>
        </w:rPr>
        <w:t>亮化工程施工合同</w:t>
      </w:r>
    </w:p>
    <w:p w14:paraId="26F2210D">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ind w:left="0"/>
        <w:jc w:val="both"/>
        <w:textAlignment w:val="auto"/>
        <w:outlineLvl w:val="1"/>
        <w:rPr>
          <w:rFonts w:hint="eastAsia" w:ascii="宋体" w:hAnsi="宋体" w:eastAsia="宋体" w:cs="宋体"/>
          <w:b/>
          <w:kern w:val="2"/>
          <w:sz w:val="21"/>
          <w:szCs w:val="21"/>
          <w:lang w:val="en-US" w:eastAsia="zh-CN" w:bidi="ar-SA"/>
        </w:rPr>
      </w:pPr>
      <w:r>
        <w:rPr>
          <w:rFonts w:hint="eastAsia" w:ascii="宋体" w:hAnsi="宋体" w:eastAsia="宋体" w:cs="宋体"/>
          <w:b/>
          <w:kern w:val="2"/>
          <w:sz w:val="21"/>
          <w:szCs w:val="21"/>
          <w:lang w:val="en-US" w:eastAsia="zh-CN" w:bidi="ar-SA"/>
        </w:rPr>
        <w:t>甲方（发包方）：______________________</w:t>
      </w:r>
    </w:p>
    <w:p w14:paraId="6F4959EE">
      <w:pPr>
        <w:pageBreakBefore w:val="0"/>
        <w:widowControl w:val="0"/>
        <w:kinsoku/>
        <w:wordWrap/>
        <w:overflowPunct/>
        <w:topLinePunct w:val="0"/>
        <w:autoSpaceDE/>
        <w:autoSpaceDN/>
        <w:bidi w:val="0"/>
        <w:adjustRightInd/>
        <w:snapToGrid/>
        <w:spacing w:beforeAutospacing="0" w:afterAutospacing="0" w:line="360" w:lineRule="auto"/>
        <w:ind w:left="0"/>
        <w:textAlignment w:val="auto"/>
        <w:rPr>
          <w:rFonts w:hint="eastAsia" w:ascii="宋体" w:hAnsi="宋体" w:eastAsia="宋体" w:cs="宋体"/>
          <w:sz w:val="21"/>
          <w:szCs w:val="21"/>
        </w:rPr>
      </w:pPr>
      <w:r>
        <w:rPr>
          <w:rFonts w:hint="eastAsia" w:ascii="宋体" w:hAnsi="宋体" w:eastAsia="宋体" w:cs="宋体"/>
          <w:sz w:val="21"/>
          <w:szCs w:val="21"/>
        </w:rPr>
        <w:t>法定代表人：______________________</w:t>
      </w:r>
    </w:p>
    <w:p w14:paraId="39879C94">
      <w:pPr>
        <w:pageBreakBefore w:val="0"/>
        <w:widowControl w:val="0"/>
        <w:kinsoku/>
        <w:wordWrap/>
        <w:overflowPunct/>
        <w:topLinePunct w:val="0"/>
        <w:autoSpaceDE/>
        <w:autoSpaceDN/>
        <w:bidi w:val="0"/>
        <w:adjustRightInd/>
        <w:snapToGrid/>
        <w:spacing w:beforeAutospacing="0" w:afterAutospacing="0" w:line="360" w:lineRule="auto"/>
        <w:ind w:left="0"/>
        <w:textAlignment w:val="auto"/>
        <w:rPr>
          <w:rFonts w:hint="eastAsia" w:ascii="宋体" w:hAnsi="宋体" w:eastAsia="宋体" w:cs="宋体"/>
          <w:sz w:val="21"/>
          <w:szCs w:val="21"/>
        </w:rPr>
      </w:pPr>
      <w:r>
        <w:rPr>
          <w:rFonts w:hint="eastAsia" w:ascii="宋体" w:hAnsi="宋体" w:eastAsia="宋体" w:cs="宋体"/>
          <w:sz w:val="21"/>
          <w:szCs w:val="21"/>
        </w:rPr>
        <w:t>地址：______________________</w:t>
      </w:r>
    </w:p>
    <w:p w14:paraId="0C947000">
      <w:pPr>
        <w:pageBreakBefore w:val="0"/>
        <w:widowControl w:val="0"/>
        <w:kinsoku/>
        <w:wordWrap/>
        <w:overflowPunct/>
        <w:topLinePunct w:val="0"/>
        <w:autoSpaceDE/>
        <w:autoSpaceDN/>
        <w:bidi w:val="0"/>
        <w:adjustRightInd/>
        <w:snapToGrid/>
        <w:spacing w:beforeAutospacing="0" w:afterAutospacing="0" w:line="360" w:lineRule="auto"/>
        <w:ind w:left="0"/>
        <w:textAlignment w:val="auto"/>
        <w:rPr>
          <w:rFonts w:hint="eastAsia" w:ascii="宋体" w:hAnsi="宋体" w:eastAsia="宋体" w:cs="宋体"/>
          <w:sz w:val="21"/>
          <w:szCs w:val="21"/>
        </w:rPr>
      </w:pPr>
      <w:r>
        <w:rPr>
          <w:rFonts w:hint="eastAsia" w:ascii="宋体" w:hAnsi="宋体" w:eastAsia="宋体" w:cs="宋体"/>
          <w:sz w:val="21"/>
          <w:szCs w:val="21"/>
        </w:rPr>
        <w:t>联系方式：______________________</w:t>
      </w:r>
    </w:p>
    <w:p w14:paraId="65C303FA">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ind w:left="0"/>
        <w:jc w:val="both"/>
        <w:textAlignment w:val="auto"/>
        <w:outlineLvl w:val="1"/>
        <w:rPr>
          <w:rFonts w:hint="eastAsia" w:ascii="宋体" w:hAnsi="宋体" w:eastAsia="宋体" w:cs="宋体"/>
          <w:b/>
          <w:kern w:val="2"/>
          <w:sz w:val="21"/>
          <w:szCs w:val="21"/>
          <w:lang w:val="en-US" w:eastAsia="zh-CN" w:bidi="ar-SA"/>
        </w:rPr>
      </w:pPr>
    </w:p>
    <w:p w14:paraId="5AD6712F">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ind w:left="0"/>
        <w:jc w:val="both"/>
        <w:textAlignment w:val="auto"/>
        <w:outlineLvl w:val="1"/>
        <w:rPr>
          <w:rFonts w:hint="eastAsia" w:ascii="宋体" w:hAnsi="宋体" w:eastAsia="宋体" w:cs="宋体"/>
          <w:b/>
          <w:kern w:val="2"/>
          <w:sz w:val="21"/>
          <w:szCs w:val="21"/>
          <w:lang w:val="en-US" w:eastAsia="zh-CN" w:bidi="ar-SA"/>
        </w:rPr>
      </w:pPr>
      <w:r>
        <w:rPr>
          <w:rFonts w:hint="eastAsia" w:ascii="宋体" w:hAnsi="宋体" w:eastAsia="宋体" w:cs="宋体"/>
          <w:b/>
          <w:kern w:val="2"/>
          <w:sz w:val="21"/>
          <w:szCs w:val="21"/>
          <w:lang w:val="en-US" w:eastAsia="zh-CN" w:bidi="ar-SA"/>
        </w:rPr>
        <w:t>乙方（承包方）：______________________</w:t>
      </w:r>
    </w:p>
    <w:p w14:paraId="60CC2E21">
      <w:pPr>
        <w:pageBreakBefore w:val="0"/>
        <w:widowControl w:val="0"/>
        <w:kinsoku/>
        <w:wordWrap/>
        <w:overflowPunct/>
        <w:topLinePunct w:val="0"/>
        <w:autoSpaceDE/>
        <w:autoSpaceDN/>
        <w:bidi w:val="0"/>
        <w:adjustRightInd/>
        <w:snapToGrid/>
        <w:spacing w:beforeAutospacing="0" w:afterAutospacing="0" w:line="360" w:lineRule="auto"/>
        <w:ind w:left="0"/>
        <w:textAlignment w:val="auto"/>
        <w:rPr>
          <w:rFonts w:hint="eastAsia" w:ascii="宋体" w:hAnsi="宋体" w:eastAsia="宋体" w:cs="宋体"/>
          <w:sz w:val="21"/>
          <w:szCs w:val="21"/>
        </w:rPr>
      </w:pPr>
      <w:r>
        <w:rPr>
          <w:rFonts w:hint="eastAsia" w:ascii="宋体" w:hAnsi="宋体" w:eastAsia="宋体" w:cs="宋体"/>
          <w:sz w:val="21"/>
          <w:szCs w:val="21"/>
        </w:rPr>
        <w:t>法定代表人：______________________</w:t>
      </w:r>
    </w:p>
    <w:p w14:paraId="5441AC8F">
      <w:pPr>
        <w:pageBreakBefore w:val="0"/>
        <w:widowControl w:val="0"/>
        <w:kinsoku/>
        <w:wordWrap/>
        <w:overflowPunct/>
        <w:topLinePunct w:val="0"/>
        <w:autoSpaceDE/>
        <w:autoSpaceDN/>
        <w:bidi w:val="0"/>
        <w:adjustRightInd/>
        <w:snapToGrid/>
        <w:spacing w:beforeAutospacing="0" w:afterAutospacing="0" w:line="360" w:lineRule="auto"/>
        <w:ind w:left="0"/>
        <w:textAlignment w:val="auto"/>
        <w:rPr>
          <w:rFonts w:hint="eastAsia" w:ascii="宋体" w:hAnsi="宋体" w:eastAsia="宋体" w:cs="宋体"/>
          <w:sz w:val="21"/>
          <w:szCs w:val="21"/>
        </w:rPr>
      </w:pPr>
      <w:r>
        <w:rPr>
          <w:rFonts w:hint="eastAsia" w:ascii="宋体" w:hAnsi="宋体" w:eastAsia="宋体" w:cs="宋体"/>
          <w:sz w:val="21"/>
          <w:szCs w:val="21"/>
        </w:rPr>
        <w:t>地址：______________________</w:t>
      </w:r>
    </w:p>
    <w:p w14:paraId="0B79CA55">
      <w:pPr>
        <w:pageBreakBefore w:val="0"/>
        <w:widowControl w:val="0"/>
        <w:kinsoku/>
        <w:wordWrap/>
        <w:overflowPunct/>
        <w:topLinePunct w:val="0"/>
        <w:autoSpaceDE/>
        <w:autoSpaceDN/>
        <w:bidi w:val="0"/>
        <w:adjustRightInd/>
        <w:snapToGrid/>
        <w:spacing w:beforeAutospacing="0" w:afterAutospacing="0" w:line="360" w:lineRule="auto"/>
        <w:ind w:left="0"/>
        <w:textAlignment w:val="auto"/>
        <w:rPr>
          <w:rFonts w:hint="eastAsia" w:ascii="宋体" w:hAnsi="宋体" w:eastAsia="宋体" w:cs="宋体"/>
          <w:sz w:val="21"/>
          <w:szCs w:val="21"/>
        </w:rPr>
      </w:pPr>
      <w:r>
        <w:rPr>
          <w:rFonts w:hint="eastAsia" w:ascii="宋体" w:hAnsi="宋体" w:eastAsia="宋体" w:cs="宋体"/>
          <w:sz w:val="21"/>
          <w:szCs w:val="21"/>
        </w:rPr>
        <w:t>联系方式：______________________</w:t>
      </w:r>
    </w:p>
    <w:p w14:paraId="5EB74D34">
      <w:pPr>
        <w:pageBreakBefore w:val="0"/>
        <w:widowControl w:val="0"/>
        <w:kinsoku/>
        <w:wordWrap/>
        <w:overflowPunct/>
        <w:topLinePunct w:val="0"/>
        <w:autoSpaceDE/>
        <w:autoSpaceDN/>
        <w:bidi w:val="0"/>
        <w:adjustRightInd/>
        <w:snapToGrid/>
        <w:spacing w:beforeAutospacing="0" w:afterAutospacing="0" w:line="360" w:lineRule="auto"/>
        <w:ind w:left="0" w:firstLine="0" w:firstLineChars="0"/>
        <w:textAlignment w:val="auto"/>
        <w:rPr>
          <w:rFonts w:hint="eastAsia" w:ascii="宋体" w:hAnsi="宋体" w:eastAsia="宋体" w:cs="宋体"/>
        </w:rPr>
      </w:pPr>
    </w:p>
    <w:p w14:paraId="75564FB0">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ind w:left="0"/>
        <w:jc w:val="both"/>
        <w:textAlignment w:val="auto"/>
        <w:outlineLvl w:val="2"/>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一、工程概况</w:t>
      </w:r>
    </w:p>
    <w:p w14:paraId="3CAF4BA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0" w:leftChars="0" w:firstLine="422" w:firstLineChars="200"/>
        <w:textAlignment w:val="auto"/>
        <w:rPr>
          <w:rFonts w:hint="eastAsia" w:ascii="宋体" w:hAnsi="宋体" w:eastAsia="宋体" w:cs="宋体"/>
          <w:u w:val="single"/>
        </w:rPr>
      </w:pPr>
      <w:r>
        <w:rPr>
          <w:rFonts w:hint="eastAsia" w:ascii="宋体" w:hAnsi="宋体" w:eastAsia="宋体" w:cs="宋体"/>
          <w:b/>
          <w:lang w:val="en-US" w:eastAsia="zh-CN"/>
        </w:rPr>
        <w:t xml:space="preserve">1.1  </w:t>
      </w:r>
      <w:r>
        <w:rPr>
          <w:rFonts w:hint="eastAsia" w:ascii="宋体" w:hAnsi="宋体" w:eastAsia="宋体" w:cs="宋体"/>
          <w:b/>
        </w:rPr>
        <w:t>工程名称</w:t>
      </w:r>
      <w:r>
        <w:rPr>
          <w:rFonts w:hint="eastAsia" w:ascii="宋体" w:hAnsi="宋体" w:eastAsia="宋体" w:cs="宋体"/>
        </w:rPr>
        <w:t>：</w:t>
      </w:r>
      <w:r>
        <w:rPr>
          <w:rFonts w:hint="eastAsia" w:ascii="宋体" w:hAnsi="宋体" w:eastAsia="宋体" w:cs="宋体"/>
          <w:u w:val="single"/>
          <w:lang w:val="en-US" w:eastAsia="zh-CN"/>
        </w:rPr>
        <w:t>凤鸣书院项目外部亮</w:t>
      </w:r>
      <w:r>
        <w:rPr>
          <w:rFonts w:hint="eastAsia" w:ascii="宋体" w:hAnsi="宋体" w:eastAsia="宋体" w:cs="宋体"/>
          <w:u w:val="single"/>
        </w:rPr>
        <w:t>化工程</w:t>
      </w:r>
    </w:p>
    <w:p w14:paraId="42A0FEF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0" w:leftChars="0"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1.2  </w:t>
      </w:r>
      <w:r>
        <w:rPr>
          <w:rFonts w:hint="eastAsia" w:ascii="宋体" w:hAnsi="宋体" w:eastAsia="宋体" w:cs="宋体"/>
          <w:b/>
        </w:rPr>
        <w:t>工程地点</w:t>
      </w:r>
      <w:r>
        <w:rPr>
          <w:rFonts w:hint="eastAsia" w:ascii="宋体" w:hAnsi="宋体" w:eastAsia="宋体" w:cs="宋体"/>
        </w:rPr>
        <w:t>：</w:t>
      </w:r>
      <w:r>
        <w:rPr>
          <w:rFonts w:hint="eastAsia" w:ascii="宋体" w:hAnsi="宋体" w:eastAsia="宋体" w:cs="宋体"/>
          <w:u w:val="single"/>
          <w:lang w:val="en-US" w:eastAsia="zh-CN"/>
        </w:rPr>
        <w:t>亳州市谯城区养生大道与文采路路交叉口</w:t>
      </w:r>
    </w:p>
    <w:p w14:paraId="4B235C7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0" w:leftChars="0" w:firstLine="422" w:firstLineChars="200"/>
        <w:textAlignment w:val="auto"/>
        <w:rPr>
          <w:rFonts w:hint="eastAsia" w:ascii="宋体" w:hAnsi="宋体" w:eastAsia="宋体" w:cs="宋体"/>
          <w:b w:val="0"/>
          <w:bCs w:val="0"/>
          <w:u w:val="none"/>
        </w:rPr>
      </w:pPr>
      <w:r>
        <w:rPr>
          <w:rFonts w:hint="eastAsia" w:ascii="宋体" w:hAnsi="宋体" w:eastAsia="宋体" w:cs="宋体"/>
          <w:b/>
          <w:lang w:val="en-US" w:eastAsia="zh-CN"/>
        </w:rPr>
        <w:t xml:space="preserve">1.3  </w:t>
      </w:r>
      <w:r>
        <w:rPr>
          <w:rFonts w:hint="eastAsia" w:ascii="宋体" w:hAnsi="宋体" w:eastAsia="宋体" w:cs="宋体"/>
          <w:b/>
        </w:rPr>
        <w:t>工程内容</w:t>
      </w:r>
      <w:r>
        <w:rPr>
          <w:rFonts w:hint="eastAsia" w:ascii="宋体" w:hAnsi="宋体" w:eastAsia="宋体" w:cs="宋体"/>
        </w:rPr>
        <w:t>：按甲方提供的设计图纸，完成小区户外亮化工程施工，包括但不限于</w:t>
      </w:r>
      <w:r>
        <w:rPr>
          <w:rFonts w:hint="eastAsia" w:ascii="宋体" w:hAnsi="宋体" w:eastAsia="宋体" w:cs="宋体"/>
          <w:b w:val="0"/>
          <w:bCs w:val="0"/>
          <w:u w:val="none"/>
        </w:rPr>
        <w:t>灯具及配套</w:t>
      </w:r>
      <w:r>
        <w:rPr>
          <w:rFonts w:hint="eastAsia" w:ascii="宋体" w:hAnsi="宋体" w:eastAsia="宋体" w:cs="宋体"/>
          <w:b w:val="0"/>
          <w:bCs w:val="0"/>
          <w:u w:val="none"/>
          <w:lang w:val="en-US" w:eastAsia="zh-CN"/>
        </w:rPr>
        <w:t>用电</w:t>
      </w:r>
      <w:r>
        <w:rPr>
          <w:rFonts w:hint="eastAsia" w:ascii="宋体" w:hAnsi="宋体" w:eastAsia="宋体" w:cs="宋体"/>
          <w:b w:val="0"/>
          <w:bCs w:val="0"/>
          <w:u w:val="none"/>
        </w:rPr>
        <w:t>设备（含</w:t>
      </w:r>
      <w:r>
        <w:rPr>
          <w:rFonts w:hint="eastAsia" w:ascii="宋体" w:hAnsi="宋体" w:eastAsia="宋体" w:cs="宋体"/>
          <w:b w:val="0"/>
          <w:bCs w:val="0"/>
          <w:u w:val="none"/>
          <w:lang w:val="en-US" w:eastAsia="zh-CN"/>
        </w:rPr>
        <w:t>配管、</w:t>
      </w:r>
      <w:r>
        <w:rPr>
          <w:rFonts w:hint="eastAsia" w:ascii="宋体" w:hAnsi="宋体" w:eastAsia="宋体" w:cs="宋体"/>
          <w:b w:val="0"/>
          <w:bCs w:val="0"/>
          <w:u w:val="none"/>
        </w:rPr>
        <w:t>电源线路、控制器、配电箱等）的采购、安装、调试及系统集成。</w:t>
      </w:r>
    </w:p>
    <w:p w14:paraId="7D729E33">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ind w:left="0"/>
        <w:jc w:val="both"/>
        <w:textAlignment w:val="auto"/>
        <w:outlineLvl w:val="2"/>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二、采购范围及依据</w:t>
      </w:r>
    </w:p>
    <w:p w14:paraId="42439C4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0" w:leftChars="0" w:firstLine="422" w:firstLineChars="200"/>
        <w:textAlignment w:val="auto"/>
        <w:rPr>
          <w:rFonts w:hint="eastAsia" w:ascii="宋体" w:hAnsi="宋体" w:eastAsia="宋体" w:cs="宋体"/>
        </w:rPr>
      </w:pPr>
      <w:r>
        <w:rPr>
          <w:rFonts w:hint="eastAsia" w:ascii="宋体" w:hAnsi="宋体" w:eastAsia="宋体" w:cs="宋体"/>
          <w:b/>
          <w:lang w:val="en-US" w:eastAsia="zh-CN"/>
        </w:rPr>
        <w:t>2.1 采购</w:t>
      </w:r>
      <w:r>
        <w:rPr>
          <w:rFonts w:hint="eastAsia" w:ascii="宋体" w:hAnsi="宋体" w:eastAsia="宋体" w:cs="宋体"/>
          <w:b/>
        </w:rPr>
        <w:t>范围</w:t>
      </w:r>
      <w:r>
        <w:rPr>
          <w:rFonts w:hint="eastAsia" w:ascii="宋体" w:hAnsi="宋体" w:eastAsia="宋体" w:cs="宋体"/>
        </w:rPr>
        <w:t>：本工程全部施工内容（详见甲方提供的设计图纸及</w:t>
      </w:r>
      <w:r>
        <w:rPr>
          <w:rFonts w:hint="eastAsia" w:ascii="宋体" w:hAnsi="宋体" w:eastAsia="宋体" w:cs="宋体"/>
          <w:lang w:val="en-US" w:eastAsia="zh-CN"/>
        </w:rPr>
        <w:t>询比</w:t>
      </w:r>
      <w:r>
        <w:rPr>
          <w:rFonts w:hint="eastAsia" w:ascii="宋体" w:hAnsi="宋体" w:eastAsia="宋体" w:cs="宋体"/>
        </w:rPr>
        <w:t>文件），包括材料设备采购、运输、安装、调试、验收及保修期内的维护。</w:t>
      </w:r>
    </w:p>
    <w:p w14:paraId="70559B7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0" w:leftChars="0"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2.2 </w:t>
      </w:r>
      <w:r>
        <w:rPr>
          <w:rFonts w:hint="eastAsia" w:ascii="宋体" w:hAnsi="宋体" w:eastAsia="宋体" w:cs="宋体"/>
          <w:b/>
        </w:rPr>
        <w:t>施工依据</w:t>
      </w:r>
      <w:r>
        <w:rPr>
          <w:rFonts w:hint="eastAsia" w:ascii="宋体" w:hAnsi="宋体" w:eastAsia="宋体" w:cs="宋体"/>
        </w:rPr>
        <w:t>：严格按照</w:t>
      </w:r>
      <w:r>
        <w:rPr>
          <w:rFonts w:hint="eastAsia" w:ascii="宋体" w:hAnsi="宋体" w:eastAsia="宋体" w:cs="宋体"/>
          <w:lang w:val="en-US" w:eastAsia="zh-CN"/>
        </w:rPr>
        <w:t>施工图纸</w:t>
      </w:r>
      <w:r>
        <w:rPr>
          <w:rFonts w:hint="eastAsia" w:ascii="宋体" w:hAnsi="宋体" w:eastAsia="宋体" w:cs="宋体"/>
        </w:rPr>
        <w:t>及国家、行业现行标准执行。</w:t>
      </w:r>
    </w:p>
    <w:p w14:paraId="3D0CB74B">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jc w:val="both"/>
        <w:textAlignment w:val="auto"/>
        <w:outlineLvl w:val="2"/>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三、工期要求</w:t>
      </w:r>
    </w:p>
    <w:p w14:paraId="668558BE">
      <w:pPr>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rPr>
      </w:pPr>
      <w:r>
        <w:rPr>
          <w:rFonts w:hint="eastAsia" w:ascii="宋体" w:hAnsi="宋体" w:eastAsia="宋体" w:cs="宋体"/>
          <w:kern w:val="2"/>
          <w:sz w:val="24"/>
          <w:szCs w:val="24"/>
          <w:lang w:val="en-US" w:eastAsia="zh-CN" w:bidi="ar-SA"/>
        </w:rPr>
        <w:t xml:space="preserve">3.1 </w:t>
      </w:r>
      <w:r>
        <w:rPr>
          <w:rFonts w:hint="eastAsia" w:ascii="宋体" w:hAnsi="宋体" w:eastAsia="宋体" w:cs="宋体"/>
          <w:b/>
        </w:rPr>
        <w:t>总工期</w:t>
      </w:r>
      <w:r>
        <w:rPr>
          <w:rFonts w:hint="eastAsia" w:ascii="宋体" w:hAnsi="宋体" w:eastAsia="宋体" w:cs="宋体"/>
        </w:rPr>
        <w:t>：</w:t>
      </w:r>
      <w:r>
        <w:rPr>
          <w:rFonts w:hint="eastAsia" w:ascii="宋体" w:hAnsi="宋体" w:eastAsia="宋体" w:cs="宋体"/>
          <w:lang w:val="en-US" w:eastAsia="zh-CN"/>
        </w:rPr>
        <w:t>1</w:t>
      </w:r>
      <w:r>
        <w:rPr>
          <w:rFonts w:hint="eastAsia" w:ascii="宋体" w:hAnsi="宋体" w:eastAsia="宋体" w:cs="宋体"/>
        </w:rPr>
        <w:t>0个日历天（不含不可抗力延误）。</w:t>
      </w:r>
    </w:p>
    <w:p w14:paraId="485E376A">
      <w:pPr>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rPr>
      </w:pPr>
      <w:r>
        <w:rPr>
          <w:rFonts w:hint="eastAsia" w:ascii="宋体" w:hAnsi="宋体" w:eastAsia="宋体" w:cs="宋体"/>
          <w:kern w:val="2"/>
          <w:sz w:val="24"/>
          <w:szCs w:val="24"/>
          <w:lang w:val="en-US" w:eastAsia="zh-CN" w:bidi="ar-SA"/>
        </w:rPr>
        <w:t xml:space="preserve">3.2 </w:t>
      </w:r>
      <w:r>
        <w:rPr>
          <w:rFonts w:hint="eastAsia" w:ascii="宋体" w:hAnsi="宋体" w:eastAsia="宋体" w:cs="宋体"/>
          <w:b/>
        </w:rPr>
        <w:t>开工日期</w:t>
      </w:r>
      <w:r>
        <w:rPr>
          <w:rFonts w:hint="eastAsia" w:ascii="宋体" w:hAnsi="宋体" w:eastAsia="宋体" w:cs="宋体"/>
        </w:rPr>
        <w:t>：以甲方发出的书面《开工通知书》为准。</w:t>
      </w:r>
    </w:p>
    <w:p w14:paraId="2F45BD1A">
      <w:pPr>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rPr>
      </w:pPr>
      <w:r>
        <w:rPr>
          <w:rFonts w:hint="eastAsia" w:ascii="宋体" w:hAnsi="宋体" w:eastAsia="宋体" w:cs="宋体"/>
          <w:kern w:val="2"/>
          <w:sz w:val="24"/>
          <w:szCs w:val="24"/>
          <w:lang w:val="en-US" w:eastAsia="zh-CN" w:bidi="ar-SA"/>
        </w:rPr>
        <w:t xml:space="preserve">3.3 </w:t>
      </w:r>
      <w:r>
        <w:rPr>
          <w:rFonts w:hint="eastAsia" w:ascii="宋体" w:hAnsi="宋体" w:eastAsia="宋体" w:cs="宋体"/>
          <w:b/>
        </w:rPr>
        <w:t>竣工日期</w:t>
      </w:r>
      <w:r>
        <w:rPr>
          <w:rFonts w:hint="eastAsia" w:ascii="宋体" w:hAnsi="宋体" w:eastAsia="宋体" w:cs="宋体"/>
        </w:rPr>
        <w:t>：开工日期后第</w:t>
      </w:r>
      <w:r>
        <w:rPr>
          <w:rFonts w:hint="eastAsia" w:ascii="宋体" w:hAnsi="宋体" w:eastAsia="宋体" w:cs="宋体"/>
          <w:lang w:val="en-US" w:eastAsia="zh-CN"/>
        </w:rPr>
        <w:t>1</w:t>
      </w:r>
      <w:r>
        <w:rPr>
          <w:rFonts w:hint="eastAsia" w:ascii="宋体" w:hAnsi="宋体" w:eastAsia="宋体" w:cs="宋体"/>
        </w:rPr>
        <w:t>0天（如遇暴雨、地震等不可抗力或甲方原因导致停工，工期顺延，顺延天数以双方签字确认的《工期顺延签证》为准）。</w:t>
      </w:r>
    </w:p>
    <w:p w14:paraId="013DF483">
      <w:pPr>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rPr>
      </w:pPr>
      <w:r>
        <w:rPr>
          <w:rFonts w:hint="eastAsia" w:ascii="宋体" w:hAnsi="宋体" w:eastAsia="宋体" w:cs="宋体"/>
          <w:kern w:val="2"/>
          <w:sz w:val="24"/>
          <w:szCs w:val="24"/>
          <w:lang w:val="en-US" w:eastAsia="zh-CN" w:bidi="ar-SA"/>
        </w:rPr>
        <w:t xml:space="preserve">3.4 </w:t>
      </w:r>
      <w:r>
        <w:rPr>
          <w:rFonts w:hint="eastAsia" w:ascii="宋体" w:hAnsi="宋体" w:eastAsia="宋体" w:cs="宋体"/>
          <w:b/>
        </w:rPr>
        <w:t>工期延误责任</w:t>
      </w:r>
      <w:r>
        <w:rPr>
          <w:rFonts w:hint="eastAsia" w:ascii="宋体" w:hAnsi="宋体" w:eastAsia="宋体" w:cs="宋体"/>
        </w:rPr>
        <w:t>：若因乙方原因导致工期延误，每延误1天，乙方应向甲方支付合同总价</w:t>
      </w:r>
      <w:r>
        <w:rPr>
          <w:rFonts w:hint="eastAsia" w:ascii="宋体" w:hAnsi="宋体" w:eastAsia="宋体" w:cs="宋体"/>
          <w:b/>
          <w:bCs/>
          <w:u w:val="single"/>
        </w:rPr>
        <w:t>0.5‰</w:t>
      </w:r>
      <w:r>
        <w:rPr>
          <w:rFonts w:hint="eastAsia" w:ascii="宋体" w:hAnsi="宋体" w:eastAsia="宋体" w:cs="宋体"/>
        </w:rPr>
        <w:t>的违约金（累计不超过合同总价的10%）；延误超过5天的，甲方有权解除合同，乙方应赔偿甲方全部损失。</w:t>
      </w:r>
    </w:p>
    <w:p w14:paraId="16A46DB0">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jc w:val="both"/>
        <w:textAlignment w:val="auto"/>
        <w:outlineLvl w:val="2"/>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四、质量标准及验收</w:t>
      </w:r>
    </w:p>
    <w:p w14:paraId="604199F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4.1 </w:t>
      </w:r>
      <w:r>
        <w:rPr>
          <w:rFonts w:hint="eastAsia" w:ascii="宋体" w:hAnsi="宋体" w:eastAsia="宋体" w:cs="宋体"/>
          <w:b/>
        </w:rPr>
        <w:t>质量标准</w:t>
      </w:r>
      <w:r>
        <w:rPr>
          <w:rFonts w:hint="eastAsia" w:ascii="宋体" w:hAnsi="宋体" w:eastAsia="宋体" w:cs="宋体"/>
        </w:rPr>
        <w:t>：工程质量达到国家及行业合格标准，符合设计图纸要求，确保亮化系统运行稳定、安全可靠。</w:t>
      </w:r>
    </w:p>
    <w:p w14:paraId="6E9FFDB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4.2 </w:t>
      </w:r>
      <w:r>
        <w:rPr>
          <w:rFonts w:hint="eastAsia" w:ascii="宋体" w:hAnsi="宋体" w:eastAsia="宋体" w:cs="宋体"/>
          <w:b/>
        </w:rPr>
        <w:t>验收程序</w:t>
      </w:r>
      <w:r>
        <w:rPr>
          <w:rFonts w:hint="eastAsia" w:ascii="宋体" w:hAnsi="宋体" w:eastAsia="宋体" w:cs="宋体"/>
        </w:rPr>
        <w:t>：</w:t>
      </w:r>
    </w:p>
    <w:p w14:paraId="69B82615">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r>
        <w:rPr>
          <w:rFonts w:hint="eastAsia" w:ascii="宋体" w:hAnsi="宋体" w:eastAsia="宋体" w:cs="宋体"/>
        </w:rPr>
        <w:t>（1）乙方完成全部施工后，应向甲方提交《竣工验收申请报告》及完整的施工资料（包括材料合格证、检验报告、调试记录、竣工图纸等）；</w:t>
      </w:r>
    </w:p>
    <w:p w14:paraId="3FCDBC17">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r>
        <w:rPr>
          <w:rFonts w:hint="eastAsia" w:ascii="宋体" w:hAnsi="宋体" w:eastAsia="宋体" w:cs="宋体"/>
        </w:rPr>
        <w:t>（2）甲方收到申请后7日内组织验收，验收合格的，双方签署《工程竣工验收合格证明书》；</w:t>
      </w:r>
    </w:p>
    <w:p w14:paraId="326965CD">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r>
        <w:rPr>
          <w:rFonts w:hint="eastAsia" w:ascii="宋体" w:hAnsi="宋体" w:eastAsia="宋体" w:cs="宋体"/>
        </w:rPr>
        <w:t>（3）验收不合格的，乙方应在3日内整改完毕并重新申请验收，整改费用由乙方承担；若二次验收仍不合格，甲方有权拒绝支付剩余款项并解除合同，乙方应支付合同总价10%的违约金。</w:t>
      </w:r>
    </w:p>
    <w:p w14:paraId="273F2B35">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jc w:val="both"/>
        <w:textAlignment w:val="auto"/>
        <w:outlineLvl w:val="2"/>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五、合同价款及支付</w:t>
      </w:r>
    </w:p>
    <w:p w14:paraId="52938CD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5.1 </w:t>
      </w:r>
      <w:r>
        <w:rPr>
          <w:rFonts w:hint="eastAsia" w:ascii="宋体" w:hAnsi="宋体" w:eastAsia="宋体" w:cs="宋体"/>
          <w:b/>
        </w:rPr>
        <w:t>合同形式</w:t>
      </w:r>
      <w:r>
        <w:rPr>
          <w:rFonts w:hint="eastAsia" w:ascii="宋体" w:hAnsi="宋体" w:eastAsia="宋体" w:cs="宋体"/>
        </w:rPr>
        <w:t>：固定总价合同（包干价）。</w:t>
      </w:r>
    </w:p>
    <w:p w14:paraId="1AC92DD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5.2 </w:t>
      </w:r>
      <w:r>
        <w:rPr>
          <w:rFonts w:hint="eastAsia" w:ascii="宋体" w:hAnsi="宋体" w:eastAsia="宋体" w:cs="宋体"/>
          <w:b/>
        </w:rPr>
        <w:t>合同总价</w:t>
      </w:r>
      <w:r>
        <w:rPr>
          <w:rFonts w:hint="eastAsia" w:ascii="宋体" w:hAnsi="宋体" w:eastAsia="宋体" w:cs="宋体"/>
        </w:rPr>
        <w:t>：</w:t>
      </w:r>
      <w:r>
        <w:rPr>
          <w:rFonts w:hint="eastAsia" w:ascii="宋体" w:hAnsi="宋体" w:eastAsia="宋体" w:cs="宋体"/>
          <w:lang w:val="en-US" w:eastAsia="zh-CN"/>
        </w:rPr>
        <w:t>人民币大写为【       】(小写 ¥【     】元，其中不含税总价【      】元，税金【     】元，税率【    】%。</w:t>
      </w:r>
      <w:r>
        <w:rPr>
          <w:rFonts w:hint="eastAsia" w:ascii="宋体" w:hAnsi="宋体" w:eastAsia="宋体" w:cs="宋体"/>
        </w:rPr>
        <w:t>该价格包含完成本合同全部工程内容的人工费、材料费、机械费、管理费、利润、税金、风险费（含材料价格波动、人工成本上涨等）及保修期内的维护费用，除本合同另有约定外，不予调整。</w:t>
      </w:r>
    </w:p>
    <w:p w14:paraId="6D9C1EB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5.3 </w:t>
      </w:r>
      <w:r>
        <w:rPr>
          <w:rFonts w:hint="eastAsia" w:ascii="宋体" w:hAnsi="宋体" w:eastAsia="宋体" w:cs="宋体"/>
          <w:b/>
        </w:rPr>
        <w:t>支付方式</w:t>
      </w:r>
      <w:r>
        <w:rPr>
          <w:rFonts w:hint="eastAsia" w:ascii="宋体" w:hAnsi="宋体" w:eastAsia="宋体" w:cs="宋体"/>
        </w:rPr>
        <w:t>：</w:t>
      </w:r>
    </w:p>
    <w:p w14:paraId="0CA0400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420" w:firstLineChars="200"/>
        <w:textAlignment w:val="auto"/>
        <w:rPr>
          <w:rFonts w:hint="eastAsia" w:ascii="宋体" w:hAnsi="宋体" w:eastAsia="宋体" w:cs="宋体"/>
        </w:rPr>
      </w:pPr>
      <w:r>
        <w:rPr>
          <w:rFonts w:hint="eastAsia" w:ascii="宋体" w:hAnsi="宋体" w:eastAsia="宋体" w:cs="宋体"/>
        </w:rPr>
        <w:t>（1）预付款：</w:t>
      </w:r>
      <w:r>
        <w:rPr>
          <w:rFonts w:hint="eastAsia" w:ascii="宋体" w:hAnsi="宋体" w:eastAsia="宋体" w:cs="宋体"/>
          <w:lang w:val="en-US" w:eastAsia="zh-CN"/>
        </w:rPr>
        <w:t>本工程无预付款</w:t>
      </w:r>
      <w:r>
        <w:rPr>
          <w:rFonts w:hint="eastAsia" w:ascii="宋体" w:hAnsi="宋体" w:eastAsia="宋体" w:cs="宋体"/>
        </w:rPr>
        <w:t>；</w:t>
      </w:r>
    </w:p>
    <w:p w14:paraId="19A5EF7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420" w:firstLineChars="200"/>
        <w:textAlignment w:val="auto"/>
        <w:rPr>
          <w:rFonts w:hint="eastAsia" w:ascii="宋体" w:hAnsi="宋体" w:eastAsia="宋体" w:cs="宋体"/>
        </w:rPr>
      </w:pPr>
      <w:r>
        <w:rPr>
          <w:rFonts w:hint="eastAsia" w:ascii="宋体" w:hAnsi="宋体" w:eastAsia="宋体" w:cs="宋体"/>
        </w:rPr>
        <w:t>（2）进度款施工完成经竣工验收合格支付已完合格工程审定价款的85%；</w:t>
      </w:r>
    </w:p>
    <w:p w14:paraId="4280E97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420" w:firstLineChars="200"/>
        <w:textAlignment w:val="auto"/>
        <w:rPr>
          <w:rFonts w:hint="eastAsia" w:ascii="宋体" w:hAnsi="宋体" w:eastAsia="宋体" w:cs="宋体"/>
          <w:lang w:eastAsia="zh-CN"/>
        </w:rPr>
      </w:pPr>
      <w:r>
        <w:rPr>
          <w:rFonts w:hint="eastAsia" w:ascii="宋体" w:hAnsi="宋体" w:eastAsia="宋体" w:cs="宋体"/>
        </w:rPr>
        <w:t>（3）工程结算审核完成，付至审定金额的97%</w:t>
      </w:r>
      <w:r>
        <w:rPr>
          <w:rFonts w:hint="eastAsia" w:ascii="宋体" w:hAnsi="宋体" w:eastAsia="宋体" w:cs="宋体"/>
          <w:lang w:eastAsia="zh-CN"/>
        </w:rPr>
        <w:t>；</w:t>
      </w:r>
    </w:p>
    <w:p w14:paraId="74882A9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420" w:firstLineChars="200"/>
        <w:textAlignment w:val="auto"/>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4</w:t>
      </w:r>
      <w:r>
        <w:rPr>
          <w:rFonts w:hint="eastAsia" w:ascii="宋体" w:hAnsi="宋体" w:eastAsia="宋体" w:cs="宋体"/>
          <w:lang w:eastAsia="zh-CN"/>
        </w:rPr>
        <w:t>）余款3%作为质量保证金，待工程质量缺陷责任期结束且无质量问题后，无息退还</w:t>
      </w:r>
      <w:r>
        <w:rPr>
          <w:rFonts w:hint="eastAsia" w:ascii="宋体" w:hAnsi="宋体" w:eastAsia="宋体" w:cs="宋体"/>
        </w:rPr>
        <w:t>，保修期（2年）届满且无质量问题后10日内无息支付。</w:t>
      </w:r>
    </w:p>
    <w:p w14:paraId="3B85C30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5.4 </w:t>
      </w:r>
      <w:r>
        <w:rPr>
          <w:rFonts w:hint="eastAsia" w:ascii="宋体" w:hAnsi="宋体" w:eastAsia="宋体" w:cs="宋体"/>
          <w:b/>
        </w:rPr>
        <w:t>发票要求</w:t>
      </w:r>
      <w:r>
        <w:rPr>
          <w:rFonts w:hint="eastAsia" w:ascii="宋体" w:hAnsi="宋体" w:eastAsia="宋体" w:cs="宋体"/>
        </w:rPr>
        <w:t>：乙方应在每次收款前向甲方提供合法有效的增值税发票，否则甲方有权拒付。</w:t>
      </w:r>
    </w:p>
    <w:p w14:paraId="279F1F3B">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jc w:val="both"/>
        <w:textAlignment w:val="auto"/>
        <w:outlineLvl w:val="2"/>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六、双方责任</w:t>
      </w:r>
    </w:p>
    <w:p w14:paraId="78E44F5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val="en-US" w:eastAsia="zh-CN"/>
        </w:rPr>
        <w:t xml:space="preserve">6.1 </w:t>
      </w:r>
      <w:r>
        <w:rPr>
          <w:rFonts w:hint="eastAsia" w:ascii="宋体" w:hAnsi="宋体" w:eastAsia="宋体" w:cs="宋体"/>
        </w:rPr>
        <w:t>甲方责任</w:t>
      </w:r>
    </w:p>
    <w:p w14:paraId="09449C6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val="en-US" w:eastAsia="zh-CN"/>
        </w:rPr>
        <w:t>（1）</w:t>
      </w:r>
      <w:r>
        <w:rPr>
          <w:rFonts w:hint="eastAsia" w:ascii="宋体" w:hAnsi="宋体" w:eastAsia="宋体" w:cs="宋体"/>
        </w:rPr>
        <w:t>向乙方提供完整的设计图纸及相关技术资料；</w:t>
      </w:r>
    </w:p>
    <w:p w14:paraId="7294606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2</w:t>
      </w:r>
      <w:r>
        <w:rPr>
          <w:rFonts w:hint="eastAsia" w:ascii="宋体" w:hAnsi="宋体" w:eastAsia="宋体" w:cs="宋体"/>
          <w:lang w:eastAsia="zh-CN"/>
        </w:rPr>
        <w:t>）</w:t>
      </w:r>
      <w:r>
        <w:rPr>
          <w:rFonts w:hint="eastAsia" w:ascii="宋体" w:hAnsi="宋体" w:eastAsia="宋体" w:cs="宋体"/>
        </w:rPr>
        <w:t>协调小区物业、居民及相关单位，为乙方施工提供必要的场地及水电条件；</w:t>
      </w:r>
    </w:p>
    <w:p w14:paraId="3204E50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3</w:t>
      </w:r>
      <w:r>
        <w:rPr>
          <w:rFonts w:hint="eastAsia" w:ascii="宋体" w:hAnsi="宋体" w:eastAsia="宋体" w:cs="宋体"/>
          <w:lang w:eastAsia="zh-CN"/>
        </w:rPr>
        <w:t>）</w:t>
      </w:r>
      <w:r>
        <w:rPr>
          <w:rFonts w:hint="eastAsia" w:ascii="宋体" w:hAnsi="宋体" w:eastAsia="宋体" w:cs="宋体"/>
        </w:rPr>
        <w:t>按本合同约定及时支付款项；</w:t>
      </w:r>
    </w:p>
    <w:p w14:paraId="6471C45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4</w:t>
      </w:r>
      <w:r>
        <w:rPr>
          <w:rFonts w:hint="eastAsia" w:ascii="宋体" w:hAnsi="宋体" w:eastAsia="宋体" w:cs="宋体"/>
          <w:lang w:eastAsia="zh-CN"/>
        </w:rPr>
        <w:t>）</w:t>
      </w:r>
      <w:r>
        <w:rPr>
          <w:rFonts w:hint="eastAsia" w:ascii="宋体" w:hAnsi="宋体" w:eastAsia="宋体" w:cs="宋体"/>
        </w:rPr>
        <w:t>组织工程验收及结算。</w:t>
      </w:r>
    </w:p>
    <w:p w14:paraId="10D1B4A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6.2 乙方责任</w:t>
      </w:r>
    </w:p>
    <w:p w14:paraId="58434DA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1</w:t>
      </w:r>
      <w:r>
        <w:rPr>
          <w:rFonts w:hint="eastAsia" w:ascii="宋体" w:hAnsi="宋体" w:eastAsia="宋体" w:cs="宋体"/>
          <w:lang w:eastAsia="zh-CN"/>
        </w:rPr>
        <w:t>）</w:t>
      </w:r>
      <w:r>
        <w:rPr>
          <w:rFonts w:hint="eastAsia" w:ascii="宋体" w:hAnsi="宋体" w:eastAsia="宋体" w:cs="宋体"/>
        </w:rPr>
        <w:t>严格按照设计图纸及国家规范施工，确保工程质量及施工安全；</w:t>
      </w:r>
    </w:p>
    <w:p w14:paraId="40F4304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2</w:t>
      </w:r>
      <w:r>
        <w:rPr>
          <w:rFonts w:hint="eastAsia" w:ascii="宋体" w:hAnsi="宋体" w:eastAsia="宋体" w:cs="宋体"/>
          <w:lang w:eastAsia="zh-CN"/>
        </w:rPr>
        <w:t>）</w:t>
      </w:r>
      <w:r>
        <w:rPr>
          <w:rFonts w:hint="eastAsia" w:ascii="宋体" w:hAnsi="宋体" w:eastAsia="宋体" w:cs="宋体"/>
        </w:rPr>
        <w:t>负责施工过程中的安全防护，承担施工期间的一切安全责任（包括人员伤亡、财产损失等）；</w:t>
      </w:r>
    </w:p>
    <w:p w14:paraId="5CB239B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3</w:t>
      </w:r>
      <w:r>
        <w:rPr>
          <w:rFonts w:hint="eastAsia" w:ascii="宋体" w:hAnsi="宋体" w:eastAsia="宋体" w:cs="宋体"/>
          <w:lang w:eastAsia="zh-CN"/>
        </w:rPr>
        <w:t>）</w:t>
      </w:r>
      <w:r>
        <w:rPr>
          <w:rFonts w:hint="eastAsia" w:ascii="宋体" w:hAnsi="宋体" w:eastAsia="宋体" w:cs="宋体"/>
        </w:rPr>
        <w:t>采购的材料设备应符合设计要求及国家质量标准，需提供合格证及检验报告，经甲方验收合格后方可使用；</w:t>
      </w:r>
    </w:p>
    <w:p w14:paraId="008D110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4</w:t>
      </w:r>
      <w:r>
        <w:rPr>
          <w:rFonts w:hint="eastAsia" w:ascii="宋体" w:hAnsi="宋体" w:eastAsia="宋体" w:cs="宋体"/>
          <w:lang w:eastAsia="zh-CN"/>
        </w:rPr>
        <w:t>）</w:t>
      </w:r>
      <w:r>
        <w:rPr>
          <w:rFonts w:hint="eastAsia" w:ascii="宋体" w:hAnsi="宋体" w:eastAsia="宋体" w:cs="宋体"/>
        </w:rPr>
        <w:t>负责保修期内的免费维修（保修期自验收合格之日起算，为期2年），接到甲方维修通知后24小时内到达现场处理；</w:t>
      </w:r>
    </w:p>
    <w:p w14:paraId="275A209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5</w:t>
      </w:r>
      <w:r>
        <w:rPr>
          <w:rFonts w:hint="eastAsia" w:ascii="宋体" w:hAnsi="宋体" w:eastAsia="宋体" w:cs="宋体"/>
          <w:lang w:eastAsia="zh-CN"/>
        </w:rPr>
        <w:t>）</w:t>
      </w:r>
      <w:r>
        <w:rPr>
          <w:rFonts w:hint="eastAsia" w:ascii="宋体" w:hAnsi="宋体" w:eastAsia="宋体" w:cs="宋体"/>
        </w:rPr>
        <w:t>遵守小区管理规定，保持施工现场整洁，施工完毕后清理现场。</w:t>
      </w:r>
    </w:p>
    <w:p w14:paraId="7707D8B7">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jc w:val="both"/>
        <w:textAlignment w:val="auto"/>
        <w:outlineLvl w:val="2"/>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七、违约责任</w:t>
      </w:r>
    </w:p>
    <w:p w14:paraId="60579A5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lang w:eastAsia="zh-CN"/>
        </w:rPr>
      </w:pPr>
      <w:r>
        <w:rPr>
          <w:rFonts w:hint="eastAsia" w:ascii="宋体" w:hAnsi="宋体" w:eastAsia="宋体" w:cs="宋体"/>
          <w:lang w:val="en-US" w:eastAsia="zh-CN"/>
        </w:rPr>
        <w:t xml:space="preserve">7.1 </w:t>
      </w:r>
      <w:r>
        <w:rPr>
          <w:rFonts w:hint="eastAsia" w:ascii="宋体" w:hAnsi="宋体" w:eastAsia="宋体" w:cs="宋体"/>
        </w:rPr>
        <w:t>甲方未按本合同约定支付款项的，每逾期1天，应向乙方支付逾期部分0.5‰的违约金</w:t>
      </w:r>
      <w:r>
        <w:rPr>
          <w:rFonts w:hint="eastAsia" w:ascii="宋体" w:hAnsi="宋体" w:eastAsia="宋体" w:cs="宋体"/>
          <w:lang w:eastAsia="zh-CN"/>
        </w:rPr>
        <w:t>。</w:t>
      </w:r>
    </w:p>
    <w:p w14:paraId="2889350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lang w:eastAsia="zh-CN"/>
        </w:rPr>
      </w:pPr>
      <w:r>
        <w:rPr>
          <w:rFonts w:hint="eastAsia" w:ascii="宋体" w:hAnsi="宋体" w:eastAsia="宋体" w:cs="宋体"/>
          <w:lang w:val="en-US" w:eastAsia="zh-CN"/>
        </w:rPr>
        <w:t xml:space="preserve">7.2 </w:t>
      </w:r>
      <w:r>
        <w:rPr>
          <w:rFonts w:hint="eastAsia" w:ascii="宋体" w:hAnsi="宋体" w:eastAsia="宋体" w:cs="宋体"/>
        </w:rPr>
        <w:t>乙方未按设计图纸施工或工程质量不符合要求的，应负责无偿整改，整改后仍不符合要求的，甲方有权解除合同并要求乙方赔偿损失</w:t>
      </w:r>
      <w:r>
        <w:rPr>
          <w:rFonts w:hint="eastAsia" w:ascii="宋体" w:hAnsi="宋体" w:eastAsia="宋体" w:cs="宋体"/>
          <w:lang w:eastAsia="zh-CN"/>
        </w:rPr>
        <w:t>。</w:t>
      </w:r>
    </w:p>
    <w:p w14:paraId="2BF907A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rPr>
      </w:pPr>
      <w:r>
        <w:rPr>
          <w:rFonts w:hint="eastAsia" w:ascii="宋体" w:hAnsi="宋体" w:eastAsia="宋体" w:cs="宋体"/>
          <w:lang w:val="en-US" w:eastAsia="zh-CN"/>
        </w:rPr>
        <w:t xml:space="preserve">7.3 </w:t>
      </w:r>
      <w:r>
        <w:rPr>
          <w:rFonts w:hint="eastAsia" w:ascii="宋体" w:hAnsi="宋体" w:eastAsia="宋体" w:cs="宋体"/>
        </w:rPr>
        <w:t>乙方擅自更换材料设备或使用不合格产品的，甲方有权要求乙方更换并支付合同总价5%的违约金，情节严重的，甲方有权解除合同。</w:t>
      </w:r>
    </w:p>
    <w:p w14:paraId="121DDAC7">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jc w:val="both"/>
        <w:textAlignment w:val="auto"/>
        <w:outlineLvl w:val="2"/>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八、争议解决</w:t>
      </w:r>
    </w:p>
    <w:p w14:paraId="7C5DEFFC">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r>
        <w:rPr>
          <w:rFonts w:hint="eastAsia" w:ascii="宋体" w:hAnsi="宋体" w:eastAsia="宋体" w:cs="宋体"/>
        </w:rPr>
        <w:t>本合同履行过程中发生的争议，双方应首先协商解决；协商不成的，向</w:t>
      </w:r>
      <w:r>
        <w:rPr>
          <w:rFonts w:hint="eastAsia" w:ascii="宋体" w:hAnsi="宋体" w:eastAsia="宋体" w:cs="宋体"/>
          <w:b/>
          <w:bCs/>
          <w:u w:val="single"/>
        </w:rPr>
        <w:t>工程所在地</w:t>
      </w:r>
      <w:r>
        <w:rPr>
          <w:rFonts w:hint="eastAsia" w:ascii="宋体" w:hAnsi="宋体" w:eastAsia="宋体" w:cs="宋体"/>
        </w:rPr>
        <w:t>有管辖权的人民法院起诉。</w:t>
      </w:r>
    </w:p>
    <w:p w14:paraId="066DDE6D">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jc w:val="both"/>
        <w:textAlignment w:val="auto"/>
        <w:outlineLvl w:val="2"/>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九、其他条款</w:t>
      </w:r>
    </w:p>
    <w:p w14:paraId="62BD942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9.1 </w:t>
      </w:r>
      <w:r>
        <w:rPr>
          <w:rFonts w:hint="eastAsia" w:ascii="宋体" w:hAnsi="宋体" w:eastAsia="宋体" w:cs="宋体"/>
          <w:b/>
        </w:rPr>
        <w:t>不可抗力</w:t>
      </w:r>
      <w:r>
        <w:rPr>
          <w:rFonts w:hint="eastAsia" w:ascii="宋体" w:hAnsi="宋体" w:eastAsia="宋体" w:cs="宋体"/>
        </w:rPr>
        <w:t>：因不可抗力（如战争、自然灾害、政府行为等）导致合同无法履行的，双方互不承担责任，但应及时通知对方并提供证明材料；</w:t>
      </w:r>
    </w:p>
    <w:p w14:paraId="610D347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9.2 </w:t>
      </w:r>
      <w:r>
        <w:rPr>
          <w:rFonts w:hint="eastAsia" w:ascii="宋体" w:hAnsi="宋体" w:eastAsia="宋体" w:cs="宋体"/>
          <w:b/>
        </w:rPr>
        <w:t>合同生效</w:t>
      </w:r>
      <w:r>
        <w:rPr>
          <w:rFonts w:hint="eastAsia" w:ascii="宋体" w:hAnsi="宋体" w:eastAsia="宋体" w:cs="宋体"/>
        </w:rPr>
        <w:t>：本合同自双方签字（或盖章）并加盖公章后生效；</w:t>
      </w:r>
    </w:p>
    <w:p w14:paraId="65036BB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422" w:firstLineChars="200"/>
        <w:textAlignment w:val="auto"/>
        <w:rPr>
          <w:rFonts w:hint="eastAsia" w:ascii="宋体" w:hAnsi="宋体" w:eastAsia="宋体" w:cs="宋体"/>
        </w:rPr>
      </w:pPr>
      <w:r>
        <w:rPr>
          <w:rFonts w:hint="eastAsia" w:ascii="宋体" w:hAnsi="宋体" w:eastAsia="宋体" w:cs="宋体"/>
          <w:b/>
          <w:lang w:val="en-US" w:eastAsia="zh-CN"/>
        </w:rPr>
        <w:t xml:space="preserve">9.3 </w:t>
      </w:r>
      <w:r>
        <w:rPr>
          <w:rFonts w:hint="eastAsia" w:ascii="宋体" w:hAnsi="宋体" w:eastAsia="宋体" w:cs="宋体"/>
          <w:b/>
        </w:rPr>
        <w:t>合同份数</w:t>
      </w:r>
      <w:r>
        <w:rPr>
          <w:rFonts w:hint="eastAsia" w:ascii="宋体" w:hAnsi="宋体" w:eastAsia="宋体" w:cs="宋体"/>
        </w:rPr>
        <w:t>：本合同一式</w:t>
      </w:r>
      <w:r>
        <w:rPr>
          <w:rFonts w:hint="eastAsia" w:ascii="宋体" w:hAnsi="宋体" w:eastAsia="宋体" w:cs="宋体"/>
          <w:u w:val="single"/>
          <w:lang w:val="en-US" w:eastAsia="zh-CN"/>
        </w:rPr>
        <w:t>陆</w:t>
      </w:r>
      <w:r>
        <w:rPr>
          <w:rFonts w:hint="eastAsia" w:ascii="宋体" w:hAnsi="宋体" w:eastAsia="宋体" w:cs="宋体"/>
        </w:rPr>
        <w:t>份，甲</w:t>
      </w:r>
      <w:r>
        <w:rPr>
          <w:rFonts w:hint="eastAsia" w:ascii="宋体" w:hAnsi="宋体" w:eastAsia="宋体" w:cs="宋体"/>
          <w:lang w:val="en-US" w:eastAsia="zh-CN"/>
        </w:rPr>
        <w:t>方</w:t>
      </w:r>
      <w:r>
        <w:rPr>
          <w:rFonts w:hint="eastAsia" w:ascii="宋体" w:hAnsi="宋体" w:eastAsia="宋体" w:cs="宋体"/>
        </w:rPr>
        <w:t>执</w:t>
      </w:r>
      <w:r>
        <w:rPr>
          <w:rFonts w:hint="eastAsia" w:ascii="宋体" w:hAnsi="宋体" w:eastAsia="宋体" w:cs="宋体"/>
          <w:u w:val="single"/>
          <w:lang w:val="en-US" w:eastAsia="zh-CN"/>
        </w:rPr>
        <w:t>肆</w:t>
      </w:r>
      <w:r>
        <w:rPr>
          <w:rFonts w:hint="eastAsia" w:ascii="宋体" w:hAnsi="宋体" w:eastAsia="宋体" w:cs="宋体"/>
        </w:rPr>
        <w:t>份</w:t>
      </w:r>
      <w:r>
        <w:rPr>
          <w:rFonts w:hint="eastAsia" w:ascii="宋体" w:hAnsi="宋体" w:eastAsia="宋体" w:cs="宋体"/>
          <w:lang w:eastAsia="zh-CN"/>
        </w:rPr>
        <w:t>、</w:t>
      </w:r>
      <w:r>
        <w:rPr>
          <w:rFonts w:hint="eastAsia" w:ascii="宋体" w:hAnsi="宋体" w:eastAsia="宋体" w:cs="宋体"/>
        </w:rPr>
        <w:t>乙双方各执</w:t>
      </w:r>
      <w:r>
        <w:rPr>
          <w:rFonts w:hint="eastAsia" w:ascii="宋体" w:hAnsi="宋体" w:eastAsia="宋体" w:cs="宋体"/>
          <w:u w:val="single"/>
          <w:lang w:val="en-US" w:eastAsia="zh-CN"/>
        </w:rPr>
        <w:t>贰</w:t>
      </w:r>
      <w:r>
        <w:rPr>
          <w:rFonts w:hint="eastAsia" w:ascii="宋体" w:hAnsi="宋体" w:eastAsia="宋体" w:cs="宋体"/>
        </w:rPr>
        <w:t>份，具有同等法律效力；</w:t>
      </w:r>
    </w:p>
    <w:p w14:paraId="49D89C5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422" w:firstLineChars="200"/>
        <w:textAlignment w:val="auto"/>
        <w:rPr>
          <w:rFonts w:hint="eastAsia" w:ascii="宋体" w:hAnsi="宋体" w:eastAsia="宋体" w:cs="宋体"/>
          <w:lang w:val="en-US"/>
        </w:rPr>
      </w:pPr>
      <w:r>
        <w:rPr>
          <w:rFonts w:hint="eastAsia" w:ascii="宋体" w:hAnsi="宋体" w:eastAsia="宋体" w:cs="宋体"/>
          <w:b/>
          <w:lang w:val="en-US" w:eastAsia="zh-CN"/>
        </w:rPr>
        <w:t xml:space="preserve">9.4 </w:t>
      </w:r>
      <w:r>
        <w:rPr>
          <w:rFonts w:hint="eastAsia" w:ascii="宋体" w:hAnsi="宋体" w:eastAsia="宋体" w:cs="宋体"/>
          <w:b/>
        </w:rPr>
        <w:t>补充协议</w:t>
      </w:r>
      <w:r>
        <w:rPr>
          <w:rFonts w:hint="eastAsia" w:ascii="宋体" w:hAnsi="宋体" w:eastAsia="宋体" w:cs="宋体"/>
        </w:rPr>
        <w:t>：本合同未尽事宜，可由双方另行签订补充协议，补充协议与本合同具有同等法律效力</w:t>
      </w:r>
      <w:r>
        <w:rPr>
          <w:rFonts w:hint="eastAsia" w:ascii="宋体" w:hAnsi="宋体" w:eastAsia="宋体" w:cs="宋体"/>
          <w:lang w:eastAsia="zh-CN"/>
        </w:rPr>
        <w:t>。</w:t>
      </w:r>
    </w:p>
    <w:p w14:paraId="648ACB0E">
      <w:pPr>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0" w:leftChars="0" w:firstLine="420" w:firstLineChars="200"/>
        <w:textAlignment w:val="auto"/>
        <w:rPr>
          <w:rFonts w:hint="eastAsia" w:ascii="宋体" w:hAnsi="宋体" w:eastAsia="宋体" w:cs="宋体"/>
          <w:lang w:val="en-US"/>
        </w:rPr>
      </w:pPr>
      <w:r>
        <w:rPr>
          <w:rFonts w:hint="eastAsia" w:ascii="宋体" w:hAnsi="宋体" w:eastAsia="宋体" w:cs="宋体"/>
          <w:lang w:eastAsia="zh-CN"/>
        </w:rPr>
        <w:t>（</w:t>
      </w:r>
      <w:r>
        <w:rPr>
          <w:rFonts w:hint="eastAsia" w:ascii="宋体" w:hAnsi="宋体" w:eastAsia="宋体" w:cs="宋体"/>
          <w:lang w:val="en-US" w:eastAsia="zh-CN"/>
        </w:rPr>
        <w:t>以下无正文，为合同签署页</w:t>
      </w:r>
      <w:r>
        <w:rPr>
          <w:rFonts w:hint="eastAsia" w:ascii="宋体" w:hAnsi="宋体" w:eastAsia="宋体" w:cs="宋体"/>
          <w:lang w:eastAsia="zh-CN"/>
        </w:rPr>
        <w:t>）</w:t>
      </w:r>
    </w:p>
    <w:p w14:paraId="5D9C217D">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p>
    <w:p w14:paraId="4B879100">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r>
        <w:rPr>
          <w:rFonts w:hint="eastAsia" w:ascii="宋体" w:hAnsi="宋体" w:eastAsia="宋体" w:cs="宋体"/>
        </w:rPr>
        <w:t>甲方（盖章）：______________________</w:t>
      </w:r>
    </w:p>
    <w:p w14:paraId="752EDD40">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r>
        <w:rPr>
          <w:rFonts w:hint="eastAsia" w:ascii="宋体" w:hAnsi="宋体" w:eastAsia="宋体" w:cs="宋体"/>
        </w:rPr>
        <w:t>法定代表人</w:t>
      </w:r>
      <w:r>
        <w:rPr>
          <w:rFonts w:hint="eastAsia" w:ascii="宋体" w:hAnsi="宋体" w:eastAsia="宋体" w:cs="宋体"/>
          <w:lang w:val="en-US" w:eastAsia="zh-CN"/>
        </w:rPr>
        <w:t>/授权代理人</w:t>
      </w:r>
      <w:r>
        <w:rPr>
          <w:rFonts w:hint="eastAsia" w:ascii="宋体" w:hAnsi="宋体" w:eastAsia="宋体" w:cs="宋体"/>
        </w:rPr>
        <w:t>（签字）：______________________</w:t>
      </w:r>
    </w:p>
    <w:p w14:paraId="712E2163">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r>
        <w:rPr>
          <w:rFonts w:hint="eastAsia" w:ascii="宋体" w:hAnsi="宋体" w:eastAsia="宋体" w:cs="宋体"/>
        </w:rPr>
        <w:t>日期：______年______月______日</w:t>
      </w:r>
    </w:p>
    <w:p w14:paraId="77F4ECEE">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p>
    <w:p w14:paraId="52C160E2">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r>
        <w:rPr>
          <w:rFonts w:hint="eastAsia" w:ascii="宋体" w:hAnsi="宋体" w:eastAsia="宋体" w:cs="宋体"/>
        </w:rPr>
        <w:t>乙方（盖章）：______________________</w:t>
      </w:r>
    </w:p>
    <w:p w14:paraId="67E5B935">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r>
        <w:rPr>
          <w:rFonts w:hint="eastAsia" w:ascii="宋体" w:hAnsi="宋体" w:eastAsia="宋体" w:cs="宋体"/>
        </w:rPr>
        <w:t>法定代表人</w:t>
      </w:r>
      <w:r>
        <w:rPr>
          <w:rFonts w:hint="eastAsia" w:ascii="宋体" w:hAnsi="宋体" w:eastAsia="宋体" w:cs="宋体"/>
          <w:lang w:val="en-US" w:eastAsia="zh-CN"/>
        </w:rPr>
        <w:t>/授权代理人</w:t>
      </w:r>
      <w:r>
        <w:rPr>
          <w:rFonts w:hint="eastAsia" w:ascii="宋体" w:hAnsi="宋体" w:eastAsia="宋体" w:cs="宋体"/>
        </w:rPr>
        <w:t>（签字）：______________________</w:t>
      </w:r>
    </w:p>
    <w:p w14:paraId="01453937">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r>
        <w:rPr>
          <w:rFonts w:hint="eastAsia" w:ascii="宋体" w:hAnsi="宋体" w:eastAsia="宋体" w:cs="宋体"/>
        </w:rPr>
        <w:t>日期：______年______月______日</w:t>
      </w:r>
    </w:p>
    <w:p w14:paraId="0EF7DFAA">
      <w:pPr>
        <w:pageBreakBefore w:val="0"/>
        <w:widowControl w:val="0"/>
        <w:kinsoku/>
        <w:wordWrap/>
        <w:overflowPunct/>
        <w:topLinePunct w:val="0"/>
        <w:autoSpaceDE/>
        <w:autoSpaceDN/>
        <w:bidi w:val="0"/>
        <w:adjustRightInd/>
        <w:snapToGrid/>
        <w:spacing w:beforeAutospacing="0" w:afterAutospacing="0" w:line="360" w:lineRule="auto"/>
        <w:ind w:left="0" w:firstLine="420" w:firstLineChars="200"/>
        <w:textAlignment w:val="auto"/>
        <w:rPr>
          <w:rFonts w:hint="eastAsia" w:ascii="宋体" w:hAnsi="宋体" w:eastAsia="宋体" w:cs="宋体"/>
        </w:rPr>
      </w:pPr>
    </w:p>
    <w:p w14:paraId="2639D321">
      <w:pPr>
        <w:rPr>
          <w:rFonts w:hint="eastAsia" w:asciiTheme="majorEastAsia" w:hAnsiTheme="majorEastAsia" w:eastAsiaTheme="majorEastAsia" w:cstheme="majorEastAsia"/>
          <w:b/>
          <w:bCs/>
          <w:sz w:val="32"/>
          <w:szCs w:val="32"/>
          <w:highlight w:val="none"/>
          <w:lang w:val="en-US" w:eastAsia="zh-CN"/>
        </w:rPr>
      </w:pPr>
    </w:p>
    <w:p w14:paraId="249ABAFF">
      <w:pPr>
        <w:rPr>
          <w:rFonts w:hint="eastAsia" w:asciiTheme="majorEastAsia" w:hAnsiTheme="majorEastAsia" w:eastAsiaTheme="majorEastAsia" w:cstheme="majorEastAsia"/>
          <w:b/>
          <w:bCs/>
          <w:sz w:val="32"/>
          <w:szCs w:val="32"/>
          <w:highlight w:val="none"/>
          <w:lang w:val="en-US" w:eastAsia="zh-CN"/>
        </w:rPr>
      </w:pPr>
    </w:p>
    <w:p w14:paraId="5E05006C">
      <w:pPr>
        <w:rPr>
          <w:rFonts w:hint="eastAsia" w:asciiTheme="majorEastAsia" w:hAnsiTheme="majorEastAsia" w:eastAsiaTheme="majorEastAsia" w:cstheme="majorEastAsia"/>
          <w:b/>
          <w:bCs/>
          <w:sz w:val="32"/>
          <w:szCs w:val="32"/>
          <w:highlight w:val="none"/>
          <w:lang w:val="en-US" w:eastAsia="zh-CN"/>
        </w:rPr>
      </w:pPr>
    </w:p>
    <w:p w14:paraId="4011313A">
      <w:pPr>
        <w:rPr>
          <w:rFonts w:hint="eastAsia" w:asciiTheme="majorEastAsia" w:hAnsiTheme="majorEastAsia" w:eastAsiaTheme="majorEastAsia" w:cstheme="majorEastAsia"/>
          <w:b/>
          <w:bCs/>
          <w:sz w:val="32"/>
          <w:szCs w:val="32"/>
          <w:highlight w:val="none"/>
          <w:lang w:val="en-US" w:eastAsia="zh-CN"/>
        </w:rPr>
      </w:pPr>
    </w:p>
    <w:p w14:paraId="201DA174">
      <w:pPr>
        <w:rPr>
          <w:rFonts w:hint="eastAsia" w:asciiTheme="majorEastAsia" w:hAnsiTheme="majorEastAsia" w:eastAsiaTheme="majorEastAsia" w:cstheme="majorEastAsia"/>
          <w:b/>
          <w:bCs/>
          <w:sz w:val="32"/>
          <w:szCs w:val="32"/>
          <w:highlight w:val="none"/>
          <w:lang w:val="en-US" w:eastAsia="zh-CN"/>
        </w:rPr>
      </w:pPr>
    </w:p>
    <w:p w14:paraId="5ED22BCC">
      <w:pPr>
        <w:rPr>
          <w:rFonts w:hint="eastAsia" w:asciiTheme="majorEastAsia" w:hAnsiTheme="majorEastAsia" w:eastAsiaTheme="majorEastAsia" w:cstheme="majorEastAsia"/>
          <w:b/>
          <w:bCs/>
          <w:sz w:val="32"/>
          <w:szCs w:val="32"/>
          <w:highlight w:val="none"/>
          <w:lang w:val="en-US" w:eastAsia="zh-CN"/>
        </w:rPr>
      </w:pPr>
    </w:p>
    <w:p w14:paraId="7C4191E1">
      <w:pPr>
        <w:rPr>
          <w:rFonts w:hint="eastAsia" w:asciiTheme="majorEastAsia" w:hAnsiTheme="majorEastAsia" w:eastAsiaTheme="majorEastAsia" w:cstheme="majorEastAsia"/>
          <w:b/>
          <w:bCs/>
          <w:sz w:val="32"/>
          <w:szCs w:val="32"/>
          <w:highlight w:val="none"/>
          <w:lang w:val="en-US" w:eastAsia="zh-CN"/>
        </w:rPr>
      </w:pPr>
    </w:p>
    <w:p w14:paraId="56BE988D">
      <w:pPr>
        <w:rPr>
          <w:rFonts w:hint="eastAsia" w:asciiTheme="majorEastAsia" w:hAnsiTheme="majorEastAsia" w:eastAsiaTheme="majorEastAsia" w:cstheme="majorEastAsia"/>
          <w:b/>
          <w:bCs/>
          <w:sz w:val="32"/>
          <w:szCs w:val="32"/>
          <w:highlight w:val="none"/>
          <w:lang w:val="en-US" w:eastAsia="zh-CN"/>
        </w:rPr>
      </w:pPr>
    </w:p>
    <w:p w14:paraId="4A83B389">
      <w:pPr>
        <w:rPr>
          <w:rFonts w:hint="eastAsia" w:asciiTheme="majorEastAsia" w:hAnsiTheme="majorEastAsia" w:eastAsiaTheme="majorEastAsia" w:cstheme="majorEastAsia"/>
          <w:b/>
          <w:bCs/>
          <w:sz w:val="32"/>
          <w:szCs w:val="32"/>
          <w:highlight w:val="none"/>
          <w:lang w:val="en-US" w:eastAsia="zh-CN"/>
        </w:rPr>
      </w:pPr>
    </w:p>
    <w:p w14:paraId="2BD6C745">
      <w:pPr>
        <w:rPr>
          <w:rFonts w:hint="eastAsia" w:asciiTheme="majorEastAsia" w:hAnsiTheme="majorEastAsia" w:eastAsiaTheme="majorEastAsia" w:cstheme="majorEastAsia"/>
          <w:b/>
          <w:bCs/>
          <w:sz w:val="32"/>
          <w:szCs w:val="32"/>
          <w:highlight w:val="none"/>
          <w:lang w:val="en-US" w:eastAsia="zh-CN"/>
        </w:rPr>
      </w:pPr>
    </w:p>
    <w:p w14:paraId="26A27CC6">
      <w:pPr>
        <w:rPr>
          <w:rFonts w:hint="eastAsia" w:asciiTheme="majorEastAsia" w:hAnsiTheme="majorEastAsia" w:eastAsiaTheme="majorEastAsia" w:cstheme="majorEastAsia"/>
          <w:b/>
          <w:bCs/>
          <w:sz w:val="32"/>
          <w:szCs w:val="32"/>
          <w:highlight w:val="none"/>
          <w:lang w:val="en-US" w:eastAsia="zh-CN"/>
        </w:rPr>
      </w:pPr>
    </w:p>
    <w:p w14:paraId="1CFEAEE9">
      <w:pPr>
        <w:rPr>
          <w:rFonts w:hint="eastAsia" w:asciiTheme="majorEastAsia" w:hAnsiTheme="majorEastAsia" w:eastAsiaTheme="majorEastAsia" w:cstheme="majorEastAsia"/>
          <w:b/>
          <w:bCs/>
          <w:sz w:val="32"/>
          <w:szCs w:val="32"/>
          <w:highlight w:val="none"/>
          <w:lang w:val="en-US" w:eastAsia="zh-CN"/>
        </w:rPr>
      </w:pPr>
    </w:p>
    <w:p w14:paraId="78CE64FB">
      <w:pPr>
        <w:rPr>
          <w:rFonts w:hint="eastAsia" w:ascii="Times New Roman" w:hAnsi="Times New Roman" w:cs="Times New Roman"/>
          <w:kern w:val="0"/>
          <w:sz w:val="24"/>
          <w:szCs w:val="24"/>
          <w:highlight w:val="none"/>
          <w:shd w:val="clear" w:color="auto" w:fill="auto"/>
          <w:vertAlign w:val="baseline"/>
          <w:lang w:val="en-US" w:eastAsia="zh-CN"/>
        </w:rPr>
      </w:pP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09474CB">
      <w:pPr>
        <w:pStyle w:val="16"/>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具体施工内容详见施工图纸、工程量清单</w:t>
      </w:r>
      <w:r>
        <w:rPr>
          <w:rFonts w:hint="eastAsia" w:ascii="Times New Roman" w:hAnsi="Times New Roman" w:cs="Times New Roman"/>
          <w:kern w:val="0"/>
          <w:sz w:val="24"/>
          <w:szCs w:val="24"/>
          <w:highlight w:val="none"/>
          <w:shd w:val="clear" w:color="auto" w:fill="auto"/>
          <w:vertAlign w:val="baseline"/>
          <w:lang w:val="en-US" w:eastAsia="zh-CN" w:bidi="ar-SA"/>
        </w:rPr>
        <w:t>及采购</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人要求等</w:t>
      </w:r>
      <w:r>
        <w:rPr>
          <w:rFonts w:hint="eastAsia" w:ascii="Times New Roman" w:hAnsi="Times New Roman" w:cs="Times New Roman"/>
          <w:kern w:val="0"/>
          <w:sz w:val="24"/>
          <w:szCs w:val="24"/>
          <w:highlight w:val="none"/>
          <w:shd w:val="clear" w:color="auto" w:fill="auto"/>
          <w:vertAlign w:val="baseline"/>
          <w:lang w:val="en-US" w:eastAsia="zh-CN" w:bidi="ar-SA"/>
        </w:rPr>
        <w:t>。</w:t>
      </w:r>
    </w:p>
    <w:p w14:paraId="77D8F5F1">
      <w:pPr>
        <w:pStyle w:val="16"/>
        <w:rPr>
          <w:rFonts w:hint="eastAsia" w:asciiTheme="majorEastAsia" w:hAnsiTheme="majorEastAsia" w:eastAsiaTheme="majorEastAsia" w:cstheme="majorEastAsia"/>
          <w:b/>
          <w:bCs/>
          <w:sz w:val="32"/>
          <w:szCs w:val="32"/>
          <w:highlight w:val="none"/>
          <w:lang w:val="en-US" w:eastAsia="zh-CN"/>
        </w:rPr>
      </w:pPr>
    </w:p>
    <w:p w14:paraId="0BBD6281">
      <w:pPr>
        <w:pStyle w:val="16"/>
        <w:rPr>
          <w:rFonts w:hint="eastAsia" w:asciiTheme="majorEastAsia" w:hAnsiTheme="majorEastAsia" w:eastAsiaTheme="majorEastAsia" w:cstheme="majorEastAsia"/>
          <w:b/>
          <w:bCs/>
          <w:sz w:val="32"/>
          <w:szCs w:val="32"/>
          <w:highlight w:val="none"/>
          <w:lang w:val="en-US" w:eastAsia="zh-CN"/>
        </w:rPr>
      </w:pPr>
    </w:p>
    <w:p w14:paraId="7A8C5B05">
      <w:pPr>
        <w:pStyle w:val="16"/>
        <w:rPr>
          <w:rFonts w:hint="eastAsia" w:asciiTheme="majorEastAsia" w:hAnsiTheme="majorEastAsia" w:eastAsiaTheme="majorEastAsia" w:cstheme="majorEastAsia"/>
          <w:b/>
          <w:bCs/>
          <w:sz w:val="32"/>
          <w:szCs w:val="32"/>
          <w:highlight w:val="none"/>
          <w:lang w:val="en-US" w:eastAsia="zh-CN"/>
        </w:rPr>
      </w:pPr>
    </w:p>
    <w:p w14:paraId="61739826">
      <w:pPr>
        <w:pStyle w:val="16"/>
        <w:rPr>
          <w:rFonts w:hint="eastAsia" w:asciiTheme="majorEastAsia" w:hAnsiTheme="majorEastAsia" w:eastAsiaTheme="majorEastAsia" w:cstheme="majorEastAsia"/>
          <w:b/>
          <w:bCs/>
          <w:sz w:val="32"/>
          <w:szCs w:val="32"/>
          <w:highlight w:val="none"/>
          <w:lang w:val="en-US" w:eastAsia="zh-CN"/>
        </w:rPr>
      </w:pPr>
    </w:p>
    <w:p w14:paraId="5643129D">
      <w:pPr>
        <w:pStyle w:val="16"/>
        <w:rPr>
          <w:rFonts w:hint="eastAsia" w:asciiTheme="majorEastAsia" w:hAnsiTheme="majorEastAsia" w:eastAsiaTheme="majorEastAsia" w:cstheme="majorEastAsia"/>
          <w:b/>
          <w:bCs/>
          <w:sz w:val="32"/>
          <w:szCs w:val="32"/>
          <w:highlight w:val="none"/>
          <w:lang w:val="en-US" w:eastAsia="zh-CN"/>
        </w:rPr>
      </w:pPr>
    </w:p>
    <w:p w14:paraId="450864C4">
      <w:pPr>
        <w:pStyle w:val="16"/>
        <w:rPr>
          <w:rFonts w:hint="eastAsia" w:asciiTheme="majorEastAsia" w:hAnsiTheme="majorEastAsia" w:eastAsiaTheme="majorEastAsia" w:cstheme="majorEastAsia"/>
          <w:b/>
          <w:bCs/>
          <w:sz w:val="32"/>
          <w:szCs w:val="32"/>
          <w:highlight w:val="none"/>
          <w:lang w:val="en-US" w:eastAsia="zh-CN"/>
        </w:rPr>
      </w:pPr>
    </w:p>
    <w:p w14:paraId="01F7F6C1">
      <w:pPr>
        <w:pStyle w:val="16"/>
        <w:rPr>
          <w:rFonts w:hint="eastAsia" w:asciiTheme="majorEastAsia" w:hAnsiTheme="majorEastAsia" w:eastAsiaTheme="majorEastAsia" w:cstheme="majorEastAsia"/>
          <w:b/>
          <w:bCs/>
          <w:sz w:val="32"/>
          <w:szCs w:val="32"/>
          <w:highlight w:val="none"/>
          <w:lang w:val="en-US" w:eastAsia="zh-CN"/>
        </w:rPr>
      </w:pPr>
    </w:p>
    <w:p w14:paraId="529DC7DB">
      <w:pPr>
        <w:pStyle w:val="16"/>
        <w:rPr>
          <w:rFonts w:hint="eastAsia" w:asciiTheme="majorEastAsia" w:hAnsiTheme="majorEastAsia" w:eastAsiaTheme="majorEastAsia" w:cstheme="majorEastAsia"/>
          <w:b/>
          <w:bCs/>
          <w:sz w:val="32"/>
          <w:szCs w:val="32"/>
          <w:highlight w:val="none"/>
          <w:lang w:val="en-US" w:eastAsia="zh-CN"/>
        </w:rPr>
      </w:pPr>
    </w:p>
    <w:p w14:paraId="658D1508">
      <w:pPr>
        <w:pStyle w:val="16"/>
        <w:rPr>
          <w:rFonts w:hint="eastAsia" w:asciiTheme="majorEastAsia" w:hAnsiTheme="majorEastAsia" w:eastAsiaTheme="majorEastAsia" w:cstheme="majorEastAsia"/>
          <w:b/>
          <w:bCs/>
          <w:sz w:val="32"/>
          <w:szCs w:val="32"/>
          <w:highlight w:val="none"/>
          <w:lang w:val="en-US" w:eastAsia="zh-CN"/>
        </w:rPr>
      </w:pPr>
    </w:p>
    <w:p w14:paraId="4334A7D1">
      <w:pPr>
        <w:pStyle w:val="16"/>
        <w:rPr>
          <w:rFonts w:hint="eastAsia" w:asciiTheme="majorEastAsia" w:hAnsiTheme="majorEastAsia" w:eastAsiaTheme="majorEastAsia" w:cstheme="majorEastAsia"/>
          <w:b/>
          <w:bCs/>
          <w:sz w:val="32"/>
          <w:szCs w:val="32"/>
          <w:highlight w:val="none"/>
          <w:lang w:val="en-US" w:eastAsia="zh-CN"/>
        </w:rPr>
      </w:pPr>
    </w:p>
    <w:p w14:paraId="48EEB301">
      <w:pPr>
        <w:pStyle w:val="16"/>
        <w:rPr>
          <w:rFonts w:hint="eastAsia" w:asciiTheme="majorEastAsia" w:hAnsiTheme="majorEastAsia" w:eastAsiaTheme="majorEastAsia" w:cstheme="majorEastAsia"/>
          <w:b/>
          <w:bCs/>
          <w:sz w:val="32"/>
          <w:szCs w:val="32"/>
          <w:highlight w:val="none"/>
          <w:lang w:val="en-US" w:eastAsia="zh-CN"/>
        </w:rPr>
      </w:pPr>
    </w:p>
    <w:p w14:paraId="7D479147">
      <w:pPr>
        <w:pStyle w:val="16"/>
        <w:rPr>
          <w:rFonts w:hint="eastAsia" w:asciiTheme="majorEastAsia" w:hAnsiTheme="majorEastAsia" w:eastAsiaTheme="majorEastAsia" w:cstheme="majorEastAsia"/>
          <w:b/>
          <w:bCs/>
          <w:sz w:val="32"/>
          <w:szCs w:val="32"/>
          <w:highlight w:val="none"/>
          <w:lang w:val="en-US" w:eastAsia="zh-CN"/>
        </w:rPr>
      </w:pPr>
    </w:p>
    <w:p w14:paraId="1C4C4B79">
      <w:pPr>
        <w:pStyle w:val="16"/>
        <w:rPr>
          <w:rFonts w:hint="eastAsia" w:asciiTheme="majorEastAsia" w:hAnsiTheme="majorEastAsia" w:eastAsiaTheme="majorEastAsia" w:cstheme="majorEastAsia"/>
          <w:b/>
          <w:bCs/>
          <w:sz w:val="32"/>
          <w:szCs w:val="32"/>
          <w:highlight w:val="none"/>
          <w:lang w:val="en-US" w:eastAsia="zh-CN"/>
        </w:rPr>
      </w:pPr>
    </w:p>
    <w:p w14:paraId="52BC8AF5">
      <w:pPr>
        <w:pStyle w:val="16"/>
        <w:rPr>
          <w:rFonts w:hint="eastAsia" w:asciiTheme="majorEastAsia" w:hAnsiTheme="majorEastAsia" w:eastAsiaTheme="majorEastAsia" w:cstheme="majorEastAsia"/>
          <w:b/>
          <w:bCs/>
          <w:sz w:val="32"/>
          <w:szCs w:val="32"/>
          <w:highlight w:val="none"/>
          <w:lang w:val="en-US" w:eastAsia="zh-CN"/>
        </w:rPr>
      </w:pPr>
    </w:p>
    <w:p w14:paraId="21C2CE45">
      <w:pPr>
        <w:pStyle w:val="16"/>
        <w:rPr>
          <w:rFonts w:hint="eastAsia" w:asciiTheme="majorEastAsia" w:hAnsiTheme="majorEastAsia" w:eastAsiaTheme="majorEastAsia" w:cstheme="majorEastAsia"/>
          <w:b/>
          <w:bCs/>
          <w:sz w:val="32"/>
          <w:szCs w:val="32"/>
          <w:highlight w:val="none"/>
          <w:lang w:val="en-US" w:eastAsia="zh-CN"/>
        </w:rPr>
      </w:pPr>
    </w:p>
    <w:p w14:paraId="1666EAF8">
      <w:pPr>
        <w:pStyle w:val="16"/>
        <w:rPr>
          <w:rFonts w:hint="eastAsia" w:asciiTheme="majorEastAsia" w:hAnsiTheme="majorEastAsia" w:eastAsiaTheme="majorEastAsia" w:cstheme="majorEastAsia"/>
          <w:b/>
          <w:bCs/>
          <w:sz w:val="32"/>
          <w:szCs w:val="32"/>
          <w:highlight w:val="none"/>
          <w:lang w:val="en-US" w:eastAsia="zh-CN"/>
        </w:rPr>
      </w:pPr>
    </w:p>
    <w:p w14:paraId="04DA1A2C">
      <w:pPr>
        <w:pStyle w:val="16"/>
        <w:rPr>
          <w:rFonts w:hint="eastAsia" w:asciiTheme="majorEastAsia" w:hAnsiTheme="majorEastAsia" w:eastAsiaTheme="majorEastAsia" w:cstheme="majorEastAsia"/>
          <w:b/>
          <w:bCs/>
          <w:sz w:val="32"/>
          <w:szCs w:val="32"/>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B38940B">
      <w:pPr>
        <w:pStyle w:val="16"/>
        <w:rPr>
          <w:rFonts w:hint="eastAsia" w:asciiTheme="majorEastAsia" w:hAnsiTheme="majorEastAsia" w:eastAsiaTheme="majorEastAsia" w:cs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14C9558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247514246"/>
      <w:bookmarkStart w:id="258" w:name="_Toc152042576"/>
      <w:bookmarkStart w:id="259" w:name="_Toc144974856"/>
      <w:bookmarkStart w:id="260" w:name="_Toc152045787"/>
      <w:bookmarkStart w:id="261" w:name="_Toc247527827"/>
      <w:bookmarkStart w:id="262" w:name="_Toc300835209"/>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44974857"/>
      <w:bookmarkStart w:id="264" w:name="_Toc152042577"/>
      <w:bookmarkStart w:id="265" w:name="_Toc152045788"/>
      <w:bookmarkStart w:id="266" w:name="_Toc247514247"/>
      <w:bookmarkStart w:id="267" w:name="_Toc247527828"/>
      <w:bookmarkStart w:id="268"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300835212"/>
      <w:bookmarkStart w:id="270" w:name="_Toc144974859"/>
      <w:bookmarkStart w:id="271" w:name="_Toc152045790"/>
      <w:bookmarkStart w:id="272" w:name="_Toc152042579"/>
      <w:bookmarkStart w:id="273" w:name="_Toc247527830"/>
      <w:bookmarkStart w:id="274" w:name="_Toc24751424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7" w:edGrp="everyone"/>
      <w:r>
        <w:rPr>
          <w:rFonts w:hint="eastAsia" w:ascii="Times New Roman" w:hAnsi="Times New Roman" w:cs="Times New Roman"/>
          <w:szCs w:val="21"/>
          <w:lang w:val="en-US" w:eastAsia="zh-CN"/>
        </w:rPr>
        <w:t>（不含税）人民币（大写）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w:t>
      </w:r>
      <w:r>
        <w:rPr>
          <w:rFonts w:hint="eastAsia" w:ascii="Times New Roman" w:hAnsi="Times New Roman" w:cs="Times New Roman"/>
          <w:szCs w:val="21"/>
          <w:lang w:val="en-US" w:eastAsia="zh-CN"/>
        </w:rPr>
        <w:t>）</w:t>
      </w:r>
      <w:permEnd w:id="57"/>
      <w:r>
        <w:rPr>
          <w:rFonts w:hint="eastAsia" w:ascii="Times New Roman" w:hAnsi="Times New Roman" w:cs="Times New Roman"/>
          <w:szCs w:val="21"/>
          <w:lang w:val="en-US" w:eastAsia="zh-CN"/>
        </w:rPr>
        <w:t>，计划工期：</w:t>
      </w:r>
      <w:permStart w:id="58" w:edGrp="everyone"/>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自合同签订之日起</w:t>
      </w:r>
      <w:r>
        <w:rPr>
          <w:rFonts w:hint="eastAsia" w:ascii="Times New Roman" w:hAnsi="Times New Roman" w:cs="Times New Roman"/>
          <w:szCs w:val="21"/>
          <w:u w:val="single"/>
          <w:lang w:val="en-US" w:eastAsia="zh-CN"/>
        </w:rPr>
        <w:t>1</w:t>
      </w:r>
      <w:r>
        <w:rPr>
          <w:rFonts w:hint="default" w:ascii="Times New Roman" w:hAnsi="Times New Roman" w:cs="Times New Roman"/>
          <w:szCs w:val="21"/>
          <w:u w:val="single"/>
          <w:lang w:val="en-US" w:eastAsia="zh-CN"/>
        </w:rPr>
        <w:t>0</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58"/>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5791"/>
      <w:bookmarkStart w:id="276" w:name="_Toc152042580"/>
      <w:bookmarkStart w:id="277" w:name="_Toc247514283"/>
      <w:bookmarkStart w:id="278" w:name="_Toc144974860"/>
      <w:bookmarkStart w:id="279" w:name="_Toc247527831"/>
      <w:bookmarkStart w:id="280"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2581"/>
      <w:bookmarkStart w:id="282" w:name="_Toc144974861"/>
      <w:bookmarkStart w:id="283" w:name="_Toc247514284"/>
      <w:bookmarkStart w:id="284" w:name="_Toc300835214"/>
      <w:bookmarkStart w:id="285" w:name="_Toc247527832"/>
      <w:bookmarkStart w:id="286"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2CEE55D5">
      <w:pPr>
        <w:topLinePunct/>
        <w:spacing w:line="440" w:lineRule="exact"/>
        <w:jc w:val="both"/>
        <w:rPr>
          <w:rFonts w:hint="eastAsia" w:ascii="Times New Roman" w:hAnsi="Times New Roman" w:cs="Times New Roman"/>
          <w:szCs w:val="21"/>
          <w:lang w:val="en-US" w:eastAsia="zh-CN"/>
        </w:rPr>
      </w:pPr>
      <w:bookmarkStart w:id="287" w:name="_Toc144974862"/>
      <w:bookmarkStart w:id="288" w:name="_Toc152042583"/>
      <w:bookmarkStart w:id="289" w:name="_Toc247514286"/>
      <w:bookmarkStart w:id="290" w:name="_Toc247527834"/>
      <w:bookmarkStart w:id="291" w:name="_Toc300835216"/>
      <w:bookmarkStart w:id="292" w:name="_Toc152045794"/>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jc w:val="both"/>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5795"/>
      <w:bookmarkStart w:id="295" w:name="_Toc300835218"/>
      <w:bookmarkStart w:id="296" w:name="_Toc247527835"/>
      <w:bookmarkStart w:id="297" w:name="_Toc247514287"/>
      <w:bookmarkStart w:id="298" w:name="_Toc152042584"/>
      <w:bookmarkStart w:id="299" w:name="_Toc144974863"/>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300" w:name="_Toc247514288"/>
      <w:bookmarkStart w:id="301" w:name="_Toc300835221"/>
      <w:bookmarkStart w:id="302" w:name="_Toc144974864"/>
      <w:bookmarkStart w:id="303" w:name="_Toc247527836"/>
      <w:bookmarkStart w:id="304" w:name="_Toc152045796"/>
      <w:bookmarkStart w:id="305" w:name="_Toc152042585"/>
    </w:p>
    <w:p w14:paraId="74D3B674">
      <w:pPr>
        <w:rPr>
          <w:rFonts w:hint="default" w:ascii="Times New Roman" w:hAnsi="Times New Roman" w:cs="Times New Roman"/>
        </w:rPr>
      </w:pPr>
    </w:p>
    <w:p w14:paraId="17090A47">
      <w:pP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供应商自拟。</w:t>
      </w: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4"/>
        <w:jc w:val="both"/>
        <w:rPr>
          <w:rFonts w:hint="eastAsia"/>
        </w:rPr>
      </w:pPr>
      <w:bookmarkStart w:id="307" w:name="_Toc246997116"/>
      <w:bookmarkStart w:id="308" w:name="_Toc246996373"/>
      <w:bookmarkStart w:id="309" w:name="_Toc247085891"/>
      <w:bookmarkStart w:id="310" w:name="_Toc296602618"/>
      <w:bookmarkStart w:id="311" w:name="_Toc179632828"/>
      <w:r>
        <w:t>（一）</w:t>
      </w:r>
      <w:r>
        <w:rPr>
          <w:rFonts w:hint="eastAsia"/>
          <w:lang w:eastAsia="zh-CN"/>
        </w:rPr>
        <w:t>供应商</w:t>
      </w:r>
      <w:r>
        <w:t>基本情况表</w:t>
      </w:r>
      <w:bookmarkEnd w:id="307"/>
      <w:bookmarkEnd w:id="308"/>
      <w:bookmarkEnd w:id="309"/>
      <w:bookmarkEnd w:id="310"/>
      <w:bookmarkEnd w:id="311"/>
    </w:p>
    <w:tbl>
      <w:tblPr>
        <w:tblStyle w:val="2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96602615"/>
      <w:bookmarkStart w:id="313" w:name="_Toc246997113"/>
      <w:bookmarkStart w:id="314" w:name="_Toc246996370"/>
      <w:bookmarkStart w:id="315" w:name="_Toc247085888"/>
      <w:bookmarkStart w:id="316" w:name="_Toc300835226"/>
      <w:bookmarkStart w:id="317" w:name="_Toc247527850"/>
      <w:bookmarkStart w:id="318" w:name="_Toc144974878"/>
      <w:bookmarkStart w:id="319" w:name="_Toc247514302"/>
      <w:bookmarkStart w:id="320" w:name="_Toc152045810"/>
      <w:bookmarkStart w:id="321" w:name="_Toc152042599"/>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7085889"/>
      <w:bookmarkStart w:id="323" w:name="_Toc246997114"/>
      <w:bookmarkStart w:id="324" w:name="_Toc296602616"/>
      <w:bookmarkStart w:id="325" w:name="_Toc246996371"/>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52042600"/>
      <w:bookmarkStart w:id="327" w:name="_Toc247527851"/>
      <w:bookmarkStart w:id="328" w:name="_Toc247514303"/>
      <w:bookmarkStart w:id="329" w:name="_Toc152045811"/>
      <w:bookmarkStart w:id="330" w:name="_Toc144974879"/>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4"/>
        <w:jc w:val="center"/>
        <w:rPr>
          <w:rFonts w:hint="default" w:ascii="Times New Roman" w:hAnsi="Times New Roman" w:cs="Times New Roman"/>
          <w:lang w:val="en-US" w:eastAsia="zh-CN"/>
        </w:rPr>
      </w:pPr>
      <w:bookmarkStart w:id="331" w:name="_Toc144974875"/>
      <w:bookmarkStart w:id="332" w:name="_Toc179632827"/>
      <w:bookmarkStart w:id="333" w:name="_Toc152045808"/>
      <w:bookmarkStart w:id="334" w:name="_Toc296602617"/>
      <w:bookmarkStart w:id="335" w:name="_Toc152045807"/>
      <w:bookmarkStart w:id="336" w:name="_Toc300835224"/>
      <w:bookmarkStart w:id="337" w:name="_Toc152042596"/>
      <w:bookmarkStart w:id="338" w:name="_Toc144974876"/>
      <w:bookmarkStart w:id="339" w:name="_Toc247085890"/>
      <w:bookmarkStart w:id="340" w:name="_Toc246996372"/>
      <w:bookmarkStart w:id="341" w:name="_Toc247514300"/>
      <w:bookmarkStart w:id="342" w:name="_Toc247527848"/>
      <w:bookmarkStart w:id="343" w:name="_Toc152042597"/>
      <w:bookmarkStart w:id="344" w:name="_Toc246997115"/>
      <w:r>
        <w:rPr>
          <w:rFonts w:hint="eastAsia" w:ascii="Times New Roman" w:hAnsi="Times New Roman" w:cs="Times New Roman"/>
          <w:lang w:val="en-US" w:eastAsia="zh-CN"/>
        </w:rPr>
        <w:t>八、</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eastAsiaTheme="minorEastAsia"/>
          <w:lang w:val="en-US" w:eastAsia="zh-CN"/>
        </w:rPr>
      </w:pPr>
      <w:bookmarkStart w:id="345" w:name="_Toc152045813"/>
      <w:bookmarkStart w:id="346" w:name="_Toc247530162"/>
      <w:bookmarkStart w:id="347" w:name="_Toc144974881"/>
      <w:bookmarkStart w:id="348" w:name="_Toc152042602"/>
      <w:bookmarkStart w:id="349" w:name="_Toc247514305"/>
      <w:bookmarkStart w:id="350" w:name="_Toc247527853"/>
      <w:r>
        <w:rPr>
          <w:rFonts w:hint="eastAsia" w:ascii="Times New Roman" w:hAnsi="Times New Roman" w:cs="Times New Roman"/>
          <w:lang w:val="en-US" w:eastAsia="zh-CN"/>
        </w:rPr>
        <w:t>格式供应商自拟。</w:t>
      </w:r>
    </w:p>
    <w:bookmarkEnd w:id="345"/>
    <w:bookmarkEnd w:id="346"/>
    <w:bookmarkEnd w:id="347"/>
    <w:bookmarkEnd w:id="348"/>
    <w:bookmarkEnd w:id="349"/>
    <w:bookmarkEnd w:id="350"/>
    <w:p w14:paraId="1E5B7EEB">
      <w:pPr>
        <w:pStyle w:val="3"/>
        <w:jc w:val="center"/>
        <w:rPr>
          <w:rFonts w:hint="default" w:ascii="Times New Roman" w:hAnsi="Times New Roman" w:cs="Times New Roman"/>
        </w:rPr>
      </w:pPr>
      <w:bookmarkStart w:id="351" w:name="_Toc300835233"/>
      <w:bookmarkStart w:id="352" w:name="_Toc271821942"/>
      <w:r>
        <w:rPr>
          <w:rFonts w:hint="eastAsia" w:ascii="Times New Roman" w:hAnsi="Times New Roman" w:cs="Times New Roman"/>
          <w:lang w:val="en-US" w:eastAsia="zh-CN"/>
        </w:rPr>
        <w:t>九</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0AF599E-FDE2-4F68-9B61-5B84F058F173}"/>
  </w:font>
  <w:font w:name="Arial">
    <w:panose1 w:val="020B0604020202020204"/>
    <w:charset w:val="01"/>
    <w:family w:val="swiss"/>
    <w:pitch w:val="default"/>
    <w:sig w:usb0="E0002EFF" w:usb1="C000785B" w:usb2="00000009" w:usb3="00000000" w:csb0="400001FF" w:csb1="FFFF0000"/>
    <w:embedRegular r:id="rId2" w:fontKey="{BA0116B3-63F7-454E-B780-C20081EED2E2}"/>
  </w:font>
  <w:font w:name="黑体">
    <w:panose1 w:val="02010609060101010101"/>
    <w:charset w:val="86"/>
    <w:family w:val="auto"/>
    <w:pitch w:val="default"/>
    <w:sig w:usb0="800002BF" w:usb1="38CF7CFA" w:usb2="00000016" w:usb3="00000000" w:csb0="00040001" w:csb1="00000000"/>
    <w:embedRegular r:id="rId3" w:fontKey="{177C906F-1B17-422B-8100-380E2D33BD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DA372315-080B-4B82-AEB3-F4E92491025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C00BD8C6-5A71-4A32-AA40-484C26C4F87C}"/>
  </w:font>
  <w:font w:name="仿宋_GB2312">
    <w:panose1 w:val="02010609030101010101"/>
    <w:charset w:val="86"/>
    <w:family w:val="modern"/>
    <w:pitch w:val="default"/>
    <w:sig w:usb0="00000001" w:usb1="080E0000" w:usb2="00000000" w:usb3="00000000" w:csb0="00040000" w:csb1="00000000"/>
    <w:embedRegular r:id="rId6" w:fontKey="{ED1FDB43-B305-4C9B-9B72-99B49F393A0A}"/>
  </w:font>
  <w:font w:name="楷体">
    <w:panose1 w:val="02010609060101010101"/>
    <w:charset w:val="86"/>
    <w:family w:val="auto"/>
    <w:pitch w:val="default"/>
    <w:sig w:usb0="800002BF" w:usb1="38CF7CFA" w:usb2="00000016" w:usb3="00000000" w:csb0="00040001" w:csb1="00000000"/>
    <w:embedRegular r:id="rId7" w:fontKey="{6677A048-4ABA-46E7-8431-3E479E55A418}"/>
  </w:font>
  <w:font w:name="Wingdings 2">
    <w:panose1 w:val="05020102010507070707"/>
    <w:charset w:val="00"/>
    <w:family w:val="auto"/>
    <w:pitch w:val="default"/>
    <w:sig w:usb0="00000000" w:usb1="00000000" w:usb2="00000000" w:usb3="00000000" w:csb0="80000000" w:csb1="00000000"/>
    <w:embedRegular r:id="rId8" w:fontKey="{0CBC65EC-52CD-42E2-B13C-32DD46AE76A8}"/>
  </w:font>
  <w:font w:name="方正仿宋_GB2312">
    <w:altName w:val="仿宋"/>
    <w:panose1 w:val="02000000000000000000"/>
    <w:charset w:val="86"/>
    <w:family w:val="auto"/>
    <w:pitch w:val="default"/>
    <w:sig w:usb0="00000000" w:usb1="00000000" w:usb2="00000012" w:usb3="00000000" w:csb0="00040001" w:csb1="00000000"/>
    <w:embedRegular r:id="rId9" w:fontKey="{9EAEFEDD-F206-4119-846E-D37037295194}"/>
  </w:font>
  <w:font w:name="仿宋">
    <w:panose1 w:val="02010609060101010101"/>
    <w:charset w:val="86"/>
    <w:family w:val="modern"/>
    <w:pitch w:val="default"/>
    <w:sig w:usb0="800002BF" w:usb1="38CF7CFA" w:usb2="00000016" w:usb3="00000000" w:csb0="00040001" w:csb1="00000000"/>
    <w:embedRegular r:id="rId10" w:fontKey="{BBD273E7-3469-427E-82B2-6E3F6F4D8181}"/>
  </w:font>
  <w:font w:name="Tahoma">
    <w:panose1 w:val="020B0604030504040204"/>
    <w:charset w:val="00"/>
    <w:family w:val="auto"/>
    <w:pitch w:val="default"/>
    <w:sig w:usb0="E1002EFF" w:usb1="C000605B" w:usb2="00000029" w:usb3="00000000" w:csb0="200101FF" w:csb1="20280000"/>
  </w:font>
  <w:font w:name="KSOFE8852770">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17898F">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345B6F">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7345B6F">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DD4359"/>
    <w:multiLevelType w:val="singleLevel"/>
    <w:tmpl w:val="FBDD435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52FF2"/>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23235"/>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1964"/>
    <w:rsid w:val="067240CC"/>
    <w:rsid w:val="067A79B9"/>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041C7C"/>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44369"/>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74A68"/>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0265B"/>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4D028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479EB"/>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32AF7"/>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DD70DD"/>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740E05"/>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775F6"/>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A205D"/>
    <w:rsid w:val="1C4E114E"/>
    <w:rsid w:val="1C5D5F8B"/>
    <w:rsid w:val="1C630441"/>
    <w:rsid w:val="1C671A57"/>
    <w:rsid w:val="1C6934B1"/>
    <w:rsid w:val="1C6E241C"/>
    <w:rsid w:val="1CB07DF9"/>
    <w:rsid w:val="1CB612AF"/>
    <w:rsid w:val="1CC3681B"/>
    <w:rsid w:val="1CF251D3"/>
    <w:rsid w:val="1CF806C3"/>
    <w:rsid w:val="1CFF3217"/>
    <w:rsid w:val="1D01483C"/>
    <w:rsid w:val="1D0460DA"/>
    <w:rsid w:val="1D0C3E62"/>
    <w:rsid w:val="1D1D0D81"/>
    <w:rsid w:val="1D35436C"/>
    <w:rsid w:val="1D3A1AFC"/>
    <w:rsid w:val="1D4B5AB7"/>
    <w:rsid w:val="1D546098"/>
    <w:rsid w:val="1D5801D4"/>
    <w:rsid w:val="1D5835F0"/>
    <w:rsid w:val="1D594678"/>
    <w:rsid w:val="1D65672A"/>
    <w:rsid w:val="1D834BF6"/>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1FF607F5"/>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CA738D"/>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7A49DE"/>
    <w:rsid w:val="2293123C"/>
    <w:rsid w:val="229E633A"/>
    <w:rsid w:val="22A570EC"/>
    <w:rsid w:val="22D569A0"/>
    <w:rsid w:val="230F1167"/>
    <w:rsid w:val="231F71F7"/>
    <w:rsid w:val="232E56FD"/>
    <w:rsid w:val="233F5F96"/>
    <w:rsid w:val="235A4CA6"/>
    <w:rsid w:val="235F4D23"/>
    <w:rsid w:val="236D4028"/>
    <w:rsid w:val="238A4DFC"/>
    <w:rsid w:val="23954F56"/>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12E2"/>
    <w:rsid w:val="268A362E"/>
    <w:rsid w:val="269560EE"/>
    <w:rsid w:val="26AF686C"/>
    <w:rsid w:val="26CA60FC"/>
    <w:rsid w:val="26D16018"/>
    <w:rsid w:val="26DB3228"/>
    <w:rsid w:val="26DF6074"/>
    <w:rsid w:val="26E05716"/>
    <w:rsid w:val="26E31456"/>
    <w:rsid w:val="26FB685D"/>
    <w:rsid w:val="26FE679C"/>
    <w:rsid w:val="27135B8A"/>
    <w:rsid w:val="27301EDB"/>
    <w:rsid w:val="27453115"/>
    <w:rsid w:val="276500BD"/>
    <w:rsid w:val="27692945"/>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5E1909"/>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2C3498"/>
    <w:rsid w:val="2F3565C7"/>
    <w:rsid w:val="2F3E191F"/>
    <w:rsid w:val="2F436846"/>
    <w:rsid w:val="2F4556CE"/>
    <w:rsid w:val="2F6F3C93"/>
    <w:rsid w:val="2F754A27"/>
    <w:rsid w:val="2F8135BA"/>
    <w:rsid w:val="2FAC78C5"/>
    <w:rsid w:val="2FB1448A"/>
    <w:rsid w:val="2FC802AE"/>
    <w:rsid w:val="2FCC29AF"/>
    <w:rsid w:val="2FCC2A87"/>
    <w:rsid w:val="2FD374AF"/>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110A"/>
    <w:rsid w:val="32BB4ABE"/>
    <w:rsid w:val="32BF7CD8"/>
    <w:rsid w:val="32C24615"/>
    <w:rsid w:val="32C8549C"/>
    <w:rsid w:val="32CA16D9"/>
    <w:rsid w:val="32DA54BB"/>
    <w:rsid w:val="32E83928"/>
    <w:rsid w:val="32F11987"/>
    <w:rsid w:val="32F45590"/>
    <w:rsid w:val="331A580D"/>
    <w:rsid w:val="331C19F3"/>
    <w:rsid w:val="331F55C4"/>
    <w:rsid w:val="33240E2C"/>
    <w:rsid w:val="33380434"/>
    <w:rsid w:val="333F7A1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DC5263"/>
    <w:rsid w:val="33ED39C2"/>
    <w:rsid w:val="3402309A"/>
    <w:rsid w:val="340F56DE"/>
    <w:rsid w:val="342235BE"/>
    <w:rsid w:val="3425597D"/>
    <w:rsid w:val="342804A8"/>
    <w:rsid w:val="342A5DF5"/>
    <w:rsid w:val="34331D5F"/>
    <w:rsid w:val="343819DA"/>
    <w:rsid w:val="344851FD"/>
    <w:rsid w:val="346A0AC1"/>
    <w:rsid w:val="348B2B5D"/>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04D95"/>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606D5"/>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90FA7"/>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25299B"/>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EE5665"/>
    <w:rsid w:val="3AF47336"/>
    <w:rsid w:val="3AFF2C64"/>
    <w:rsid w:val="3B010619"/>
    <w:rsid w:val="3B081118"/>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5B65B1"/>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2D1069"/>
    <w:rsid w:val="3F3C595E"/>
    <w:rsid w:val="3F59346C"/>
    <w:rsid w:val="3F657308"/>
    <w:rsid w:val="3F685210"/>
    <w:rsid w:val="3F731171"/>
    <w:rsid w:val="3F732F1F"/>
    <w:rsid w:val="3F7856B5"/>
    <w:rsid w:val="3F7970EE"/>
    <w:rsid w:val="3F7C4554"/>
    <w:rsid w:val="3F8003ED"/>
    <w:rsid w:val="3F8B5F41"/>
    <w:rsid w:val="3F902B34"/>
    <w:rsid w:val="3F9B61F7"/>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43E5D"/>
    <w:rsid w:val="41761D35"/>
    <w:rsid w:val="417626E4"/>
    <w:rsid w:val="417843F2"/>
    <w:rsid w:val="41807B75"/>
    <w:rsid w:val="41864563"/>
    <w:rsid w:val="418A1799"/>
    <w:rsid w:val="41A61C3F"/>
    <w:rsid w:val="41B17185"/>
    <w:rsid w:val="41C45CB4"/>
    <w:rsid w:val="41DB6A6F"/>
    <w:rsid w:val="41EC6DB7"/>
    <w:rsid w:val="41ED19B3"/>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03C94"/>
    <w:rsid w:val="44477A7A"/>
    <w:rsid w:val="44501A81"/>
    <w:rsid w:val="44564BBE"/>
    <w:rsid w:val="445A5900"/>
    <w:rsid w:val="446A440B"/>
    <w:rsid w:val="44831552"/>
    <w:rsid w:val="4488746D"/>
    <w:rsid w:val="44912DD9"/>
    <w:rsid w:val="449C52EA"/>
    <w:rsid w:val="44A72CB4"/>
    <w:rsid w:val="44BF09B5"/>
    <w:rsid w:val="44DC0CFE"/>
    <w:rsid w:val="44DC4FCA"/>
    <w:rsid w:val="44FC7513"/>
    <w:rsid w:val="44FD1C6D"/>
    <w:rsid w:val="45245377"/>
    <w:rsid w:val="453249CF"/>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53D76"/>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DD3AFF"/>
    <w:rsid w:val="48F556EA"/>
    <w:rsid w:val="490B241B"/>
    <w:rsid w:val="491946D3"/>
    <w:rsid w:val="4922747B"/>
    <w:rsid w:val="4924047E"/>
    <w:rsid w:val="49276380"/>
    <w:rsid w:val="49441489"/>
    <w:rsid w:val="49470D20"/>
    <w:rsid w:val="4948117F"/>
    <w:rsid w:val="494B0B0D"/>
    <w:rsid w:val="49553696"/>
    <w:rsid w:val="4968214A"/>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A9096E"/>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63AE4"/>
    <w:rsid w:val="4C87254B"/>
    <w:rsid w:val="4CBD57DA"/>
    <w:rsid w:val="4CD46FC7"/>
    <w:rsid w:val="4CDE4416"/>
    <w:rsid w:val="4CF003CA"/>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103B3"/>
    <w:rsid w:val="4EF43B16"/>
    <w:rsid w:val="4F0E1E8F"/>
    <w:rsid w:val="4F1D6A04"/>
    <w:rsid w:val="4F2B6C13"/>
    <w:rsid w:val="4F3153D3"/>
    <w:rsid w:val="4F5F3ED1"/>
    <w:rsid w:val="4F676F0A"/>
    <w:rsid w:val="4F766114"/>
    <w:rsid w:val="4F804E7C"/>
    <w:rsid w:val="4F833928"/>
    <w:rsid w:val="4F851C22"/>
    <w:rsid w:val="4F85516A"/>
    <w:rsid w:val="4F897FC0"/>
    <w:rsid w:val="4F8B6063"/>
    <w:rsid w:val="4F9071D6"/>
    <w:rsid w:val="4F932AC0"/>
    <w:rsid w:val="4F944D8F"/>
    <w:rsid w:val="4FB21842"/>
    <w:rsid w:val="4FB75BBE"/>
    <w:rsid w:val="4FCA5221"/>
    <w:rsid w:val="4FED0FB9"/>
    <w:rsid w:val="4FF01E38"/>
    <w:rsid w:val="500A342C"/>
    <w:rsid w:val="502F5BB5"/>
    <w:rsid w:val="502F7384"/>
    <w:rsid w:val="50324731"/>
    <w:rsid w:val="50561719"/>
    <w:rsid w:val="5061076D"/>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45BE4"/>
    <w:rsid w:val="51151213"/>
    <w:rsid w:val="512D5F57"/>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1FE52AC"/>
    <w:rsid w:val="5219226D"/>
    <w:rsid w:val="521A0101"/>
    <w:rsid w:val="52241967"/>
    <w:rsid w:val="52263E21"/>
    <w:rsid w:val="52267BB8"/>
    <w:rsid w:val="522851B7"/>
    <w:rsid w:val="522D1CB6"/>
    <w:rsid w:val="52410C5B"/>
    <w:rsid w:val="52444C58"/>
    <w:rsid w:val="52481FEA"/>
    <w:rsid w:val="524E0600"/>
    <w:rsid w:val="525070F0"/>
    <w:rsid w:val="5252412C"/>
    <w:rsid w:val="52595FA5"/>
    <w:rsid w:val="5263075C"/>
    <w:rsid w:val="52660A26"/>
    <w:rsid w:val="52717995"/>
    <w:rsid w:val="528315FB"/>
    <w:rsid w:val="528738A2"/>
    <w:rsid w:val="52910142"/>
    <w:rsid w:val="52990759"/>
    <w:rsid w:val="529B480F"/>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CC75F5"/>
    <w:rsid w:val="54D45DB6"/>
    <w:rsid w:val="54E838DC"/>
    <w:rsid w:val="54F75F49"/>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648"/>
    <w:rsid w:val="56CC3A96"/>
    <w:rsid w:val="56D42684"/>
    <w:rsid w:val="56DD2471"/>
    <w:rsid w:val="56E01510"/>
    <w:rsid w:val="571974A0"/>
    <w:rsid w:val="57210A6D"/>
    <w:rsid w:val="57387588"/>
    <w:rsid w:val="5744214A"/>
    <w:rsid w:val="574B480A"/>
    <w:rsid w:val="57543081"/>
    <w:rsid w:val="578364FC"/>
    <w:rsid w:val="5789649C"/>
    <w:rsid w:val="57A373F0"/>
    <w:rsid w:val="57AF09B6"/>
    <w:rsid w:val="57C83C57"/>
    <w:rsid w:val="57FB2FB4"/>
    <w:rsid w:val="581A61D6"/>
    <w:rsid w:val="582028C2"/>
    <w:rsid w:val="582908A2"/>
    <w:rsid w:val="58382B00"/>
    <w:rsid w:val="583D07DD"/>
    <w:rsid w:val="583D778E"/>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109BC"/>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57C0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9B3B69"/>
    <w:rsid w:val="60A13AB9"/>
    <w:rsid w:val="60A317BE"/>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0720C"/>
    <w:rsid w:val="64B47494"/>
    <w:rsid w:val="64B70C4D"/>
    <w:rsid w:val="64CF0348"/>
    <w:rsid w:val="64D14920"/>
    <w:rsid w:val="64DC3A26"/>
    <w:rsid w:val="64E114C3"/>
    <w:rsid w:val="64E23632"/>
    <w:rsid w:val="64EA382F"/>
    <w:rsid w:val="64ED3306"/>
    <w:rsid w:val="64F70454"/>
    <w:rsid w:val="65112EA3"/>
    <w:rsid w:val="6511603A"/>
    <w:rsid w:val="65197815"/>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21442"/>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71355"/>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E03D2"/>
    <w:rsid w:val="6BA33A98"/>
    <w:rsid w:val="6BAC2823"/>
    <w:rsid w:val="6BBD5024"/>
    <w:rsid w:val="6BCF6E80"/>
    <w:rsid w:val="6BE02E3B"/>
    <w:rsid w:val="6BF37DF1"/>
    <w:rsid w:val="6BF863D7"/>
    <w:rsid w:val="6C2076DB"/>
    <w:rsid w:val="6C272818"/>
    <w:rsid w:val="6C343972"/>
    <w:rsid w:val="6C5555D7"/>
    <w:rsid w:val="6C630CE9"/>
    <w:rsid w:val="6C727F37"/>
    <w:rsid w:val="6C914CAA"/>
    <w:rsid w:val="6CB46277"/>
    <w:rsid w:val="6CB56076"/>
    <w:rsid w:val="6CB57E24"/>
    <w:rsid w:val="6CC53765"/>
    <w:rsid w:val="6CCC3665"/>
    <w:rsid w:val="6CD34AAD"/>
    <w:rsid w:val="6CEC0F34"/>
    <w:rsid w:val="6CF73CA4"/>
    <w:rsid w:val="6D005FF7"/>
    <w:rsid w:val="6D021C57"/>
    <w:rsid w:val="6D05105B"/>
    <w:rsid w:val="6D207FCD"/>
    <w:rsid w:val="6D280C36"/>
    <w:rsid w:val="6D286C4C"/>
    <w:rsid w:val="6D2B5B01"/>
    <w:rsid w:val="6D350F65"/>
    <w:rsid w:val="6D36363D"/>
    <w:rsid w:val="6D381497"/>
    <w:rsid w:val="6D3D6CCB"/>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025ECB"/>
    <w:rsid w:val="72084E9A"/>
    <w:rsid w:val="720A33A9"/>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3D54C6"/>
    <w:rsid w:val="784117AB"/>
    <w:rsid w:val="78510397"/>
    <w:rsid w:val="78552936"/>
    <w:rsid w:val="786E559E"/>
    <w:rsid w:val="78731F0E"/>
    <w:rsid w:val="78754CBA"/>
    <w:rsid w:val="78922723"/>
    <w:rsid w:val="789456D9"/>
    <w:rsid w:val="78962FA5"/>
    <w:rsid w:val="78AA0A59"/>
    <w:rsid w:val="78C148AC"/>
    <w:rsid w:val="78C53AE4"/>
    <w:rsid w:val="78CA068C"/>
    <w:rsid w:val="78CA1FEE"/>
    <w:rsid w:val="78CB3FEB"/>
    <w:rsid w:val="78CE219D"/>
    <w:rsid w:val="78CF04BF"/>
    <w:rsid w:val="79053EE1"/>
    <w:rsid w:val="792A1316"/>
    <w:rsid w:val="792C2D1F"/>
    <w:rsid w:val="793B5CE2"/>
    <w:rsid w:val="794762A8"/>
    <w:rsid w:val="794C1437"/>
    <w:rsid w:val="795C411F"/>
    <w:rsid w:val="796834B3"/>
    <w:rsid w:val="797B3C8A"/>
    <w:rsid w:val="797F45FC"/>
    <w:rsid w:val="79970647"/>
    <w:rsid w:val="79A81CC2"/>
    <w:rsid w:val="79BD708F"/>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C507E5"/>
    <w:rsid w:val="7DD00A7F"/>
    <w:rsid w:val="7DD547CA"/>
    <w:rsid w:val="7DE14013"/>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885137"/>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1"/>
    <w:qFormat/>
    <w:uiPriority w:val="0"/>
    <w:pPr>
      <w:widowControl/>
      <w:snapToGrid w:val="0"/>
    </w:pPr>
    <w:rPr>
      <w:rFonts w:ascii="Arial" w:hAnsi="Arial" w:eastAsia="宋体" w:cs="Times New Roman"/>
      <w:kern w:val="0"/>
      <w:szCs w:val="21"/>
    </w:rPr>
  </w:style>
  <w:style w:type="paragraph" w:styleId="11">
    <w:name w:val="index 4"/>
    <w:basedOn w:val="1"/>
    <w:next w:val="1"/>
    <w:qFormat/>
    <w:uiPriority w:val="0"/>
    <w:pPr>
      <w:ind w:left="600" w:leftChars="60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HTML Preformatted"/>
    <w:basedOn w:val="1"/>
    <w:qFormat/>
    <w:uiPriority w:val="0"/>
    <w:pPr>
      <w:jc w:val="left"/>
    </w:pPr>
    <w:rPr>
      <w:rFonts w:hint="eastAsia" w:ascii="宋体" w:hAnsi="宋体"/>
      <w:kern w:val="0"/>
      <w:sz w:val="24"/>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8"/>
    <w:qFormat/>
    <w:uiPriority w:val="0"/>
    <w:pPr>
      <w:ind w:firstLine="420" w:firstLineChars="100"/>
    </w:pPr>
  </w:style>
  <w:style w:type="paragraph" w:styleId="19">
    <w:name w:val="Body Text First Indent 2"/>
    <w:basedOn w:val="9"/>
    <w:next w:val="10"/>
    <w:qFormat/>
    <w:uiPriority w:val="0"/>
    <w:pPr>
      <w:ind w:firstLine="420" w:firstLineChars="20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2"/>
    <w:qFormat/>
    <w:uiPriority w:val="0"/>
    <w:rPr>
      <w:rFonts w:ascii="Calibri" w:hAnsi="Calibri" w:cs="Calibri"/>
      <w:color w:val="000000"/>
      <w:sz w:val="21"/>
      <w:szCs w:val="21"/>
      <w:u w:val="none"/>
    </w:rPr>
  </w:style>
  <w:style w:type="character" w:customStyle="1" w:styleId="29">
    <w:name w:val="font21"/>
    <w:basedOn w:val="22"/>
    <w:qFormat/>
    <w:uiPriority w:val="0"/>
    <w:rPr>
      <w:rFonts w:hint="eastAsia" w:ascii="宋体" w:hAnsi="宋体" w:eastAsia="宋体" w:cs="宋体"/>
      <w:color w:val="000000"/>
      <w:sz w:val="21"/>
      <w:szCs w:val="21"/>
      <w:u w:val="none"/>
    </w:rPr>
  </w:style>
  <w:style w:type="character" w:customStyle="1" w:styleId="30">
    <w:name w:val="font01"/>
    <w:basedOn w:val="22"/>
    <w:qFormat/>
    <w:uiPriority w:val="0"/>
    <w:rPr>
      <w:rFonts w:ascii="Calibri" w:hAnsi="Calibri" w:cs="Calibri"/>
      <w:color w:val="000000"/>
      <w:sz w:val="21"/>
      <w:szCs w:val="21"/>
      <w:u w:val="none"/>
    </w:rPr>
  </w:style>
  <w:style w:type="character" w:customStyle="1" w:styleId="31">
    <w:name w:val="font31"/>
    <w:basedOn w:val="22"/>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122</Words>
  <Characters>511</Characters>
  <Lines>0</Lines>
  <Paragraphs>0</Paragraphs>
  <TotalTime>33</TotalTime>
  <ScaleCrop>false</ScaleCrop>
  <LinksUpToDate>false</LinksUpToDate>
  <CharactersWithSpaces>531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2025-11-25T07:52:00Z</cp:lastPrinted>
  <dcterms:modified xsi:type="dcterms:W3CDTF">2026-01-15T07:19:24Z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153960235A064203BF5FF7E098C459CF_13</vt:lpwstr>
  </property>
  <property fmtid="{D5CDD505-2E9C-101B-9397-08002B2CF9AE}" pid="4" name="KSOTemplateDocerSaveRecord">
    <vt:lpwstr>eyJoZGlkIjoiMDNjZWFmOTI0OWU0M2E3ZjRhODE1MDBhNDIyZDU3OWMiLCJ1c2VySWQiOiIxMzg0NDY3MDM0In0=</vt:lpwstr>
  </property>
</Properties>
</file>