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亳州逸合府一期施工总承包项目铝单板采购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113号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亳州逸合府一期施工总承包项目铝单板采购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亳州逸合府一期施工总承包项目铝单板采购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113号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含税：13%</w:t>
      </w:r>
      <w:r>
        <w:rPr>
          <w:rFonts w:hint="eastAsia" w:asciiTheme="minorEastAsia" w:hAnsiTheme="minorEastAsia" w:eastAsiaTheme="minorEastAsia" w:cstheme="minorEastAsia"/>
          <w:sz w:val="28"/>
          <w:szCs w:val="28"/>
          <w:highlight w:val="none"/>
          <w:lang w:val="en-US" w:eastAsia="zh-CN"/>
        </w:rPr>
        <w:t>）</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none"/>
          <w:lang w:val="en-US" w:eastAsia="zh-CN"/>
        </w:rPr>
        <w:t>102652元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FF0000"/>
          <w:sz w:val="28"/>
          <w:szCs w:val="28"/>
          <w:highlight w:val="none"/>
          <w:lang w:val="en-US" w:eastAsia="zh-CN"/>
        </w:rPr>
        <w:t>单项最高</w:t>
      </w:r>
      <w:r>
        <w:rPr>
          <w:rFonts w:hint="eastAsia" w:asciiTheme="minorEastAsia" w:hAnsiTheme="minorEastAsia" w:eastAsiaTheme="minorEastAsia" w:cstheme="minorEastAsia"/>
          <w:color w:val="FF0000"/>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的采购范围是铝单板及铝方通。供应商需按照设计图纸要求，完成铝单板及铝方通的材料供货，具体内容详见图纸及清单。具体工程量以供应商实际完成合格工程量为准，清单数量为暂定，采购人据实按含税单价结算。供应商响应前请认真查阅清单及要求、并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eastAsia="宋体" w:cs="宋体"/>
          <w:color w:val="auto"/>
          <w:kern w:val="2"/>
          <w:sz w:val="28"/>
          <w:szCs w:val="28"/>
          <w:highlight w:val="none"/>
          <w:lang w:val="en-US" w:eastAsia="zh-CN"/>
        </w:rPr>
        <w:t>供货期：自采购人下达开工指令之日起30日历天。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亳州逸合府一期施工项目位于亳州市谯城区利辛路北侧、庄周路东侧、和平西路南侧、华佗大道西侧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7ABC654E">
      <w:pPr>
        <w:spacing w:line="50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（一）</w:t>
      </w:r>
      <w:r>
        <w:rPr>
          <w:rFonts w:hint="eastAsia" w:asciiTheme="minorEastAsia" w:hAnsiTheme="minorEastAsia" w:cstheme="minorEastAsia"/>
          <w:sz w:val="28"/>
          <w:szCs w:val="28"/>
          <w:lang w:val="en-US" w:eastAsia="zh-CN"/>
        </w:rPr>
        <w:t>供应商需</w:t>
      </w:r>
      <w:r>
        <w:rPr>
          <w:rFonts w:hint="eastAsia" w:asciiTheme="minorEastAsia" w:hAnsiTheme="minorEastAsia" w:eastAsiaTheme="minorEastAsia" w:cstheme="minorEastAsia"/>
          <w:sz w:val="28"/>
          <w:szCs w:val="28"/>
        </w:rPr>
        <w:t>具有独立法人资格，并在人员、设备、资金等方面具有承担</w:t>
      </w:r>
      <w:r>
        <w:rPr>
          <w:rFonts w:hint="eastAsia" w:asciiTheme="minorEastAsia" w:hAnsiTheme="minorEastAsia" w:cstheme="minorEastAsia"/>
          <w:sz w:val="28"/>
          <w:szCs w:val="28"/>
          <w:lang w:val="en-US" w:eastAsia="zh-CN"/>
        </w:rPr>
        <w:t>本项目货物供应</w:t>
      </w:r>
      <w:r>
        <w:rPr>
          <w:rFonts w:hint="eastAsia" w:asciiTheme="minorEastAsia" w:hAnsiTheme="minorEastAsia" w:eastAsiaTheme="minorEastAsia" w:cstheme="minorEastAsia"/>
          <w:sz w:val="28"/>
          <w:szCs w:val="28"/>
        </w:rPr>
        <w:t>的能力</w:t>
      </w:r>
      <w:r>
        <w:rPr>
          <w:rFonts w:hint="eastAsia" w:asciiTheme="minorEastAsia" w:hAnsiTheme="minorEastAsia" w:eastAsiaTheme="minorEastAsia" w:cstheme="minorEastAsia"/>
          <w:sz w:val="28"/>
          <w:szCs w:val="28"/>
          <w:lang w:eastAsia="zh-CN"/>
        </w:rPr>
        <w:t>。</w:t>
      </w:r>
    </w:p>
    <w:p w14:paraId="0EE8BB7F">
      <w:pPr>
        <w:spacing w:line="500" w:lineRule="exact"/>
        <w:ind w:firstLine="560" w:firstLineChars="200"/>
        <w:rPr>
          <w:rFonts w:hint="eastAsia" w:ascii="Times New Roman" w:hAnsi="Times New Roman" w:cs="Times New Roman"/>
          <w:color w:val="000000" w:themeColor="text1"/>
          <w:sz w:val="28"/>
          <w:szCs w:val="28"/>
          <w:u w:val="single"/>
          <w:lang w:val="en-US" w:eastAsia="zh-CN"/>
          <w14:textFill>
            <w14:solidFill>
              <w14:schemeClr w14:val="tx1"/>
            </w14:solidFill>
          </w14:textFill>
        </w:rPr>
      </w:pPr>
      <w:r>
        <w:rPr>
          <w:rFonts w:hint="eastAsia" w:asciiTheme="minorEastAsia" w:hAnsiTheme="minorEastAsia" w:eastAsiaTheme="minorEastAsia" w:cstheme="minorEastAsia"/>
          <w:sz w:val="28"/>
          <w:szCs w:val="28"/>
        </w:rPr>
        <w:t>（二）</w:t>
      </w:r>
      <w:r>
        <w:rPr>
          <w:rFonts w:hint="eastAsia" w:ascii="Times New Roman" w:hAnsi="Times New Roman" w:cs="Times New Roman"/>
          <w:sz w:val="28"/>
          <w:szCs w:val="28"/>
        </w:rPr>
        <w:t>业绩要求：提供</w:t>
      </w:r>
      <w:r>
        <w:rPr>
          <w:rFonts w:hint="eastAsia" w:ascii="Times New Roman" w:hAnsi="Times New Roman" w:cs="Times New Roman"/>
          <w:color w:val="FF0000"/>
          <w:sz w:val="28"/>
          <w:szCs w:val="28"/>
          <w:u w:val="single"/>
        </w:rPr>
        <w:t>2022</w:t>
      </w:r>
      <w:r>
        <w:rPr>
          <w:rFonts w:hint="eastAsia" w:ascii="Times New Roman" w:hAnsi="Times New Roman" w:cs="Times New Roman"/>
          <w:sz w:val="28"/>
          <w:szCs w:val="28"/>
        </w:rPr>
        <w:t>年至今企业类似项目业绩</w:t>
      </w:r>
      <w:r>
        <w:rPr>
          <w:rFonts w:hint="eastAsia" w:ascii="Times New Roman" w:hAnsi="Times New Roman" w:cs="Times New Roman"/>
          <w:color w:val="FF0000"/>
          <w:sz w:val="28"/>
          <w:szCs w:val="28"/>
          <w:u w:val="single"/>
        </w:rPr>
        <w:t>1</w:t>
      </w:r>
      <w:r>
        <w:rPr>
          <w:rFonts w:hint="eastAsia" w:ascii="Times New Roman" w:hAnsi="Times New Roman" w:cs="Times New Roman"/>
          <w:sz w:val="28"/>
          <w:szCs w:val="28"/>
        </w:rPr>
        <w:t>个，以</w:t>
      </w:r>
      <w:permStart w:id="14" w:edGrp="everyone"/>
      <w:r>
        <w:rPr>
          <w:rFonts w:hint="eastAsia" w:ascii="Times New Roman" w:hAnsi="Times New Roman" w:cs="Times New Roman"/>
          <w:sz w:val="28"/>
          <w:szCs w:val="28"/>
        </w:rPr>
        <w:t>合同签订时间</w:t>
      </w:r>
      <w:permEnd w:id="14"/>
      <w:r>
        <w:rPr>
          <w:rFonts w:hint="eastAsia" w:ascii="Times New Roman" w:hAnsi="Times New Roman" w:cs="Times New Roman"/>
          <w:sz w:val="28"/>
          <w:szCs w:val="28"/>
        </w:rPr>
        <w:t>为准。类似项目业绩指：</w:t>
      </w:r>
      <w:r>
        <w:rPr>
          <w:rFonts w:hint="eastAsia" w:ascii="Times New Roman" w:hAnsi="Times New Roman" w:cs="Times New Roman"/>
          <w:color w:val="FF0000"/>
          <w:sz w:val="28"/>
          <w:szCs w:val="28"/>
          <w:u w:val="single"/>
        </w:rPr>
        <w:t>单项合同金额不低于</w:t>
      </w:r>
      <w:r>
        <w:rPr>
          <w:rFonts w:hint="eastAsia" w:ascii="Times New Roman" w:hAnsi="Times New Roman" w:cs="Times New Roman"/>
          <w:color w:val="FF0000"/>
          <w:sz w:val="28"/>
          <w:szCs w:val="28"/>
          <w:u w:val="single"/>
          <w:lang w:val="en-US" w:eastAsia="zh-CN"/>
        </w:rPr>
        <w:t>5</w:t>
      </w:r>
      <w:r>
        <w:rPr>
          <w:rFonts w:hint="eastAsia" w:ascii="Times New Roman" w:hAnsi="Times New Roman" w:cs="Times New Roman"/>
          <w:color w:val="FF0000"/>
          <w:sz w:val="28"/>
          <w:szCs w:val="28"/>
          <w:u w:val="single"/>
        </w:rPr>
        <w:t>万元的</w:t>
      </w:r>
      <w:r>
        <w:rPr>
          <w:rFonts w:hint="eastAsia" w:ascii="Times New Roman" w:hAnsi="Times New Roman" w:cs="Times New Roman"/>
          <w:color w:val="FF0000"/>
          <w:sz w:val="28"/>
          <w:szCs w:val="28"/>
          <w:u w:val="single"/>
          <w:lang w:val="en-US" w:eastAsia="zh-CN"/>
        </w:rPr>
        <w:t>铝板供货业绩</w:t>
      </w:r>
      <w:r>
        <w:rPr>
          <w:rFonts w:hint="eastAsia" w:ascii="Times New Roman" w:hAnsi="Times New Roman" w:cs="Times New Roman"/>
          <w:color w:val="000000" w:themeColor="text1"/>
          <w:sz w:val="28"/>
          <w:szCs w:val="28"/>
          <w:u w:val="none"/>
          <w:lang w:val="en-US" w:eastAsia="zh-CN"/>
          <w14:textFill>
            <w14:solidFill>
              <w14:schemeClr w14:val="tx1"/>
            </w14:solidFill>
          </w14:textFill>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宋体" w:hAnsi="宋体" w:eastAsia="宋体" w:cs="宋体"/>
          <w:kern w:val="2"/>
          <w:sz w:val="28"/>
          <w:szCs w:val="28"/>
          <w:highlight w:val="none"/>
          <w:lang w:val="en-US" w:eastAsia="zh-CN"/>
        </w:rPr>
        <w:t>注：提供业绩合同、合同任意节点税务发票等相关资料复印件或扫描件装订入响应文件中</w:t>
      </w:r>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5"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7" w:edGrp="everyone"/>
      <w:r>
        <w:rPr>
          <w:rFonts w:hint="eastAsia" w:asciiTheme="minorEastAsia" w:hAnsiTheme="minorEastAsia" w:cstheme="minorEastAsia"/>
          <w:i/>
          <w:iCs/>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2000元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李经理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2000元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AHTKJS-2025-113号保证金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亳州逸合府一期施工总承包项目铝单板采购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113号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2308"/>
      <w:bookmarkStart w:id="2" w:name="_Toc246996921"/>
      <w:bookmarkStart w:id="3" w:name="_Toc179632549"/>
      <w:bookmarkStart w:id="4" w:name="_Toc247085692"/>
      <w:bookmarkStart w:id="5" w:name="_Toc296602423"/>
      <w:bookmarkStart w:id="6" w:name="_Toc15204553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7085695"/>
      <w:bookmarkStart w:id="10" w:name="_Toc152042312"/>
      <w:bookmarkStart w:id="11" w:name="_Toc296602426"/>
      <w:bookmarkStart w:id="12" w:name="_Toc179632553"/>
      <w:bookmarkStart w:id="13" w:name="_Toc246996924"/>
      <w:bookmarkStart w:id="14" w:name="_Toc15204553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79632554"/>
      <w:bookmarkStart w:id="19" w:name="_Toc152042313"/>
      <w:bookmarkStart w:id="20" w:name="_Toc152045537"/>
      <w:bookmarkStart w:id="21" w:name="_Toc246996925"/>
      <w:bookmarkStart w:id="22" w:name="_Toc247085696"/>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179632555"/>
      <w:bookmarkStart w:id="27" w:name="_Toc152042314"/>
      <w:bookmarkStart w:id="28" w:name="_Toc152045538"/>
      <w:bookmarkStart w:id="29" w:name="_Toc144974506"/>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79632560"/>
      <w:bookmarkStart w:id="33" w:name="_Toc247085701"/>
      <w:bookmarkStart w:id="34" w:name="_Toc296602432"/>
      <w:bookmarkStart w:id="35" w:name="_Toc246996187"/>
      <w:bookmarkStart w:id="36" w:name="_Toc144974510"/>
      <w:bookmarkStart w:id="37" w:name="_Toc152042318"/>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47085702"/>
      <w:bookmarkStart w:id="41" w:name="_Toc152045543"/>
      <w:bookmarkStart w:id="42" w:name="_Toc246996188"/>
      <w:bookmarkStart w:id="43" w:name="_Toc144974511"/>
      <w:bookmarkStart w:id="44" w:name="_Toc179632561"/>
      <w:bookmarkStart w:id="45" w:name="_Toc29660243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52045544"/>
      <w:bookmarkStart w:id="49" w:name="_Toc144974512"/>
      <w:bookmarkStart w:id="50" w:name="_Toc246996932"/>
      <w:bookmarkStart w:id="51" w:name="_Toc179632562"/>
      <w:bookmarkStart w:id="52" w:name="_Toc246996189"/>
      <w:bookmarkStart w:id="53" w:name="_Toc296602434"/>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179632563"/>
      <w:bookmarkStart w:id="57" w:name="_Toc296602435"/>
      <w:bookmarkStart w:id="58" w:name="_Toc144974513"/>
      <w:bookmarkStart w:id="59" w:name="_Toc152045545"/>
      <w:bookmarkStart w:id="60" w:name="_Toc246996190"/>
      <w:bookmarkStart w:id="61" w:name="_Toc246996933"/>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152042322"/>
      <w:bookmarkStart w:id="65" w:name="_Toc246996934"/>
      <w:bookmarkStart w:id="66" w:name="_Toc179632564"/>
      <w:bookmarkStart w:id="67" w:name="_Toc296602436"/>
      <w:bookmarkStart w:id="68" w:name="_Toc152045546"/>
      <w:bookmarkStart w:id="69" w:name="_Toc14497451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247085706"/>
      <w:bookmarkStart w:id="73" w:name="_Toc179632565"/>
      <w:bookmarkStart w:id="74" w:name="_Toc152045547"/>
      <w:bookmarkStart w:id="75" w:name="_Toc246996192"/>
      <w:bookmarkStart w:id="76" w:name="_Toc152042323"/>
      <w:bookmarkStart w:id="77" w:name="_Toc246996935"/>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96602438"/>
      <w:bookmarkStart w:id="81" w:name="_Toc152045548"/>
      <w:bookmarkStart w:id="82" w:name="_Toc247085707"/>
      <w:bookmarkStart w:id="83" w:name="_Toc246996936"/>
      <w:bookmarkStart w:id="84" w:name="_Toc179632566"/>
      <w:bookmarkStart w:id="85" w:name="_Toc152042324"/>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296602443"/>
      <w:bookmarkStart w:id="97" w:name="_Toc246996199"/>
      <w:bookmarkStart w:id="98" w:name="_Toc247085713"/>
      <w:bookmarkStart w:id="99" w:name="_Toc144974523"/>
      <w:bookmarkStart w:id="100" w:name="_Toc152042331"/>
      <w:bookmarkStart w:id="101" w:name="_Toc152045555"/>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152042332"/>
      <w:bookmarkStart w:id="105" w:name="_Toc247085714"/>
      <w:bookmarkStart w:id="106" w:name="_Toc179632574"/>
      <w:bookmarkStart w:id="107" w:name="_Toc296602444"/>
      <w:bookmarkStart w:id="108" w:name="_Toc152045556"/>
      <w:bookmarkStart w:id="109" w:name="_Toc14497452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44974525"/>
      <w:bookmarkStart w:id="113" w:name="_Toc247085715"/>
      <w:bookmarkStart w:id="114" w:name="_Toc179632575"/>
      <w:bookmarkStart w:id="115" w:name="_Toc152045557"/>
      <w:bookmarkStart w:id="116" w:name="_Toc246996944"/>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202"/>
      <w:bookmarkStart w:id="120" w:name="_Toc296602446"/>
      <w:bookmarkStart w:id="121" w:name="_Toc152045558"/>
      <w:bookmarkStart w:id="122" w:name="_Toc246996945"/>
      <w:bookmarkStart w:id="123" w:name="_Toc247085716"/>
      <w:bookmarkStart w:id="124" w:name="_Toc14497452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246996203"/>
      <w:bookmarkStart w:id="128" w:name="_Toc152045559"/>
      <w:bookmarkStart w:id="129" w:name="_Toc246996946"/>
      <w:bookmarkStart w:id="130" w:name="_Toc144974527"/>
      <w:bookmarkStart w:id="131" w:name="_Toc152042335"/>
      <w:bookmarkStart w:id="132" w:name="_Toc179632577"/>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152045560"/>
      <w:bookmarkStart w:id="136" w:name="_Toc144974528"/>
      <w:bookmarkStart w:id="137" w:name="_Toc179632578"/>
      <w:bookmarkStart w:id="138" w:name="_Toc296602448"/>
      <w:bookmarkStart w:id="139" w:name="_Toc246996204"/>
      <w:bookmarkStart w:id="140" w:name="_Toc24708571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152045561"/>
      <w:bookmarkStart w:id="144" w:name="_Toc152042337"/>
      <w:bookmarkStart w:id="145" w:name="_Toc246996205"/>
      <w:bookmarkStart w:id="146" w:name="_Toc247085719"/>
      <w:bookmarkStart w:id="147" w:name="_Toc144974529"/>
      <w:bookmarkStart w:id="148" w:name="_Toc246996948"/>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52042339"/>
      <w:bookmarkStart w:id="152" w:name="_Toc246996207"/>
      <w:bookmarkStart w:id="153" w:name="_Toc144974531"/>
      <w:bookmarkStart w:id="154" w:name="_Toc152045563"/>
      <w:bookmarkStart w:id="155" w:name="_Toc179632581"/>
      <w:bookmarkStart w:id="156" w:name="_Toc296602452"/>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6996953"/>
      <w:bookmarkStart w:id="160" w:name="_Toc152045566"/>
      <w:bookmarkStart w:id="161" w:name="_Toc144974534"/>
      <w:bookmarkStart w:id="162" w:name="_Toc246996210"/>
      <w:bookmarkStart w:id="163" w:name="_Toc296602455"/>
      <w:bookmarkStart w:id="164" w:name="_Toc152042342"/>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6996954"/>
      <w:bookmarkStart w:id="168" w:name="_Toc144974535"/>
      <w:bookmarkStart w:id="169" w:name="_Toc152045567"/>
      <w:bookmarkStart w:id="170" w:name="_Toc246996211"/>
      <w:bookmarkStart w:id="171" w:name="_Toc247085725"/>
      <w:bookmarkStart w:id="172" w:name="_Toc296602456"/>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296602458"/>
      <w:bookmarkStart w:id="177" w:name="_Toc144974536"/>
      <w:bookmarkStart w:id="178" w:name="_Toc247085726"/>
      <w:bookmarkStart w:id="179" w:name="_Toc152042344"/>
      <w:bookmarkStart w:id="180" w:name="_Toc246996955"/>
      <w:bookmarkStart w:id="181" w:name="_Toc17963258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2345"/>
      <w:bookmarkStart w:id="184" w:name="_Toc247085727"/>
      <w:bookmarkStart w:id="185" w:name="_Toc179632587"/>
      <w:bookmarkStart w:id="186" w:name="_Toc144974537"/>
      <w:bookmarkStart w:id="187" w:name="_Toc152045569"/>
      <w:bookmarkStart w:id="188" w:name="_Toc246996956"/>
      <w:bookmarkStart w:id="189" w:name="_Toc296602459"/>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96602462"/>
      <w:bookmarkStart w:id="194" w:name="_Toc152045575"/>
      <w:bookmarkStart w:id="195" w:name="_Toc246996962"/>
      <w:bookmarkStart w:id="196" w:name="_Toc246996219"/>
      <w:bookmarkStart w:id="197" w:name="_Toc296590983"/>
      <w:bookmarkStart w:id="198" w:name="_Toc247085733"/>
      <w:bookmarkStart w:id="199" w:name="_Toc152042351"/>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79632594"/>
      <w:bookmarkStart w:id="202" w:name="_Toc296602463"/>
      <w:bookmarkStart w:id="203" w:name="_Toc246996963"/>
      <w:bookmarkStart w:id="204" w:name="_Toc247085734"/>
      <w:bookmarkStart w:id="205" w:name="_Toc246996220"/>
      <w:bookmarkStart w:id="206" w:name="_Toc144974544"/>
      <w:bookmarkStart w:id="207" w:name="_Toc152042352"/>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246996221"/>
      <w:bookmarkStart w:id="211" w:name="_Toc144974545"/>
      <w:bookmarkStart w:id="212" w:name="_Toc179632595"/>
      <w:bookmarkStart w:id="213" w:name="_Toc152045577"/>
      <w:bookmarkStart w:id="214" w:name="_Toc296602464"/>
      <w:bookmarkStart w:id="215" w:name="_Toc246996964"/>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44974556"/>
            <w:bookmarkStart w:id="219" w:name="_Toc152045589"/>
            <w:bookmarkStart w:id="220" w:name="_Toc296602477"/>
            <w:bookmarkStart w:id="221" w:name="_Toc247085747"/>
            <w:bookmarkStart w:id="222" w:name="_Toc152042366"/>
            <w:bookmarkStart w:id="223" w:name="_Toc179632607"/>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52045593"/>
      <w:bookmarkStart w:id="227" w:name="_Toc179632611"/>
      <w:bookmarkStart w:id="228" w:name="_Toc144974560"/>
      <w:bookmarkStart w:id="229" w:name="_Toc246996236"/>
      <w:bookmarkStart w:id="230" w:name="_Toc246996979"/>
      <w:bookmarkStart w:id="231" w:name="_Toc296602481"/>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7085754"/>
      <w:bookmarkStart w:id="236" w:name="_Toc246996239"/>
      <w:bookmarkStart w:id="237" w:name="_Toc179632614"/>
      <w:bookmarkStart w:id="238" w:name="_Toc296602484"/>
      <w:bookmarkStart w:id="239" w:name="_Toc246996982"/>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无预付款，货到现场并经采购人验收合格后付款至已完成合格供货价款的80%，供货结束且现场安装完成并经采购人验收合格后付至已完成合格供货价款的100%。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68F399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72637F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2、合同生效后，成交人拒不履行本合同义务时，需向采购人支付成交价款的10％作为违约金，并赔偿采购人因此遭受的实际损失，且履约保证金不予退还，不足部分，采购人可另行主张，且采购人有权终止合同。</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1个月的付款宽限期，在此宽限期间内不视为采购人违约，且成交人不得以此为由中断本项目的货物供应。</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FB0A2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1、本项目采用包运输、包材料、包相关材料检测、包工期、包质量、包税金、包风险、包验收及相关工作内容。</w:t>
      </w:r>
    </w:p>
    <w:p w14:paraId="5998A7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2、出现下列情形之一的，采购人对此均不承担任何责任：</w:t>
      </w:r>
    </w:p>
    <w:p w14:paraId="475748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1）具体工程量以实际完成合格工程量为准，据实结算，采购人有权对部分工程量进行增减，成交人需无条件服从；</w:t>
      </w:r>
    </w:p>
    <w:p w14:paraId="08A662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2）因建设单位原因出现停工、停建、变更等情况造成承包范围增减。</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3、所有材料需经建设单位、监理单位、总包单位三方共同认可，确认后方可采购进场。</w:t>
      </w:r>
    </w:p>
    <w:p w14:paraId="1324B1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4、工程量清单</w:t>
      </w:r>
    </w:p>
    <w:tbl>
      <w:tblPr>
        <w:tblStyle w:val="16"/>
        <w:tblW w:w="5800" w:type="pct"/>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83"/>
        <w:gridCol w:w="873"/>
        <w:gridCol w:w="2241"/>
        <w:gridCol w:w="860"/>
        <w:gridCol w:w="962"/>
        <w:gridCol w:w="821"/>
        <w:gridCol w:w="1762"/>
        <w:gridCol w:w="1785"/>
      </w:tblGrid>
      <w:tr w14:paraId="42AA9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94" w:type="pct"/>
            <w:shd w:val="clear" w:color="auto" w:fill="auto"/>
            <w:noWrap/>
            <w:vAlign w:val="center"/>
          </w:tcPr>
          <w:p w14:paraId="5273E0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41" w:type="pct"/>
            <w:shd w:val="clear" w:color="auto" w:fill="auto"/>
            <w:noWrap/>
            <w:vAlign w:val="center"/>
          </w:tcPr>
          <w:p w14:paraId="509E77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133" w:type="pct"/>
            <w:shd w:val="clear" w:color="auto" w:fill="auto"/>
            <w:noWrap/>
            <w:vAlign w:val="center"/>
          </w:tcPr>
          <w:p w14:paraId="0BB8C97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434" w:type="pct"/>
            <w:shd w:val="clear" w:color="auto" w:fill="auto"/>
            <w:noWrap/>
            <w:vAlign w:val="center"/>
          </w:tcPr>
          <w:p w14:paraId="6B7DAF1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计量单位</w:t>
            </w:r>
          </w:p>
        </w:tc>
        <w:tc>
          <w:tcPr>
            <w:tcW w:w="486" w:type="pct"/>
            <w:shd w:val="clear" w:color="auto" w:fill="auto"/>
            <w:vAlign w:val="center"/>
          </w:tcPr>
          <w:p w14:paraId="1BBC82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415" w:type="pct"/>
            <w:shd w:val="clear" w:color="auto" w:fill="auto"/>
            <w:noWrap/>
            <w:vAlign w:val="center"/>
          </w:tcPr>
          <w:p w14:paraId="79B9B935">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税率</w:t>
            </w:r>
          </w:p>
        </w:tc>
        <w:tc>
          <w:tcPr>
            <w:tcW w:w="891" w:type="pct"/>
            <w:shd w:val="clear" w:color="auto" w:fill="auto"/>
            <w:noWrap/>
            <w:vAlign w:val="center"/>
          </w:tcPr>
          <w:p w14:paraId="0A29D0FC">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最高含税限价</w:t>
            </w:r>
          </w:p>
          <w:p w14:paraId="6F12EC2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w:t>
            </w:r>
          </w:p>
        </w:tc>
        <w:tc>
          <w:tcPr>
            <w:tcW w:w="902" w:type="pct"/>
            <w:shd w:val="clear" w:color="auto" w:fill="auto"/>
            <w:noWrap/>
            <w:vAlign w:val="center"/>
          </w:tcPr>
          <w:p w14:paraId="4129FD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最高含税合价</w:t>
            </w:r>
          </w:p>
          <w:p w14:paraId="7253A9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w:t>
            </w:r>
          </w:p>
        </w:tc>
      </w:tr>
      <w:tr w14:paraId="6E7F5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63" w:hRule="atLeast"/>
        </w:trPr>
        <w:tc>
          <w:tcPr>
            <w:tcW w:w="294" w:type="pct"/>
            <w:shd w:val="clear" w:color="auto" w:fill="auto"/>
            <w:noWrap/>
            <w:vAlign w:val="center"/>
          </w:tcPr>
          <w:p w14:paraId="0D374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 w:type="pct"/>
            <w:shd w:val="clear" w:color="auto" w:fill="auto"/>
            <w:vAlign w:val="center"/>
          </w:tcPr>
          <w:p w14:paraId="4DEC3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w:t>
            </w:r>
          </w:p>
        </w:tc>
        <w:tc>
          <w:tcPr>
            <w:tcW w:w="1133" w:type="pct"/>
            <w:shd w:val="clear" w:color="auto" w:fill="auto"/>
            <w:vAlign w:val="center"/>
          </w:tcPr>
          <w:p w14:paraId="1B0FF8E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1、2mm厚古铜色铝单板 </w:t>
            </w:r>
          </w:p>
          <w:p w14:paraId="6A3115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2、位置:吊顶</w:t>
            </w:r>
          </w:p>
        </w:tc>
        <w:tc>
          <w:tcPr>
            <w:tcW w:w="434" w:type="pct"/>
            <w:shd w:val="clear" w:color="auto" w:fill="auto"/>
            <w:noWrap/>
            <w:vAlign w:val="center"/>
          </w:tcPr>
          <w:p w14:paraId="46AA548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m2</w:t>
            </w:r>
          </w:p>
        </w:tc>
        <w:tc>
          <w:tcPr>
            <w:tcW w:w="486" w:type="pct"/>
            <w:shd w:val="clear" w:color="auto" w:fill="auto"/>
            <w:noWrap/>
            <w:vAlign w:val="center"/>
          </w:tcPr>
          <w:p w14:paraId="0E503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415" w:type="pct"/>
            <w:shd w:val="clear" w:color="auto" w:fill="auto"/>
            <w:noWrap/>
            <w:vAlign w:val="center"/>
          </w:tcPr>
          <w:p w14:paraId="20B6C1E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72501953">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231</w:t>
            </w:r>
          </w:p>
        </w:tc>
        <w:tc>
          <w:tcPr>
            <w:tcW w:w="902" w:type="pct"/>
            <w:shd w:val="clear" w:color="auto" w:fill="auto"/>
            <w:noWrap/>
            <w:vAlign w:val="center"/>
          </w:tcPr>
          <w:p w14:paraId="36C0010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60060</w:t>
            </w:r>
          </w:p>
        </w:tc>
      </w:tr>
      <w:tr w14:paraId="2CFD7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trPr>
        <w:tc>
          <w:tcPr>
            <w:tcW w:w="294" w:type="pct"/>
            <w:shd w:val="clear" w:color="auto" w:fill="auto"/>
            <w:noWrap/>
            <w:vAlign w:val="center"/>
          </w:tcPr>
          <w:p w14:paraId="695F1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 w:type="pct"/>
            <w:shd w:val="clear" w:color="auto" w:fill="auto"/>
            <w:vAlign w:val="center"/>
          </w:tcPr>
          <w:p w14:paraId="074FF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w:t>
            </w:r>
          </w:p>
        </w:tc>
        <w:tc>
          <w:tcPr>
            <w:tcW w:w="1133" w:type="pct"/>
            <w:shd w:val="clear" w:color="auto" w:fill="auto"/>
            <w:vAlign w:val="center"/>
          </w:tcPr>
          <w:p w14:paraId="39E0F28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1、2.5mm厚古铜色铝单板</w:t>
            </w:r>
          </w:p>
          <w:p w14:paraId="6E9706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2、位置：柱面装饰、龙门牌</w:t>
            </w:r>
          </w:p>
        </w:tc>
        <w:tc>
          <w:tcPr>
            <w:tcW w:w="434" w:type="pct"/>
            <w:shd w:val="clear" w:color="auto" w:fill="auto"/>
            <w:noWrap/>
            <w:vAlign w:val="center"/>
          </w:tcPr>
          <w:p w14:paraId="2E50DA4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m2</w:t>
            </w:r>
          </w:p>
        </w:tc>
        <w:tc>
          <w:tcPr>
            <w:tcW w:w="486" w:type="pct"/>
            <w:shd w:val="clear" w:color="auto" w:fill="auto"/>
            <w:noWrap/>
            <w:vAlign w:val="center"/>
          </w:tcPr>
          <w:p w14:paraId="156D0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415" w:type="pct"/>
            <w:shd w:val="clear" w:color="auto" w:fill="auto"/>
            <w:noWrap/>
            <w:vAlign w:val="center"/>
          </w:tcPr>
          <w:p w14:paraId="7163B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74813FC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264</w:t>
            </w:r>
          </w:p>
        </w:tc>
        <w:tc>
          <w:tcPr>
            <w:tcW w:w="902" w:type="pct"/>
            <w:shd w:val="clear" w:color="auto" w:fill="auto"/>
            <w:noWrap/>
            <w:vAlign w:val="center"/>
          </w:tcPr>
          <w:p w14:paraId="75166962">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28512</w:t>
            </w:r>
          </w:p>
        </w:tc>
      </w:tr>
      <w:tr w14:paraId="2FB5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11" w:hRule="atLeast"/>
        </w:trPr>
        <w:tc>
          <w:tcPr>
            <w:tcW w:w="294" w:type="pct"/>
            <w:shd w:val="clear" w:color="auto" w:fill="auto"/>
            <w:noWrap/>
            <w:vAlign w:val="center"/>
          </w:tcPr>
          <w:p w14:paraId="03B302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 w:type="pct"/>
            <w:shd w:val="clear" w:color="auto" w:fill="auto"/>
            <w:vAlign w:val="center"/>
          </w:tcPr>
          <w:p w14:paraId="3AC18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w:t>
            </w:r>
          </w:p>
        </w:tc>
        <w:tc>
          <w:tcPr>
            <w:tcW w:w="1133" w:type="pct"/>
            <w:shd w:val="clear" w:color="auto" w:fill="auto"/>
            <w:vAlign w:val="center"/>
          </w:tcPr>
          <w:p w14:paraId="7FE0DA8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1、50*100*1@100mm仿木纹铝方通</w:t>
            </w:r>
          </w:p>
          <w:p w14:paraId="089AC8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2、位置：吊顶</w:t>
            </w:r>
          </w:p>
        </w:tc>
        <w:tc>
          <w:tcPr>
            <w:tcW w:w="434" w:type="pct"/>
            <w:shd w:val="clear" w:color="auto" w:fill="auto"/>
            <w:noWrap/>
            <w:vAlign w:val="center"/>
          </w:tcPr>
          <w:p w14:paraId="2C70F5E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w:t>
            </w:r>
          </w:p>
        </w:tc>
        <w:tc>
          <w:tcPr>
            <w:tcW w:w="486" w:type="pct"/>
            <w:shd w:val="clear" w:color="auto" w:fill="auto"/>
            <w:noWrap/>
            <w:vAlign w:val="center"/>
          </w:tcPr>
          <w:p w14:paraId="093B7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w:t>
            </w:r>
          </w:p>
        </w:tc>
        <w:tc>
          <w:tcPr>
            <w:tcW w:w="415" w:type="pct"/>
            <w:shd w:val="clear" w:color="auto" w:fill="auto"/>
            <w:noWrap/>
            <w:vAlign w:val="center"/>
          </w:tcPr>
          <w:p w14:paraId="5C79D4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5254612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27.5</w:t>
            </w:r>
          </w:p>
        </w:tc>
        <w:tc>
          <w:tcPr>
            <w:tcW w:w="902" w:type="pct"/>
            <w:shd w:val="clear" w:color="auto" w:fill="auto"/>
            <w:noWrap/>
            <w:vAlign w:val="center"/>
          </w:tcPr>
          <w:p w14:paraId="2B48DFD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14080</w:t>
            </w:r>
          </w:p>
        </w:tc>
      </w:tr>
      <w:tr w14:paraId="1EB7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3206" w:type="pct"/>
            <w:gridSpan w:val="6"/>
            <w:shd w:val="clear" w:color="auto" w:fill="auto"/>
            <w:noWrap/>
            <w:vAlign w:val="center"/>
          </w:tcPr>
          <w:p w14:paraId="467CBD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891" w:type="pct"/>
            <w:shd w:val="clear" w:color="auto" w:fill="auto"/>
            <w:noWrap/>
            <w:vAlign w:val="center"/>
          </w:tcPr>
          <w:p w14:paraId="1E0E338C">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902" w:type="pct"/>
            <w:shd w:val="clear" w:color="auto" w:fill="auto"/>
            <w:noWrap/>
            <w:vAlign w:val="center"/>
          </w:tcPr>
          <w:p w14:paraId="2A0D59E6">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102652</w:t>
            </w:r>
          </w:p>
        </w:tc>
      </w:tr>
      <w:tr w14:paraId="26F35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5000" w:type="pct"/>
            <w:gridSpan w:val="8"/>
            <w:shd w:val="clear" w:color="auto" w:fill="auto"/>
            <w:noWrap/>
            <w:vAlign w:val="center"/>
          </w:tcPr>
          <w:p w14:paraId="51E7446F">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 ：1、采购数量为暂定，据实结算；</w:t>
            </w:r>
          </w:p>
          <w:p w14:paraId="748FCDC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1"/>
                <w:szCs w:val="21"/>
                <w:u w:val="none"/>
                <w:lang w:val="en-US" w:eastAsia="zh-CN" w:bidi="ar"/>
              </w:rPr>
              <w:t>具体做法及未尽事宜详见图纸、图集、答疑、采购文件、政府相关文件、规范等其他资料，满足验收要求。</w:t>
            </w:r>
          </w:p>
        </w:tc>
      </w:tr>
    </w:tbl>
    <w:p w14:paraId="60D1934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45B428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亳州逸合府一期施工总承包项目铝单板采购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113号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247527827"/>
      <w:bookmarkStart w:id="243" w:name="_Toc152042576"/>
      <w:bookmarkStart w:id="244" w:name="_Toc247514246"/>
      <w:bookmarkStart w:id="245" w:name="_Toc14497485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247514247"/>
      <w:bookmarkStart w:id="249" w:name="_Toc247527828"/>
      <w:bookmarkStart w:id="250" w:name="_Toc152045788"/>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14249"/>
      <w:bookmarkStart w:id="255" w:name="_Toc247527830"/>
      <w:bookmarkStart w:id="256" w:name="_Toc152042579"/>
      <w:bookmarkStart w:id="257" w:name="_Toc300835212"/>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亳州逸合府一期施工总承包项目铝单板采购</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4" w:edGrp="everyone"/>
      <w:r>
        <w:rPr>
          <w:rFonts w:hint="eastAsia" w:ascii="Times New Roman" w:hAnsi="Times New Roman" w:cs="Times New Roman"/>
          <w:color w:val="FF0000"/>
          <w:szCs w:val="21"/>
          <w:u w:val="single"/>
          <w:lang w:val="en-US" w:eastAsia="zh-CN"/>
        </w:rPr>
        <w:t>AHTKJS-2025-113号</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u w:val="single"/>
          <w:lang w:val="en-US" w:eastAsia="zh-CN"/>
        </w:rPr>
        <w:t>自采购人下达供货指令之日起30日历天内完成供货，按合同约定完成本项目全部工作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247514283"/>
      <w:bookmarkStart w:id="261" w:name="_Toc152045791"/>
      <w:bookmarkStart w:id="262" w:name="_Toc300835213"/>
      <w:bookmarkStart w:id="263" w:name="_Toc152042580"/>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247514284"/>
      <w:bookmarkStart w:id="267" w:name="_Toc152042581"/>
      <w:bookmarkStart w:id="268" w:name="_Toc300835214"/>
      <w:bookmarkStart w:id="269" w:name="_Toc24752783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300835216"/>
      <w:bookmarkStart w:id="273" w:name="_Toc152042583"/>
      <w:bookmarkStart w:id="274" w:name="_Toc247514286"/>
      <w:bookmarkStart w:id="275" w:name="_Toc247527834"/>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247527835"/>
      <w:bookmarkStart w:id="280" w:name="_Toc300835218"/>
      <w:bookmarkStart w:id="281" w:name="_Toc152042584"/>
      <w:bookmarkStart w:id="282" w:name="_Toc247514287"/>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6"/>
        <w:tblW w:w="5800" w:type="pct"/>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83"/>
        <w:gridCol w:w="873"/>
        <w:gridCol w:w="2241"/>
        <w:gridCol w:w="860"/>
        <w:gridCol w:w="962"/>
        <w:gridCol w:w="821"/>
        <w:gridCol w:w="1762"/>
        <w:gridCol w:w="1785"/>
      </w:tblGrid>
      <w:tr w14:paraId="336E3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294" w:type="pct"/>
            <w:shd w:val="clear" w:color="auto" w:fill="auto"/>
            <w:noWrap/>
            <w:vAlign w:val="center"/>
          </w:tcPr>
          <w:p w14:paraId="130AA9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bookmarkStart w:id="284" w:name="_Toc247514288"/>
            <w:bookmarkStart w:id="285" w:name="_Toc152045796"/>
            <w:bookmarkStart w:id="286" w:name="_Toc144974864"/>
            <w:bookmarkStart w:id="287" w:name="_Toc300835221"/>
            <w:bookmarkStart w:id="288" w:name="_Toc247527836"/>
            <w:bookmarkStart w:id="289" w:name="_Toc152042585"/>
            <w:r>
              <w:rPr>
                <w:rFonts w:hint="eastAsia" w:ascii="宋体" w:hAnsi="宋体" w:eastAsia="宋体" w:cs="宋体"/>
                <w:b/>
                <w:bCs/>
                <w:i w:val="0"/>
                <w:iCs w:val="0"/>
                <w:color w:val="000000"/>
                <w:kern w:val="0"/>
                <w:sz w:val="24"/>
                <w:szCs w:val="24"/>
                <w:u w:val="none"/>
                <w:lang w:val="en-US" w:eastAsia="zh-CN" w:bidi="ar"/>
              </w:rPr>
              <w:t>序号</w:t>
            </w:r>
          </w:p>
        </w:tc>
        <w:tc>
          <w:tcPr>
            <w:tcW w:w="441" w:type="pct"/>
            <w:shd w:val="clear" w:color="auto" w:fill="auto"/>
            <w:noWrap/>
            <w:vAlign w:val="center"/>
          </w:tcPr>
          <w:p w14:paraId="6867477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133" w:type="pct"/>
            <w:shd w:val="clear" w:color="auto" w:fill="auto"/>
            <w:noWrap/>
            <w:vAlign w:val="center"/>
          </w:tcPr>
          <w:p w14:paraId="34A3E9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434" w:type="pct"/>
            <w:shd w:val="clear" w:color="auto" w:fill="auto"/>
            <w:noWrap/>
            <w:vAlign w:val="center"/>
          </w:tcPr>
          <w:p w14:paraId="4CCE6D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计量单位</w:t>
            </w:r>
          </w:p>
        </w:tc>
        <w:tc>
          <w:tcPr>
            <w:tcW w:w="486" w:type="pct"/>
            <w:shd w:val="clear" w:color="auto" w:fill="auto"/>
            <w:vAlign w:val="center"/>
          </w:tcPr>
          <w:p w14:paraId="18D1DA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415" w:type="pct"/>
            <w:shd w:val="clear" w:color="auto" w:fill="auto"/>
            <w:noWrap/>
            <w:vAlign w:val="center"/>
          </w:tcPr>
          <w:p w14:paraId="5A68DBC3">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税率</w:t>
            </w:r>
          </w:p>
        </w:tc>
        <w:tc>
          <w:tcPr>
            <w:tcW w:w="891" w:type="pct"/>
            <w:shd w:val="clear" w:color="auto" w:fill="auto"/>
            <w:noWrap/>
            <w:vAlign w:val="center"/>
          </w:tcPr>
          <w:p w14:paraId="1FD55D3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含税单价</w:t>
            </w:r>
          </w:p>
          <w:p w14:paraId="632EDA3C">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w:t>
            </w:r>
          </w:p>
        </w:tc>
        <w:tc>
          <w:tcPr>
            <w:tcW w:w="902" w:type="pct"/>
            <w:shd w:val="clear" w:color="auto" w:fill="auto"/>
            <w:noWrap/>
            <w:vAlign w:val="center"/>
          </w:tcPr>
          <w:p w14:paraId="27C81C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含税合价</w:t>
            </w:r>
          </w:p>
          <w:p w14:paraId="7459D5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w:t>
            </w:r>
          </w:p>
        </w:tc>
      </w:tr>
      <w:tr w14:paraId="1838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trPr>
        <w:tc>
          <w:tcPr>
            <w:tcW w:w="294" w:type="pct"/>
            <w:shd w:val="clear" w:color="auto" w:fill="auto"/>
            <w:noWrap/>
            <w:vAlign w:val="center"/>
          </w:tcPr>
          <w:p w14:paraId="01AC6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41" w:type="pct"/>
            <w:shd w:val="clear" w:color="auto" w:fill="auto"/>
            <w:vAlign w:val="center"/>
          </w:tcPr>
          <w:p w14:paraId="270624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w:t>
            </w:r>
          </w:p>
        </w:tc>
        <w:tc>
          <w:tcPr>
            <w:tcW w:w="1133" w:type="pct"/>
            <w:shd w:val="clear" w:color="auto" w:fill="auto"/>
            <w:vAlign w:val="center"/>
          </w:tcPr>
          <w:p w14:paraId="013377C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1、2mm厚古铜色铝单板 </w:t>
            </w:r>
          </w:p>
          <w:p w14:paraId="64DBBE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2、位置:吊顶</w:t>
            </w:r>
          </w:p>
        </w:tc>
        <w:tc>
          <w:tcPr>
            <w:tcW w:w="434" w:type="pct"/>
            <w:shd w:val="clear" w:color="auto" w:fill="auto"/>
            <w:noWrap/>
            <w:vAlign w:val="center"/>
          </w:tcPr>
          <w:p w14:paraId="019CF7E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m2</w:t>
            </w:r>
          </w:p>
        </w:tc>
        <w:tc>
          <w:tcPr>
            <w:tcW w:w="486" w:type="pct"/>
            <w:shd w:val="clear" w:color="auto" w:fill="auto"/>
            <w:noWrap/>
            <w:vAlign w:val="center"/>
          </w:tcPr>
          <w:p w14:paraId="0F611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415" w:type="pct"/>
            <w:shd w:val="clear" w:color="auto" w:fill="auto"/>
            <w:noWrap/>
            <w:vAlign w:val="center"/>
          </w:tcPr>
          <w:p w14:paraId="3AF86AAA">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22E001A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902" w:type="pct"/>
            <w:shd w:val="clear" w:color="auto" w:fill="auto"/>
            <w:noWrap/>
            <w:vAlign w:val="center"/>
          </w:tcPr>
          <w:p w14:paraId="6FA0406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r>
      <w:tr w14:paraId="18B3C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trPr>
        <w:tc>
          <w:tcPr>
            <w:tcW w:w="294" w:type="pct"/>
            <w:shd w:val="clear" w:color="auto" w:fill="auto"/>
            <w:noWrap/>
            <w:vAlign w:val="center"/>
          </w:tcPr>
          <w:p w14:paraId="72C91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41" w:type="pct"/>
            <w:shd w:val="clear" w:color="auto" w:fill="auto"/>
            <w:vAlign w:val="center"/>
          </w:tcPr>
          <w:p w14:paraId="74A2A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w:t>
            </w:r>
          </w:p>
        </w:tc>
        <w:tc>
          <w:tcPr>
            <w:tcW w:w="1133" w:type="pct"/>
            <w:shd w:val="clear" w:color="auto" w:fill="auto"/>
            <w:vAlign w:val="center"/>
          </w:tcPr>
          <w:p w14:paraId="0C75B2C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1、2.5mm厚古铜色铝单板</w:t>
            </w:r>
          </w:p>
          <w:p w14:paraId="3945DD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2、位置：柱面装饰、龙门牌</w:t>
            </w:r>
          </w:p>
        </w:tc>
        <w:tc>
          <w:tcPr>
            <w:tcW w:w="434" w:type="pct"/>
            <w:shd w:val="clear" w:color="auto" w:fill="auto"/>
            <w:noWrap/>
            <w:vAlign w:val="center"/>
          </w:tcPr>
          <w:p w14:paraId="1271805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m2</w:t>
            </w:r>
          </w:p>
        </w:tc>
        <w:tc>
          <w:tcPr>
            <w:tcW w:w="486" w:type="pct"/>
            <w:shd w:val="clear" w:color="auto" w:fill="auto"/>
            <w:noWrap/>
            <w:vAlign w:val="center"/>
          </w:tcPr>
          <w:p w14:paraId="2576B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415" w:type="pct"/>
            <w:shd w:val="clear" w:color="auto" w:fill="auto"/>
            <w:noWrap/>
            <w:vAlign w:val="center"/>
          </w:tcPr>
          <w:p w14:paraId="30F079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4C70F46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902" w:type="pct"/>
            <w:shd w:val="clear" w:color="auto" w:fill="auto"/>
            <w:noWrap/>
            <w:vAlign w:val="center"/>
          </w:tcPr>
          <w:p w14:paraId="4217D39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r>
      <w:tr w14:paraId="7A3D8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294" w:type="pct"/>
            <w:shd w:val="clear" w:color="auto" w:fill="auto"/>
            <w:noWrap/>
            <w:vAlign w:val="center"/>
          </w:tcPr>
          <w:p w14:paraId="1B133B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1" w:type="pct"/>
            <w:shd w:val="clear" w:color="auto" w:fill="auto"/>
            <w:vAlign w:val="center"/>
          </w:tcPr>
          <w:p w14:paraId="178B5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w:t>
            </w:r>
          </w:p>
        </w:tc>
        <w:tc>
          <w:tcPr>
            <w:tcW w:w="1133" w:type="pct"/>
            <w:shd w:val="clear" w:color="auto" w:fill="auto"/>
            <w:vAlign w:val="center"/>
          </w:tcPr>
          <w:p w14:paraId="6A01B1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1、50*100*1@100mm仿木纹铝方通</w:t>
            </w:r>
          </w:p>
          <w:p w14:paraId="5F483B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2、位置：吊顶</w:t>
            </w:r>
          </w:p>
        </w:tc>
        <w:tc>
          <w:tcPr>
            <w:tcW w:w="434" w:type="pct"/>
            <w:shd w:val="clear" w:color="auto" w:fill="auto"/>
            <w:noWrap/>
            <w:vAlign w:val="center"/>
          </w:tcPr>
          <w:p w14:paraId="2D5E0D9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m</w:t>
            </w:r>
          </w:p>
        </w:tc>
        <w:tc>
          <w:tcPr>
            <w:tcW w:w="486" w:type="pct"/>
            <w:shd w:val="clear" w:color="auto" w:fill="auto"/>
            <w:noWrap/>
            <w:vAlign w:val="center"/>
          </w:tcPr>
          <w:p w14:paraId="24AD6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w:t>
            </w:r>
          </w:p>
        </w:tc>
        <w:tc>
          <w:tcPr>
            <w:tcW w:w="415" w:type="pct"/>
            <w:shd w:val="clear" w:color="auto" w:fill="auto"/>
            <w:noWrap/>
            <w:vAlign w:val="center"/>
          </w:tcPr>
          <w:p w14:paraId="2B5CF6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891" w:type="pct"/>
            <w:shd w:val="clear" w:color="auto" w:fill="auto"/>
            <w:noWrap/>
            <w:vAlign w:val="center"/>
          </w:tcPr>
          <w:p w14:paraId="2FDA663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902" w:type="pct"/>
            <w:shd w:val="clear" w:color="auto" w:fill="auto"/>
            <w:noWrap/>
            <w:vAlign w:val="center"/>
          </w:tcPr>
          <w:p w14:paraId="2A2459C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r>
      <w:tr w14:paraId="04D1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77" w:hRule="atLeast"/>
        </w:trPr>
        <w:tc>
          <w:tcPr>
            <w:tcW w:w="3206" w:type="pct"/>
            <w:gridSpan w:val="6"/>
            <w:shd w:val="clear" w:color="auto" w:fill="auto"/>
            <w:noWrap/>
            <w:vAlign w:val="center"/>
          </w:tcPr>
          <w:p w14:paraId="2CA452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891" w:type="pct"/>
            <w:shd w:val="clear" w:color="auto" w:fill="auto"/>
            <w:noWrap/>
            <w:vAlign w:val="center"/>
          </w:tcPr>
          <w:p w14:paraId="1BAD31F3">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902" w:type="pct"/>
            <w:shd w:val="clear" w:color="auto" w:fill="auto"/>
            <w:noWrap/>
            <w:vAlign w:val="center"/>
          </w:tcPr>
          <w:p w14:paraId="42FB046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r>
      <w:tr w14:paraId="47594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5000" w:type="pct"/>
            <w:gridSpan w:val="8"/>
            <w:shd w:val="clear" w:color="auto" w:fill="auto"/>
            <w:noWrap/>
            <w:vAlign w:val="center"/>
          </w:tcPr>
          <w:p w14:paraId="08F91354">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 ：1、采购数量为暂定，据实结算；</w:t>
            </w:r>
            <w:r>
              <w:rPr>
                <w:rFonts w:hint="eastAsia" w:ascii="宋体" w:hAnsi="宋体" w:eastAsia="宋体" w:cs="宋体"/>
                <w:b/>
                <w:bCs/>
                <w:i w:val="0"/>
                <w:iCs w:val="0"/>
                <w:color w:val="FF0000"/>
                <w:kern w:val="0"/>
                <w:sz w:val="20"/>
                <w:szCs w:val="20"/>
                <w:u w:val="none"/>
                <w:lang w:val="en-US" w:eastAsia="zh-CN" w:bidi="ar"/>
              </w:rPr>
              <w:t>最高限价详见第五章采购需求，供应商的响应报价超出限价即视为无效响应</w:t>
            </w:r>
            <w:r>
              <w:rPr>
                <w:rFonts w:hint="eastAsia" w:ascii="宋体" w:hAnsi="宋体" w:eastAsia="宋体" w:cs="宋体"/>
                <w:i w:val="0"/>
                <w:iCs w:val="0"/>
                <w:color w:val="000000"/>
                <w:kern w:val="0"/>
                <w:sz w:val="20"/>
                <w:szCs w:val="20"/>
                <w:u w:val="none"/>
                <w:lang w:val="en-US" w:eastAsia="zh-CN" w:bidi="ar"/>
              </w:rPr>
              <w:t>。</w:t>
            </w:r>
          </w:p>
          <w:p w14:paraId="7F9FB3CE">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1"/>
                <w:szCs w:val="21"/>
                <w:u w:val="none"/>
                <w:lang w:val="en-US" w:eastAsia="zh-CN" w:bidi="ar"/>
              </w:rPr>
              <w:t>具体做法及未尽事宜详见图纸、图</w:t>
            </w:r>
            <w:bookmarkStart w:id="317" w:name="_GoBack"/>
            <w:bookmarkEnd w:id="317"/>
            <w:r>
              <w:rPr>
                <w:rFonts w:hint="eastAsia" w:ascii="宋体" w:hAnsi="宋体" w:eastAsia="宋体" w:cs="宋体"/>
                <w:i w:val="0"/>
                <w:iCs w:val="0"/>
                <w:color w:val="000000"/>
                <w:kern w:val="0"/>
                <w:sz w:val="21"/>
                <w:szCs w:val="21"/>
                <w:u w:val="none"/>
                <w:lang w:val="en-US" w:eastAsia="zh-CN" w:bidi="ar"/>
              </w:rPr>
              <w:t>集、答疑、采购文件、政府相关文件、规范等其他资料，满足验收要求。</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6373"/>
      <w:bookmarkStart w:id="293" w:name="_Toc246997116"/>
      <w:bookmarkStart w:id="294" w:name="_Toc247085891"/>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7085888"/>
      <w:bookmarkStart w:id="299" w:name="_Toc246996370"/>
      <w:bookmarkStart w:id="300" w:name="_Toc152045810"/>
      <w:bookmarkStart w:id="301" w:name="_Toc247527850"/>
      <w:bookmarkStart w:id="302" w:name="_Toc247514302"/>
      <w:bookmarkStart w:id="303" w:name="_Toc300835226"/>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96602616"/>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2600"/>
      <w:bookmarkStart w:id="312" w:name="_Toc247527851"/>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2、提供供应商的业绩合同证明材料的复印件或扫描件，加盖供应商单位公章</w:t>
      </w:r>
      <w:r>
        <w:rPr>
          <w:rFonts w:hint="eastAsia" w:ascii="Times New Roman" w:hAnsi="Times New Roman"/>
          <w:b/>
          <w:bCs/>
          <w:color w:val="FF0000"/>
          <w:lang w:val="en-US" w:eastAsia="zh-CN"/>
        </w:rPr>
        <w:t>；</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C59F75F-3BBA-420B-A8CB-919B22920881}"/>
  </w:font>
  <w:font w:name="Arial">
    <w:panose1 w:val="020B0604020202020204"/>
    <w:charset w:val="01"/>
    <w:family w:val="swiss"/>
    <w:pitch w:val="default"/>
    <w:sig w:usb0="E0002EFF" w:usb1="C000785B" w:usb2="00000009" w:usb3="00000000" w:csb0="400001FF" w:csb1="FFFF0000"/>
    <w:embedRegular r:id="rId2" w:fontKey="{9E8C531A-3966-4FD0-955C-E0C9CC9B6561}"/>
  </w:font>
  <w:font w:name="黑体">
    <w:panose1 w:val="02010609060101010101"/>
    <w:charset w:val="86"/>
    <w:family w:val="auto"/>
    <w:pitch w:val="default"/>
    <w:sig w:usb0="800002BF" w:usb1="38CF7CFA" w:usb2="00000016" w:usb3="00000000" w:csb0="00040001" w:csb1="00000000"/>
    <w:embedRegular r:id="rId3" w:fontKey="{C80ACD40-702B-410B-80FB-18FD7C0535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9820548-E4A6-47C7-A926-0827CCFF1682}"/>
  </w:font>
  <w:font w:name="仿宋_GB2312">
    <w:panose1 w:val="02010609030101010101"/>
    <w:charset w:val="86"/>
    <w:family w:val="modern"/>
    <w:pitch w:val="default"/>
    <w:sig w:usb0="00000001" w:usb1="080E0000" w:usb2="00000000" w:usb3="00000000" w:csb0="00040000" w:csb1="00000000"/>
    <w:embedRegular r:id="rId5" w:fontKey="{CAC0261C-1B7C-4A68-9294-D92F50C04DAB}"/>
  </w:font>
  <w:font w:name="方正小标宋简体">
    <w:panose1 w:val="03000509000000000000"/>
    <w:charset w:val="86"/>
    <w:family w:val="auto"/>
    <w:pitch w:val="default"/>
    <w:sig w:usb0="00000001" w:usb1="080E0000" w:usb2="00000000" w:usb3="00000000" w:csb0="00040000" w:csb1="00000000"/>
    <w:embedRegular r:id="rId6" w:fontKey="{4C880A7B-DD88-4B93-8C01-1163BA99C0DF}"/>
  </w:font>
  <w:font w:name="楷体">
    <w:panose1 w:val="02010609060101010101"/>
    <w:charset w:val="86"/>
    <w:family w:val="auto"/>
    <w:pitch w:val="default"/>
    <w:sig w:usb0="800002BF" w:usb1="38CF7CFA" w:usb2="00000016" w:usb3="00000000" w:csb0="00040001" w:csb1="00000000"/>
    <w:embedRegular r:id="rId7" w:fontKey="{7A3E73F7-D89E-479D-A8DA-809E461C08D8}"/>
  </w:font>
  <w:font w:name="Wingdings 2">
    <w:panose1 w:val="05020102010507070707"/>
    <w:charset w:val="00"/>
    <w:family w:val="auto"/>
    <w:pitch w:val="default"/>
    <w:sig w:usb0="00000000" w:usb1="00000000" w:usb2="00000000" w:usb3="00000000" w:csb0="80000000" w:csb1="00000000"/>
    <w:embedRegular r:id="rId8" w:fontKey="{B2E5F2F8-C84F-4E9A-B709-058661AC81E0}"/>
  </w:font>
  <w:font w:name="方正仿宋_GB2312">
    <w:panose1 w:val="02000000000000000000"/>
    <w:charset w:val="86"/>
    <w:family w:val="auto"/>
    <w:pitch w:val="default"/>
    <w:sig w:usb0="A00002BF" w:usb1="184F6CFA" w:usb2="00000012" w:usb3="00000000" w:csb0="00040001" w:csb1="00000000"/>
    <w:embedRegular r:id="rId9" w:fontKey="{4FAAB352-91D3-4A6B-935C-66C9CBF22147}"/>
  </w:font>
  <w:font w:name="仿宋">
    <w:panose1 w:val="02010609060101010101"/>
    <w:charset w:val="86"/>
    <w:family w:val="modern"/>
    <w:pitch w:val="default"/>
    <w:sig w:usb0="800002BF" w:usb1="38CF7CFA" w:usb2="00000016" w:usb3="00000000" w:csb0="00040001" w:csb1="00000000"/>
    <w:embedRegular r:id="rId10" w:fontKey="{470AFB0A-040A-4484-A04E-9261DB267F1A}"/>
  </w:font>
  <w:font w:name="WPSEMBED3">
    <w:panose1 w:val="05020102010507070707"/>
    <w:charset w:val="00"/>
    <w:family w:val="auto"/>
    <w:pitch w:val="default"/>
    <w:sig w:usb0="00000000" w:usb1="00000000" w:usb2="00000000" w:usb3="00000000" w:csb0="80000000" w:csb1="00000000"/>
  </w:font>
  <w:font w:name="WPSEMBED4">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33C9B"/>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26C21"/>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022C9D"/>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15830</Words>
  <Characters>16860</Characters>
  <Lines>0</Lines>
  <Paragraphs>0</Paragraphs>
  <TotalTime>0</TotalTime>
  <ScaleCrop>false</ScaleCrop>
  <LinksUpToDate>false</LinksUpToDate>
  <CharactersWithSpaces>17998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2025-12-31T09:01:35Z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