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安徽通康建设工程有限公司劳务派遣人员意外险采购项目（三次）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104号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2025年12</w:t>
      </w:r>
      <w:r>
        <w:rPr>
          <w:rFonts w:hint="eastAsia" w:ascii="Times New Roman" w:hAnsi="Times New Roman" w:eastAsia="楷体" w:cs="Times New Roman"/>
          <w:kern w:val="0"/>
          <w:sz w:val="32"/>
          <w:szCs w:val="32"/>
          <w:highlight w:val="none"/>
          <w:u w:val="none"/>
          <w:shd w:val="clear" w:color="auto" w:fill="auto"/>
          <w:lang w:val="en-US" w:eastAsia="zh-CN"/>
        </w:rPr>
        <w:t>月31日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 xml:space="preserve">............................................................1第二章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u w:val="single"/>
          <w:lang w:val="en-US" w:eastAsia="zh-CN"/>
        </w:rPr>
        <w:t>安徽通康建设工程有限公司劳务派遣人员意外险采购项目（三次）</w:t>
      </w:r>
      <w:r>
        <w:rPr>
          <w:rFonts w:hint="eastAsia" w:asciiTheme="minorEastAsia" w:hAnsiTheme="minorEastAsia" w:eastAsiaTheme="minorEastAsia" w:cstheme="minorEastAsia"/>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u w:val="none"/>
          <w:lang w:val="en-US" w:eastAsia="zh-CN"/>
        </w:rPr>
        <w:t>安徽通康建设工程有限公司劳务派遣人员意外险采购项目（三次）</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104号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（含税，6%）</w:t>
      </w:r>
      <w:permEnd w:id="8"/>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宋体" w:hAnsi="宋体" w:cs="宋体"/>
          <w:color w:val="FF0000"/>
          <w:kern w:val="2"/>
          <w:sz w:val="28"/>
          <w:szCs w:val="28"/>
          <w:highlight w:val="none"/>
          <w:u w:val="single"/>
          <w:lang w:val="en-US" w:eastAsia="zh-CN"/>
        </w:rPr>
        <w:t>145320元</w:t>
      </w:r>
      <w:permEnd w:id="9"/>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color w:val="auto"/>
          <w:kern w:val="2"/>
          <w:sz w:val="28"/>
          <w:szCs w:val="28"/>
          <w:highlight w:val="none"/>
          <w:lang w:val="en-US" w:eastAsia="zh-CN"/>
        </w:rPr>
        <w:t>供应商根据清单按</w:t>
      </w:r>
      <w:permStart w:id="10" w:edGrp="everyone"/>
      <w:r>
        <w:rPr>
          <w:rFonts w:hint="eastAsia" w:asciiTheme="minorEastAsia" w:hAnsiTheme="minorEastAsia" w:eastAsiaTheme="minorEastAsia" w:cstheme="minorEastAsia"/>
          <w:color w:val="FF0000"/>
          <w:kern w:val="2"/>
          <w:sz w:val="28"/>
          <w:szCs w:val="28"/>
          <w:highlight w:val="none"/>
          <w:lang w:val="en-US" w:eastAsia="zh-CN"/>
        </w:rPr>
        <w:t>含税固定单价</w:t>
      </w:r>
      <w:permEnd w:id="10"/>
      <w:r>
        <w:rPr>
          <w:rFonts w:hint="eastAsia" w:asciiTheme="minorEastAsia" w:hAnsiTheme="minorEastAsia" w:eastAsiaTheme="minorEastAsia" w:cstheme="minorEastAsia"/>
          <w:kern w:val="2"/>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。报价超出</w:t>
      </w:r>
      <w:r>
        <w:rPr>
          <w:rFonts w:hint="eastAsia" w:asciiTheme="minorEastAsia" w:hAnsiTheme="minorEastAsia" w:cstheme="minorEastAsia"/>
          <w:color w:val="auto"/>
          <w:sz w:val="28"/>
          <w:szCs w:val="28"/>
          <w:highlight w:val="none"/>
          <w:lang w:val="en-US" w:eastAsia="zh-CN"/>
        </w:rPr>
        <w:t>最高</w:t>
      </w:r>
      <w:r>
        <w:rPr>
          <w:rFonts w:hint="eastAsia" w:asciiTheme="minorEastAsia" w:hAnsiTheme="minorEastAsia" w:eastAsiaTheme="minorEastAsia" w:cstheme="minorEastAsia"/>
          <w:color w:val="auto"/>
          <w:sz w:val="28"/>
          <w:szCs w:val="28"/>
          <w:highlight w:val="none"/>
          <w:lang w:val="en-US" w:eastAsia="zh-CN"/>
        </w:rPr>
        <w:t>限价</w:t>
      </w:r>
      <w:r>
        <w:rPr>
          <w:rFonts w:hint="eastAsia" w:asciiTheme="minorEastAsia" w:hAnsiTheme="minorEastAsia" w:eastAsiaTheme="minorEastAsia" w:cstheme="minorEastAsia"/>
          <w:sz w:val="28"/>
          <w:szCs w:val="28"/>
          <w:highlight w:val="none"/>
          <w:lang w:val="en-US" w:eastAsia="zh-CN"/>
        </w:rPr>
        <w:t>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本次的采购范围是为公司在职劳务派遣人员办理团体意外险服务，</w:t>
      </w:r>
      <w:r>
        <w:rPr>
          <w:rFonts w:hint="eastAsia" w:asciiTheme="minorEastAsia" w:hAnsiTheme="minorEastAsia" w:eastAsiaTheme="minorEastAsia" w:cstheme="minorEastAsia"/>
          <w:kern w:val="2"/>
          <w:sz w:val="28"/>
          <w:szCs w:val="28"/>
          <w:highlight w:val="none"/>
          <w:lang w:val="en-US" w:eastAsia="zh-CN"/>
        </w:rPr>
        <w:t>暂定84人，</w:t>
      </w:r>
      <w:r>
        <w:rPr>
          <w:rFonts w:hint="eastAsia" w:asciiTheme="minorEastAsia" w:hAnsiTheme="minorEastAsia" w:eastAsiaTheme="minorEastAsia" w:cstheme="minorEastAsia"/>
          <w:sz w:val="28"/>
          <w:szCs w:val="28"/>
          <w:highlight w:val="none"/>
          <w:lang w:val="en-US" w:eastAsia="zh-CN"/>
        </w:rPr>
        <w:t>未尽事宜详见采购人要求及清单，响应时我方认为供应商已充分了解项目概况。</w:t>
      </w:r>
    </w:p>
    <w:permEnd w:id="11"/>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auto"/>
          <w:kern w:val="2"/>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2" w:edGrp="everyone"/>
      <w:r>
        <w:rPr>
          <w:rFonts w:hint="eastAsia" w:ascii="宋体" w:hAnsi="宋体" w:eastAsia="宋体" w:cs="宋体"/>
          <w:color w:val="auto"/>
          <w:kern w:val="2"/>
          <w:sz w:val="28"/>
          <w:szCs w:val="28"/>
          <w:highlight w:val="none"/>
          <w:lang w:val="en-US" w:eastAsia="zh-CN"/>
        </w:rPr>
        <w:t>服务期限：自合同签订之日起2年(保险协议一年一签，经采购人考核合格后方可续签)。</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质量标准：</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（一）供应商需具有独立承担民事责任的能力，并在人员、设备、资金等方面具有提供本项目保险服务的能力</w:t>
      </w:r>
      <w:r>
        <w:rPr>
          <w:rFonts w:hint="eastAsia" w:asciiTheme="minorEastAsia" w:hAnsiTheme="minorEastAsia" w:eastAsiaTheme="minorEastAsia" w:cstheme="minorEastAsia"/>
          <w:sz w:val="28"/>
          <w:szCs w:val="28"/>
          <w:highlight w:val="none"/>
          <w:lang w:val="en-US" w:eastAsia="zh-CN"/>
        </w:rPr>
        <w:t>；</w:t>
      </w:r>
    </w:p>
    <w:p w14:paraId="0543ED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（二）供应商需具有由保险监督管理机构颁发的有效的《中华人民共和国经营保险业务许可证》。</w:t>
      </w:r>
    </w:p>
    <w:p w14:paraId="05EB332F">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permStart w:id="14" w:edGrp="everyone"/>
      <w:r>
        <w:rPr>
          <w:rFonts w:hint="eastAsia" w:asciiTheme="minorEastAsia" w:hAnsiTheme="minorEastAsia" w:eastAsiaTheme="minorEastAsia" w:cstheme="minorEastAsia"/>
          <w:sz w:val="28"/>
          <w:szCs w:val="28"/>
          <w:highlight w:val="none"/>
          <w:lang w:val="en-US" w:eastAsia="zh-CN"/>
        </w:rPr>
        <w:t>信用要求：供应商（含分公司，不含子公司）不得存在下列情形之一。</w:t>
      </w:r>
    </w:p>
    <w:p w14:paraId="6324A7F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（1）供应商被人民法院列入失信被执行人的；</w:t>
      </w:r>
    </w:p>
    <w:p w14:paraId="3610839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（2）供应商被市场监督管理部门列入企业经营异常名录的；</w:t>
      </w:r>
    </w:p>
    <w:p w14:paraId="3BB2E82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（3）供应商被税务部门列入重大税收违法案件当事人名单的；</w:t>
      </w:r>
    </w:p>
    <w:p w14:paraId="185E81A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（4）供应商在以往承接亳州交通投资控股集团有限公司及下属企业项目过程中被记入“黑名单”的</w:t>
      </w:r>
      <w:permEnd w:id="14"/>
      <w:r>
        <w:rPr>
          <w:rFonts w:hint="eastAsia" w:asciiTheme="minorEastAsia" w:hAnsiTheme="minorEastAsia" w:cstheme="minorEastAsia"/>
          <w:sz w:val="28"/>
          <w:szCs w:val="28"/>
          <w:highlight w:val="none"/>
          <w:lang w:val="en-US" w:eastAsia="zh-CN"/>
        </w:rPr>
        <w:t>。</w:t>
      </w:r>
    </w:p>
    <w:p w14:paraId="0A31A0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）参与响应的供应商可自行委托其分（支）公司参与本项目响应，同一供应商仅能委托一个分（支）公司参与。</w:t>
      </w:r>
    </w:p>
    <w:p w14:paraId="64B93F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279" w:leftChars="133" w:firstLine="280" w:firstLineChars="100"/>
        <w:textAlignment w:val="auto"/>
        <w:rPr>
          <w:rFonts w:hint="default" w:asciiTheme="minorEastAsia" w:hAnsiTheme="minorEastAsia" w:cstheme="minorEastAsia"/>
          <w:i w:val="0"/>
          <w:iCs w:val="0"/>
          <w:color w:val="FF0000"/>
          <w:sz w:val="28"/>
          <w:szCs w:val="28"/>
          <w:highlight w:val="none"/>
          <w:u w:val="single"/>
          <w:lang w:val="en-US" w:eastAsia="zh-CN"/>
        </w:rPr>
      </w:pPr>
      <w:r>
        <w:rPr>
          <w:rFonts w:hint="eastAsia" w:asciiTheme="minorEastAsia" w:hAnsiTheme="minorEastAsia" w:cstheme="minorEastAsia"/>
          <w:i w:val="0"/>
          <w:iCs w:val="0"/>
          <w:color w:val="auto"/>
          <w:sz w:val="28"/>
          <w:szCs w:val="28"/>
          <w:highlight w:val="none"/>
          <w:u w:val="none"/>
          <w:lang w:val="en-US" w:eastAsia="zh-CN"/>
        </w:rPr>
        <w:t>（一）开启时间（响应文件递交的截止时间）：</w:t>
      </w:r>
      <w:permStart w:id="16" w:edGrp="everyone"/>
      <w:r>
        <w:rPr>
          <w:rFonts w:hint="eastAsia" w:asciiTheme="minorEastAsia" w:hAnsiTheme="minorEastAsia" w:cstheme="minorEastAsia"/>
          <w:i/>
          <w:iCs/>
          <w:color w:val="FF0000"/>
          <w:sz w:val="28"/>
          <w:szCs w:val="28"/>
          <w:highlight w:val="none"/>
          <w:u w:val="single"/>
          <w:lang w:val="en-US" w:eastAsia="zh-CN"/>
        </w:rPr>
        <w:t xml:space="preserve"> 2026 </w:t>
      </w:r>
      <w:r>
        <w:rPr>
          <w:rFonts w:hint="eastAsia" w:asciiTheme="minorEastAsia" w:hAnsi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iCs/>
          <w:color w:val="FF0000"/>
          <w:sz w:val="28"/>
          <w:szCs w:val="28"/>
          <w:highlight w:val="none"/>
          <w:u w:val="single"/>
          <w:lang w:val="en-US" w:eastAsia="zh-CN"/>
        </w:rPr>
        <w:t xml:space="preserve"> 1 </w:t>
      </w:r>
      <w:r>
        <w:rPr>
          <w:rFonts w:hint="eastAsia" w:asciiTheme="minorEastAsia" w:hAnsi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iCs/>
          <w:color w:val="FF0000"/>
          <w:sz w:val="28"/>
          <w:szCs w:val="28"/>
          <w:highlight w:val="none"/>
          <w:u w:val="single"/>
          <w:lang w:val="en-US" w:eastAsia="zh-CN"/>
        </w:rPr>
        <w:t>7</w:t>
      </w:r>
      <w:r>
        <w:rPr>
          <w:rFonts w:hint="eastAsia" w:asciiTheme="minorEastAsia" w:hAnsiTheme="minorEastAsia" w:cstheme="minorEastAsia"/>
          <w:i w:val="0"/>
          <w:iCs w:val="0"/>
          <w:color w:val="auto"/>
          <w:sz w:val="28"/>
          <w:szCs w:val="28"/>
          <w:highlight w:val="none"/>
          <w:u w:val="none"/>
          <w:lang w:val="en-US" w:eastAsia="zh-CN"/>
        </w:rPr>
        <w:t>日</w:t>
      </w:r>
      <w:r>
        <w:rPr>
          <w:rFonts w:hint="eastAsia" w:asciiTheme="minorEastAsia" w:hAnsiTheme="minorEastAsia" w:cstheme="minorEastAsia"/>
          <w:i/>
          <w:iCs/>
          <w:color w:val="FF0000"/>
          <w:sz w:val="28"/>
          <w:szCs w:val="28"/>
          <w:highlight w:val="none"/>
          <w:u w:val="single"/>
          <w:lang w:val="en-US" w:eastAsia="zh-CN"/>
        </w:rPr>
        <w:t>15</w:t>
      </w:r>
      <w:r>
        <w:rPr>
          <w:rFonts w:hint="eastAsia" w:asciiTheme="minorEastAsia" w:hAnsiTheme="minorEastAsia" w:cstheme="minorEastAsia"/>
          <w:i w:val="0"/>
          <w:iCs w:val="0"/>
          <w:color w:val="auto"/>
          <w:sz w:val="28"/>
          <w:szCs w:val="28"/>
          <w:highlight w:val="none"/>
          <w:u w:val="none"/>
          <w:lang w:val="en-US" w:eastAsia="zh-CN"/>
        </w:rPr>
        <w:t>时</w:t>
      </w:r>
      <w:r>
        <w:rPr>
          <w:rFonts w:hint="eastAsia" w:asciiTheme="minorEastAsia" w:hAnsiTheme="minorEastAsia" w:cstheme="minorEastAsia"/>
          <w:i/>
          <w:iCs/>
          <w:color w:val="FF0000"/>
          <w:sz w:val="28"/>
          <w:szCs w:val="28"/>
          <w:highlight w:val="none"/>
          <w:u w:val="single"/>
          <w:lang w:val="en-US" w:eastAsia="zh-CN"/>
        </w:rPr>
        <w:t>00</w:t>
      </w:r>
      <w:r>
        <w:rPr>
          <w:rFonts w:hint="eastAsia" w:asciiTheme="minorEastAsia" w:hAnsiTheme="minorEastAsia" w:cstheme="minorEastAsia"/>
          <w:i w:val="0"/>
          <w:iCs w:val="0"/>
          <w:color w:val="auto"/>
          <w:sz w:val="28"/>
          <w:szCs w:val="28"/>
          <w:highlight w:val="none"/>
          <w:u w:val="none"/>
          <w:lang w:val="en-US" w:eastAsia="zh-CN"/>
        </w:rPr>
        <w:t>分（北京时间）；</w:t>
      </w:r>
      <w:permEnd w:id="16"/>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7" w:edGrp="everyone"/>
      <w:r>
        <w:rPr>
          <w:rFonts w:hint="eastAsia" w:asciiTheme="minorEastAsia" w:hAnsiTheme="minorEastAsia" w:cstheme="minorEastAsia"/>
          <w:i w:val="0"/>
          <w:iCs w:val="0"/>
          <w:color w:val="FF0000"/>
          <w:sz w:val="28"/>
          <w:szCs w:val="28"/>
          <w:highlight w:val="none"/>
          <w:u w:val="single"/>
          <w:lang w:val="en-US" w:eastAsia="zh-CN"/>
        </w:rPr>
        <w:t>安徽省亳州市高新技术产业开发区神农大道与百合路交叉口亳州汽车南站广场西侧（安徽通康建设工程有限公司2楼开标室）</w:t>
      </w:r>
      <w:r>
        <w:rPr>
          <w:rFonts w:hint="eastAsia" w:asciiTheme="minorEastAsia" w:hAnsiTheme="minorEastAsia" w:cstheme="minorEastAsia"/>
          <w:i w:val="0"/>
          <w:iCs w:val="0"/>
          <w:sz w:val="28"/>
          <w:szCs w:val="28"/>
          <w:highlight w:val="none"/>
          <w:lang w:val="en-US" w:eastAsia="zh-CN"/>
        </w:rPr>
        <w:t>；</w:t>
      </w:r>
      <w:permEnd w:id="17"/>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05C8F2E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8"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eastAsiaTheme="minorEastAsia" w:cstheme="minorEastAsia"/>
          <w:color w:val="FF0000"/>
          <w:sz w:val="28"/>
          <w:szCs w:val="28"/>
          <w:highlight w:val="none"/>
          <w:u w:val="single"/>
          <w:lang w:val="en-US" w:eastAsia="zh-CN"/>
        </w:rPr>
        <w:t>不</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ermEnd w:id="18"/>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color w:val="FF0000"/>
          <w:sz w:val="28"/>
          <w:szCs w:val="28"/>
          <w:highlight w:val="none"/>
          <w:lang w:val="en-US" w:eastAsia="zh-CN"/>
        </w:rPr>
        <w:t>不收取</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9" w:edGrp="everyone"/>
      <w:r>
        <w:rPr>
          <w:rFonts w:hint="eastAsia" w:asciiTheme="minorEastAsia" w:hAnsiTheme="minorEastAsia" w:cstheme="minorEastAsia"/>
          <w:color w:val="FF0000"/>
          <w:sz w:val="28"/>
          <w:szCs w:val="28"/>
          <w:highlight w:val="none"/>
          <w:u w:val="single"/>
          <w:lang w:val="en-US" w:eastAsia="zh-CN"/>
        </w:rPr>
        <w:t xml:space="preserve">    /    </w:t>
      </w:r>
      <w:r>
        <w:rPr>
          <w:rFonts w:hint="default" w:asciiTheme="minorEastAsia" w:hAnsiTheme="minorEastAsia" w:eastAsiaTheme="minorEastAsia" w:cstheme="minorEastAsia"/>
          <w:color w:val="FF0000"/>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0"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0"/>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eastAsia" w:asciiTheme="minorEastAsia" w:hAnsiTheme="minorEastAsia" w:cstheme="minorEastAsia"/>
          <w:sz w:val="28"/>
          <w:szCs w:val="28"/>
          <w:highlight w:val="none"/>
          <w:lang w:val="en-US" w:eastAsia="zh-CN"/>
        </w:rPr>
        <w:t xml:space="preserve">罗经理 </w:t>
      </w:r>
      <w:permEnd w:id="21"/>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：18856769015</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4C40A2CF">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2"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007AF3BE">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12</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31</w:t>
      </w:r>
      <w:r>
        <w:rPr>
          <w:rFonts w:hint="eastAsia" w:asciiTheme="minorEastAsia" w:hAnsiTheme="minorEastAsia" w:eastAsiaTheme="minorEastAsia" w:cstheme="minorEastAsia"/>
          <w:color w:val="FF0000"/>
          <w:sz w:val="28"/>
          <w:szCs w:val="28"/>
          <w:highlight w:val="none"/>
          <w:lang w:val="en-US" w:eastAsia="zh-CN"/>
        </w:rPr>
        <w:t>日</w:t>
      </w:r>
    </w:p>
    <w:permEnd w:id="22"/>
    <w:p w14:paraId="066A0CD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3"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3"/>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4"/>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5" w:edGrp="everyone"/>
            <w:r>
              <w:rPr>
                <w:rFonts w:hint="eastAsia" w:ascii="Times New Roman" w:hAnsi="Times New Roman" w:cs="Times New Roman"/>
                <w:b/>
                <w:bCs/>
                <w:color w:val="FF0000"/>
                <w:szCs w:val="21"/>
                <w:highlight w:val="none"/>
                <w:u w:val="single"/>
                <w:lang w:val="en-US" w:eastAsia="zh-CN"/>
              </w:rPr>
              <w:t>2026</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1</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6</w:t>
            </w:r>
            <w:r>
              <w:rPr>
                <w:rFonts w:hint="eastAsia" w:ascii="Times New Roman" w:hAnsi="Times New Roman" w:cs="Times New Roman"/>
                <w:b/>
                <w:bCs/>
                <w:color w:val="FF0000"/>
                <w:szCs w:val="21"/>
                <w:highlight w:val="none"/>
                <w:u w:val="none"/>
                <w:lang w:val="en-US" w:eastAsia="zh-CN"/>
              </w:rPr>
              <w:t>日前</w:t>
            </w:r>
            <w:permEnd w:id="25"/>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6"/>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7"/>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8" w:edGrp="everyone"/>
            <w:r>
              <w:rPr>
                <w:rFonts w:hint="eastAsia" w:hAnsi="宋体"/>
                <w:b/>
                <w:bCs/>
                <w:color w:val="FF0000"/>
                <w:szCs w:val="21"/>
              </w:rPr>
              <w:t>不需要</w:t>
            </w:r>
            <w:r>
              <w:rPr>
                <w:rFonts w:hint="eastAsia" w:hAnsi="宋体"/>
                <w:b/>
                <w:bCs/>
                <w:color w:val="FF0000"/>
                <w:szCs w:val="21"/>
                <w:lang w:eastAsia="zh-CN"/>
              </w:rPr>
              <w:t>☑</w:t>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8"/>
            <w:r>
              <w:rPr>
                <w:rFonts w:hint="default" w:ascii="Times New Roman" w:hAnsi="Times New Roman" w:cs="Times New Roman"/>
                <w:szCs w:val="21"/>
                <w:highlight w:val="none"/>
              </w:rPr>
              <w:t>的形式：</w:t>
            </w:r>
            <w:permStart w:id="29" w:edGrp="everyone"/>
            <w:r>
              <w:rPr>
                <w:rFonts w:hint="default" w:ascii="Times New Roman" w:hAnsi="Times New Roman" w:cs="Times New Roman"/>
                <w:b/>
                <w:bCs/>
                <w:color w:val="FF0000"/>
                <w:szCs w:val="21"/>
                <w:highlight w:val="none"/>
              </w:rPr>
              <w:t>银行汇款或转账</w:t>
            </w:r>
            <w:permEnd w:id="29"/>
          </w:p>
          <w:p w14:paraId="29B3A7C5">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0" w:edGrp="everyone"/>
            <w:r>
              <w:rPr>
                <w:rFonts w:hint="eastAsia" w:ascii="Times New Roman" w:hAnsi="Times New Roman" w:cs="Times New Roman"/>
                <w:b/>
                <w:bCs/>
                <w:color w:val="FF0000"/>
                <w:szCs w:val="21"/>
                <w:highlight w:val="none"/>
                <w:u w:val="single"/>
                <w:lang w:val="en-US" w:eastAsia="zh-CN"/>
              </w:rPr>
              <w:t xml:space="preserve">    /    </w:t>
            </w:r>
            <w:permEnd w:id="30"/>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1"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1"/>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2"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安徽省亳州市高新技术产业开发区神农大道与百合路交叉口亳州汽车南站广场西侧（安徽通康建设工程有限公司2楼开标室）</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安徽通康建设工程有限公司劳务派遣人员意外险采购项目（三次）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104号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2026</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7</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2"/>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CE13E5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7513ADE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3"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permEnd w:id="33"/>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4" w:edGrp="everyone"/>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1A3CF11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Cs w:val="21"/>
                <w:highlight w:val="none"/>
                <w:lang w:val="en-US" w:eastAsia="zh-CN"/>
              </w:rPr>
              <w:t xml:space="preserve">要求  </w:t>
            </w:r>
            <w:permEnd w:id="34"/>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96602423"/>
      <w:bookmarkStart w:id="1" w:name="_Toc152042308"/>
      <w:bookmarkStart w:id="2" w:name="_Toc247085692"/>
      <w:bookmarkStart w:id="3" w:name="_Toc179632549"/>
      <w:bookmarkStart w:id="4" w:name="_Toc246996178"/>
      <w:bookmarkStart w:id="5" w:name="_Toc246996921"/>
      <w:bookmarkStart w:id="6" w:name="_Toc144974500"/>
      <w:bookmarkStart w:id="7" w:name="_Toc152045532"/>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152042312"/>
      <w:bookmarkStart w:id="9" w:name="_Toc179632553"/>
      <w:bookmarkStart w:id="10" w:name="_Toc246996924"/>
      <w:bookmarkStart w:id="11" w:name="_Toc247085695"/>
      <w:bookmarkStart w:id="12" w:name="_Toc144974504"/>
      <w:bookmarkStart w:id="13" w:name="_Toc152045536"/>
      <w:bookmarkStart w:id="14" w:name="_Toc296602426"/>
      <w:bookmarkStart w:id="15" w:name="_Toc246996181"/>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47085696"/>
      <w:bookmarkStart w:id="18" w:name="_Toc152042313"/>
      <w:bookmarkStart w:id="19" w:name="_Toc179632554"/>
      <w:bookmarkStart w:id="20" w:name="_Toc246996182"/>
      <w:bookmarkStart w:id="21" w:name="_Toc152045537"/>
      <w:bookmarkStart w:id="22" w:name="_Toc246996925"/>
      <w:bookmarkStart w:id="23" w:name="_Toc296602427"/>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152045538"/>
      <w:bookmarkStart w:id="25" w:name="_Toc246996926"/>
      <w:bookmarkStart w:id="26" w:name="_Toc179632555"/>
      <w:bookmarkStart w:id="27" w:name="_Toc246996183"/>
      <w:bookmarkStart w:id="28" w:name="_Toc247085697"/>
      <w:bookmarkStart w:id="29" w:name="_Toc152042314"/>
      <w:bookmarkStart w:id="30" w:name="_Toc14497450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44974510"/>
      <w:bookmarkStart w:id="32" w:name="_Toc296602432"/>
      <w:bookmarkStart w:id="33" w:name="_Toc152045542"/>
      <w:bookmarkStart w:id="34" w:name="_Toc246996187"/>
      <w:bookmarkStart w:id="35" w:name="_Toc179632560"/>
      <w:bookmarkStart w:id="36" w:name="_Toc247085701"/>
      <w:bookmarkStart w:id="37" w:name="_Toc246996930"/>
      <w:bookmarkStart w:id="38" w:name="_Toc152042318"/>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188"/>
      <w:bookmarkStart w:id="40" w:name="_Toc152042319"/>
      <w:bookmarkStart w:id="41" w:name="_Toc246996931"/>
      <w:bookmarkStart w:id="42" w:name="_Toc144974511"/>
      <w:bookmarkStart w:id="43" w:name="_Toc179632561"/>
      <w:bookmarkStart w:id="44" w:name="_Toc296602433"/>
      <w:bookmarkStart w:id="45" w:name="_Toc247085702"/>
      <w:bookmarkStart w:id="46" w:name="_Toc152045543"/>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5544"/>
      <w:bookmarkStart w:id="48" w:name="_Toc144974512"/>
      <w:bookmarkStart w:id="49" w:name="_Toc247085703"/>
      <w:bookmarkStart w:id="50" w:name="_Toc296602434"/>
      <w:bookmarkStart w:id="51" w:name="_Toc246996932"/>
      <w:bookmarkStart w:id="52" w:name="_Toc246996189"/>
      <w:bookmarkStart w:id="53" w:name="_Toc179632562"/>
      <w:bookmarkStart w:id="54" w:name="_Toc152042320"/>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44974513"/>
      <w:bookmarkStart w:id="56" w:name="_Toc247085704"/>
      <w:bookmarkStart w:id="57" w:name="_Toc152042321"/>
      <w:bookmarkStart w:id="58" w:name="_Toc246996933"/>
      <w:bookmarkStart w:id="59" w:name="_Toc152045545"/>
      <w:bookmarkStart w:id="60" w:name="_Toc246996190"/>
      <w:bookmarkStart w:id="61" w:name="_Toc296602435"/>
      <w:bookmarkStart w:id="62" w:name="_Toc17963256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52042322"/>
      <w:bookmarkStart w:id="64" w:name="_Toc152045546"/>
      <w:bookmarkStart w:id="65" w:name="_Toc247085705"/>
      <w:bookmarkStart w:id="66" w:name="_Toc296602436"/>
      <w:bookmarkStart w:id="67" w:name="_Toc246996934"/>
      <w:bookmarkStart w:id="68" w:name="_Toc179632564"/>
      <w:bookmarkStart w:id="69" w:name="_Toc144974514"/>
      <w:bookmarkStart w:id="70" w:name="_Toc246996191"/>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6996935"/>
      <w:bookmarkStart w:id="72" w:name="_Toc152042323"/>
      <w:bookmarkStart w:id="73" w:name="_Toc246996192"/>
      <w:bookmarkStart w:id="74" w:name="_Toc296602437"/>
      <w:bookmarkStart w:id="75" w:name="_Toc179632565"/>
      <w:bookmarkStart w:id="76" w:name="_Toc152045547"/>
      <w:bookmarkStart w:id="77" w:name="_Toc247085706"/>
      <w:bookmarkStart w:id="78" w:name="_Toc14497451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46996193"/>
      <w:bookmarkStart w:id="80" w:name="_Toc152042324"/>
      <w:bookmarkStart w:id="81" w:name="_Toc152045548"/>
      <w:bookmarkStart w:id="82" w:name="_Toc246996936"/>
      <w:bookmarkStart w:id="83" w:name="_Toc179632566"/>
      <w:bookmarkStart w:id="84" w:name="_Toc247085707"/>
      <w:bookmarkStart w:id="85" w:name="_Toc296602438"/>
      <w:bookmarkStart w:id="86" w:name="_Toc14497451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44974517"/>
      <w:bookmarkStart w:id="89" w:name="_Toc152045549"/>
      <w:bookmarkStart w:id="90"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96602439"/>
      <w:bookmarkStart w:id="92" w:name="_Toc246996194"/>
      <w:bookmarkStart w:id="93" w:name="_Toc247085708"/>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6996199"/>
      <w:bookmarkStart w:id="96" w:name="_Toc152042331"/>
      <w:bookmarkStart w:id="97" w:name="_Toc144974523"/>
      <w:bookmarkStart w:id="98" w:name="_Toc246996942"/>
      <w:bookmarkStart w:id="99" w:name="_Toc152045555"/>
      <w:bookmarkStart w:id="100" w:name="_Toc179632573"/>
      <w:bookmarkStart w:id="101" w:name="_Toc247085713"/>
      <w:bookmarkStart w:id="102" w:name="_Toc29660244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2332"/>
      <w:bookmarkStart w:id="104" w:name="_Toc246996943"/>
      <w:bookmarkStart w:id="105" w:name="_Toc296602444"/>
      <w:bookmarkStart w:id="106" w:name="_Toc152045556"/>
      <w:bookmarkStart w:id="107" w:name="_Toc144974524"/>
      <w:bookmarkStart w:id="108" w:name="_Toc179632574"/>
      <w:bookmarkStart w:id="109" w:name="_Toc246996200"/>
      <w:bookmarkStart w:id="110" w:name="_Toc24708571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944"/>
      <w:bookmarkStart w:id="112" w:name="_Toc246996201"/>
      <w:bookmarkStart w:id="113" w:name="_Toc152045557"/>
      <w:bookmarkStart w:id="114" w:name="_Toc144974525"/>
      <w:bookmarkStart w:id="115" w:name="_Toc179632575"/>
      <w:bookmarkStart w:id="116" w:name="_Toc152042333"/>
      <w:bookmarkStart w:id="117" w:name="_Toc24708571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96602446"/>
      <w:bookmarkStart w:id="119" w:name="_Toc152042334"/>
      <w:bookmarkStart w:id="120" w:name="_Toc144974526"/>
      <w:bookmarkStart w:id="121" w:name="_Toc246996202"/>
      <w:bookmarkStart w:id="122" w:name="_Toc152045558"/>
      <w:bookmarkStart w:id="123" w:name="_Toc246996945"/>
      <w:bookmarkStart w:id="124" w:name="_Toc247085716"/>
      <w:bookmarkStart w:id="125" w:name="_Toc17963257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96602447"/>
      <w:bookmarkStart w:id="127" w:name="_Toc144974527"/>
      <w:bookmarkStart w:id="128" w:name="_Toc246996946"/>
      <w:bookmarkStart w:id="129" w:name="_Toc179632577"/>
      <w:bookmarkStart w:id="130" w:name="_Toc152045559"/>
      <w:bookmarkStart w:id="131" w:name="_Toc247085717"/>
      <w:bookmarkStart w:id="132" w:name="_Toc246996203"/>
      <w:bookmarkStart w:id="133" w:name="_Toc152042335"/>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96602448"/>
      <w:bookmarkStart w:id="135" w:name="_Toc179632578"/>
      <w:bookmarkStart w:id="136" w:name="_Toc247085718"/>
      <w:bookmarkStart w:id="137" w:name="_Toc246996947"/>
      <w:bookmarkStart w:id="138" w:name="_Toc144974528"/>
      <w:bookmarkStart w:id="139" w:name="_Toc246996204"/>
      <w:bookmarkStart w:id="140" w:name="_Toc152042336"/>
      <w:bookmarkStart w:id="141" w:name="_Toc152045560"/>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7085719"/>
      <w:bookmarkStart w:id="143" w:name="_Toc296602449"/>
      <w:bookmarkStart w:id="144" w:name="_Toc152042337"/>
      <w:bookmarkStart w:id="145" w:name="_Toc152045561"/>
      <w:bookmarkStart w:id="146" w:name="_Toc246996205"/>
      <w:bookmarkStart w:id="147" w:name="_Toc246996948"/>
      <w:bookmarkStart w:id="148" w:name="_Toc144974529"/>
      <w:bookmarkStart w:id="149" w:name="_Toc17963257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2339"/>
      <w:bookmarkStart w:id="151" w:name="_Toc246996950"/>
      <w:bookmarkStart w:id="152" w:name="_Toc296602452"/>
      <w:bookmarkStart w:id="153" w:name="_Toc152045563"/>
      <w:bookmarkStart w:id="154" w:name="_Toc246996207"/>
      <w:bookmarkStart w:id="155" w:name="_Toc144974531"/>
      <w:bookmarkStart w:id="156" w:name="_Toc179632581"/>
      <w:bookmarkStart w:id="157" w:name="_Toc24708572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246996210"/>
      <w:bookmarkStart w:id="159" w:name="_Toc246996953"/>
      <w:bookmarkStart w:id="160" w:name="_Toc152045566"/>
      <w:bookmarkStart w:id="161" w:name="_Toc152042342"/>
      <w:bookmarkStart w:id="162" w:name="_Toc179632584"/>
      <w:bookmarkStart w:id="163" w:name="_Toc247085724"/>
      <w:bookmarkStart w:id="164" w:name="_Toc296602455"/>
      <w:bookmarkStart w:id="165" w:name="_Toc144974534"/>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44974535"/>
      <w:bookmarkStart w:id="167" w:name="_Toc296602456"/>
      <w:bookmarkStart w:id="168" w:name="_Toc152045567"/>
      <w:bookmarkStart w:id="169" w:name="_Toc179632585"/>
      <w:bookmarkStart w:id="170" w:name="_Toc246996211"/>
      <w:bookmarkStart w:id="171" w:name="_Toc247085725"/>
      <w:bookmarkStart w:id="172" w:name="_Toc246996954"/>
      <w:bookmarkStart w:id="173" w:name="_Toc152042343"/>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96602458"/>
      <w:bookmarkStart w:id="176" w:name="_Toc246996212"/>
      <w:bookmarkStart w:id="177" w:name="_Toc152042344"/>
      <w:bookmarkStart w:id="178" w:name="_Toc179632586"/>
      <w:bookmarkStart w:id="179" w:name="_Toc246996955"/>
      <w:bookmarkStart w:id="180" w:name="_Toc247085726"/>
      <w:bookmarkStart w:id="181" w:name="_Toc152045568"/>
      <w:bookmarkStart w:id="182" w:name="_Toc14497453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6996956"/>
      <w:bookmarkStart w:id="184" w:name="_Toc152042345"/>
      <w:bookmarkStart w:id="185" w:name="_Toc246996213"/>
      <w:bookmarkStart w:id="186" w:name="_Toc144974537"/>
      <w:bookmarkStart w:id="187" w:name="_Toc152045569"/>
      <w:bookmarkStart w:id="188" w:name="_Toc296602459"/>
      <w:bookmarkStart w:id="189" w:name="_Toc179632587"/>
      <w:bookmarkStart w:id="190" w:name="_Toc24708572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96602462"/>
      <w:bookmarkStart w:id="193" w:name="_Toc152045575"/>
      <w:bookmarkStart w:id="194" w:name="_Toc246996219"/>
      <w:bookmarkStart w:id="195" w:name="_Toc296590983"/>
      <w:bookmarkStart w:id="196" w:name="_Toc144974543"/>
      <w:bookmarkStart w:id="197" w:name="_Toc152042351"/>
      <w:bookmarkStart w:id="198" w:name="_Toc246996962"/>
      <w:bookmarkStart w:id="199" w:name="_Toc247085733"/>
      <w:bookmarkStart w:id="200" w:name="_Toc179632593"/>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52042352"/>
      <w:bookmarkStart w:id="202" w:name="_Toc296602463"/>
      <w:bookmarkStart w:id="203" w:name="_Toc179632594"/>
      <w:bookmarkStart w:id="204" w:name="_Toc246996220"/>
      <w:bookmarkStart w:id="205" w:name="_Toc246996963"/>
      <w:bookmarkStart w:id="206" w:name="_Toc152045576"/>
      <w:bookmarkStart w:id="207" w:name="_Toc144974544"/>
      <w:bookmarkStart w:id="208" w:name="_Toc247085734"/>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246996964"/>
      <w:bookmarkStart w:id="210" w:name="_Toc246996221"/>
      <w:bookmarkStart w:id="211" w:name="_Toc247085735"/>
      <w:bookmarkStart w:id="212" w:name="_Toc152042353"/>
      <w:bookmarkStart w:id="213" w:name="_Toc144974545"/>
      <w:bookmarkStart w:id="214" w:name="_Toc152045577"/>
      <w:bookmarkStart w:id="215" w:name="_Toc296602464"/>
      <w:bookmarkStart w:id="216" w:name="_Toc17963259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35" w:edGrp="everyone"/>
      <w:r>
        <w:rPr>
          <w:rFonts w:hint="eastAsia" w:ascii="宋体" w:hAnsi="宋体"/>
          <w:color w:val="FF0000"/>
          <w:sz w:val="24"/>
          <w:lang w:val="en-US" w:eastAsia="zh-CN"/>
        </w:rPr>
        <w:t>最低评审价法</w:t>
      </w:r>
      <w:permEnd w:id="35"/>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152042366"/>
            <w:bookmarkStart w:id="218" w:name="_Toc247085747"/>
            <w:bookmarkStart w:id="219" w:name="_Toc179632607"/>
            <w:bookmarkStart w:id="220" w:name="_Toc152045589"/>
            <w:bookmarkStart w:id="221" w:name="_Toc246996232"/>
            <w:bookmarkStart w:id="222" w:name="_Toc246996975"/>
            <w:bookmarkStart w:id="223" w:name="_Toc296602477"/>
            <w:bookmarkStart w:id="224" w:name="_Toc144974556"/>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54FAA0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1F017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1C0FC0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97AFA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7085751"/>
      <w:bookmarkStart w:id="226" w:name="_Toc246996979"/>
      <w:bookmarkStart w:id="227" w:name="_Toc296602481"/>
      <w:bookmarkStart w:id="228" w:name="_Toc179632611"/>
      <w:bookmarkStart w:id="229" w:name="_Toc152045593"/>
      <w:bookmarkStart w:id="230" w:name="_Toc246996236"/>
      <w:bookmarkStart w:id="231" w:name="_Toc144974560"/>
      <w:bookmarkStart w:id="232" w:name="_Toc152042370"/>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5596"/>
      <w:bookmarkStart w:id="235" w:name="_Toc247085754"/>
      <w:bookmarkStart w:id="236" w:name="_Toc152042373"/>
      <w:bookmarkStart w:id="237" w:name="_Toc179632614"/>
      <w:bookmarkStart w:id="238" w:name="_Toc246996239"/>
      <w:bookmarkStart w:id="239" w:name="_Toc296602484"/>
      <w:bookmarkStart w:id="240" w:name="_Toc246996982"/>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36"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36"/>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56BA94A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合同签订后，按季度付款，采购人每季度初确认本季度实际投保人数后报至成交人，成交人根据</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实际</w:t>
            </w:r>
            <w:r>
              <w:rPr>
                <w:rFonts w:hint="eastAsia" w:ascii="Times New Roman" w:hAnsi="Times New Roman" w:cs="Times New Roman"/>
                <w:kern w:val="0"/>
                <w:sz w:val="24"/>
                <w:szCs w:val="24"/>
                <w:highlight w:val="none"/>
                <w:shd w:val="clear" w:color="auto" w:fill="auto"/>
                <w:vertAlign w:val="baseline"/>
                <w:lang w:val="en-US" w:eastAsia="zh-CN"/>
              </w:rPr>
              <w:t>提供的</w:t>
            </w:r>
            <w:r>
              <w:rPr>
                <w:rFonts w:hint="default" w:ascii="Times New Roman" w:hAnsi="Times New Roman" w:cs="Times New Roman"/>
                <w:kern w:val="0"/>
                <w:sz w:val="24"/>
                <w:szCs w:val="24"/>
                <w:highlight w:val="none"/>
                <w:shd w:val="clear" w:color="auto" w:fill="auto"/>
                <w:vertAlign w:val="baseline"/>
                <w:lang w:val="en-US" w:eastAsia="zh-CN"/>
              </w:rPr>
              <w:t>人数开具相应增值税专用发票后，采购人支付至相应价款的100%。</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采购人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成交人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，否则采购人有权暂停付款。</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4CE026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1）保障对象：公司指定的劳务派遣人员（以实际投保名单为准）；</w:t>
      </w:r>
    </w:p>
    <w:p w14:paraId="5E22E66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2）保障责任：意外身故/伤残保险金、意外医疗保险金、意外住院津贴；</w:t>
      </w:r>
    </w:p>
    <w:p w14:paraId="6A52BAF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3）服务内容：投保对接、理赔协助、安全培训等。</w:t>
      </w:r>
    </w:p>
    <w:p w14:paraId="6D67E6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lang w:val="en-US" w:eastAsia="zh-CN" w:bidi="ar-SA"/>
        </w:rPr>
        <w:t>4</w:t>
      </w:r>
      <w:r>
        <w:rPr>
          <w:rFonts w:hint="eastAsia" w:ascii="Times New Roman" w:hAnsi="Times New Roman" w:cs="Times New Roman" w:eastAsiaTheme="minorEastAsia"/>
          <w:kern w:val="0"/>
          <w:sz w:val="24"/>
          <w:szCs w:val="24"/>
          <w:lang w:val="en-US" w:eastAsia="zh-CN" w:bidi="ar-SA"/>
        </w:rPr>
        <w:t>)</w:t>
      </w:r>
      <w:r>
        <w:rPr>
          <w:rFonts w:hint="eastAsia" w:ascii="Times New Roman" w:hAnsi="Times New Roman" w:cs="Times New Roman"/>
          <w:kern w:val="0"/>
          <w:sz w:val="24"/>
          <w:szCs w:val="24"/>
          <w:highlight w:val="none"/>
          <w:lang w:val="en-US" w:eastAsia="zh-CN"/>
        </w:rPr>
        <w:t>清单</w:t>
      </w:r>
    </w:p>
    <w:tbl>
      <w:tblPr>
        <w:tblStyle w:val="17"/>
        <w:tblW w:w="10228" w:type="dxa"/>
        <w:tblInd w:w="-3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4"/>
        <w:gridCol w:w="1063"/>
        <w:gridCol w:w="1203"/>
        <w:gridCol w:w="1569"/>
        <w:gridCol w:w="811"/>
        <w:gridCol w:w="633"/>
        <w:gridCol w:w="873"/>
        <w:gridCol w:w="1494"/>
        <w:gridCol w:w="1468"/>
      </w:tblGrid>
      <w:tr w14:paraId="51E0A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4" w:type="dxa"/>
            <w:vAlign w:val="center"/>
          </w:tcPr>
          <w:p w14:paraId="4AD552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保险人员类别</w:t>
            </w:r>
          </w:p>
        </w:tc>
        <w:tc>
          <w:tcPr>
            <w:tcW w:w="1063" w:type="dxa"/>
            <w:vAlign w:val="center"/>
          </w:tcPr>
          <w:p w14:paraId="2904F21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保障项目</w:t>
            </w:r>
          </w:p>
        </w:tc>
        <w:tc>
          <w:tcPr>
            <w:tcW w:w="1203" w:type="dxa"/>
            <w:vAlign w:val="center"/>
          </w:tcPr>
          <w:p w14:paraId="673562E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保险金额</w:t>
            </w:r>
          </w:p>
          <w:p w14:paraId="16F37F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（元）</w:t>
            </w:r>
          </w:p>
        </w:tc>
        <w:tc>
          <w:tcPr>
            <w:tcW w:w="1569" w:type="dxa"/>
            <w:vAlign w:val="center"/>
          </w:tcPr>
          <w:p w14:paraId="3417517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保障内容说明</w:t>
            </w:r>
          </w:p>
        </w:tc>
        <w:tc>
          <w:tcPr>
            <w:tcW w:w="811" w:type="dxa"/>
            <w:vAlign w:val="center"/>
          </w:tcPr>
          <w:p w14:paraId="2DE916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暂定人数（人）</w:t>
            </w:r>
          </w:p>
        </w:tc>
        <w:tc>
          <w:tcPr>
            <w:tcW w:w="633" w:type="dxa"/>
            <w:vAlign w:val="center"/>
          </w:tcPr>
          <w:p w14:paraId="5B9B97D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税率</w:t>
            </w:r>
          </w:p>
        </w:tc>
        <w:tc>
          <w:tcPr>
            <w:tcW w:w="873" w:type="dxa"/>
            <w:vAlign w:val="center"/>
          </w:tcPr>
          <w:p w14:paraId="0BC1CA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保障期限（年）</w:t>
            </w:r>
          </w:p>
        </w:tc>
        <w:tc>
          <w:tcPr>
            <w:tcW w:w="1494" w:type="dxa"/>
            <w:vAlign w:val="center"/>
          </w:tcPr>
          <w:p w14:paraId="300811E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含税单价</w:t>
            </w:r>
          </w:p>
          <w:p w14:paraId="0B4C4C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（元/人/年）</w:t>
            </w:r>
          </w:p>
        </w:tc>
        <w:tc>
          <w:tcPr>
            <w:tcW w:w="1468" w:type="dxa"/>
            <w:vAlign w:val="center"/>
          </w:tcPr>
          <w:p w14:paraId="0BF66C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含税合价</w:t>
            </w:r>
          </w:p>
          <w:p w14:paraId="3D2DFCD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（元）</w:t>
            </w:r>
          </w:p>
        </w:tc>
      </w:tr>
      <w:tr w14:paraId="0ECDE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restart"/>
            <w:vAlign w:val="center"/>
          </w:tcPr>
          <w:p w14:paraId="5EF3318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三类人员</w:t>
            </w:r>
          </w:p>
        </w:tc>
        <w:tc>
          <w:tcPr>
            <w:tcW w:w="1063" w:type="dxa"/>
            <w:vAlign w:val="center"/>
          </w:tcPr>
          <w:p w14:paraId="0F9506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意外伤害身故</w:t>
            </w:r>
          </w:p>
        </w:tc>
        <w:tc>
          <w:tcPr>
            <w:tcW w:w="1203" w:type="dxa"/>
            <w:vAlign w:val="center"/>
          </w:tcPr>
          <w:p w14:paraId="28542ED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50万</w:t>
            </w:r>
          </w:p>
        </w:tc>
        <w:tc>
          <w:tcPr>
            <w:tcW w:w="1569" w:type="dxa"/>
            <w:shd w:val="clear" w:color="auto" w:fill="auto"/>
            <w:vAlign w:val="center"/>
          </w:tcPr>
          <w:p w14:paraId="7077C65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意外身故</w:t>
            </w:r>
          </w:p>
        </w:tc>
        <w:tc>
          <w:tcPr>
            <w:tcW w:w="811" w:type="dxa"/>
            <w:vMerge w:val="restart"/>
            <w:vAlign w:val="center"/>
          </w:tcPr>
          <w:p w14:paraId="693F575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67</w:t>
            </w:r>
          </w:p>
        </w:tc>
        <w:tc>
          <w:tcPr>
            <w:tcW w:w="633" w:type="dxa"/>
            <w:vMerge w:val="restart"/>
            <w:vAlign w:val="center"/>
          </w:tcPr>
          <w:p w14:paraId="1F44CC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6%</w:t>
            </w:r>
          </w:p>
        </w:tc>
        <w:tc>
          <w:tcPr>
            <w:tcW w:w="873" w:type="dxa"/>
            <w:vMerge w:val="restart"/>
            <w:vAlign w:val="center"/>
          </w:tcPr>
          <w:p w14:paraId="2B83FFA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2</w:t>
            </w:r>
          </w:p>
        </w:tc>
        <w:tc>
          <w:tcPr>
            <w:tcW w:w="1494" w:type="dxa"/>
            <w:vMerge w:val="restart"/>
            <w:vAlign w:val="center"/>
          </w:tcPr>
          <w:p w14:paraId="7C59BF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restart"/>
            <w:vAlign w:val="center"/>
          </w:tcPr>
          <w:p w14:paraId="66B93B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12F0C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7D39AE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vAlign w:val="center"/>
          </w:tcPr>
          <w:p w14:paraId="4E48357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意外伤害伤残</w:t>
            </w:r>
          </w:p>
        </w:tc>
        <w:tc>
          <w:tcPr>
            <w:tcW w:w="1203" w:type="dxa"/>
            <w:vAlign w:val="center"/>
          </w:tcPr>
          <w:p w14:paraId="203DBE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50万</w:t>
            </w:r>
          </w:p>
        </w:tc>
        <w:tc>
          <w:tcPr>
            <w:tcW w:w="1569" w:type="dxa"/>
            <w:shd w:val="clear" w:color="auto" w:fill="auto"/>
            <w:vAlign w:val="center"/>
          </w:tcPr>
          <w:p w14:paraId="6AA553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意外伤残</w:t>
            </w:r>
          </w:p>
        </w:tc>
        <w:tc>
          <w:tcPr>
            <w:tcW w:w="811" w:type="dxa"/>
            <w:vMerge w:val="continue"/>
            <w:vAlign w:val="center"/>
          </w:tcPr>
          <w:p w14:paraId="40AC8E5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633" w:type="dxa"/>
            <w:vMerge w:val="continue"/>
            <w:vAlign w:val="center"/>
          </w:tcPr>
          <w:p w14:paraId="5AE12D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873" w:type="dxa"/>
            <w:vMerge w:val="continue"/>
            <w:vAlign w:val="center"/>
          </w:tcPr>
          <w:p w14:paraId="14F439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1494" w:type="dxa"/>
            <w:vMerge w:val="continue"/>
            <w:vAlign w:val="center"/>
          </w:tcPr>
          <w:p w14:paraId="78C9957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3133E3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75F57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7FA370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vAlign w:val="center"/>
          </w:tcPr>
          <w:p w14:paraId="47B6B9A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意外伤害医疗</w:t>
            </w:r>
          </w:p>
        </w:tc>
        <w:tc>
          <w:tcPr>
            <w:tcW w:w="1203" w:type="dxa"/>
            <w:vAlign w:val="center"/>
          </w:tcPr>
          <w:p w14:paraId="486865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15万</w:t>
            </w:r>
          </w:p>
        </w:tc>
        <w:tc>
          <w:tcPr>
            <w:tcW w:w="1569" w:type="dxa"/>
            <w:vAlign w:val="center"/>
          </w:tcPr>
          <w:p w14:paraId="4FA4EB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免赔额100元</w:t>
            </w:r>
          </w:p>
          <w:p w14:paraId="10161EC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赔付比例90%</w:t>
            </w:r>
          </w:p>
        </w:tc>
        <w:tc>
          <w:tcPr>
            <w:tcW w:w="811" w:type="dxa"/>
            <w:vMerge w:val="continue"/>
            <w:vAlign w:val="center"/>
          </w:tcPr>
          <w:p w14:paraId="41721A1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633" w:type="dxa"/>
            <w:vMerge w:val="continue"/>
            <w:vAlign w:val="center"/>
          </w:tcPr>
          <w:p w14:paraId="22BE4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873" w:type="dxa"/>
            <w:vMerge w:val="continue"/>
            <w:vAlign w:val="center"/>
          </w:tcPr>
          <w:p w14:paraId="3139D7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1494" w:type="dxa"/>
            <w:vMerge w:val="continue"/>
            <w:vAlign w:val="center"/>
          </w:tcPr>
          <w:p w14:paraId="3D5F8F6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3EDDBC1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37F61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70848A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vAlign w:val="center"/>
          </w:tcPr>
          <w:p w14:paraId="075332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意外住院津贴</w:t>
            </w:r>
          </w:p>
        </w:tc>
        <w:tc>
          <w:tcPr>
            <w:tcW w:w="1203" w:type="dxa"/>
            <w:vAlign w:val="center"/>
          </w:tcPr>
          <w:p w14:paraId="4F754E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100元/天</w:t>
            </w:r>
          </w:p>
        </w:tc>
        <w:tc>
          <w:tcPr>
            <w:tcW w:w="1569" w:type="dxa"/>
            <w:vAlign w:val="center"/>
          </w:tcPr>
          <w:p w14:paraId="597E91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180天为限</w:t>
            </w:r>
          </w:p>
        </w:tc>
        <w:tc>
          <w:tcPr>
            <w:tcW w:w="811" w:type="dxa"/>
            <w:vMerge w:val="continue"/>
            <w:vAlign w:val="center"/>
          </w:tcPr>
          <w:p w14:paraId="43D095A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633" w:type="dxa"/>
            <w:vMerge w:val="continue"/>
            <w:vAlign w:val="center"/>
          </w:tcPr>
          <w:p w14:paraId="20C931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873" w:type="dxa"/>
            <w:vMerge w:val="continue"/>
            <w:vAlign w:val="center"/>
          </w:tcPr>
          <w:p w14:paraId="17877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1494" w:type="dxa"/>
            <w:vMerge w:val="continue"/>
            <w:vAlign w:val="center"/>
          </w:tcPr>
          <w:p w14:paraId="12A0F84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0DD38E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0D64F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28" w:type="dxa"/>
            <w:gridSpan w:val="9"/>
            <w:vAlign w:val="center"/>
          </w:tcPr>
          <w:p w14:paraId="25D83DB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r>
      <w:tr w14:paraId="62EA9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restart"/>
            <w:vAlign w:val="center"/>
          </w:tcPr>
          <w:p w14:paraId="662EEA0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四类人员</w:t>
            </w:r>
          </w:p>
        </w:tc>
        <w:tc>
          <w:tcPr>
            <w:tcW w:w="1063" w:type="dxa"/>
            <w:shd w:val="clear" w:color="auto" w:fill="auto"/>
            <w:vAlign w:val="center"/>
          </w:tcPr>
          <w:p w14:paraId="211BCBB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意外伤害身故</w:t>
            </w:r>
          </w:p>
        </w:tc>
        <w:tc>
          <w:tcPr>
            <w:tcW w:w="1203" w:type="dxa"/>
            <w:shd w:val="clear" w:color="auto" w:fill="auto"/>
            <w:vAlign w:val="center"/>
          </w:tcPr>
          <w:p w14:paraId="4457C6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50万</w:t>
            </w:r>
          </w:p>
        </w:tc>
        <w:tc>
          <w:tcPr>
            <w:tcW w:w="1569" w:type="dxa"/>
            <w:vAlign w:val="center"/>
          </w:tcPr>
          <w:p w14:paraId="1E06BCE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意外身故</w:t>
            </w:r>
          </w:p>
        </w:tc>
        <w:tc>
          <w:tcPr>
            <w:tcW w:w="811" w:type="dxa"/>
            <w:vMerge w:val="restart"/>
            <w:vAlign w:val="center"/>
          </w:tcPr>
          <w:p w14:paraId="66BE7FD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17</w:t>
            </w:r>
          </w:p>
        </w:tc>
        <w:tc>
          <w:tcPr>
            <w:tcW w:w="633" w:type="dxa"/>
            <w:vMerge w:val="restart"/>
            <w:vAlign w:val="center"/>
          </w:tcPr>
          <w:p w14:paraId="2A59B8A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6%</w:t>
            </w:r>
          </w:p>
        </w:tc>
        <w:tc>
          <w:tcPr>
            <w:tcW w:w="873" w:type="dxa"/>
            <w:vMerge w:val="restart"/>
            <w:vAlign w:val="center"/>
          </w:tcPr>
          <w:p w14:paraId="4C4D39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2</w:t>
            </w:r>
          </w:p>
        </w:tc>
        <w:tc>
          <w:tcPr>
            <w:tcW w:w="1494" w:type="dxa"/>
            <w:vMerge w:val="restart"/>
            <w:vAlign w:val="center"/>
          </w:tcPr>
          <w:p w14:paraId="772EE63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restart"/>
            <w:vAlign w:val="center"/>
          </w:tcPr>
          <w:p w14:paraId="689B24A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4D11B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57794FD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shd w:val="clear" w:color="auto" w:fill="auto"/>
            <w:vAlign w:val="center"/>
          </w:tcPr>
          <w:p w14:paraId="076AC0E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意外伤害伤残</w:t>
            </w:r>
          </w:p>
        </w:tc>
        <w:tc>
          <w:tcPr>
            <w:tcW w:w="1203" w:type="dxa"/>
            <w:shd w:val="clear" w:color="auto" w:fill="auto"/>
            <w:vAlign w:val="center"/>
          </w:tcPr>
          <w:p w14:paraId="2F2819F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50万</w:t>
            </w:r>
          </w:p>
        </w:tc>
        <w:tc>
          <w:tcPr>
            <w:tcW w:w="1569" w:type="dxa"/>
            <w:vAlign w:val="center"/>
          </w:tcPr>
          <w:p w14:paraId="4B5C24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意外伤残</w:t>
            </w:r>
          </w:p>
        </w:tc>
        <w:tc>
          <w:tcPr>
            <w:tcW w:w="811" w:type="dxa"/>
            <w:vMerge w:val="continue"/>
            <w:vAlign w:val="center"/>
          </w:tcPr>
          <w:p w14:paraId="78D2C41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633" w:type="dxa"/>
            <w:vMerge w:val="continue"/>
            <w:vAlign w:val="center"/>
          </w:tcPr>
          <w:p w14:paraId="1631E5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873" w:type="dxa"/>
            <w:vMerge w:val="continue"/>
            <w:vAlign w:val="center"/>
          </w:tcPr>
          <w:p w14:paraId="475A03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94" w:type="dxa"/>
            <w:vMerge w:val="continue"/>
            <w:vAlign w:val="center"/>
          </w:tcPr>
          <w:p w14:paraId="3B88EE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4E6C46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25908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3FC702E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shd w:val="clear" w:color="auto" w:fill="auto"/>
            <w:vAlign w:val="center"/>
          </w:tcPr>
          <w:p w14:paraId="427CDD7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意外伤害医疗</w:t>
            </w:r>
          </w:p>
        </w:tc>
        <w:tc>
          <w:tcPr>
            <w:tcW w:w="1203" w:type="dxa"/>
            <w:shd w:val="clear" w:color="auto" w:fill="auto"/>
            <w:vAlign w:val="center"/>
          </w:tcPr>
          <w:p w14:paraId="6D8108B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15万</w:t>
            </w:r>
          </w:p>
        </w:tc>
        <w:tc>
          <w:tcPr>
            <w:tcW w:w="1569" w:type="dxa"/>
            <w:vAlign w:val="center"/>
          </w:tcPr>
          <w:p w14:paraId="2BC8EE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免赔额100元</w:t>
            </w:r>
          </w:p>
          <w:p w14:paraId="1D7445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赔付比例90%</w:t>
            </w:r>
          </w:p>
        </w:tc>
        <w:tc>
          <w:tcPr>
            <w:tcW w:w="811" w:type="dxa"/>
            <w:vMerge w:val="continue"/>
            <w:vAlign w:val="center"/>
          </w:tcPr>
          <w:p w14:paraId="6D01E1B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633" w:type="dxa"/>
            <w:vMerge w:val="continue"/>
            <w:vAlign w:val="center"/>
          </w:tcPr>
          <w:p w14:paraId="0CB84E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873" w:type="dxa"/>
            <w:vMerge w:val="continue"/>
            <w:vAlign w:val="center"/>
          </w:tcPr>
          <w:p w14:paraId="404602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94" w:type="dxa"/>
            <w:vMerge w:val="continue"/>
            <w:vAlign w:val="center"/>
          </w:tcPr>
          <w:p w14:paraId="1205D41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1FD852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587AD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1B86CF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shd w:val="clear" w:color="auto" w:fill="auto"/>
            <w:vAlign w:val="center"/>
          </w:tcPr>
          <w:p w14:paraId="7E0D1AE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意外住院津贴</w:t>
            </w:r>
          </w:p>
        </w:tc>
        <w:tc>
          <w:tcPr>
            <w:tcW w:w="1203" w:type="dxa"/>
            <w:shd w:val="clear" w:color="auto" w:fill="auto"/>
            <w:vAlign w:val="center"/>
          </w:tcPr>
          <w:p w14:paraId="49A13F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100元/天</w:t>
            </w:r>
          </w:p>
        </w:tc>
        <w:tc>
          <w:tcPr>
            <w:tcW w:w="1569" w:type="dxa"/>
            <w:vAlign w:val="center"/>
          </w:tcPr>
          <w:p w14:paraId="43E0E5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180天为限</w:t>
            </w:r>
          </w:p>
        </w:tc>
        <w:tc>
          <w:tcPr>
            <w:tcW w:w="811" w:type="dxa"/>
            <w:vMerge w:val="continue"/>
            <w:vAlign w:val="center"/>
          </w:tcPr>
          <w:p w14:paraId="048048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633" w:type="dxa"/>
            <w:vMerge w:val="continue"/>
            <w:vAlign w:val="center"/>
          </w:tcPr>
          <w:p w14:paraId="120C2A6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873" w:type="dxa"/>
            <w:vMerge w:val="continue"/>
            <w:vAlign w:val="center"/>
          </w:tcPr>
          <w:p w14:paraId="6E36607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94" w:type="dxa"/>
            <w:vMerge w:val="continue"/>
            <w:vAlign w:val="center"/>
          </w:tcPr>
          <w:p w14:paraId="2057AC3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4B805F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09CFF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266" w:type="dxa"/>
            <w:gridSpan w:val="7"/>
            <w:vAlign w:val="center"/>
          </w:tcPr>
          <w:p w14:paraId="17F7B9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94" w:type="dxa"/>
            <w:vAlign w:val="center"/>
          </w:tcPr>
          <w:p w14:paraId="27CC441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合计</w:t>
            </w:r>
          </w:p>
        </w:tc>
        <w:tc>
          <w:tcPr>
            <w:tcW w:w="1468" w:type="dxa"/>
            <w:vAlign w:val="center"/>
          </w:tcPr>
          <w:p w14:paraId="4845EAB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7EB22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28" w:type="dxa"/>
            <w:gridSpan w:val="9"/>
          </w:tcPr>
          <w:p w14:paraId="3CAFDC92">
            <w:pPr>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sz w:val="21"/>
                <w:szCs w:val="21"/>
                <w:u w:val="none"/>
                <w:lang w:val="en-US" w:eastAsia="zh-CN"/>
              </w:rPr>
              <w:t>注：1、</w:t>
            </w:r>
            <w:r>
              <w:rPr>
                <w:rFonts w:hint="eastAsia" w:ascii="宋体" w:hAnsi="宋体" w:eastAsia="宋体" w:cs="宋体"/>
                <w:i w:val="0"/>
                <w:iCs w:val="0"/>
                <w:color w:val="000000"/>
                <w:kern w:val="0"/>
                <w:sz w:val="21"/>
                <w:szCs w:val="21"/>
                <w:u w:val="none"/>
                <w:lang w:val="en-US" w:eastAsia="zh-CN" w:bidi="ar"/>
              </w:rPr>
              <w:t>未尽事宜详见采购文件、清单、相关文件、规范等其他资料，满足采购人要求；</w:t>
            </w:r>
          </w:p>
          <w:p w14:paraId="0347AA4F">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20" w:firstLineChars="200"/>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每季度投保人数以采购人实际提供的人数为准，据实结算；</w:t>
            </w:r>
          </w:p>
          <w:p w14:paraId="083B44B2">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ind w:firstLine="422" w:firstLineChars="200"/>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i w:val="0"/>
                <w:iCs w:val="0"/>
                <w:color w:val="FF0000"/>
                <w:kern w:val="0"/>
                <w:sz w:val="21"/>
                <w:szCs w:val="21"/>
                <w:u w:val="none"/>
                <w:lang w:val="en-US" w:eastAsia="zh-CN" w:bidi="ar"/>
              </w:rPr>
              <w:t>含税合价=暂定人数*保障期限*含税单价</w:t>
            </w:r>
          </w:p>
        </w:tc>
      </w:tr>
    </w:tbl>
    <w:p w14:paraId="06E6E72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安徽通康建设工程有限公司劳务派遣人员意外险采购项目（三次）</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37"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104号</w:t>
      </w:r>
      <w:permEnd w:id="37"/>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w:t>
      </w:r>
      <w:r>
        <w:rPr>
          <w:rFonts w:hint="default" w:ascii="Times New Roman" w:hAnsi="Times New Roman" w:eastAsia="楷体" w:cs="Times New Roman"/>
          <w:b/>
          <w:bCs/>
          <w:color w:val="FF0000"/>
          <w:kern w:val="0"/>
          <w:sz w:val="32"/>
          <w:szCs w:val="32"/>
          <w:highlight w:val="none"/>
          <w:u w:val="none"/>
          <w:shd w:val="clear" w:color="auto" w:fill="auto"/>
          <w:lang w:val="en-US" w:eastAsia="zh-CN"/>
        </w:rPr>
        <w:t>签字</w:t>
      </w:r>
      <w:r>
        <w:rPr>
          <w:rFonts w:hint="eastAsia" w:ascii="Times New Roman" w:hAnsi="Times New Roman" w:eastAsia="楷体" w:cs="Times New Roman"/>
          <w:b/>
          <w:bCs/>
          <w:color w:val="FF0000"/>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247514246"/>
      <w:bookmarkStart w:id="242" w:name="_Toc144974856"/>
      <w:bookmarkStart w:id="243" w:name="_Toc152042576"/>
      <w:bookmarkStart w:id="244" w:name="_Toc300835209"/>
      <w:bookmarkStart w:id="245" w:name="_Toc152045787"/>
      <w:bookmarkStart w:id="246" w:name="_Toc247527827"/>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152042577"/>
      <w:bookmarkStart w:id="248" w:name="_Toc152045788"/>
      <w:bookmarkStart w:id="249" w:name="_Toc247527828"/>
      <w:bookmarkStart w:id="250" w:name="_Toc300835210"/>
      <w:bookmarkStart w:id="251" w:name="_Toc144974857"/>
      <w:bookmarkStart w:id="252" w:name="_Toc24751424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52045790"/>
      <w:bookmarkStart w:id="254" w:name="_Toc144974859"/>
      <w:bookmarkStart w:id="255" w:name="_Toc152042579"/>
      <w:bookmarkStart w:id="256" w:name="_Toc247514249"/>
      <w:bookmarkStart w:id="257" w:name="_Toc300835212"/>
      <w:bookmarkStart w:id="258" w:name="_Toc247527830"/>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color w:val="FF0000"/>
          <w:szCs w:val="21"/>
          <w:u w:val="single"/>
          <w:lang w:val="en-US" w:eastAsia="zh-CN"/>
        </w:rPr>
        <w:t>安徽通康建设工程有限公司劳务派遣人员意外险采购项目（三次）</w:t>
      </w:r>
      <w:r>
        <w:rPr>
          <w:rFonts w:hint="eastAsia" w:ascii="Times New Roman" w:hAnsi="Times New Roman" w:cs="Times New Roman"/>
          <w:color w:val="FF0000"/>
          <w:szCs w:val="21"/>
          <w:u w:val="none"/>
          <w:lang w:eastAsia="zh-CN"/>
        </w:rPr>
        <w:t>（</w:t>
      </w:r>
      <w:r>
        <w:rPr>
          <w:rFonts w:hint="eastAsia" w:ascii="Times New Roman" w:hAnsi="Times New Roman" w:cs="Times New Roman"/>
          <w:color w:val="FF0000"/>
          <w:szCs w:val="21"/>
          <w:u w:val="none"/>
          <w:lang w:val="en-US" w:eastAsia="zh-CN"/>
        </w:rPr>
        <w:t>项目编号：</w:t>
      </w:r>
      <w:permStart w:id="38" w:edGrp="everyone"/>
      <w:r>
        <w:rPr>
          <w:rFonts w:hint="eastAsia" w:ascii="Times New Roman" w:hAnsi="Times New Roman" w:cs="Times New Roman"/>
          <w:color w:val="FF0000"/>
          <w:szCs w:val="21"/>
          <w:u w:val="single"/>
          <w:lang w:val="en-US" w:eastAsia="zh-CN"/>
        </w:rPr>
        <w:t xml:space="preserve"> AHTKJS-2025-104号 </w:t>
      </w:r>
      <w:permEnd w:id="38"/>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39" w:edGrp="everyone"/>
      <w:r>
        <w:rPr>
          <w:rFonts w:hint="eastAsia" w:ascii="Times New Roman" w:hAnsi="Times New Roman" w:cs="Times New Roman"/>
          <w:color w:val="FF0000"/>
          <w:szCs w:val="21"/>
          <w:lang w:val="en-US" w:eastAsia="zh-CN"/>
        </w:rPr>
        <w:t>含税人民币（大写）</w:t>
      </w:r>
      <w:r>
        <w:rPr>
          <w:rFonts w:hint="eastAsia" w:ascii="Times New Roman" w:hAnsi="Times New Roman" w:cs="Times New Roman"/>
          <w:color w:val="FF0000"/>
          <w:szCs w:val="21"/>
          <w:u w:val="single"/>
          <w:lang w:val="en-US" w:eastAsia="zh-CN"/>
        </w:rPr>
        <w:t xml:space="preserve"> </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 xml:space="preserve">   元</w:t>
      </w:r>
      <w:r>
        <w:rPr>
          <w:rFonts w:hint="default" w:ascii="Times New Roman" w:hAnsi="Times New Roman" w:cs="Times New Roman"/>
          <w:color w:val="FF0000"/>
          <w:szCs w:val="21"/>
        </w:rPr>
        <w:t>（¥</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w:t>
      </w:r>
      <w:r>
        <w:rPr>
          <w:rFonts w:hint="eastAsia" w:ascii="Times New Roman" w:hAnsi="Times New Roman" w:cs="Times New Roman"/>
          <w:color w:val="FF0000"/>
          <w:szCs w:val="21"/>
          <w:lang w:val="en-US" w:eastAsia="zh-CN"/>
        </w:rPr>
        <w:t>其中，增值税税率为</w:t>
      </w:r>
      <w:r>
        <w:rPr>
          <w:rFonts w:hint="default"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val="en-US" w:eastAsia="zh-CN"/>
        </w:rPr>
        <w:t>%</w:t>
      </w:r>
      <w:r>
        <w:rPr>
          <w:rFonts w:hint="eastAsia" w:ascii="Times New Roman" w:hAnsi="Times New Roman" w:cs="Times New Roman"/>
          <w:szCs w:val="21"/>
          <w:lang w:val="en-US" w:eastAsia="zh-CN"/>
        </w:rPr>
        <w:t>）</w:t>
      </w:r>
      <w:permEnd w:id="39"/>
      <w:r>
        <w:rPr>
          <w:rFonts w:hint="eastAsia" w:ascii="Times New Roman" w:hAnsi="Times New Roman" w:cs="Times New Roman"/>
          <w:szCs w:val="21"/>
          <w:lang w:val="en-US" w:eastAsia="zh-CN"/>
        </w:rPr>
        <w:t>，服务期限：</w:t>
      </w:r>
      <w:r>
        <w:rPr>
          <w:rFonts w:hint="eastAsia" w:ascii="Times New Roman" w:hAnsi="Times New Roman" w:cs="Times New Roman"/>
          <w:color w:val="FF0000"/>
          <w:szCs w:val="21"/>
          <w:u w:val="single"/>
          <w:lang w:val="en-US" w:eastAsia="zh-CN"/>
        </w:rPr>
        <w:t>自合同签订之日起2年(保险协议一年一签，经采购人考核合格后方可续签)，按合同约定完成本项目全部工作</w:t>
      </w:r>
      <w:r>
        <w:rPr>
          <w:rFonts w:hint="eastAsia" w:ascii="Times New Roman" w:hAnsi="Times New Roman" w:cs="Times New Roman"/>
          <w:szCs w:val="21"/>
          <w:u w:val="none"/>
          <w:lang w:val="en-US" w:eastAsia="zh-CN"/>
        </w:rPr>
        <w:t>。</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w:t>
      </w:r>
      <w:r>
        <w:rPr>
          <w:rFonts w:hint="eastAsia" w:ascii="Times New Roman" w:hAnsi="Times New Roman" w:cs="Times New Roman"/>
          <w:b/>
          <w:bCs/>
          <w:color w:val="FF0000"/>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247514283"/>
      <w:bookmarkStart w:id="260" w:name="_Toc144974860"/>
      <w:bookmarkStart w:id="261" w:name="_Toc152045791"/>
      <w:bookmarkStart w:id="262" w:name="_Toc300835213"/>
      <w:bookmarkStart w:id="263" w:name="_Toc152042580"/>
      <w:bookmarkStart w:id="264" w:name="_Toc24752783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44974861"/>
      <w:bookmarkStart w:id="266" w:name="_Toc152042581"/>
      <w:bookmarkStart w:id="267" w:name="_Toc247514284"/>
      <w:bookmarkStart w:id="268" w:name="_Toc152045792"/>
      <w:bookmarkStart w:id="269" w:name="_Toc300835214"/>
      <w:bookmarkStart w:id="270" w:name="_Toc24752783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盖单位章</w:t>
      </w:r>
      <w:r>
        <w:rPr>
          <w:rFonts w:hint="default" w:ascii="Times New Roman" w:hAnsi="Times New Roman" w:cs="Times New Roman"/>
          <w:szCs w:val="21"/>
        </w:rPr>
        <w:t>）</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b/>
          <w:bCs/>
          <w:color w:val="FF0000"/>
          <w:szCs w:val="21"/>
        </w:rPr>
        <w:t>签字或盖章</w:t>
      </w:r>
      <w:r>
        <w:rPr>
          <w:rFonts w:hint="default" w:ascii="Times New Roman" w:hAnsi="Times New Roman" w:cs="Times New Roman"/>
          <w:szCs w:val="21"/>
        </w:rPr>
        <w:t xml:space="preserve">）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w:t>
      </w:r>
      <w:r>
        <w:rPr>
          <w:rFonts w:hint="default" w:ascii="Times New Roman" w:hAnsi="Times New Roman" w:cs="Times New Roman"/>
          <w:b/>
          <w:bCs/>
          <w:color w:val="FF0000"/>
          <w:szCs w:val="21"/>
          <w:u w:val="none"/>
        </w:rPr>
        <w:t>签字或盖章</w:t>
      </w:r>
      <w:r>
        <w:rPr>
          <w:rFonts w:hint="default" w:ascii="Times New Roman" w:hAnsi="Times New Roman" w:cs="Times New Roman"/>
          <w:szCs w:val="21"/>
          <w:u w:val="none"/>
        </w:rPr>
        <w:t>）</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247527834"/>
      <w:bookmarkStart w:id="272" w:name="_Toc247514286"/>
      <w:bookmarkStart w:id="273" w:name="_Toc152045794"/>
      <w:bookmarkStart w:id="274" w:name="_Toc144974862"/>
      <w:bookmarkStart w:id="275" w:name="_Toc152042583"/>
      <w:bookmarkStart w:id="276" w:name="_Toc300835216"/>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u w:val="none"/>
          <w:lang w:val="en-US" w:eastAsia="zh-CN"/>
        </w:rPr>
        <w:t>盖单位公章</w:t>
      </w:r>
      <w:r>
        <w:rPr>
          <w:rFonts w:hint="eastAsia" w:ascii="Times New Roman" w:hAnsi="Times New Roman" w:cs="Times New Roman"/>
          <w:szCs w:val="21"/>
          <w:lang w:val="en-US" w:eastAsia="zh-CN"/>
        </w:rPr>
        <w:t>）</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u w:val="none"/>
          <w:lang w:val="en-US" w:eastAsia="zh-CN"/>
        </w:rPr>
        <w:t>签字或盖章</w:t>
      </w:r>
      <w:r>
        <w:rPr>
          <w:rFonts w:hint="eastAsia" w:ascii="Times New Roman" w:hAnsi="Times New Roman" w:cs="Times New Roman"/>
          <w:szCs w:val="21"/>
          <w:lang w:val="en-US" w:eastAsia="zh-CN"/>
        </w:rPr>
        <w:t>）</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u w:val="none"/>
          <w:lang w:val="en-US" w:eastAsia="zh-CN"/>
        </w:rPr>
        <w:t>盖单位公章</w:t>
      </w:r>
      <w:r>
        <w:rPr>
          <w:rFonts w:hint="eastAsia" w:ascii="Times New Roman" w:hAnsi="Times New Roman" w:cs="Times New Roman"/>
          <w:szCs w:val="21"/>
          <w:lang w:val="en-US" w:eastAsia="zh-CN"/>
        </w:rPr>
        <w:t>）</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u w:val="none"/>
          <w:lang w:val="en-US" w:eastAsia="zh-CN"/>
        </w:rPr>
        <w:t>签字或盖章</w:t>
      </w:r>
      <w:r>
        <w:rPr>
          <w:rFonts w:hint="eastAsia" w:ascii="Times New Roman" w:hAnsi="Times New Roman" w:cs="Times New Roman"/>
          <w:szCs w:val="21"/>
          <w:lang w:val="en-US" w:eastAsia="zh-CN"/>
        </w:rPr>
        <w:t>）</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numPr>
          <w:ilvl w:val="0"/>
          <w:numId w:val="0"/>
        </w:numPr>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eastAsia="黑体" w:cs="Times New Roman"/>
          <w:b/>
          <w:bCs/>
          <w:kern w:val="2"/>
          <w:sz w:val="32"/>
          <w:szCs w:val="32"/>
          <w:lang w:val="en-US" w:eastAsia="zh-CN" w:bidi="ar-SA"/>
        </w:rPr>
        <w:t>四、</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6315839">
      <w:pPr>
        <w:pStyle w:val="3"/>
        <w:pageBreakBefore w:val="0"/>
        <w:widowControl w:val="0"/>
        <w:numPr>
          <w:ilvl w:val="0"/>
          <w:numId w:val="0"/>
        </w:numPr>
        <w:kinsoku/>
        <w:wordWrap/>
        <w:overflowPunct/>
        <w:autoSpaceDE/>
        <w:autoSpaceDN/>
        <w:bidi w:val="0"/>
        <w:adjustRightInd/>
        <w:snapToGrid/>
        <w:spacing w:line="500" w:lineRule="exact"/>
        <w:jc w:val="center"/>
        <w:textAlignment w:val="auto"/>
        <w:rPr>
          <w:rFonts w:hint="eastAsia" w:ascii="Times New Roman" w:hAnsi="Times New Roman" w:cs="Times New Roman"/>
          <w:lang w:eastAsia="zh-CN"/>
        </w:rPr>
      </w:pPr>
      <w:r>
        <w:rPr>
          <w:rFonts w:hint="eastAsia" w:ascii="Times New Roman" w:hAnsi="Times New Roman" w:cs="Times New Roman"/>
          <w:lang w:eastAsia="zh-CN"/>
        </w:rPr>
        <w:t>（</w:t>
      </w:r>
      <w:r>
        <w:rPr>
          <w:rFonts w:hint="eastAsia" w:ascii="Times New Roman" w:hAnsi="Times New Roman" w:cs="Times New Roman"/>
          <w:color w:val="FF0000"/>
          <w:lang w:val="en-US" w:eastAsia="zh-CN"/>
        </w:rPr>
        <w:t>本项目不收取保证金</w:t>
      </w:r>
      <w:r>
        <w:rPr>
          <w:rFonts w:hint="eastAsia" w:ascii="Times New Roman" w:hAnsi="Times New Roman" w:cs="Times New Roman"/>
          <w:lang w:eastAsia="zh-CN"/>
        </w:rPr>
        <w:t>）</w:t>
      </w:r>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152042584"/>
      <w:bookmarkStart w:id="279" w:name="_Toc247514287"/>
      <w:bookmarkStart w:id="280" w:name="_Toc144974863"/>
      <w:bookmarkStart w:id="281" w:name="_Toc300835218"/>
      <w:bookmarkStart w:id="282" w:name="_Toc247527835"/>
      <w:bookmarkStart w:id="283" w:name="_Toc152045795"/>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0"/>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29"/>
              <w:spacing w:before="174" w:line="221" w:lineRule="auto"/>
              <w:ind w:left="344"/>
              <w:rPr>
                <w:sz w:val="21"/>
                <w:szCs w:val="21"/>
              </w:rPr>
            </w:pPr>
            <w:r>
              <w:rPr>
                <w:spacing w:val="6"/>
                <w:sz w:val="21"/>
                <w:szCs w:val="21"/>
              </w:rPr>
              <w:t>序号</w:t>
            </w:r>
          </w:p>
        </w:tc>
        <w:tc>
          <w:tcPr>
            <w:tcW w:w="3106" w:type="dxa"/>
            <w:vAlign w:val="top"/>
          </w:tcPr>
          <w:p w14:paraId="41B11741">
            <w:pPr>
              <w:pStyle w:val="29"/>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29"/>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29"/>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29"/>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29"/>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29"/>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29"/>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29"/>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29"/>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773B18A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default" w:ascii="Times New Roman" w:hAnsi="Times New Roman" w:eastAsia="仿宋"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 xml:space="preserve">日期：     年   </w:t>
      </w:r>
      <w:r>
        <w:rPr>
          <w:rFonts w:hint="eastAsia" w:ascii="仿宋" w:hAnsi="仿宋" w:eastAsia="仿宋"/>
          <w:sz w:val="28"/>
          <w:szCs w:val="28"/>
          <w:lang w:val="en-US" w:eastAsia="zh-CN"/>
        </w:rPr>
        <w:t>月   日</w:t>
      </w:r>
    </w:p>
    <w:p w14:paraId="3455522E">
      <w:pPr>
        <w:pStyle w:val="3"/>
        <w:numPr>
          <w:ilvl w:val="0"/>
          <w:numId w:val="0"/>
        </w:numPr>
        <w:jc w:val="center"/>
        <w:rPr>
          <w:rFonts w:hint="eastAsia" w:ascii="Times New Roman" w:hAnsi="Times New Roman" w:cs="Times New Roman"/>
          <w:lang w:val="en-US" w:eastAsia="zh-CN"/>
        </w:rPr>
      </w:pPr>
      <w:r>
        <w:rPr>
          <w:rFonts w:hint="eastAsia" w:ascii="Times New Roman" w:hAnsi="Times New Roman" w:eastAsia="黑体" w:cs="Times New Roman"/>
          <w:b/>
          <w:bCs/>
          <w:kern w:val="2"/>
          <w:sz w:val="32"/>
          <w:szCs w:val="32"/>
          <w:lang w:val="en-US" w:eastAsia="zh-CN" w:bidi="ar-SA"/>
        </w:rPr>
        <w:t>七、</w:t>
      </w:r>
      <w:r>
        <w:rPr>
          <w:rFonts w:hint="eastAsia" w:ascii="Times New Roman" w:hAnsi="Times New Roman" w:cs="Times New Roman"/>
          <w:lang w:val="en-US" w:eastAsia="zh-CN"/>
        </w:rPr>
        <w:t>报价表</w:t>
      </w:r>
    </w:p>
    <w:bookmarkEnd w:id="278"/>
    <w:bookmarkEnd w:id="279"/>
    <w:bookmarkEnd w:id="280"/>
    <w:bookmarkEnd w:id="281"/>
    <w:bookmarkEnd w:id="282"/>
    <w:bookmarkEnd w:id="283"/>
    <w:tbl>
      <w:tblPr>
        <w:tblStyle w:val="17"/>
        <w:tblW w:w="10228" w:type="dxa"/>
        <w:tblInd w:w="-3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4"/>
        <w:gridCol w:w="1063"/>
        <w:gridCol w:w="1203"/>
        <w:gridCol w:w="1569"/>
        <w:gridCol w:w="811"/>
        <w:gridCol w:w="633"/>
        <w:gridCol w:w="975"/>
        <w:gridCol w:w="1392"/>
        <w:gridCol w:w="1468"/>
      </w:tblGrid>
      <w:tr w14:paraId="4965F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4" w:type="dxa"/>
            <w:vAlign w:val="center"/>
          </w:tcPr>
          <w:p w14:paraId="6B87B7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bookmarkStart w:id="284" w:name="_Toc300835221"/>
            <w:bookmarkStart w:id="285" w:name="_Toc152045796"/>
            <w:bookmarkStart w:id="286" w:name="_Toc247527836"/>
            <w:bookmarkStart w:id="287" w:name="_Toc152042585"/>
            <w:bookmarkStart w:id="288" w:name="_Toc144974864"/>
            <w:bookmarkStart w:id="289" w:name="_Toc247514288"/>
            <w:r>
              <w:rPr>
                <w:rFonts w:hint="eastAsia" w:ascii="宋体" w:hAnsi="宋体" w:eastAsia="宋体" w:cs="宋体"/>
                <w:kern w:val="0"/>
                <w:sz w:val="21"/>
                <w:szCs w:val="21"/>
                <w:highlight w:val="none"/>
                <w:vertAlign w:val="baseline"/>
                <w:lang w:val="en-US" w:eastAsia="zh-CN"/>
              </w:rPr>
              <w:t>保险人员类别</w:t>
            </w:r>
          </w:p>
        </w:tc>
        <w:tc>
          <w:tcPr>
            <w:tcW w:w="1063" w:type="dxa"/>
            <w:vAlign w:val="center"/>
          </w:tcPr>
          <w:p w14:paraId="2358FB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保障项目</w:t>
            </w:r>
          </w:p>
        </w:tc>
        <w:tc>
          <w:tcPr>
            <w:tcW w:w="1203" w:type="dxa"/>
            <w:vAlign w:val="center"/>
          </w:tcPr>
          <w:p w14:paraId="276108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保险金额</w:t>
            </w:r>
          </w:p>
          <w:p w14:paraId="2FF426A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（元）</w:t>
            </w:r>
          </w:p>
        </w:tc>
        <w:tc>
          <w:tcPr>
            <w:tcW w:w="1569" w:type="dxa"/>
            <w:vAlign w:val="center"/>
          </w:tcPr>
          <w:p w14:paraId="4C61BF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保障内容说明</w:t>
            </w:r>
          </w:p>
        </w:tc>
        <w:tc>
          <w:tcPr>
            <w:tcW w:w="811" w:type="dxa"/>
            <w:vAlign w:val="center"/>
          </w:tcPr>
          <w:p w14:paraId="5704B4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暂定人数（人）</w:t>
            </w:r>
          </w:p>
        </w:tc>
        <w:tc>
          <w:tcPr>
            <w:tcW w:w="633" w:type="dxa"/>
            <w:vAlign w:val="center"/>
          </w:tcPr>
          <w:p w14:paraId="1703AE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税率</w:t>
            </w:r>
          </w:p>
        </w:tc>
        <w:tc>
          <w:tcPr>
            <w:tcW w:w="975" w:type="dxa"/>
            <w:vAlign w:val="center"/>
          </w:tcPr>
          <w:p w14:paraId="259990B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保障期限（年）</w:t>
            </w:r>
          </w:p>
        </w:tc>
        <w:tc>
          <w:tcPr>
            <w:tcW w:w="1392" w:type="dxa"/>
            <w:vAlign w:val="center"/>
          </w:tcPr>
          <w:p w14:paraId="6ADC70A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含税单价</w:t>
            </w:r>
          </w:p>
          <w:p w14:paraId="291C1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（元/人/年）</w:t>
            </w:r>
          </w:p>
        </w:tc>
        <w:tc>
          <w:tcPr>
            <w:tcW w:w="1468" w:type="dxa"/>
            <w:vAlign w:val="center"/>
          </w:tcPr>
          <w:p w14:paraId="52E2EFC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含税合价</w:t>
            </w:r>
          </w:p>
          <w:p w14:paraId="4D6B82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（元）</w:t>
            </w:r>
          </w:p>
        </w:tc>
      </w:tr>
      <w:tr w14:paraId="013C6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restart"/>
            <w:vAlign w:val="center"/>
          </w:tcPr>
          <w:p w14:paraId="6C1AC14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三类人员</w:t>
            </w:r>
          </w:p>
        </w:tc>
        <w:tc>
          <w:tcPr>
            <w:tcW w:w="1063" w:type="dxa"/>
            <w:vAlign w:val="center"/>
          </w:tcPr>
          <w:p w14:paraId="3259FE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意外伤害身故</w:t>
            </w:r>
          </w:p>
        </w:tc>
        <w:tc>
          <w:tcPr>
            <w:tcW w:w="1203" w:type="dxa"/>
            <w:vAlign w:val="center"/>
          </w:tcPr>
          <w:p w14:paraId="07BD1F6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50万</w:t>
            </w:r>
          </w:p>
        </w:tc>
        <w:tc>
          <w:tcPr>
            <w:tcW w:w="1569" w:type="dxa"/>
            <w:shd w:val="clear" w:color="auto" w:fill="auto"/>
            <w:vAlign w:val="center"/>
          </w:tcPr>
          <w:p w14:paraId="2AAFE7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意外身故</w:t>
            </w:r>
          </w:p>
        </w:tc>
        <w:tc>
          <w:tcPr>
            <w:tcW w:w="811" w:type="dxa"/>
            <w:vMerge w:val="restart"/>
            <w:vAlign w:val="center"/>
          </w:tcPr>
          <w:p w14:paraId="1799A8B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67</w:t>
            </w:r>
          </w:p>
        </w:tc>
        <w:tc>
          <w:tcPr>
            <w:tcW w:w="633" w:type="dxa"/>
            <w:vMerge w:val="restart"/>
            <w:vAlign w:val="center"/>
          </w:tcPr>
          <w:p w14:paraId="02AEAC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6%</w:t>
            </w:r>
          </w:p>
        </w:tc>
        <w:tc>
          <w:tcPr>
            <w:tcW w:w="975" w:type="dxa"/>
            <w:vMerge w:val="restart"/>
            <w:vAlign w:val="center"/>
          </w:tcPr>
          <w:p w14:paraId="22CD93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2</w:t>
            </w:r>
          </w:p>
        </w:tc>
        <w:tc>
          <w:tcPr>
            <w:tcW w:w="1392" w:type="dxa"/>
            <w:vMerge w:val="restart"/>
            <w:vAlign w:val="center"/>
          </w:tcPr>
          <w:p w14:paraId="4020AF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restart"/>
            <w:vAlign w:val="center"/>
          </w:tcPr>
          <w:p w14:paraId="650CE96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1AED7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5365581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vAlign w:val="center"/>
          </w:tcPr>
          <w:p w14:paraId="42F3D1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意外伤害伤残</w:t>
            </w:r>
          </w:p>
        </w:tc>
        <w:tc>
          <w:tcPr>
            <w:tcW w:w="1203" w:type="dxa"/>
            <w:vAlign w:val="center"/>
          </w:tcPr>
          <w:p w14:paraId="2D3953E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50万</w:t>
            </w:r>
          </w:p>
        </w:tc>
        <w:tc>
          <w:tcPr>
            <w:tcW w:w="1569" w:type="dxa"/>
            <w:shd w:val="clear" w:color="auto" w:fill="auto"/>
            <w:vAlign w:val="center"/>
          </w:tcPr>
          <w:p w14:paraId="640D9A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意外伤残</w:t>
            </w:r>
          </w:p>
        </w:tc>
        <w:tc>
          <w:tcPr>
            <w:tcW w:w="811" w:type="dxa"/>
            <w:vMerge w:val="continue"/>
            <w:vAlign w:val="center"/>
          </w:tcPr>
          <w:p w14:paraId="2A7D354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633" w:type="dxa"/>
            <w:vMerge w:val="continue"/>
            <w:vAlign w:val="center"/>
          </w:tcPr>
          <w:p w14:paraId="760590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975" w:type="dxa"/>
            <w:vMerge w:val="continue"/>
            <w:vAlign w:val="center"/>
          </w:tcPr>
          <w:p w14:paraId="459B21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1392" w:type="dxa"/>
            <w:vMerge w:val="continue"/>
            <w:vAlign w:val="center"/>
          </w:tcPr>
          <w:p w14:paraId="5B4533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4EEC303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34144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745A6E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vAlign w:val="center"/>
          </w:tcPr>
          <w:p w14:paraId="0DD04B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意外伤害医疗</w:t>
            </w:r>
          </w:p>
        </w:tc>
        <w:tc>
          <w:tcPr>
            <w:tcW w:w="1203" w:type="dxa"/>
            <w:vAlign w:val="center"/>
          </w:tcPr>
          <w:p w14:paraId="2D19B6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15万</w:t>
            </w:r>
          </w:p>
        </w:tc>
        <w:tc>
          <w:tcPr>
            <w:tcW w:w="1569" w:type="dxa"/>
            <w:vAlign w:val="center"/>
          </w:tcPr>
          <w:p w14:paraId="62F8BE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免赔额100元</w:t>
            </w:r>
          </w:p>
          <w:p w14:paraId="1C0452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赔付比例90%</w:t>
            </w:r>
          </w:p>
        </w:tc>
        <w:tc>
          <w:tcPr>
            <w:tcW w:w="811" w:type="dxa"/>
            <w:vMerge w:val="continue"/>
            <w:vAlign w:val="center"/>
          </w:tcPr>
          <w:p w14:paraId="62E8B01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633" w:type="dxa"/>
            <w:vMerge w:val="continue"/>
            <w:vAlign w:val="center"/>
          </w:tcPr>
          <w:p w14:paraId="07021A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975" w:type="dxa"/>
            <w:vMerge w:val="continue"/>
            <w:vAlign w:val="center"/>
          </w:tcPr>
          <w:p w14:paraId="1652D0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1392" w:type="dxa"/>
            <w:vMerge w:val="continue"/>
            <w:vAlign w:val="center"/>
          </w:tcPr>
          <w:p w14:paraId="00422A7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4D6E62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1087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7E48CAF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vAlign w:val="center"/>
          </w:tcPr>
          <w:p w14:paraId="13151FC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意外住院津贴</w:t>
            </w:r>
          </w:p>
        </w:tc>
        <w:tc>
          <w:tcPr>
            <w:tcW w:w="1203" w:type="dxa"/>
            <w:vAlign w:val="center"/>
          </w:tcPr>
          <w:p w14:paraId="7BD0C4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100元/天</w:t>
            </w:r>
          </w:p>
        </w:tc>
        <w:tc>
          <w:tcPr>
            <w:tcW w:w="1569" w:type="dxa"/>
            <w:vAlign w:val="center"/>
          </w:tcPr>
          <w:p w14:paraId="087EBF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180天为限</w:t>
            </w:r>
          </w:p>
        </w:tc>
        <w:tc>
          <w:tcPr>
            <w:tcW w:w="811" w:type="dxa"/>
            <w:vMerge w:val="continue"/>
            <w:vAlign w:val="center"/>
          </w:tcPr>
          <w:p w14:paraId="127A24E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633" w:type="dxa"/>
            <w:vMerge w:val="continue"/>
            <w:vAlign w:val="center"/>
          </w:tcPr>
          <w:p w14:paraId="2977CC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975" w:type="dxa"/>
            <w:vMerge w:val="continue"/>
            <w:vAlign w:val="center"/>
          </w:tcPr>
          <w:p w14:paraId="04FE9F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c>
          <w:tcPr>
            <w:tcW w:w="1392" w:type="dxa"/>
            <w:vMerge w:val="continue"/>
            <w:vAlign w:val="center"/>
          </w:tcPr>
          <w:p w14:paraId="539434A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0136FB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4A3AA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228" w:type="dxa"/>
            <w:gridSpan w:val="9"/>
            <w:vAlign w:val="center"/>
          </w:tcPr>
          <w:p w14:paraId="6AB276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p>
        </w:tc>
      </w:tr>
      <w:tr w14:paraId="00828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restart"/>
            <w:vAlign w:val="center"/>
          </w:tcPr>
          <w:p w14:paraId="58A2353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四类人员</w:t>
            </w:r>
          </w:p>
        </w:tc>
        <w:tc>
          <w:tcPr>
            <w:tcW w:w="1063" w:type="dxa"/>
            <w:shd w:val="clear" w:color="auto" w:fill="auto"/>
            <w:vAlign w:val="center"/>
          </w:tcPr>
          <w:p w14:paraId="098A7D0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意外伤害身故</w:t>
            </w:r>
          </w:p>
        </w:tc>
        <w:tc>
          <w:tcPr>
            <w:tcW w:w="1203" w:type="dxa"/>
            <w:shd w:val="clear" w:color="auto" w:fill="auto"/>
            <w:vAlign w:val="center"/>
          </w:tcPr>
          <w:p w14:paraId="018E1B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50万</w:t>
            </w:r>
          </w:p>
        </w:tc>
        <w:tc>
          <w:tcPr>
            <w:tcW w:w="1569" w:type="dxa"/>
            <w:vAlign w:val="center"/>
          </w:tcPr>
          <w:p w14:paraId="4FDD9D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意外身故</w:t>
            </w:r>
          </w:p>
        </w:tc>
        <w:tc>
          <w:tcPr>
            <w:tcW w:w="811" w:type="dxa"/>
            <w:vMerge w:val="restart"/>
            <w:vAlign w:val="center"/>
          </w:tcPr>
          <w:p w14:paraId="23BCA9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17</w:t>
            </w:r>
          </w:p>
        </w:tc>
        <w:tc>
          <w:tcPr>
            <w:tcW w:w="633" w:type="dxa"/>
            <w:vMerge w:val="restart"/>
            <w:vAlign w:val="center"/>
          </w:tcPr>
          <w:p w14:paraId="5EFBC0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6%</w:t>
            </w:r>
          </w:p>
        </w:tc>
        <w:tc>
          <w:tcPr>
            <w:tcW w:w="975" w:type="dxa"/>
            <w:vMerge w:val="restart"/>
            <w:vAlign w:val="center"/>
          </w:tcPr>
          <w:p w14:paraId="060F35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b/>
                <w:bCs/>
                <w:color w:val="FF0000"/>
                <w:kern w:val="0"/>
                <w:sz w:val="21"/>
                <w:szCs w:val="21"/>
                <w:highlight w:val="none"/>
                <w:vertAlign w:val="baseline"/>
                <w:lang w:val="en-US" w:eastAsia="zh-CN"/>
              </w:rPr>
            </w:pPr>
            <w:r>
              <w:rPr>
                <w:rFonts w:hint="eastAsia" w:ascii="宋体" w:hAnsi="宋体" w:eastAsia="宋体" w:cs="宋体"/>
                <w:b/>
                <w:bCs/>
                <w:color w:val="FF0000"/>
                <w:kern w:val="0"/>
                <w:sz w:val="21"/>
                <w:szCs w:val="21"/>
                <w:highlight w:val="none"/>
                <w:vertAlign w:val="baseline"/>
                <w:lang w:val="en-US" w:eastAsia="zh-CN"/>
              </w:rPr>
              <w:t>2</w:t>
            </w:r>
          </w:p>
        </w:tc>
        <w:tc>
          <w:tcPr>
            <w:tcW w:w="1392" w:type="dxa"/>
            <w:vMerge w:val="restart"/>
            <w:vAlign w:val="center"/>
          </w:tcPr>
          <w:p w14:paraId="7ECA3B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restart"/>
            <w:vAlign w:val="center"/>
          </w:tcPr>
          <w:p w14:paraId="7BBCA3C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19AAB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56BC8F3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shd w:val="clear" w:color="auto" w:fill="auto"/>
            <w:vAlign w:val="center"/>
          </w:tcPr>
          <w:p w14:paraId="252710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意外伤害伤残</w:t>
            </w:r>
          </w:p>
        </w:tc>
        <w:tc>
          <w:tcPr>
            <w:tcW w:w="1203" w:type="dxa"/>
            <w:shd w:val="clear" w:color="auto" w:fill="auto"/>
            <w:vAlign w:val="center"/>
          </w:tcPr>
          <w:p w14:paraId="71E7D83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50万</w:t>
            </w:r>
          </w:p>
        </w:tc>
        <w:tc>
          <w:tcPr>
            <w:tcW w:w="1569" w:type="dxa"/>
            <w:vAlign w:val="center"/>
          </w:tcPr>
          <w:p w14:paraId="58FB4B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意外伤残</w:t>
            </w:r>
          </w:p>
        </w:tc>
        <w:tc>
          <w:tcPr>
            <w:tcW w:w="811" w:type="dxa"/>
            <w:vMerge w:val="continue"/>
            <w:vAlign w:val="center"/>
          </w:tcPr>
          <w:p w14:paraId="3C57E7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633" w:type="dxa"/>
            <w:vMerge w:val="continue"/>
            <w:vAlign w:val="center"/>
          </w:tcPr>
          <w:p w14:paraId="46A8841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975" w:type="dxa"/>
            <w:vMerge w:val="continue"/>
            <w:vAlign w:val="center"/>
          </w:tcPr>
          <w:p w14:paraId="666DC4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392" w:type="dxa"/>
            <w:vMerge w:val="continue"/>
            <w:vAlign w:val="center"/>
          </w:tcPr>
          <w:p w14:paraId="178A33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477F0E2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41127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114" w:type="dxa"/>
            <w:vMerge w:val="continue"/>
            <w:vAlign w:val="center"/>
          </w:tcPr>
          <w:p w14:paraId="5EB260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shd w:val="clear" w:color="auto" w:fill="auto"/>
            <w:vAlign w:val="center"/>
          </w:tcPr>
          <w:p w14:paraId="38B461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意外伤害医疗</w:t>
            </w:r>
          </w:p>
        </w:tc>
        <w:tc>
          <w:tcPr>
            <w:tcW w:w="1203" w:type="dxa"/>
            <w:shd w:val="clear" w:color="auto" w:fill="auto"/>
            <w:vAlign w:val="center"/>
          </w:tcPr>
          <w:p w14:paraId="5A79DC4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15万</w:t>
            </w:r>
          </w:p>
        </w:tc>
        <w:tc>
          <w:tcPr>
            <w:tcW w:w="1569" w:type="dxa"/>
            <w:vAlign w:val="center"/>
          </w:tcPr>
          <w:p w14:paraId="62B1471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免赔额100元</w:t>
            </w:r>
          </w:p>
          <w:p w14:paraId="6BE9E3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赔付比例90%</w:t>
            </w:r>
          </w:p>
        </w:tc>
        <w:tc>
          <w:tcPr>
            <w:tcW w:w="811" w:type="dxa"/>
            <w:vMerge w:val="continue"/>
            <w:vAlign w:val="center"/>
          </w:tcPr>
          <w:p w14:paraId="310A219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633" w:type="dxa"/>
            <w:vMerge w:val="continue"/>
            <w:vAlign w:val="center"/>
          </w:tcPr>
          <w:p w14:paraId="6A2753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975" w:type="dxa"/>
            <w:vMerge w:val="continue"/>
            <w:vAlign w:val="center"/>
          </w:tcPr>
          <w:p w14:paraId="4B0118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392" w:type="dxa"/>
            <w:vMerge w:val="continue"/>
            <w:vAlign w:val="center"/>
          </w:tcPr>
          <w:p w14:paraId="49DE6C7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05D0BEC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2011F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atLeast"/>
        </w:trPr>
        <w:tc>
          <w:tcPr>
            <w:tcW w:w="1114" w:type="dxa"/>
            <w:vMerge w:val="continue"/>
            <w:vAlign w:val="center"/>
          </w:tcPr>
          <w:p w14:paraId="61D460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063" w:type="dxa"/>
            <w:shd w:val="clear" w:color="auto" w:fill="auto"/>
            <w:vAlign w:val="center"/>
          </w:tcPr>
          <w:p w14:paraId="59619AB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意外住院津贴</w:t>
            </w:r>
          </w:p>
        </w:tc>
        <w:tc>
          <w:tcPr>
            <w:tcW w:w="1203" w:type="dxa"/>
            <w:shd w:val="clear" w:color="auto" w:fill="auto"/>
            <w:vAlign w:val="center"/>
          </w:tcPr>
          <w:p w14:paraId="1ED9AE4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bidi="ar-SA"/>
              </w:rPr>
            </w:pPr>
            <w:r>
              <w:rPr>
                <w:rFonts w:hint="eastAsia" w:ascii="宋体" w:hAnsi="宋体" w:eastAsia="宋体" w:cs="宋体"/>
                <w:kern w:val="0"/>
                <w:sz w:val="21"/>
                <w:szCs w:val="21"/>
                <w:highlight w:val="none"/>
                <w:vertAlign w:val="baseline"/>
                <w:lang w:val="en-US" w:eastAsia="zh-CN"/>
              </w:rPr>
              <w:t>100元/天</w:t>
            </w:r>
          </w:p>
        </w:tc>
        <w:tc>
          <w:tcPr>
            <w:tcW w:w="1569" w:type="dxa"/>
            <w:vAlign w:val="center"/>
          </w:tcPr>
          <w:p w14:paraId="11B27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180天为限</w:t>
            </w:r>
          </w:p>
        </w:tc>
        <w:tc>
          <w:tcPr>
            <w:tcW w:w="811" w:type="dxa"/>
            <w:vMerge w:val="continue"/>
            <w:vAlign w:val="center"/>
          </w:tcPr>
          <w:p w14:paraId="4A523E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633" w:type="dxa"/>
            <w:vMerge w:val="continue"/>
            <w:vAlign w:val="center"/>
          </w:tcPr>
          <w:p w14:paraId="6D2D0F0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975" w:type="dxa"/>
            <w:vMerge w:val="continue"/>
            <w:vAlign w:val="center"/>
          </w:tcPr>
          <w:p w14:paraId="1202398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392" w:type="dxa"/>
            <w:vMerge w:val="continue"/>
            <w:vAlign w:val="center"/>
          </w:tcPr>
          <w:p w14:paraId="5465C3B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468" w:type="dxa"/>
            <w:vMerge w:val="continue"/>
            <w:vAlign w:val="center"/>
          </w:tcPr>
          <w:p w14:paraId="5EAAB4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06DCD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7368" w:type="dxa"/>
            <w:gridSpan w:val="7"/>
            <w:vAlign w:val="center"/>
          </w:tcPr>
          <w:p w14:paraId="56CD086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c>
          <w:tcPr>
            <w:tcW w:w="1392" w:type="dxa"/>
            <w:vAlign w:val="center"/>
          </w:tcPr>
          <w:p w14:paraId="425C297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宋体" w:hAnsi="宋体" w:eastAsia="宋体" w:cs="宋体"/>
                <w:kern w:val="0"/>
                <w:sz w:val="21"/>
                <w:szCs w:val="21"/>
                <w:highlight w:val="none"/>
                <w:vertAlign w:val="baseline"/>
                <w:lang w:val="en-US" w:eastAsia="zh-CN"/>
              </w:rPr>
            </w:pPr>
            <w:r>
              <w:rPr>
                <w:rFonts w:hint="eastAsia" w:ascii="宋体" w:hAnsi="宋体" w:eastAsia="宋体" w:cs="宋体"/>
                <w:kern w:val="0"/>
                <w:sz w:val="21"/>
                <w:szCs w:val="21"/>
                <w:highlight w:val="none"/>
                <w:vertAlign w:val="baseline"/>
                <w:lang w:val="en-US" w:eastAsia="zh-CN"/>
              </w:rPr>
              <w:t>合计</w:t>
            </w:r>
          </w:p>
        </w:tc>
        <w:tc>
          <w:tcPr>
            <w:tcW w:w="1468" w:type="dxa"/>
            <w:vAlign w:val="center"/>
          </w:tcPr>
          <w:p w14:paraId="19B741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1"/>
                <w:szCs w:val="21"/>
                <w:highlight w:val="none"/>
                <w:vertAlign w:val="baseline"/>
                <w:lang w:val="en-US" w:eastAsia="zh-CN"/>
              </w:rPr>
            </w:pPr>
          </w:p>
        </w:tc>
      </w:tr>
      <w:tr w14:paraId="5E4B7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28" w:type="dxa"/>
            <w:gridSpan w:val="9"/>
          </w:tcPr>
          <w:p w14:paraId="5477E625">
            <w:pPr>
              <w:jc w:val="left"/>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sz w:val="21"/>
                <w:szCs w:val="21"/>
                <w:u w:val="none"/>
                <w:lang w:val="en-US" w:eastAsia="zh-CN"/>
              </w:rPr>
              <w:t>注：1、</w:t>
            </w:r>
            <w:r>
              <w:rPr>
                <w:rFonts w:hint="eastAsia" w:ascii="宋体" w:hAnsi="宋体" w:eastAsia="宋体" w:cs="宋体"/>
                <w:i w:val="0"/>
                <w:iCs w:val="0"/>
                <w:color w:val="000000"/>
                <w:kern w:val="0"/>
                <w:sz w:val="21"/>
                <w:szCs w:val="21"/>
                <w:u w:val="none"/>
                <w:lang w:val="en-US" w:eastAsia="zh-CN" w:bidi="ar"/>
              </w:rPr>
              <w:t>未尽事宜详见采购文件、清单、相关文件、规范等其他资料，满足采购人要求；</w:t>
            </w:r>
          </w:p>
          <w:p w14:paraId="7F356C79">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20" w:firstLineChars="200"/>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每季度投保人数以采购人实际提供的人数为准，据实结算；</w:t>
            </w:r>
          </w:p>
          <w:p w14:paraId="428252CE">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22" w:firstLineChars="200"/>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i w:val="0"/>
                <w:iCs w:val="0"/>
                <w:color w:val="FF0000"/>
                <w:kern w:val="0"/>
                <w:sz w:val="21"/>
                <w:szCs w:val="21"/>
                <w:u w:val="none"/>
                <w:lang w:val="en-US" w:eastAsia="zh-CN" w:bidi="ar"/>
              </w:rPr>
              <w:t>含税合价=暂定人数*保障期限*含税单价</w:t>
            </w:r>
          </w:p>
        </w:tc>
      </w:tr>
    </w:tbl>
    <w:p w14:paraId="6ACC3CA9">
      <w:pPr>
        <w:rPr>
          <w:rFonts w:hint="eastAsia" w:ascii="Times New Roman" w:hAnsi="Times New Roman" w:cs="Times New Roman"/>
          <w:highlight w:val="none"/>
          <w:lang w:val="en-US" w:eastAsia="zh-CN"/>
        </w:rPr>
      </w:pPr>
    </w:p>
    <w:p w14:paraId="6695EC59">
      <w:pP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14:paraId="577D3DDA">
      <w:pPr>
        <w:pStyle w:val="3"/>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6997116"/>
      <w:bookmarkStart w:id="292" w:name="_Toc179632828"/>
      <w:bookmarkStart w:id="293" w:name="_Toc246996373"/>
      <w:bookmarkStart w:id="294" w:name="_Toc247085891"/>
      <w:bookmarkStart w:id="295" w:name="_Toc296602618"/>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4"/>
        <w:jc w:val="both"/>
      </w:pPr>
      <w:bookmarkStart w:id="296" w:name="_Toc246996370"/>
      <w:bookmarkStart w:id="297" w:name="_Toc296602615"/>
      <w:bookmarkStart w:id="298" w:name="_Toc247085888"/>
      <w:bookmarkStart w:id="299" w:name="_Toc246997113"/>
      <w:bookmarkStart w:id="300" w:name="_Toc247514302"/>
      <w:bookmarkStart w:id="301" w:name="_Toc300835226"/>
      <w:bookmarkStart w:id="302" w:name="_Toc152042599"/>
      <w:bookmarkStart w:id="303" w:name="_Toc247527850"/>
      <w:bookmarkStart w:id="304" w:name="_Toc152045810"/>
      <w:bookmarkStart w:id="305" w:name="_Toc144974878"/>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96602616"/>
      <w:bookmarkStart w:id="307" w:name="_Toc246997114"/>
      <w:bookmarkStart w:id="308" w:name="_Toc246996371"/>
      <w:bookmarkStart w:id="309" w:name="_Toc247085889"/>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247514303"/>
      <w:bookmarkStart w:id="311" w:name="_Toc144974879"/>
      <w:bookmarkStart w:id="312" w:name="_Toc152042600"/>
      <w:bookmarkStart w:id="313" w:name="_Toc152045811"/>
      <w:bookmarkStart w:id="314" w:name="_Toc24752785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A16B69B">
      <w:pPr>
        <w:tabs>
          <w:tab w:val="left" w:pos="720"/>
        </w:tabs>
        <w:spacing w:line="440" w:lineRule="exact"/>
        <w:jc w:val="left"/>
        <w:rPr>
          <w:rFonts w:hint="eastAsia" w:ascii="Times New Roman" w:hAnsi="Times New Roman"/>
          <w:b/>
          <w:bCs/>
          <w:color w:val="FF0000"/>
          <w:lang w:val="en-US" w:eastAsia="zh-CN"/>
        </w:rPr>
      </w:pPr>
      <w:r>
        <w:rPr>
          <w:rFonts w:hint="eastAsia" w:ascii="Times New Roman" w:hAnsi="Times New Roman"/>
          <w:b/>
          <w:bCs/>
          <w:color w:val="FF0000"/>
          <w:lang w:val="en-US" w:eastAsia="zh-CN"/>
        </w:rPr>
        <w:t>注：1、提供供应商的营业执照的复印件或扫描件，加盖供应商单位公章；</w:t>
      </w:r>
    </w:p>
    <w:p w14:paraId="5D8127FC">
      <w:pPr>
        <w:numPr>
          <w:ilvl w:val="0"/>
          <w:numId w:val="0"/>
        </w:numPr>
        <w:tabs>
          <w:tab w:val="left" w:pos="720"/>
        </w:tabs>
        <w:spacing w:line="440" w:lineRule="exact"/>
        <w:ind w:firstLine="422" w:firstLineChars="200"/>
        <w:jc w:val="left"/>
        <w:rPr>
          <w:rFonts w:hint="eastAsia" w:ascii="Times New Roman" w:hAnsi="Times New Roman"/>
          <w:b/>
          <w:bCs/>
          <w:color w:val="FF0000"/>
          <w:lang w:val="en-US" w:eastAsia="zh-CN"/>
        </w:rPr>
      </w:pPr>
      <w:r>
        <w:rPr>
          <w:rFonts w:hint="eastAsia" w:ascii="Times New Roman" w:hAnsi="Times New Roman" w:eastAsiaTheme="minorEastAsia" w:cstheme="minorBidi"/>
          <w:b/>
          <w:bCs/>
          <w:color w:val="FF0000"/>
          <w:kern w:val="2"/>
          <w:sz w:val="21"/>
          <w:szCs w:val="24"/>
          <w:lang w:val="en-US" w:eastAsia="zh-CN" w:bidi="ar-SA"/>
        </w:rPr>
        <w:t>2、</w:t>
      </w:r>
      <w:r>
        <w:rPr>
          <w:rFonts w:hint="eastAsia" w:ascii="Times New Roman" w:hAnsi="Times New Roman"/>
          <w:b/>
          <w:bCs/>
          <w:color w:val="FF0000"/>
          <w:lang w:val="en-US" w:eastAsia="zh-CN"/>
        </w:rPr>
        <w:t>提供供应商由保险监督管理机构颁发的有效《中华人民共和国经营保险业务许可证》的证明材料的复印件或扫描件，加盖</w:t>
      </w:r>
      <w:bookmarkStart w:id="317" w:name="_GoBack"/>
      <w:bookmarkEnd w:id="317"/>
      <w:r>
        <w:rPr>
          <w:rFonts w:hint="eastAsia" w:ascii="Times New Roman" w:hAnsi="Times New Roman"/>
          <w:b/>
          <w:bCs/>
          <w:color w:val="FF0000"/>
          <w:lang w:val="en-US" w:eastAsia="zh-CN"/>
        </w:rPr>
        <w:t>供应商单位公章；</w:t>
      </w:r>
    </w:p>
    <w:p w14:paraId="1906383F">
      <w:pPr>
        <w:tabs>
          <w:tab w:val="left" w:pos="720"/>
        </w:tabs>
        <w:spacing w:line="440" w:lineRule="exact"/>
        <w:ind w:firstLine="422" w:firstLineChars="200"/>
        <w:jc w:val="left"/>
        <w:rPr>
          <w:rFonts w:hint="default" w:ascii="Times New Roman" w:hAnsi="Times New Roman"/>
          <w:b/>
          <w:bCs/>
          <w:color w:val="FF0000"/>
          <w:lang w:val="en-US" w:eastAsia="zh-CN"/>
        </w:rPr>
      </w:pPr>
      <w:r>
        <w:rPr>
          <w:rFonts w:hint="default" w:ascii="Times New Roman" w:hAnsi="Times New Roman" w:eastAsiaTheme="minorEastAsia" w:cstheme="minorBidi"/>
          <w:b/>
          <w:bCs/>
          <w:color w:val="FF0000"/>
          <w:kern w:val="2"/>
          <w:sz w:val="21"/>
          <w:szCs w:val="24"/>
          <w:lang w:val="en-US" w:eastAsia="zh-CN" w:bidi="ar-SA"/>
        </w:rPr>
        <w:t>3、</w:t>
      </w:r>
      <w:r>
        <w:rPr>
          <w:rFonts w:hint="eastAsia" w:ascii="Times New Roman" w:hAnsi="Times New Roman"/>
          <w:b/>
          <w:bCs/>
          <w:color w:val="FF0000"/>
          <w:lang w:val="en-US" w:eastAsia="zh-CN"/>
        </w:rPr>
        <w:t>提供供应商的信用中国查询证明的复印件或扫描件，加盖供应商单位公章。</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0"/>
        </w:numPr>
        <w:jc w:val="center"/>
        <w:rPr>
          <w:rFonts w:hint="eastAsia" w:ascii="Times New Roman" w:hAnsi="Times New Roman" w:cs="Times New Roman"/>
          <w:lang w:val="en-US" w:eastAsia="zh-CN"/>
        </w:rPr>
      </w:pPr>
      <w:r>
        <w:rPr>
          <w:rFonts w:hint="eastAsia" w:ascii="Times New Roman" w:hAnsi="Times New Roman" w:cs="Times New Roman" w:eastAsiaTheme="minorEastAsia"/>
          <w:b/>
          <w:bCs/>
          <w:kern w:val="2"/>
          <w:sz w:val="32"/>
          <w:szCs w:val="32"/>
          <w:lang w:val="en-US" w:eastAsia="zh-CN" w:bidi="ar-SA"/>
        </w:rPr>
        <w:t>九、</w:t>
      </w:r>
      <w:r>
        <w:rPr>
          <w:rFonts w:hint="eastAsia" w:ascii="Times New Roman" w:hAnsi="Times New Roman" w:cs="Times New Roman"/>
          <w:lang w:val="en-US" w:eastAsia="zh-CN"/>
        </w:rPr>
        <w:t xml:space="preserve">响应方案 </w:t>
      </w:r>
    </w:p>
    <w:p w14:paraId="01554959">
      <w:pPr>
        <w:numPr>
          <w:ilvl w:val="0"/>
          <w:numId w:val="0"/>
        </w:numPr>
        <w:jc w:val="center"/>
        <w:rPr>
          <w:rFonts w:hint="eastAsia"/>
          <w:b/>
          <w:bCs/>
          <w:color w:val="FF0000"/>
          <w:lang w:val="en-US" w:eastAsia="zh-CN"/>
        </w:rPr>
      </w:pPr>
      <w:r>
        <w:rPr>
          <w:rFonts w:hint="eastAsia"/>
          <w:b/>
          <w:bCs/>
          <w:color w:val="FF0000"/>
          <w:lang w:val="en-US" w:eastAsia="zh-CN"/>
        </w:rPr>
        <w:t>（注：供应商根据询比公告/邀请书要求按需填写，如无要求，可不填写。）</w:t>
      </w:r>
    </w:p>
    <w:p w14:paraId="5785BCBC">
      <w:pPr>
        <w:numPr>
          <w:ilvl w:val="0"/>
          <w:numId w:val="0"/>
        </w:numPr>
        <w:jc w:val="center"/>
        <w:rPr>
          <w:rFonts w:hint="eastAsia"/>
          <w:b/>
          <w:bCs/>
          <w:color w:val="FF0000"/>
          <w:lang w:val="en-US" w:eastAsia="zh-CN"/>
        </w:rPr>
      </w:pPr>
    </w:p>
    <w:p w14:paraId="7F5D5ECF">
      <w:pPr>
        <w:numPr>
          <w:ilvl w:val="0"/>
          <w:numId w:val="0"/>
        </w:numPr>
        <w:jc w:val="center"/>
        <w:rPr>
          <w:rFonts w:hint="eastAsia"/>
          <w:b/>
          <w:bCs/>
          <w:color w:val="FF0000"/>
          <w:lang w:val="en-US" w:eastAsia="zh-CN"/>
        </w:rPr>
      </w:pPr>
    </w:p>
    <w:p w14:paraId="60596151">
      <w:pPr>
        <w:numPr>
          <w:ilvl w:val="0"/>
          <w:numId w:val="0"/>
        </w:numPr>
        <w:jc w:val="center"/>
        <w:rPr>
          <w:rFonts w:hint="eastAsia"/>
          <w:b/>
          <w:bCs/>
          <w:color w:val="FF0000"/>
          <w:lang w:val="en-US" w:eastAsia="zh-CN"/>
        </w:rPr>
      </w:pPr>
    </w:p>
    <w:p w14:paraId="257D536F">
      <w:pPr>
        <w:numPr>
          <w:ilvl w:val="0"/>
          <w:numId w:val="0"/>
        </w:numPr>
        <w:jc w:val="center"/>
        <w:rPr>
          <w:rFonts w:hint="eastAsia"/>
          <w:b/>
          <w:bCs/>
          <w:color w:val="FF0000"/>
          <w:lang w:val="en-US" w:eastAsia="zh-CN"/>
        </w:rPr>
      </w:pPr>
    </w:p>
    <w:p w14:paraId="00C4A037">
      <w:pPr>
        <w:numPr>
          <w:ilvl w:val="0"/>
          <w:numId w:val="0"/>
        </w:numPr>
        <w:jc w:val="center"/>
        <w:rPr>
          <w:rFonts w:hint="eastAsia"/>
          <w:b/>
          <w:bCs/>
          <w:color w:val="FF0000"/>
          <w:lang w:val="en-US" w:eastAsia="zh-CN"/>
        </w:rPr>
      </w:pPr>
    </w:p>
    <w:p w14:paraId="6F1FB5DB">
      <w:pPr>
        <w:numPr>
          <w:ilvl w:val="0"/>
          <w:numId w:val="0"/>
        </w:numPr>
        <w:jc w:val="center"/>
        <w:rPr>
          <w:rFonts w:hint="eastAsia"/>
          <w:b/>
          <w:bCs/>
          <w:color w:val="FF0000"/>
          <w:lang w:val="en-US" w:eastAsia="zh-CN"/>
        </w:rPr>
      </w:pPr>
    </w:p>
    <w:p w14:paraId="2761C97D">
      <w:pPr>
        <w:rPr>
          <w:rFonts w:hint="eastAsia" w:ascii="Times New Roman" w:hAnsi="Times New Roman" w:cs="Times New Roman"/>
          <w:lang w:val="en-US" w:eastAsia="zh-CN"/>
        </w:rPr>
      </w:pPr>
      <w:bookmarkStart w:id="315" w:name="_Toc300835233"/>
      <w:bookmarkStart w:id="316" w:name="_Toc271821942"/>
    </w:p>
    <w:p w14:paraId="665E012F">
      <w:pPr>
        <w:pStyle w:val="4"/>
        <w:numPr>
          <w:ilvl w:val="0"/>
          <w:numId w:val="0"/>
        </w:numPr>
        <w:jc w:val="center"/>
        <w:rPr>
          <w:rFonts w:hint="eastAsia" w:ascii="Times New Roman" w:hAnsi="Times New Roman" w:cs="Times New Roman"/>
          <w:lang w:val="en-US" w:eastAsia="zh-CN"/>
        </w:rPr>
      </w:pPr>
    </w:p>
    <w:p w14:paraId="1E5B7EEB">
      <w:pPr>
        <w:pStyle w:val="4"/>
        <w:numPr>
          <w:ilvl w:val="0"/>
          <w:numId w:val="0"/>
        </w:numPr>
        <w:jc w:val="center"/>
        <w:rPr>
          <w:rFonts w:hint="default" w:ascii="Times New Roman" w:hAnsi="Times New Roman" w:cs="Times New Roman"/>
          <w:lang w:val="en-US" w:eastAsia="zh-CN"/>
        </w:rPr>
      </w:pPr>
      <w:r>
        <w:rPr>
          <w:rFonts w:hint="eastAsia" w:ascii="Times New Roman" w:hAnsi="Times New Roman" w:cs="Times New Roman"/>
          <w:lang w:val="en-US" w:eastAsia="zh-CN"/>
        </w:rPr>
        <w:t>十</w:t>
      </w:r>
      <w:r>
        <w:rPr>
          <w:rFonts w:hint="default" w:ascii="Times New Roman" w:hAnsi="Times New Roman" w:cs="Times New Roman"/>
          <w:lang w:val="en-US" w:eastAsia="zh-CN"/>
        </w:rPr>
        <w:t>、其他资料</w:t>
      </w:r>
      <w:bookmarkEnd w:id="315"/>
      <w:bookmarkEnd w:id="31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8631DE63-4269-4E30-861F-7A12E15B8587}"/>
  </w:font>
  <w:font w:name="Arial">
    <w:panose1 w:val="020B0604020202020204"/>
    <w:charset w:val="01"/>
    <w:family w:val="swiss"/>
    <w:pitch w:val="default"/>
    <w:sig w:usb0="E0002EFF" w:usb1="C000785B" w:usb2="00000009" w:usb3="00000000" w:csb0="400001FF" w:csb1="FFFF0000"/>
    <w:embedRegular r:id="rId2" w:fontKey="{12BAF43A-7FC7-4832-A0C7-6156542F192B}"/>
  </w:font>
  <w:font w:name="黑体">
    <w:panose1 w:val="02010609060101010101"/>
    <w:charset w:val="86"/>
    <w:family w:val="auto"/>
    <w:pitch w:val="default"/>
    <w:sig w:usb0="800002BF" w:usb1="38CF7CFA" w:usb2="00000016" w:usb3="00000000" w:csb0="00040001" w:csb1="00000000"/>
    <w:embedRegular r:id="rId3" w:fontKey="{EDF90042-B68F-4195-9AB8-07E68E31121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0BFAE514-F576-4C04-A884-98F092AE0895}"/>
  </w:font>
  <w:font w:name="仿宋_GB2312">
    <w:panose1 w:val="02010609030101010101"/>
    <w:charset w:val="86"/>
    <w:family w:val="modern"/>
    <w:pitch w:val="default"/>
    <w:sig w:usb0="00000001" w:usb1="080E0000" w:usb2="00000000" w:usb3="00000000" w:csb0="00040000" w:csb1="00000000"/>
    <w:embedRegular r:id="rId5" w:fontKey="{5F322562-9F3E-42EA-BE29-AD1C359CD079}"/>
  </w:font>
  <w:font w:name="方正小标宋简体">
    <w:panose1 w:val="03000509000000000000"/>
    <w:charset w:val="86"/>
    <w:family w:val="auto"/>
    <w:pitch w:val="default"/>
    <w:sig w:usb0="00000001" w:usb1="080E0000" w:usb2="00000000" w:usb3="00000000" w:csb0="00040000" w:csb1="00000000"/>
    <w:embedRegular r:id="rId6" w:fontKey="{E58AE4C5-1B79-41F8-AD21-0089AD7D186D}"/>
  </w:font>
  <w:font w:name="楷体">
    <w:panose1 w:val="02010609060101010101"/>
    <w:charset w:val="86"/>
    <w:family w:val="auto"/>
    <w:pitch w:val="default"/>
    <w:sig w:usb0="800002BF" w:usb1="38CF7CFA" w:usb2="00000016" w:usb3="00000000" w:csb0="00040001" w:csb1="00000000"/>
    <w:embedRegular r:id="rId7" w:fontKey="{CCC98E31-CCA1-4A24-904E-845B8B8F5244}"/>
  </w:font>
  <w:font w:name="方正仿宋_GB2312">
    <w:panose1 w:val="02000000000000000000"/>
    <w:charset w:val="86"/>
    <w:family w:val="auto"/>
    <w:pitch w:val="default"/>
    <w:sig w:usb0="A00002BF" w:usb1="184F6CFA" w:usb2="00000012" w:usb3="00000000" w:csb0="00040001" w:csb1="00000000"/>
    <w:embedRegular r:id="rId8" w:fontKey="{4C405049-B653-4A48-9B37-4F310928F488}"/>
  </w:font>
  <w:font w:name="仿宋">
    <w:panose1 w:val="02010609060101010101"/>
    <w:charset w:val="86"/>
    <w:family w:val="modern"/>
    <w:pitch w:val="default"/>
    <w:sig w:usb0="800002BF" w:usb1="38CF7CFA" w:usb2="00000016" w:usb3="00000000" w:csb0="00040001" w:csb1="00000000"/>
    <w:embedRegular r:id="rId9" w:fontKey="{3261EF51-6CB7-4D75-A319-DF48B68E777D}"/>
  </w:font>
  <w:font w:name="WPSEMBED3">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AAA458"/>
    <w:multiLevelType w:val="singleLevel"/>
    <w:tmpl w:val="CEAAA458"/>
    <w:lvl w:ilvl="0" w:tentative="0">
      <w:start w:val="2"/>
      <w:numFmt w:val="decimal"/>
      <w:suff w:val="nothing"/>
      <w:lvlText w:val="%1、"/>
      <w:lvlJc w:val="left"/>
    </w:lvl>
  </w:abstractNum>
  <w:abstractNum w:abstractNumId="1">
    <w:nsid w:val="EA5A7CA3"/>
    <w:multiLevelType w:val="singleLevel"/>
    <w:tmpl w:val="EA5A7CA3"/>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9"/>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15EA1"/>
    <w:rsid w:val="006C14A9"/>
    <w:rsid w:val="00733B0B"/>
    <w:rsid w:val="00764376"/>
    <w:rsid w:val="00796B76"/>
    <w:rsid w:val="00813A17"/>
    <w:rsid w:val="00850CC0"/>
    <w:rsid w:val="00877F19"/>
    <w:rsid w:val="00B00F2F"/>
    <w:rsid w:val="00B71F65"/>
    <w:rsid w:val="00E24826"/>
    <w:rsid w:val="00F9432B"/>
    <w:rsid w:val="00FF308E"/>
    <w:rsid w:val="010E1D00"/>
    <w:rsid w:val="01115B19"/>
    <w:rsid w:val="01180B1A"/>
    <w:rsid w:val="011959AD"/>
    <w:rsid w:val="011E6004"/>
    <w:rsid w:val="01311D17"/>
    <w:rsid w:val="01423F24"/>
    <w:rsid w:val="0145105E"/>
    <w:rsid w:val="018C519F"/>
    <w:rsid w:val="019846E3"/>
    <w:rsid w:val="01AA1AC9"/>
    <w:rsid w:val="01B6046E"/>
    <w:rsid w:val="01B666C0"/>
    <w:rsid w:val="01CB0CDF"/>
    <w:rsid w:val="01CD2334"/>
    <w:rsid w:val="01E140D3"/>
    <w:rsid w:val="01EE4D0C"/>
    <w:rsid w:val="01F16263"/>
    <w:rsid w:val="02016132"/>
    <w:rsid w:val="0212370C"/>
    <w:rsid w:val="021D348F"/>
    <w:rsid w:val="022A6766"/>
    <w:rsid w:val="026E5FAB"/>
    <w:rsid w:val="02892727"/>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04493"/>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7608B0"/>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43000"/>
    <w:rsid w:val="07972327"/>
    <w:rsid w:val="07A85930"/>
    <w:rsid w:val="07B0770E"/>
    <w:rsid w:val="07B408D7"/>
    <w:rsid w:val="07D63653"/>
    <w:rsid w:val="07EE56D8"/>
    <w:rsid w:val="07F65A68"/>
    <w:rsid w:val="081608A9"/>
    <w:rsid w:val="08294E5C"/>
    <w:rsid w:val="082D0DDC"/>
    <w:rsid w:val="08346591"/>
    <w:rsid w:val="083726B7"/>
    <w:rsid w:val="083B791F"/>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73D0C"/>
    <w:rsid w:val="08E92ED7"/>
    <w:rsid w:val="08ED571D"/>
    <w:rsid w:val="08F33D56"/>
    <w:rsid w:val="08F53A28"/>
    <w:rsid w:val="09013E16"/>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1336AF"/>
    <w:rsid w:val="0D1D3973"/>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DE95727"/>
    <w:rsid w:val="0E053AB5"/>
    <w:rsid w:val="0E093A81"/>
    <w:rsid w:val="0E1201C4"/>
    <w:rsid w:val="0E2844A2"/>
    <w:rsid w:val="0E323572"/>
    <w:rsid w:val="0E35096D"/>
    <w:rsid w:val="0E3C08A3"/>
    <w:rsid w:val="0E4868F2"/>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404B7"/>
    <w:rsid w:val="1069417C"/>
    <w:rsid w:val="106C1E4B"/>
    <w:rsid w:val="10772B1E"/>
    <w:rsid w:val="108A23D3"/>
    <w:rsid w:val="108A24B6"/>
    <w:rsid w:val="108D506C"/>
    <w:rsid w:val="1095135B"/>
    <w:rsid w:val="10CD621A"/>
    <w:rsid w:val="10D35E97"/>
    <w:rsid w:val="110805BA"/>
    <w:rsid w:val="11114551"/>
    <w:rsid w:val="1122167C"/>
    <w:rsid w:val="112269D1"/>
    <w:rsid w:val="112C42A9"/>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45C35"/>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3E22ED"/>
    <w:rsid w:val="13417410"/>
    <w:rsid w:val="134A448A"/>
    <w:rsid w:val="134F427F"/>
    <w:rsid w:val="134F7EA7"/>
    <w:rsid w:val="135107A8"/>
    <w:rsid w:val="136066CF"/>
    <w:rsid w:val="13657E31"/>
    <w:rsid w:val="136C3340"/>
    <w:rsid w:val="137E368F"/>
    <w:rsid w:val="1387094F"/>
    <w:rsid w:val="138D7D05"/>
    <w:rsid w:val="13900507"/>
    <w:rsid w:val="139C08EB"/>
    <w:rsid w:val="13D35238"/>
    <w:rsid w:val="13D81B1F"/>
    <w:rsid w:val="14061B66"/>
    <w:rsid w:val="14143273"/>
    <w:rsid w:val="14165942"/>
    <w:rsid w:val="142B5FE2"/>
    <w:rsid w:val="14327E28"/>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4FA3315"/>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7EE7D48"/>
    <w:rsid w:val="18057602"/>
    <w:rsid w:val="18175D56"/>
    <w:rsid w:val="18197F61"/>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1D93"/>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4433A"/>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06AD2"/>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74376"/>
    <w:rsid w:val="201E585F"/>
    <w:rsid w:val="2049266D"/>
    <w:rsid w:val="204F1D62"/>
    <w:rsid w:val="20534B67"/>
    <w:rsid w:val="20557DC5"/>
    <w:rsid w:val="205A5C16"/>
    <w:rsid w:val="205B7D6A"/>
    <w:rsid w:val="2061066F"/>
    <w:rsid w:val="207C33EE"/>
    <w:rsid w:val="207E5B72"/>
    <w:rsid w:val="207E6748"/>
    <w:rsid w:val="20804155"/>
    <w:rsid w:val="2081342E"/>
    <w:rsid w:val="20916A79"/>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202F4"/>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41056"/>
    <w:rsid w:val="28DA521F"/>
    <w:rsid w:val="28FA546B"/>
    <w:rsid w:val="28FE025E"/>
    <w:rsid w:val="290165BA"/>
    <w:rsid w:val="290F02E0"/>
    <w:rsid w:val="29245F1A"/>
    <w:rsid w:val="29366359"/>
    <w:rsid w:val="293D4E4D"/>
    <w:rsid w:val="294066EC"/>
    <w:rsid w:val="29586D7A"/>
    <w:rsid w:val="29772B51"/>
    <w:rsid w:val="29791894"/>
    <w:rsid w:val="29802F8C"/>
    <w:rsid w:val="29836AE4"/>
    <w:rsid w:val="2984235F"/>
    <w:rsid w:val="2984482A"/>
    <w:rsid w:val="29891E41"/>
    <w:rsid w:val="29967FD2"/>
    <w:rsid w:val="29A52D8F"/>
    <w:rsid w:val="29A948BE"/>
    <w:rsid w:val="29C56C3A"/>
    <w:rsid w:val="29D85278"/>
    <w:rsid w:val="29E1380C"/>
    <w:rsid w:val="29E277A3"/>
    <w:rsid w:val="29E85046"/>
    <w:rsid w:val="2A017BFD"/>
    <w:rsid w:val="2A0A71F8"/>
    <w:rsid w:val="2A1B62D1"/>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23931"/>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76126"/>
    <w:rsid w:val="2CBC136A"/>
    <w:rsid w:val="2CCE2260"/>
    <w:rsid w:val="2CD23AFF"/>
    <w:rsid w:val="2CD47877"/>
    <w:rsid w:val="2CD755B9"/>
    <w:rsid w:val="2CED26E7"/>
    <w:rsid w:val="2CF070E3"/>
    <w:rsid w:val="2CFE607B"/>
    <w:rsid w:val="2D095409"/>
    <w:rsid w:val="2D0F6B01"/>
    <w:rsid w:val="2D1C4D7A"/>
    <w:rsid w:val="2D1E755B"/>
    <w:rsid w:val="2D3A3199"/>
    <w:rsid w:val="2D483B07"/>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B6172"/>
    <w:rsid w:val="2E9C6490"/>
    <w:rsid w:val="2EA109C3"/>
    <w:rsid w:val="2EA40069"/>
    <w:rsid w:val="2EA9088F"/>
    <w:rsid w:val="2EAA3B87"/>
    <w:rsid w:val="2EB66E96"/>
    <w:rsid w:val="2EBC23A0"/>
    <w:rsid w:val="2EE31FF3"/>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6B"/>
    <w:rsid w:val="33CF2056"/>
    <w:rsid w:val="33D4661F"/>
    <w:rsid w:val="33ED39C2"/>
    <w:rsid w:val="3402309A"/>
    <w:rsid w:val="340F56DE"/>
    <w:rsid w:val="342235BE"/>
    <w:rsid w:val="3425597D"/>
    <w:rsid w:val="342804A8"/>
    <w:rsid w:val="342A5DF5"/>
    <w:rsid w:val="34331D5F"/>
    <w:rsid w:val="343819DA"/>
    <w:rsid w:val="344851FD"/>
    <w:rsid w:val="346A0AC1"/>
    <w:rsid w:val="34780CCB"/>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46B3A"/>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52D23"/>
    <w:rsid w:val="370F2E93"/>
    <w:rsid w:val="370F32ED"/>
    <w:rsid w:val="372D30A2"/>
    <w:rsid w:val="372F1B4E"/>
    <w:rsid w:val="374A5928"/>
    <w:rsid w:val="374E35E0"/>
    <w:rsid w:val="37560CC6"/>
    <w:rsid w:val="37731F43"/>
    <w:rsid w:val="377C2FE5"/>
    <w:rsid w:val="378C0D4E"/>
    <w:rsid w:val="378D0CEB"/>
    <w:rsid w:val="378D4552"/>
    <w:rsid w:val="37940B89"/>
    <w:rsid w:val="379A026D"/>
    <w:rsid w:val="37A2207E"/>
    <w:rsid w:val="37A2434F"/>
    <w:rsid w:val="37B160EC"/>
    <w:rsid w:val="37C302B3"/>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42258"/>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8F1281"/>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794BCF"/>
    <w:rsid w:val="3B8004C1"/>
    <w:rsid w:val="3B81506E"/>
    <w:rsid w:val="3B8561E0"/>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542ED"/>
    <w:rsid w:val="3C4A12AD"/>
    <w:rsid w:val="3C5125FC"/>
    <w:rsid w:val="3C690ECB"/>
    <w:rsid w:val="3C720E5A"/>
    <w:rsid w:val="3C7921E9"/>
    <w:rsid w:val="3C7F70D3"/>
    <w:rsid w:val="3C850B8E"/>
    <w:rsid w:val="3C860AC6"/>
    <w:rsid w:val="3C8967A4"/>
    <w:rsid w:val="3C960BC8"/>
    <w:rsid w:val="3C9848A1"/>
    <w:rsid w:val="3C991F43"/>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9F42C5"/>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670862"/>
    <w:rsid w:val="41761D35"/>
    <w:rsid w:val="417843F2"/>
    <w:rsid w:val="41807B75"/>
    <w:rsid w:val="41864563"/>
    <w:rsid w:val="418A1799"/>
    <w:rsid w:val="41A61C3F"/>
    <w:rsid w:val="41B17185"/>
    <w:rsid w:val="41C40721"/>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96725"/>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1E392D"/>
    <w:rsid w:val="45245377"/>
    <w:rsid w:val="453F207E"/>
    <w:rsid w:val="454276A8"/>
    <w:rsid w:val="454513E5"/>
    <w:rsid w:val="45465AD9"/>
    <w:rsid w:val="45552589"/>
    <w:rsid w:val="457C4AF8"/>
    <w:rsid w:val="458759CA"/>
    <w:rsid w:val="45A100BA"/>
    <w:rsid w:val="45A1630C"/>
    <w:rsid w:val="45A31600"/>
    <w:rsid w:val="45A51959"/>
    <w:rsid w:val="45C344D5"/>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933EA7"/>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6076C"/>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3E7136"/>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9326C8"/>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752228"/>
    <w:rsid w:val="4B810772"/>
    <w:rsid w:val="4B8464B4"/>
    <w:rsid w:val="4B895879"/>
    <w:rsid w:val="4B8E3DC5"/>
    <w:rsid w:val="4BB21AF4"/>
    <w:rsid w:val="4BB54107"/>
    <w:rsid w:val="4BB67EEE"/>
    <w:rsid w:val="4BD17814"/>
    <w:rsid w:val="4BDC5109"/>
    <w:rsid w:val="4BE84FA7"/>
    <w:rsid w:val="4BF70C92"/>
    <w:rsid w:val="4BFB5105"/>
    <w:rsid w:val="4BFD0513"/>
    <w:rsid w:val="4C005E77"/>
    <w:rsid w:val="4C0D2006"/>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587BF8"/>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DA0BDC"/>
    <w:rsid w:val="51EB5979"/>
    <w:rsid w:val="5219226D"/>
    <w:rsid w:val="521A0101"/>
    <w:rsid w:val="52241967"/>
    <w:rsid w:val="52263E21"/>
    <w:rsid w:val="52267BB8"/>
    <w:rsid w:val="522851B7"/>
    <w:rsid w:val="522D1CB6"/>
    <w:rsid w:val="523302EC"/>
    <w:rsid w:val="52410C5B"/>
    <w:rsid w:val="52444C58"/>
    <w:rsid w:val="5247522A"/>
    <w:rsid w:val="52481FEA"/>
    <w:rsid w:val="524E0600"/>
    <w:rsid w:val="525070F0"/>
    <w:rsid w:val="52595FA5"/>
    <w:rsid w:val="5263075C"/>
    <w:rsid w:val="52660A26"/>
    <w:rsid w:val="52691F60"/>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AD6E2A"/>
    <w:rsid w:val="54C41B11"/>
    <w:rsid w:val="54C92123"/>
    <w:rsid w:val="54D45DB6"/>
    <w:rsid w:val="55094F55"/>
    <w:rsid w:val="550E49C6"/>
    <w:rsid w:val="55124B31"/>
    <w:rsid w:val="55160C9A"/>
    <w:rsid w:val="55264138"/>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23F55"/>
    <w:rsid w:val="58E249A7"/>
    <w:rsid w:val="58E8415E"/>
    <w:rsid w:val="58ED1995"/>
    <w:rsid w:val="58ED4BF9"/>
    <w:rsid w:val="58FB7E18"/>
    <w:rsid w:val="58FF1A45"/>
    <w:rsid w:val="591578E8"/>
    <w:rsid w:val="591C41D0"/>
    <w:rsid w:val="591C580B"/>
    <w:rsid w:val="5926497A"/>
    <w:rsid w:val="59271254"/>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CC5A39"/>
    <w:rsid w:val="5BD32897"/>
    <w:rsid w:val="5BD448EE"/>
    <w:rsid w:val="5BF50A44"/>
    <w:rsid w:val="5BF84A80"/>
    <w:rsid w:val="5C277114"/>
    <w:rsid w:val="5C295CCC"/>
    <w:rsid w:val="5C330FDC"/>
    <w:rsid w:val="5C381A3A"/>
    <w:rsid w:val="5C5C135C"/>
    <w:rsid w:val="5C836F26"/>
    <w:rsid w:val="5C872DAA"/>
    <w:rsid w:val="5C8D7EFB"/>
    <w:rsid w:val="5C974816"/>
    <w:rsid w:val="5CA00C74"/>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B71BD"/>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6F1B70"/>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3D98"/>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741B1"/>
    <w:rsid w:val="618A70BC"/>
    <w:rsid w:val="618D5E50"/>
    <w:rsid w:val="61963F6D"/>
    <w:rsid w:val="619D39D4"/>
    <w:rsid w:val="61B03707"/>
    <w:rsid w:val="61B5679F"/>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4E653B"/>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4218B"/>
    <w:rsid w:val="642503DD"/>
    <w:rsid w:val="64591E34"/>
    <w:rsid w:val="647527CB"/>
    <w:rsid w:val="647C3D75"/>
    <w:rsid w:val="648A0F84"/>
    <w:rsid w:val="648E4974"/>
    <w:rsid w:val="648F4377"/>
    <w:rsid w:val="64994927"/>
    <w:rsid w:val="649E65A7"/>
    <w:rsid w:val="64A532CB"/>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4F2C5C"/>
    <w:rsid w:val="655A5E64"/>
    <w:rsid w:val="656A4332"/>
    <w:rsid w:val="65733372"/>
    <w:rsid w:val="65744876"/>
    <w:rsid w:val="65772C72"/>
    <w:rsid w:val="657845AE"/>
    <w:rsid w:val="6579224B"/>
    <w:rsid w:val="657C58B7"/>
    <w:rsid w:val="65991D3E"/>
    <w:rsid w:val="659E280B"/>
    <w:rsid w:val="65B74A52"/>
    <w:rsid w:val="65BD55BD"/>
    <w:rsid w:val="65C53449"/>
    <w:rsid w:val="65C77271"/>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2787F"/>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434E61"/>
    <w:rsid w:val="697E7396"/>
    <w:rsid w:val="69A009FE"/>
    <w:rsid w:val="69A729C5"/>
    <w:rsid w:val="69B47B0D"/>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913F7"/>
    <w:rsid w:val="6A8F1913"/>
    <w:rsid w:val="6A995680"/>
    <w:rsid w:val="6ABC3292"/>
    <w:rsid w:val="6ABE0C43"/>
    <w:rsid w:val="6AC04F0B"/>
    <w:rsid w:val="6AD00976"/>
    <w:rsid w:val="6AD34458"/>
    <w:rsid w:val="6AD77F57"/>
    <w:rsid w:val="6ADC4801"/>
    <w:rsid w:val="6ADF25FC"/>
    <w:rsid w:val="6AEF704E"/>
    <w:rsid w:val="6AF01018"/>
    <w:rsid w:val="6AF97ECD"/>
    <w:rsid w:val="6B020CD0"/>
    <w:rsid w:val="6B1148AC"/>
    <w:rsid w:val="6B1E16E2"/>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F7893"/>
    <w:rsid w:val="6B85210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463172"/>
    <w:rsid w:val="6D6103FD"/>
    <w:rsid w:val="6D632F47"/>
    <w:rsid w:val="6D6A2DB3"/>
    <w:rsid w:val="6D6A69AA"/>
    <w:rsid w:val="6D79127B"/>
    <w:rsid w:val="6D797894"/>
    <w:rsid w:val="6D832281"/>
    <w:rsid w:val="6D87693B"/>
    <w:rsid w:val="6D97577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6726CD"/>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DB4045"/>
    <w:rsid w:val="6FE23626"/>
    <w:rsid w:val="6FEB7EFB"/>
    <w:rsid w:val="700148B1"/>
    <w:rsid w:val="700708F2"/>
    <w:rsid w:val="70262445"/>
    <w:rsid w:val="70473489"/>
    <w:rsid w:val="7054057E"/>
    <w:rsid w:val="7072258D"/>
    <w:rsid w:val="70796EB7"/>
    <w:rsid w:val="70846EFD"/>
    <w:rsid w:val="70891E2B"/>
    <w:rsid w:val="709304FC"/>
    <w:rsid w:val="70AE27E3"/>
    <w:rsid w:val="70B21D55"/>
    <w:rsid w:val="70BA4068"/>
    <w:rsid w:val="70CA396B"/>
    <w:rsid w:val="70CB5E68"/>
    <w:rsid w:val="70DC6A2E"/>
    <w:rsid w:val="70F06D61"/>
    <w:rsid w:val="70F36F46"/>
    <w:rsid w:val="70F52EE5"/>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1E4648"/>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71C35"/>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4688B"/>
    <w:rsid w:val="756819EF"/>
    <w:rsid w:val="75A16A9F"/>
    <w:rsid w:val="75A35605"/>
    <w:rsid w:val="75BC6CCF"/>
    <w:rsid w:val="75C630A2"/>
    <w:rsid w:val="75E27D49"/>
    <w:rsid w:val="760E140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10762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0E3521"/>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CF95B0B"/>
    <w:rsid w:val="7D050953"/>
    <w:rsid w:val="7D0A0BA4"/>
    <w:rsid w:val="7D107AF3"/>
    <w:rsid w:val="7D1307C6"/>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030EC3"/>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 w:type="paragraph" w:customStyle="1" w:styleId="29">
    <w:name w:val="Table Text"/>
    <w:basedOn w:val="1"/>
    <w:semiHidden/>
    <w:qFormat/>
    <w:uiPriority w:val="0"/>
    <w:rPr>
      <w:rFonts w:ascii="宋体" w:hAnsi="宋体" w:eastAsia="宋体" w:cs="宋体"/>
      <w:sz w:val="21"/>
      <w:szCs w:val="21"/>
      <w:lang w:val="en-US" w:eastAsia="en-US" w:bidi="ar-SA"/>
    </w:rPr>
  </w:style>
  <w:style w:type="table" w:customStyle="1" w:styleId="3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15067</Words>
  <Characters>16007</Characters>
  <Lines>0</Lines>
  <Paragraphs>0</Paragraphs>
  <TotalTime>22</TotalTime>
  <ScaleCrop>false</ScaleCrop>
  <LinksUpToDate>false</LinksUpToDate>
  <CharactersWithSpaces>17163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2025-12-08T07:37:00Z</cp:lastPrinted>
  <dcterms:modified xsi:type="dcterms:W3CDTF">2025-12-31T08:47:43Z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