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安车集团物业服务采购项目（二次）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9D4E15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012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3B177B6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B9E47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14:paraId="2935F2F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月30日</w:t>
      </w:r>
      <w:permEnd w:id="2"/>
    </w:p>
    <w:p w14:paraId="3EC8FA4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u w:val="none"/>
          <w:lang w:val="en-US" w:eastAsia="zh-CN"/>
        </w:rPr>
        <w:t>安车集团物业服务采购项目（二次）</w:t>
      </w:r>
      <w:r>
        <w:rPr>
          <w:rFonts w:hint="eastAsia" w:ascii="Times New Roman" w:hAnsi="Times New Roman" w:eastAsia="黑体" w:cs="Times New Roman"/>
          <w:sz w:val="28"/>
          <w:szCs w:val="28"/>
          <w:highlight w:val="none"/>
          <w:lang w:val="en-US" w:eastAsia="zh-CN"/>
        </w:rPr>
        <w:t>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52042295"/>
      <w:bookmarkStart w:id="2" w:name="_Toc144974487"/>
      <w:bookmarkStart w:id="3" w:name="_Toc296602410"/>
      <w:bookmarkStart w:id="4" w:name="_Toc246996909"/>
      <w:bookmarkStart w:id="5" w:name="_Toc152045519"/>
      <w:bookmarkStart w:id="6" w:name="_Toc247085680"/>
      <w:bookmarkStart w:id="7" w:name="_Toc246996166"/>
      <w:r>
        <w:rPr>
          <w:rFonts w:hint="eastAsia" w:ascii="宋体" w:hAnsi="宋体" w:eastAsia="宋体" w:cs="宋体"/>
          <w:sz w:val="28"/>
          <w:szCs w:val="28"/>
          <w:highlight w:val="none"/>
          <w:u w:val="single"/>
          <w:lang w:val="en-US" w:eastAsia="zh-CN"/>
        </w:rPr>
        <w:t>安车集团物业服务采购项目（二次）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152045520"/>
      <w:bookmarkStart w:id="10" w:name="_Toc247085681"/>
      <w:bookmarkStart w:id="11" w:name="_Toc179632537"/>
      <w:bookmarkStart w:id="12" w:name="_Toc246996167"/>
      <w:bookmarkStart w:id="13" w:name="_Toc296602411"/>
      <w:bookmarkStart w:id="14" w:name="_Toc246996910"/>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sz w:val="28"/>
          <w:szCs w:val="28"/>
          <w:highlight w:val="none"/>
          <w:u w:val="single"/>
          <w:lang w:val="en-US" w:eastAsia="zh-CN"/>
        </w:rPr>
        <w:t>安车集团物业服务采购项目（二次）</w:t>
      </w:r>
      <w:r>
        <w:rPr>
          <w:rFonts w:hint="eastAsia" w:asciiTheme="minorEastAsia" w:hAnsiTheme="minorEastAsia" w:eastAsiaTheme="minorEastAsia" w:cstheme="minorEastAsia"/>
          <w:sz w:val="28"/>
          <w:szCs w:val="28"/>
          <w:highlight w:val="none"/>
          <w:lang w:val="en-US" w:eastAsia="zh-CN"/>
        </w:rPr>
        <w:t xml:space="preserve">  </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01</w:t>
      </w:r>
      <w:r>
        <w:rPr>
          <w:rFonts w:hint="eastAsia" w:ascii="宋体" w:hAnsi="宋体" w:eastAsia="宋体" w:cs="宋体"/>
          <w:sz w:val="28"/>
          <w:szCs w:val="28"/>
          <w:highlight w:val="none"/>
          <w:u w:val="single"/>
          <w:lang w:val="en-US" w:eastAsia="zh-CN"/>
        </w:rPr>
        <w:t>2号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安徽省安车交通运输集团有限公司</w:t>
      </w:r>
      <w:r>
        <w:rPr>
          <w:rFonts w:hint="eastAsia" w:asciiTheme="minorEastAsia" w:hAnsiTheme="minorEastAsia" w:cstheme="minorEastAsia"/>
          <w:color w:val="FF0000"/>
          <w:sz w:val="28"/>
          <w:szCs w:val="28"/>
          <w:highlight w:val="none"/>
          <w:lang w:val="en-US" w:eastAsia="zh-CN"/>
        </w:rPr>
        <w:t xml:space="preserve"> </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已落实</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，税率6</w:t>
      </w:r>
      <w:r>
        <w:rPr>
          <w:rFonts w:hint="eastAsia" w:ascii="宋体" w:hAnsi="宋体" w:eastAsia="宋体" w:cs="宋体"/>
          <w:kern w:val="2"/>
          <w:sz w:val="28"/>
          <w:szCs w:val="28"/>
          <w:highlight w:val="none"/>
          <w:lang w:val="en-US" w:eastAsia="zh-CN" w:bidi="ar-SA"/>
        </w:rPr>
        <w:t>%）：</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291600元</w:t>
      </w:r>
      <w:r>
        <w:rPr>
          <w:rFonts w:hint="eastAsia" w:asciiTheme="minorEastAsia" w:hAnsiTheme="minorEastAsia" w:eastAsiaTheme="minorEastAsia" w:cstheme="minorEastAsia"/>
          <w:sz w:val="28"/>
          <w:szCs w:val="28"/>
          <w:highlight w:val="none"/>
          <w:u w:val="single"/>
          <w:lang w:val="en-US" w:eastAsia="zh-CN"/>
        </w:rPr>
        <w:t xml:space="preserve"> </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0"/>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D55487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为提高安车集团物业管理服务质量，提升公司整体形象，现需采购物业服务，主要服务区域包括安车集团本部办公楼及室外区域、安行天下驾校训练场、安行天下培训学校办公楼、安源检测站办公楼及室外区域、安天汽贸公司办公区域等。</w:t>
      </w:r>
    </w:p>
    <w:p w14:paraId="5DC5C7D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为采购人及其子公司提供物业服务，包括但不限于物业服务区域内的保洁、秩序维护等。具体工作内容详见第五章采购需求。</w:t>
      </w:r>
    </w:p>
    <w:permEnd w:id="11"/>
    <w:p w14:paraId="4F4CF94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permStart w:id="12" w:edGrp="everyone"/>
      <w:r>
        <w:rPr>
          <w:rFonts w:hint="eastAsia" w:asciiTheme="minorEastAsia" w:hAnsiTheme="minorEastAsia" w:cstheme="minorEastAsia"/>
          <w:sz w:val="28"/>
          <w:szCs w:val="28"/>
          <w:highlight w:val="none"/>
          <w:lang w:val="en-US" w:eastAsia="zh-CN"/>
        </w:rPr>
        <w:t xml:space="preserve">自合同签订之日起3年，合同一年一签。 </w:t>
      </w:r>
      <w:r>
        <w:rPr>
          <w:rFonts w:hint="eastAsia" w:asciiTheme="minorEastAsia" w:hAnsiTheme="minorEastAsia" w:eastAsiaTheme="minorEastAsia" w:cstheme="minorEastAsia"/>
          <w:sz w:val="28"/>
          <w:szCs w:val="28"/>
          <w:highlight w:val="none"/>
          <w:lang w:val="en-US" w:eastAsia="zh-CN"/>
        </w:rPr>
        <w:t xml:space="preserve"> </w:t>
      </w:r>
      <w:permEnd w:id="12"/>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安车集团（安车本部、安行天下、安源检测）</w:t>
      </w:r>
      <w:permEnd w:id="13"/>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符合国家、地方、行业现行相关规范合格标准，符合招标文件第五章采购需求。</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cstheme="minorEastAsia"/>
          <w:sz w:val="28"/>
          <w:szCs w:val="28"/>
          <w:highlight w:val="none"/>
          <w:lang w:val="en-US" w:eastAsia="zh-CN"/>
        </w:rPr>
        <w:t>独立承担民事责任的能力</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人员要求：详见第五章采购需求；</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2023</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6" w:edGrp="everyone"/>
      <w:r>
        <w:rPr>
          <w:rFonts w:hint="eastAsia" w:asciiTheme="minorEastAsia" w:hAnsiTheme="minorEastAsia" w:cstheme="minorEastAsia"/>
          <w:sz w:val="28"/>
          <w:szCs w:val="28"/>
          <w:highlight w:val="none"/>
          <w:u w:val="single"/>
          <w:lang w:val="en-US" w:eastAsia="zh-CN"/>
        </w:rPr>
        <w:t>1</w:t>
      </w:r>
      <w:permEnd w:id="16"/>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u w:val="single"/>
          <w:lang w:val="en-US" w:eastAsia="zh-CN"/>
        </w:rPr>
        <w:t>单个20万元以上物业服务项目</w:t>
      </w:r>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8"/>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7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21"/>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2"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2"/>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3000元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61454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安徽省安车交通运输集团有限公司</w:t>
      </w:r>
    </w:p>
    <w:permEnd w:id="24"/>
    <w:p w14:paraId="36396D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5" w:edGrp="everyone"/>
      <w:r>
        <w:rPr>
          <w:rFonts w:hint="eastAsia" w:asciiTheme="minorEastAsia" w:hAnsiTheme="minorEastAsia" w:eastAsiaTheme="minorEastAsia" w:cstheme="minorEastAsia"/>
          <w:sz w:val="28"/>
          <w:szCs w:val="28"/>
          <w:highlight w:val="none"/>
          <w:lang w:val="en-US" w:eastAsia="zh-CN"/>
        </w:rPr>
        <w:t>亳州市高新区银杏路与宋汤河路交叉口</w:t>
      </w:r>
      <w:permEnd w:id="25"/>
    </w:p>
    <w:p w14:paraId="437EC0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14:paraId="0669CC3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14:paraId="699CE53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30</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szCs w:val="21"/>
                <w:highlight w:val="none"/>
                <w:u w:val="single"/>
                <w:lang w:val="en-US" w:eastAsia="zh-CN"/>
              </w:rPr>
              <w:t>2026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月7</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eastAsia" w:ascii="Times New Roman" w:hAnsi="Times New Roman" w:cs="Times New Roman"/>
                <w:color w:val="auto"/>
                <w:szCs w:val="21"/>
                <w:highlight w:val="none"/>
                <w:u w:val="single"/>
                <w:lang w:val="en-US" w:eastAsia="zh-CN"/>
              </w:rPr>
              <w:t>3000元整</w:t>
            </w:r>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6C2F3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安徽省安车交通运输集团有限公司</w:t>
            </w:r>
          </w:p>
          <w:p w14:paraId="0E67407E">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default" w:ascii="Times New Roman" w:hAnsi="Times New Roman" w:cs="Times New Roman"/>
                <w:color w:val="auto"/>
                <w:sz w:val="21"/>
                <w:szCs w:val="21"/>
                <w:highlight w:val="none"/>
              </w:rPr>
              <w:t>中国</w:t>
            </w:r>
            <w:r>
              <w:rPr>
                <w:rFonts w:hint="eastAsia" w:ascii="Times New Roman" w:hAnsi="Times New Roman" w:cs="Times New Roman"/>
                <w:color w:val="auto"/>
                <w:sz w:val="21"/>
                <w:szCs w:val="21"/>
                <w:highlight w:val="none"/>
                <w:lang w:val="en-US" w:eastAsia="zh-CN"/>
              </w:rPr>
              <w:t>工商银行亳州高新区支行</w:t>
            </w:r>
          </w:p>
          <w:p w14:paraId="551647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318061809100024751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ACJT-2025-012号保证金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采购人：安徽省安车交通运输集团有限公司物业服务采购项目（二次）</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安徽省安车交通运输集团有限公司物业服务采购项目（二次）响应文件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 012 </w:t>
            </w:r>
            <w:r>
              <w:rPr>
                <w:rFonts w:hint="eastAsia" w:ascii="Times New Roman" w:hAnsi="Times New Roman" w:cs="Times New Roman"/>
                <w:color w:val="FF0000"/>
                <w:szCs w:val="21"/>
                <w:highlight w:val="none"/>
                <w:u w:val="none"/>
                <w:lang w:val="en-US" w:eastAsia="zh-CN"/>
              </w:rPr>
              <w:t>号</w:t>
            </w:r>
          </w:p>
          <w:p w14:paraId="69BF29E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2026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 </w:t>
            </w:r>
            <w:r>
              <w:rPr>
                <w:rFonts w:hint="eastAsia" w:ascii="Times New Roman" w:hAnsi="Times New Roman" w:cs="Times New Roman"/>
                <w:color w:val="FF0000"/>
                <w:szCs w:val="21"/>
                <w:highlight w:val="none"/>
                <w:u w:val="none"/>
                <w:lang w:val="en-US" w:eastAsia="zh-CN"/>
              </w:rPr>
              <w:t>月7</w:t>
            </w:r>
            <w:bookmarkStart w:id="340" w:name="_GoBack"/>
            <w:bookmarkEnd w:id="340"/>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3D07D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C86A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1E5A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4324D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218039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2EA776A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64C9337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56990542">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安徽省安车交通运输集团有限公司</w:t>
            </w:r>
          </w:p>
          <w:p w14:paraId="5D79D5FC">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default" w:ascii="Times New Roman" w:hAnsi="Times New Roman" w:cs="Times New Roman"/>
                <w:color w:val="auto"/>
                <w:sz w:val="21"/>
                <w:szCs w:val="21"/>
                <w:highlight w:val="none"/>
              </w:rPr>
              <w:t>中国</w:t>
            </w:r>
            <w:r>
              <w:rPr>
                <w:rFonts w:hint="eastAsia" w:ascii="Times New Roman" w:hAnsi="Times New Roman" w:cs="Times New Roman"/>
                <w:color w:val="auto"/>
                <w:sz w:val="21"/>
                <w:szCs w:val="21"/>
                <w:highlight w:val="none"/>
                <w:lang w:val="en-US" w:eastAsia="zh-CN"/>
              </w:rPr>
              <w:t>工商银行亳州高新区支行</w:t>
            </w:r>
          </w:p>
          <w:p w14:paraId="62E237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318061809100024751</w:t>
            </w:r>
          </w:p>
          <w:p w14:paraId="25D0C3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77CFB7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w:t>
            </w:r>
            <w:permEnd w:id="39"/>
          </w:p>
          <w:p w14:paraId="2052C72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 xml:space="preserve"> 3000元整   </w:t>
            </w:r>
            <w:permEnd w:id="40"/>
          </w:p>
          <w:p w14:paraId="67B67EC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项目验收合格后退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1"/>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2"/>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178"/>
      <w:bookmarkStart w:id="17" w:name="_Toc246996921"/>
      <w:bookmarkStart w:id="18" w:name="_Toc144974500"/>
      <w:bookmarkStart w:id="19" w:name="_Toc179632549"/>
      <w:bookmarkStart w:id="20" w:name="_Toc247085692"/>
      <w:bookmarkStart w:id="21" w:name="_Toc296602423"/>
      <w:bookmarkStart w:id="22" w:name="_Toc152045532"/>
      <w:bookmarkStart w:id="23" w:name="_Toc15204230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4"/>
      <w:bookmarkStart w:id="25" w:name="_Toc296602426"/>
      <w:bookmarkStart w:id="26" w:name="_Toc152045536"/>
      <w:bookmarkStart w:id="27" w:name="_Toc246996924"/>
      <w:bookmarkStart w:id="28" w:name="_Toc179632553"/>
      <w:bookmarkStart w:id="29" w:name="_Toc246996181"/>
      <w:bookmarkStart w:id="30" w:name="_Toc247085695"/>
      <w:bookmarkStart w:id="31" w:name="_Toc152042312"/>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5537"/>
      <w:bookmarkStart w:id="34" w:name="_Toc246996925"/>
      <w:bookmarkStart w:id="35" w:name="_Toc152042313"/>
      <w:bookmarkStart w:id="36" w:name="_Toc179632554"/>
      <w:bookmarkStart w:id="37" w:name="_Toc296602427"/>
      <w:bookmarkStart w:id="38" w:name="_Toc246996182"/>
      <w:bookmarkStart w:id="39" w:name="_Toc247085696"/>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183"/>
      <w:bookmarkStart w:id="41" w:name="_Toc179632555"/>
      <w:bookmarkStart w:id="42" w:name="_Toc144974506"/>
      <w:bookmarkStart w:id="43" w:name="_Toc246996926"/>
      <w:bookmarkStart w:id="44" w:name="_Toc152042314"/>
      <w:bookmarkStart w:id="45" w:name="_Toc247085697"/>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79632560"/>
      <w:bookmarkStart w:id="49" w:name="_Toc247085701"/>
      <w:bookmarkStart w:id="50" w:name="_Toc152042318"/>
      <w:bookmarkStart w:id="51" w:name="_Toc246996187"/>
      <w:bookmarkStart w:id="52" w:name="_Toc152045542"/>
      <w:bookmarkStart w:id="53" w:name="_Toc296602432"/>
      <w:bookmarkStart w:id="54" w:name="_Toc14497451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179632561"/>
      <w:bookmarkStart w:id="57" w:name="_Toc296602433"/>
      <w:bookmarkStart w:id="58" w:name="_Toc246996188"/>
      <w:bookmarkStart w:id="59" w:name="_Toc247085702"/>
      <w:bookmarkStart w:id="60" w:name="_Toc246996931"/>
      <w:bookmarkStart w:id="61" w:name="_Toc152042319"/>
      <w:bookmarkStart w:id="62" w:name="_Toc14497451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932"/>
      <w:bookmarkStart w:id="64" w:name="_Toc179632562"/>
      <w:bookmarkStart w:id="65" w:name="_Toc144974512"/>
      <w:bookmarkStart w:id="66" w:name="_Toc152045544"/>
      <w:bookmarkStart w:id="67" w:name="_Toc296602434"/>
      <w:bookmarkStart w:id="68" w:name="_Toc152042320"/>
      <w:bookmarkStart w:id="69" w:name="_Toc246996189"/>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179632563"/>
      <w:bookmarkStart w:id="73" w:name="_Toc247085704"/>
      <w:bookmarkStart w:id="74" w:name="_Toc152042321"/>
      <w:bookmarkStart w:id="75" w:name="_Toc296602435"/>
      <w:bookmarkStart w:id="76" w:name="_Toc246996190"/>
      <w:bookmarkStart w:id="77" w:name="_Toc152045545"/>
      <w:bookmarkStart w:id="78" w:name="_Toc14497451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44974514"/>
      <w:bookmarkStart w:id="80" w:name="_Toc152045546"/>
      <w:bookmarkStart w:id="81" w:name="_Toc246996191"/>
      <w:bookmarkStart w:id="82" w:name="_Toc152042322"/>
      <w:bookmarkStart w:id="83" w:name="_Toc296602436"/>
      <w:bookmarkStart w:id="84" w:name="_Toc247085705"/>
      <w:bookmarkStart w:id="85" w:name="_Toc246996934"/>
      <w:bookmarkStart w:id="86"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179632565"/>
      <w:bookmarkStart w:id="89" w:name="_Toc246996935"/>
      <w:bookmarkStart w:id="90" w:name="_Toc246996192"/>
      <w:bookmarkStart w:id="91" w:name="_Toc247085706"/>
      <w:bookmarkStart w:id="92" w:name="_Toc296602437"/>
      <w:bookmarkStart w:id="93" w:name="_Toc152042323"/>
      <w:bookmarkStart w:id="94"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246996936"/>
      <w:bookmarkStart w:id="97" w:name="_Toc246996193"/>
      <w:bookmarkStart w:id="98" w:name="_Toc179632566"/>
      <w:bookmarkStart w:id="99" w:name="_Toc296602438"/>
      <w:bookmarkStart w:id="100" w:name="_Toc152042324"/>
      <w:bookmarkStart w:id="101" w:name="_Toc152045548"/>
      <w:bookmarkStart w:id="102" w:name="_Toc14497451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79632567"/>
      <w:bookmarkStart w:id="105" w:name="_Toc14497451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96602439"/>
      <w:bookmarkStart w:id="109" w:name="_Toc246996194"/>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247085713"/>
      <w:bookmarkStart w:id="113" w:name="_Toc246996199"/>
      <w:bookmarkStart w:id="114" w:name="_Toc152045555"/>
      <w:bookmarkStart w:id="115" w:name="_Toc296602443"/>
      <w:bookmarkStart w:id="116" w:name="_Toc246996942"/>
      <w:bookmarkStart w:id="117" w:name="_Toc144974523"/>
      <w:bookmarkStart w:id="118" w:name="_Toc152042331"/>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24"/>
      <w:bookmarkStart w:id="120" w:name="_Toc179632574"/>
      <w:bookmarkStart w:id="121" w:name="_Toc296602444"/>
      <w:bookmarkStart w:id="122" w:name="_Toc246996943"/>
      <w:bookmarkStart w:id="123" w:name="_Toc152045556"/>
      <w:bookmarkStart w:id="124" w:name="_Toc152042332"/>
      <w:bookmarkStart w:id="125" w:name="_Toc246996200"/>
      <w:bookmarkStart w:id="126" w:name="_Toc24708571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7085715"/>
      <w:bookmarkStart w:id="128" w:name="_Toc152045557"/>
      <w:bookmarkStart w:id="129" w:name="_Toc152042333"/>
      <w:bookmarkStart w:id="130" w:name="_Toc179632575"/>
      <w:bookmarkStart w:id="131" w:name="_Toc246996944"/>
      <w:bookmarkStart w:id="132" w:name="_Toc246996201"/>
      <w:bookmarkStart w:id="133"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2"/>
      <w:bookmarkStart w:id="135" w:name="_Toc246996945"/>
      <w:bookmarkStart w:id="136" w:name="_Toc152045558"/>
      <w:bookmarkStart w:id="137" w:name="_Toc152042334"/>
      <w:bookmarkStart w:id="138" w:name="_Toc296602446"/>
      <w:bookmarkStart w:id="139" w:name="_Toc144974526"/>
      <w:bookmarkStart w:id="140" w:name="_Toc179632576"/>
      <w:bookmarkStart w:id="141" w:name="_Toc24708571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247085717"/>
      <w:bookmarkStart w:id="144" w:name="_Toc246996946"/>
      <w:bookmarkStart w:id="145" w:name="_Toc179632577"/>
      <w:bookmarkStart w:id="146" w:name="_Toc246996203"/>
      <w:bookmarkStart w:id="147" w:name="_Toc152045559"/>
      <w:bookmarkStart w:id="148" w:name="_Toc144974527"/>
      <w:bookmarkStart w:id="149" w:name="_Toc29660244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6"/>
      <w:bookmarkStart w:id="151" w:name="_Toc246996947"/>
      <w:bookmarkStart w:id="152" w:name="_Toc246996204"/>
      <w:bookmarkStart w:id="153" w:name="_Toc152045560"/>
      <w:bookmarkStart w:id="154" w:name="_Toc144974528"/>
      <w:bookmarkStart w:id="155" w:name="_Toc247085718"/>
      <w:bookmarkStart w:id="156" w:name="_Toc179632578"/>
      <w:bookmarkStart w:id="157"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8"/>
      <w:bookmarkStart w:id="159" w:name="_Toc179632579"/>
      <w:bookmarkStart w:id="160" w:name="_Toc152042337"/>
      <w:bookmarkStart w:id="161" w:name="_Toc247085719"/>
      <w:bookmarkStart w:id="162" w:name="_Toc246996205"/>
      <w:bookmarkStart w:id="163" w:name="_Toc144974529"/>
      <w:bookmarkStart w:id="164" w:name="_Toc152045561"/>
      <w:bookmarkStart w:id="165" w:name="_Toc29660244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247085721"/>
      <w:bookmarkStart w:id="168" w:name="_Toc152045563"/>
      <w:bookmarkStart w:id="169" w:name="_Toc144974531"/>
      <w:bookmarkStart w:id="170" w:name="_Toc246996950"/>
      <w:bookmarkStart w:id="171" w:name="_Toc246996207"/>
      <w:bookmarkStart w:id="172" w:name="_Toc179632581"/>
      <w:bookmarkStart w:id="173" w:name="_Toc296602452"/>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2342"/>
      <w:bookmarkStart w:id="175" w:name="_Toc152045566"/>
      <w:bookmarkStart w:id="176" w:name="_Toc246996953"/>
      <w:bookmarkStart w:id="177" w:name="_Toc144974534"/>
      <w:bookmarkStart w:id="178" w:name="_Toc179632584"/>
      <w:bookmarkStart w:id="179" w:name="_Toc296602455"/>
      <w:bookmarkStart w:id="180" w:name="_Toc246996210"/>
      <w:bookmarkStart w:id="181" w:name="_Toc24708572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2343"/>
      <w:bookmarkStart w:id="183" w:name="_Toc296602456"/>
      <w:bookmarkStart w:id="184" w:name="_Toc246996211"/>
      <w:bookmarkStart w:id="185" w:name="_Toc179632585"/>
      <w:bookmarkStart w:id="186" w:name="_Toc247085725"/>
      <w:bookmarkStart w:id="187" w:name="_Toc152045567"/>
      <w:bookmarkStart w:id="188" w:name="_Toc144974535"/>
      <w:bookmarkStart w:id="189" w:name="_Toc246996954"/>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212"/>
      <w:bookmarkStart w:id="192" w:name="_Toc247085726"/>
      <w:bookmarkStart w:id="193" w:name="_Toc152042344"/>
      <w:bookmarkStart w:id="194" w:name="_Toc152045568"/>
      <w:bookmarkStart w:id="195" w:name="_Toc296602458"/>
      <w:bookmarkStart w:id="196" w:name="_Toc144974536"/>
      <w:bookmarkStart w:id="197" w:name="_Toc179632586"/>
      <w:bookmarkStart w:id="198" w:name="_Toc246996955"/>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5569"/>
      <w:bookmarkStart w:id="200" w:name="_Toc152042345"/>
      <w:bookmarkStart w:id="201" w:name="_Toc296602459"/>
      <w:bookmarkStart w:id="202" w:name="_Toc179632587"/>
      <w:bookmarkStart w:id="203" w:name="_Toc246996213"/>
      <w:bookmarkStart w:id="204" w:name="_Toc246996956"/>
      <w:bookmarkStart w:id="205" w:name="_Toc247085727"/>
      <w:bookmarkStart w:id="206" w:name="_Toc14497453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62"/>
      <w:bookmarkStart w:id="209" w:name="_Toc179632593"/>
      <w:bookmarkStart w:id="210" w:name="_Toc152042351"/>
      <w:bookmarkStart w:id="211" w:name="_Toc246996219"/>
      <w:bookmarkStart w:id="212" w:name="_Toc246996962"/>
      <w:bookmarkStart w:id="213" w:name="_Toc144974543"/>
      <w:bookmarkStart w:id="214" w:name="_Toc152045575"/>
      <w:bookmarkStart w:id="215" w:name="_Toc296590983"/>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44974544"/>
      <w:bookmarkStart w:id="218" w:name="_Toc152045576"/>
      <w:bookmarkStart w:id="219" w:name="_Toc246996220"/>
      <w:bookmarkStart w:id="220" w:name="_Toc179632594"/>
      <w:bookmarkStart w:id="221" w:name="_Toc152042352"/>
      <w:bookmarkStart w:id="222" w:name="_Toc246996963"/>
      <w:bookmarkStart w:id="223" w:name="_Toc296602463"/>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5577"/>
      <w:bookmarkStart w:id="226" w:name="_Toc246996964"/>
      <w:bookmarkStart w:id="227" w:name="_Toc247085735"/>
      <w:bookmarkStart w:id="228" w:name="_Toc296602464"/>
      <w:bookmarkStart w:id="229" w:name="_Toc179632595"/>
      <w:bookmarkStart w:id="230" w:name="_Toc246996221"/>
      <w:bookmarkStart w:id="231" w:name="_Toc144974545"/>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4B3DE613">
      <w:pPr>
        <w:adjustRightInd w:val="0"/>
        <w:snapToGrid w:val="0"/>
        <w:spacing w:line="440" w:lineRule="exact"/>
        <w:jc w:val="left"/>
        <w:rPr>
          <w:rFonts w:ascii="宋体" w:hAnsi="宋体" w:eastAsia="宋体"/>
          <w:b/>
          <w:bCs/>
          <w:snapToGrid/>
          <w:color w:val="auto"/>
          <w:kern w:val="2"/>
          <w:sz w:val="28"/>
          <w:szCs w:val="28"/>
        </w:rPr>
      </w:pPr>
      <w:r>
        <w:rPr>
          <w:rFonts w:hint="eastAsia" w:ascii="宋体" w:hAnsi="宋体" w:eastAsia="宋体"/>
          <w:b/>
          <w:bCs/>
          <w:snapToGrid/>
          <w:color w:val="auto"/>
          <w:kern w:val="2"/>
          <w:sz w:val="28"/>
          <w:szCs w:val="28"/>
          <w:u w:val="single"/>
        </w:rPr>
        <w:t>本项目采用综合评审法</w:t>
      </w:r>
      <w:r>
        <w:rPr>
          <w:rFonts w:hint="eastAsia" w:ascii="宋体" w:hAnsi="宋体" w:eastAsia="宋体"/>
          <w:b/>
          <w:bCs/>
          <w:snapToGrid/>
          <w:color w:val="auto"/>
          <w:kern w:val="2"/>
          <w:sz w:val="28"/>
          <w:szCs w:val="28"/>
        </w:rPr>
        <w:t>。</w:t>
      </w:r>
    </w:p>
    <w:p w14:paraId="344B6E9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宋体" w:hAnsi="宋体"/>
          <w:color w:val="auto"/>
          <w:sz w:val="24"/>
          <w:lang w:val="en-US" w:eastAsia="zh-CN"/>
        </w:rPr>
      </w:pPr>
      <w:r>
        <w:rPr>
          <w:rFonts w:hint="eastAsia" w:ascii="宋体" w:hAnsi="宋体" w:eastAsia="宋体"/>
          <w:snapToGrid/>
          <w:color w:val="auto"/>
          <w:kern w:val="2"/>
          <w:sz w:val="28"/>
          <w:szCs w:val="28"/>
        </w:rPr>
        <w:t>供应商按采购需求要求进行报价的为有效报价。（满分100分，计算过程和结果均保留2为小数。）</w:t>
      </w:r>
    </w:p>
    <w:p w14:paraId="37D98BF8">
      <w:pPr>
        <w:spacing w:line="440" w:lineRule="exact"/>
        <w:rPr>
          <w:rFonts w:hint="eastAsia" w:ascii="宋体" w:hAnsi="宋体"/>
          <w:b/>
          <w:color w:val="auto"/>
          <w:sz w:val="24"/>
        </w:rPr>
      </w:pPr>
    </w:p>
    <w:p w14:paraId="2D757DC6">
      <w:pPr>
        <w:spacing w:line="300" w:lineRule="auto"/>
        <w:jc w:val="center"/>
        <w:rPr>
          <w:rFonts w:ascii="Calibri" w:hAnsi="Calibri" w:eastAsia="宋体" w:cs="Times New Roman"/>
          <w:snapToGrid/>
          <w:color w:val="auto"/>
          <w:kern w:val="2"/>
        </w:rPr>
      </w:pPr>
      <w:r>
        <w:rPr>
          <w:rFonts w:hint="eastAsia" w:ascii="宋体" w:hAnsi="宋体" w:eastAsia="宋体"/>
          <w:b/>
          <w:bCs/>
          <w:snapToGrid/>
          <w:color w:val="auto"/>
          <w:kern w:val="2"/>
        </w:rPr>
        <w:t>综合评审评分细则</w:t>
      </w:r>
    </w:p>
    <w:tbl>
      <w:tblPr>
        <w:tblStyle w:val="16"/>
        <w:tblW w:w="888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297"/>
        <w:gridCol w:w="709"/>
        <w:gridCol w:w="6332"/>
      </w:tblGrid>
      <w:tr w14:paraId="5990E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546" w:type="dxa"/>
            <w:tcBorders>
              <w:top w:val="single" w:color="auto" w:sz="4" w:space="0"/>
              <w:left w:val="single" w:color="auto" w:sz="4" w:space="0"/>
              <w:bottom w:val="single" w:color="auto" w:sz="4" w:space="0"/>
              <w:right w:val="single" w:color="auto" w:sz="4" w:space="0"/>
            </w:tcBorders>
          </w:tcPr>
          <w:p w14:paraId="192AE686">
            <w:pPr>
              <w:jc w:val="center"/>
              <w:rPr>
                <w:rFonts w:cs="Times New Roman" w:hAnsiTheme="minorEastAsia"/>
                <w:b/>
                <w:snapToGrid/>
                <w:color w:val="auto"/>
                <w:kern w:val="2"/>
              </w:rPr>
            </w:pPr>
            <w:r>
              <w:rPr>
                <w:rFonts w:hint="eastAsia" w:cs="Times New Roman" w:hAnsiTheme="minorEastAsia"/>
                <w:b/>
                <w:snapToGrid/>
                <w:color w:val="auto"/>
                <w:kern w:val="2"/>
              </w:rPr>
              <w:t>序号</w:t>
            </w:r>
          </w:p>
        </w:tc>
        <w:tc>
          <w:tcPr>
            <w:tcW w:w="1297" w:type="dxa"/>
            <w:tcBorders>
              <w:top w:val="single" w:color="auto" w:sz="4" w:space="0"/>
              <w:left w:val="single" w:color="auto" w:sz="4" w:space="0"/>
              <w:bottom w:val="single" w:color="auto" w:sz="4" w:space="0"/>
              <w:right w:val="single" w:color="auto" w:sz="4" w:space="0"/>
            </w:tcBorders>
            <w:vAlign w:val="center"/>
          </w:tcPr>
          <w:p w14:paraId="29978234">
            <w:pPr>
              <w:jc w:val="center"/>
              <w:rPr>
                <w:rFonts w:cs="Times New Roman" w:hAnsiTheme="minorEastAsia"/>
                <w:b/>
                <w:snapToGrid/>
                <w:color w:val="auto"/>
                <w:kern w:val="2"/>
              </w:rPr>
            </w:pPr>
            <w:r>
              <w:rPr>
                <w:rFonts w:hint="eastAsia" w:cs="Times New Roman" w:hAnsiTheme="minorEastAsia"/>
                <w:b/>
                <w:snapToGrid/>
                <w:color w:val="auto"/>
                <w:kern w:val="2"/>
              </w:rPr>
              <w:t>项目</w:t>
            </w:r>
          </w:p>
        </w:tc>
        <w:tc>
          <w:tcPr>
            <w:tcW w:w="709" w:type="dxa"/>
            <w:tcBorders>
              <w:top w:val="single" w:color="auto" w:sz="4" w:space="0"/>
              <w:left w:val="single" w:color="auto" w:sz="4" w:space="0"/>
              <w:bottom w:val="single" w:color="auto" w:sz="4" w:space="0"/>
              <w:right w:val="single" w:color="auto" w:sz="4" w:space="0"/>
            </w:tcBorders>
            <w:vAlign w:val="center"/>
          </w:tcPr>
          <w:p w14:paraId="290E994D">
            <w:pPr>
              <w:jc w:val="center"/>
              <w:rPr>
                <w:rFonts w:cs="Times New Roman" w:hAnsiTheme="minorEastAsia"/>
                <w:b/>
                <w:snapToGrid/>
                <w:color w:val="auto"/>
                <w:kern w:val="2"/>
              </w:rPr>
            </w:pPr>
            <w:r>
              <w:rPr>
                <w:rFonts w:hint="eastAsia" w:cs="Times New Roman" w:hAnsiTheme="minorEastAsia"/>
                <w:b/>
                <w:snapToGrid/>
                <w:color w:val="auto"/>
                <w:kern w:val="2"/>
              </w:rPr>
              <w:t>分值</w:t>
            </w:r>
          </w:p>
        </w:tc>
        <w:tc>
          <w:tcPr>
            <w:tcW w:w="6332" w:type="dxa"/>
            <w:tcBorders>
              <w:top w:val="single" w:color="auto" w:sz="4" w:space="0"/>
              <w:left w:val="single" w:color="auto" w:sz="4" w:space="0"/>
              <w:bottom w:val="single" w:color="auto" w:sz="4" w:space="0"/>
              <w:right w:val="single" w:color="auto" w:sz="4" w:space="0"/>
            </w:tcBorders>
            <w:vAlign w:val="center"/>
          </w:tcPr>
          <w:p w14:paraId="199C6D59">
            <w:pPr>
              <w:jc w:val="center"/>
              <w:rPr>
                <w:rFonts w:cs="Times New Roman" w:hAnsiTheme="minorEastAsia"/>
                <w:b/>
                <w:snapToGrid/>
                <w:color w:val="auto"/>
                <w:kern w:val="2"/>
              </w:rPr>
            </w:pPr>
            <w:r>
              <w:rPr>
                <w:rFonts w:hint="eastAsia" w:cs="Times New Roman" w:hAnsiTheme="minorEastAsia"/>
                <w:b/>
                <w:snapToGrid/>
                <w:color w:val="auto"/>
                <w:kern w:val="2"/>
              </w:rPr>
              <w:t>评分细则</w:t>
            </w:r>
          </w:p>
        </w:tc>
      </w:tr>
      <w:tr w14:paraId="6058C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trPr>
        <w:tc>
          <w:tcPr>
            <w:tcW w:w="546" w:type="dxa"/>
            <w:tcBorders>
              <w:top w:val="single" w:color="auto" w:sz="4" w:space="0"/>
              <w:left w:val="single" w:color="auto" w:sz="4" w:space="0"/>
              <w:bottom w:val="single" w:color="auto" w:sz="4" w:space="0"/>
              <w:right w:val="single" w:color="auto" w:sz="4" w:space="0"/>
            </w:tcBorders>
            <w:vAlign w:val="center"/>
          </w:tcPr>
          <w:p w14:paraId="3E218812">
            <w:pPr>
              <w:jc w:val="center"/>
              <w:rPr>
                <w:rFonts w:cs="Times New Roman" w:hAnsiTheme="minorEastAsia"/>
                <w:snapToGrid/>
                <w:color w:val="auto"/>
                <w:kern w:val="2"/>
              </w:rPr>
            </w:pPr>
            <w:r>
              <w:rPr>
                <w:rFonts w:hint="eastAsia" w:cs="Times New Roman" w:hAnsiTheme="minorEastAsia"/>
                <w:snapToGrid/>
                <w:color w:val="auto"/>
                <w:kern w:val="2"/>
              </w:rPr>
              <w:t>1</w:t>
            </w:r>
          </w:p>
        </w:tc>
        <w:tc>
          <w:tcPr>
            <w:tcW w:w="1297" w:type="dxa"/>
            <w:tcBorders>
              <w:top w:val="single" w:color="auto" w:sz="4" w:space="0"/>
              <w:left w:val="single" w:color="auto" w:sz="4" w:space="0"/>
              <w:bottom w:val="single" w:color="auto" w:sz="4" w:space="0"/>
              <w:right w:val="single" w:color="auto" w:sz="4" w:space="0"/>
            </w:tcBorders>
            <w:vAlign w:val="center"/>
          </w:tcPr>
          <w:p w14:paraId="57BA6996">
            <w:pPr>
              <w:jc w:val="center"/>
              <w:rPr>
                <w:rFonts w:cs="Times New Roman" w:hAnsiTheme="minorEastAsia"/>
                <w:snapToGrid/>
                <w:color w:val="auto"/>
                <w:kern w:val="2"/>
              </w:rPr>
            </w:pPr>
            <w:r>
              <w:rPr>
                <w:rFonts w:hint="eastAsia" w:cs="Times New Roman" w:hAnsiTheme="minorEastAsia"/>
                <w:snapToGrid/>
                <w:color w:val="auto"/>
                <w:kern w:val="2"/>
              </w:rPr>
              <w:t>服务方案</w:t>
            </w:r>
          </w:p>
        </w:tc>
        <w:tc>
          <w:tcPr>
            <w:tcW w:w="709" w:type="dxa"/>
            <w:tcBorders>
              <w:top w:val="single" w:color="auto" w:sz="4" w:space="0"/>
              <w:left w:val="single" w:color="auto" w:sz="4" w:space="0"/>
              <w:bottom w:val="single" w:color="auto" w:sz="4" w:space="0"/>
              <w:right w:val="single" w:color="auto" w:sz="4" w:space="0"/>
            </w:tcBorders>
            <w:vAlign w:val="center"/>
          </w:tcPr>
          <w:p w14:paraId="0D068062">
            <w:pPr>
              <w:jc w:val="center"/>
              <w:rPr>
                <w:rFonts w:cs="Times New Roman" w:hAnsiTheme="minorEastAsia"/>
                <w:snapToGrid/>
                <w:color w:val="auto"/>
                <w:kern w:val="2"/>
              </w:rPr>
            </w:pPr>
            <w:r>
              <w:rPr>
                <w:rFonts w:hint="eastAsia" w:cs="Times New Roman" w:hAnsiTheme="minorEastAsia"/>
                <w:snapToGrid/>
                <w:color w:val="auto"/>
                <w:kern w:val="2"/>
                <w:lang w:val="en-US" w:eastAsia="zh-CN"/>
              </w:rPr>
              <w:t>6</w:t>
            </w:r>
            <w:r>
              <w:rPr>
                <w:rFonts w:hint="eastAsia" w:cs="Times New Roman" w:hAnsiTheme="minorEastAsia"/>
                <w:snapToGrid/>
                <w:color w:val="auto"/>
                <w:kern w:val="2"/>
              </w:rPr>
              <w:t>0</w:t>
            </w:r>
          </w:p>
        </w:tc>
        <w:tc>
          <w:tcPr>
            <w:tcW w:w="6332" w:type="dxa"/>
            <w:tcBorders>
              <w:top w:val="single" w:color="auto" w:sz="4" w:space="0"/>
              <w:left w:val="single" w:color="auto" w:sz="4" w:space="0"/>
              <w:bottom w:val="single" w:color="auto" w:sz="4" w:space="0"/>
              <w:right w:val="single" w:color="auto" w:sz="4" w:space="0"/>
            </w:tcBorders>
            <w:vAlign w:val="center"/>
          </w:tcPr>
          <w:p w14:paraId="7142707A">
            <w:pPr>
              <w:rPr>
                <w:rFonts w:hint="eastAsia"/>
                <w:color w:val="auto"/>
                <w:lang w:val="en-US" w:eastAsia="zh-CN"/>
              </w:rPr>
            </w:pPr>
            <w:r>
              <w:rPr>
                <w:rFonts w:hint="eastAsia" w:cs="Times New Roman" w:hAnsiTheme="minorEastAsia"/>
                <w:snapToGrid/>
                <w:color w:val="auto"/>
                <w:kern w:val="2"/>
              </w:rPr>
              <w:t>1、</w:t>
            </w:r>
            <w:r>
              <w:rPr>
                <w:rFonts w:hint="eastAsia"/>
                <w:color w:val="auto"/>
              </w:rPr>
              <w:t>供应商针对本项目服务方案进行阐述，内容包含</w:t>
            </w: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服务内容；</w:t>
            </w: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服务定位；</w:t>
            </w: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rPr>
              <w:t>总体目标；</w:t>
            </w:r>
            <w:r>
              <w:rPr>
                <w:rFonts w:hint="eastAsia"/>
                <w:color w:val="auto"/>
                <w:lang w:eastAsia="zh-CN"/>
              </w:rPr>
              <w:t>（</w:t>
            </w:r>
            <w:r>
              <w:rPr>
                <w:rFonts w:hint="eastAsia"/>
                <w:color w:val="auto"/>
                <w:lang w:val="en-US" w:eastAsia="zh-CN"/>
              </w:rPr>
              <w:t>4</w:t>
            </w:r>
            <w:r>
              <w:rPr>
                <w:rFonts w:hint="eastAsia"/>
                <w:color w:val="auto"/>
                <w:lang w:eastAsia="zh-CN"/>
              </w:rPr>
              <w:t>）</w:t>
            </w:r>
            <w:r>
              <w:rPr>
                <w:rFonts w:hint="eastAsia"/>
                <w:color w:val="auto"/>
              </w:rPr>
              <w:t>项目资源配置方案；</w:t>
            </w:r>
            <w:r>
              <w:rPr>
                <w:rFonts w:hint="eastAsia"/>
                <w:color w:val="auto"/>
                <w:lang w:val="en-US" w:eastAsia="zh-CN"/>
              </w:rPr>
              <w:t>每个部分评分标准：内容完整，表述清晰，满足采购文件要求的视为符合；每一项均符合的得15-20分，部分符合的得10-15分，不符合或未提供的得0-10分。</w:t>
            </w:r>
          </w:p>
          <w:p w14:paraId="4DDD79A5">
            <w:pPr>
              <w:rPr>
                <w:rFonts w:cs="Times New Roman" w:hAnsiTheme="minorEastAsia"/>
                <w:snapToGrid/>
                <w:color w:val="auto"/>
                <w:kern w:val="2"/>
              </w:rPr>
            </w:pPr>
            <w:r>
              <w:rPr>
                <w:rFonts w:hint="eastAsia"/>
                <w:color w:val="auto"/>
                <w:lang w:val="en-US" w:eastAsia="zh-CN"/>
              </w:rPr>
              <w:t>2、</w:t>
            </w:r>
            <w:r>
              <w:rPr>
                <w:rFonts w:hint="eastAsia"/>
                <w:color w:val="auto"/>
              </w:rPr>
              <w:t>供应商针对本项目管理制度健全规范进行阐述，内容至少包括</w:t>
            </w: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项目管理机构图和工作职能组织运行图；</w:t>
            </w:r>
            <w:r>
              <w:rPr>
                <w:rFonts w:hint="eastAsia"/>
                <w:color w:val="auto"/>
                <w:lang w:eastAsia="zh-CN"/>
              </w:rPr>
              <w:t>（2）</w:t>
            </w:r>
            <w:r>
              <w:rPr>
                <w:rFonts w:hint="eastAsia"/>
                <w:color w:val="auto"/>
              </w:rPr>
              <w:t>内部管理的职责分工和项目经理管理职责；</w:t>
            </w:r>
            <w:r>
              <w:rPr>
                <w:rFonts w:hint="eastAsia"/>
                <w:color w:val="auto"/>
                <w:lang w:eastAsia="zh-CN"/>
              </w:rPr>
              <w:t>（3）</w:t>
            </w:r>
            <w:r>
              <w:rPr>
                <w:rFonts w:hint="eastAsia"/>
                <w:color w:val="auto"/>
              </w:rPr>
              <w:t>日常管理制度和考核办法；</w:t>
            </w:r>
            <w:r>
              <w:rPr>
                <w:rFonts w:hint="eastAsia"/>
                <w:color w:val="auto"/>
                <w:lang w:eastAsia="zh-CN"/>
              </w:rPr>
              <w:t>（4）</w:t>
            </w:r>
            <w:r>
              <w:rPr>
                <w:rFonts w:hint="eastAsia"/>
                <w:color w:val="auto"/>
              </w:rPr>
              <w:t>内部激励机制、监督机制、信息反馈及处理机制；</w:t>
            </w:r>
            <w:r>
              <w:rPr>
                <w:rFonts w:hint="eastAsia"/>
                <w:color w:val="auto"/>
                <w:lang w:eastAsia="zh-CN"/>
              </w:rPr>
              <w:t>（5）</w:t>
            </w:r>
            <w:r>
              <w:rPr>
                <w:rFonts w:hint="eastAsia"/>
                <w:color w:val="auto"/>
              </w:rPr>
              <w:t>供应商针对本项目团队给与的管理与支持。</w:t>
            </w:r>
            <w:r>
              <w:rPr>
                <w:rFonts w:hint="eastAsia"/>
                <w:color w:val="auto"/>
                <w:lang w:val="en-US" w:eastAsia="zh-CN"/>
              </w:rPr>
              <w:t>每个部分评分标准：内容完整，表述清晰，满足采购文件要求的视为符合；每一项均符合的得15-20分，部分符合的得10-15分，不符合或未提供的得0-10分。</w:t>
            </w:r>
          </w:p>
          <w:p w14:paraId="2D2A1B8A">
            <w:pPr>
              <w:rPr>
                <w:rFonts w:cs="Times New Roman" w:hAnsiTheme="minorEastAsia"/>
                <w:snapToGrid/>
                <w:color w:val="auto"/>
                <w:kern w:val="2"/>
              </w:rPr>
            </w:pPr>
            <w:r>
              <w:rPr>
                <w:rFonts w:hint="eastAsia" w:cs="Times New Roman" w:hAnsiTheme="minorEastAsia"/>
                <w:snapToGrid/>
                <w:color w:val="auto"/>
                <w:kern w:val="2"/>
                <w:lang w:val="en-US" w:eastAsia="zh-CN"/>
              </w:rPr>
              <w:t>3</w:t>
            </w:r>
            <w:r>
              <w:rPr>
                <w:rFonts w:hint="eastAsia" w:cs="Times New Roman" w:hAnsiTheme="minorEastAsia"/>
                <w:snapToGrid/>
                <w:color w:val="auto"/>
                <w:kern w:val="2"/>
              </w:rPr>
              <w:t>、</w:t>
            </w:r>
            <w:r>
              <w:rPr>
                <w:rFonts w:hint="eastAsia"/>
                <w:color w:val="auto"/>
              </w:rPr>
              <w:t>供应商针对项目特点制定应急处理方案，内容至少包括：</w:t>
            </w:r>
            <w:r>
              <w:rPr>
                <w:rFonts w:hint="eastAsia"/>
                <w:color w:val="auto"/>
                <w:lang w:eastAsia="zh-CN"/>
              </w:rPr>
              <w:t>（1）</w:t>
            </w:r>
            <w:r>
              <w:rPr>
                <w:rFonts w:hint="eastAsia"/>
                <w:color w:val="auto"/>
                <w:lang w:val="en-US" w:eastAsia="zh-CN"/>
              </w:rPr>
              <w:t>应</w:t>
            </w:r>
            <w:r>
              <w:rPr>
                <w:rFonts w:hint="eastAsia"/>
                <w:color w:val="auto"/>
              </w:rPr>
              <w:t>急突发处置预案；</w:t>
            </w:r>
            <w:r>
              <w:rPr>
                <w:rFonts w:hint="eastAsia"/>
                <w:color w:val="auto"/>
                <w:lang w:eastAsia="zh-CN"/>
              </w:rPr>
              <w:t>（2）</w:t>
            </w:r>
            <w:r>
              <w:rPr>
                <w:rFonts w:hint="eastAsia"/>
                <w:color w:val="auto"/>
              </w:rPr>
              <w:t>临时任务应急能力；</w:t>
            </w:r>
            <w:r>
              <w:rPr>
                <w:rFonts w:hint="eastAsia"/>
                <w:color w:val="auto"/>
                <w:lang w:eastAsia="zh-CN"/>
              </w:rPr>
              <w:t>（3）</w:t>
            </w:r>
            <w:r>
              <w:rPr>
                <w:rFonts w:hint="eastAsia"/>
                <w:color w:val="auto"/>
              </w:rPr>
              <w:t>突发事件应急预案等，例如火灾应急处置预案，恶劣天气等险情应急处置预案，发现治安事件和重大事项应急处置预案，停水、停电应急处置预案等；</w:t>
            </w:r>
            <w:r>
              <w:rPr>
                <w:rFonts w:hint="eastAsia"/>
                <w:color w:val="auto"/>
                <w:lang w:eastAsia="zh-CN"/>
              </w:rPr>
              <w:t>（4）</w:t>
            </w:r>
            <w:r>
              <w:rPr>
                <w:rFonts w:hint="eastAsia"/>
                <w:color w:val="auto"/>
              </w:rPr>
              <w:t>对人员聚集、防恐、消防、人防等四个专项应急方案</w:t>
            </w:r>
            <w:r>
              <w:rPr>
                <w:rFonts w:hint="eastAsia"/>
                <w:color w:val="auto"/>
                <w:lang w:eastAsia="zh-CN"/>
              </w:rPr>
              <w:t>，</w:t>
            </w:r>
            <w:r>
              <w:rPr>
                <w:rFonts w:hint="eastAsia"/>
                <w:color w:val="auto"/>
                <w:lang w:val="en-US" w:eastAsia="zh-CN"/>
              </w:rPr>
              <w:t>每个部分评分标准：内容完整，表述清晰，满足采购文件要求的视为符合；每一项均符合的得15-20分，部分符合的得10-15分，不符合或未提供的得0-10分</w:t>
            </w:r>
            <w:r>
              <w:rPr>
                <w:rFonts w:hint="eastAsia" w:cs="Times New Roman" w:hAnsiTheme="minorEastAsia"/>
                <w:snapToGrid/>
                <w:color w:val="auto"/>
                <w:kern w:val="2"/>
              </w:rPr>
              <w:t>。</w:t>
            </w:r>
          </w:p>
        </w:tc>
      </w:tr>
      <w:tr w14:paraId="545EE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546" w:type="dxa"/>
            <w:tcBorders>
              <w:top w:val="single" w:color="auto" w:sz="4" w:space="0"/>
              <w:left w:val="single" w:color="auto" w:sz="4" w:space="0"/>
              <w:bottom w:val="single" w:color="auto" w:sz="4" w:space="0"/>
              <w:right w:val="single" w:color="auto" w:sz="4" w:space="0"/>
            </w:tcBorders>
            <w:vAlign w:val="center"/>
          </w:tcPr>
          <w:p w14:paraId="7770F33F">
            <w:pPr>
              <w:jc w:val="center"/>
              <w:rPr>
                <w:rFonts w:cs="Times New Roman" w:hAnsiTheme="minorEastAsia"/>
                <w:snapToGrid/>
                <w:color w:val="auto"/>
                <w:kern w:val="2"/>
              </w:rPr>
            </w:pPr>
            <w:r>
              <w:rPr>
                <w:rFonts w:hint="eastAsia" w:cs="Times New Roman" w:hAnsiTheme="minorEastAsia"/>
                <w:snapToGrid/>
                <w:color w:val="auto"/>
                <w:kern w:val="2"/>
              </w:rPr>
              <w:t>2</w:t>
            </w:r>
          </w:p>
        </w:tc>
        <w:tc>
          <w:tcPr>
            <w:tcW w:w="1297" w:type="dxa"/>
            <w:tcBorders>
              <w:top w:val="single" w:color="auto" w:sz="4" w:space="0"/>
              <w:left w:val="single" w:color="auto" w:sz="4" w:space="0"/>
              <w:bottom w:val="single" w:color="auto" w:sz="4" w:space="0"/>
              <w:right w:val="single" w:color="auto" w:sz="4" w:space="0"/>
            </w:tcBorders>
            <w:vAlign w:val="center"/>
          </w:tcPr>
          <w:p w14:paraId="0E9BC3A6">
            <w:pPr>
              <w:jc w:val="center"/>
              <w:rPr>
                <w:rFonts w:hint="eastAsia" w:cs="Times New Roman" w:hAnsiTheme="minorEastAsia" w:eastAsiaTheme="minorEastAsia"/>
                <w:snapToGrid/>
                <w:color w:val="auto"/>
                <w:kern w:val="2"/>
                <w:lang w:eastAsia="zh-CN"/>
              </w:rPr>
            </w:pPr>
            <w:r>
              <w:rPr>
                <w:rFonts w:hint="eastAsia" w:cs="Times New Roman" w:hAnsiTheme="minorEastAsia"/>
                <w:snapToGrid/>
                <w:color w:val="auto"/>
                <w:kern w:val="2"/>
                <w:lang w:val="en-US" w:eastAsia="zh-CN"/>
              </w:rPr>
              <w:t>业绩</w:t>
            </w:r>
          </w:p>
        </w:tc>
        <w:tc>
          <w:tcPr>
            <w:tcW w:w="709" w:type="dxa"/>
            <w:tcBorders>
              <w:top w:val="single" w:color="auto" w:sz="4" w:space="0"/>
              <w:left w:val="single" w:color="auto" w:sz="4" w:space="0"/>
              <w:bottom w:val="single" w:color="auto" w:sz="4" w:space="0"/>
              <w:right w:val="single" w:color="auto" w:sz="4" w:space="0"/>
            </w:tcBorders>
            <w:vAlign w:val="center"/>
          </w:tcPr>
          <w:p w14:paraId="0CC6AC95">
            <w:pPr>
              <w:jc w:val="center"/>
              <w:rPr>
                <w:rFonts w:cs="Times New Roman" w:hAnsiTheme="minorEastAsia"/>
                <w:snapToGrid/>
                <w:color w:val="auto"/>
                <w:kern w:val="2"/>
              </w:rPr>
            </w:pPr>
            <w:r>
              <w:rPr>
                <w:rFonts w:hint="eastAsia" w:cs="Times New Roman" w:hAnsiTheme="minorEastAsia"/>
                <w:snapToGrid/>
                <w:color w:val="auto"/>
                <w:kern w:val="2"/>
                <w:lang w:val="en-US" w:eastAsia="zh-CN"/>
              </w:rPr>
              <w:t>1</w:t>
            </w:r>
            <w:r>
              <w:rPr>
                <w:rFonts w:cs="Times New Roman" w:hAnsiTheme="minorEastAsia"/>
                <w:snapToGrid/>
                <w:color w:val="auto"/>
                <w:kern w:val="2"/>
              </w:rPr>
              <w:t>0</w:t>
            </w:r>
          </w:p>
        </w:tc>
        <w:tc>
          <w:tcPr>
            <w:tcW w:w="6332" w:type="dxa"/>
            <w:tcBorders>
              <w:top w:val="single" w:color="auto" w:sz="4" w:space="0"/>
              <w:left w:val="single" w:color="auto" w:sz="4" w:space="0"/>
              <w:bottom w:val="single" w:color="auto" w:sz="4" w:space="0"/>
              <w:right w:val="single" w:color="auto" w:sz="4" w:space="0"/>
            </w:tcBorders>
            <w:vAlign w:val="center"/>
          </w:tcPr>
          <w:p w14:paraId="7BB3D0AA">
            <w:pPr>
              <w:rPr>
                <w:rFonts w:hint="eastAsia"/>
                <w:color w:val="auto"/>
              </w:rPr>
            </w:pPr>
            <w:r>
              <w:rPr>
                <w:rFonts w:hint="eastAsia"/>
                <w:color w:val="7030A0"/>
                <w:u w:val="single"/>
              </w:rPr>
              <w:t>提供2023年至今类似</w:t>
            </w:r>
            <w:r>
              <w:rPr>
                <w:rFonts w:hint="eastAsia"/>
                <w:color w:val="7030A0"/>
                <w:u w:val="single"/>
                <w:lang w:eastAsia="zh-CN"/>
              </w:rPr>
              <w:t>物业</w:t>
            </w:r>
            <w:r>
              <w:rPr>
                <w:rFonts w:hint="eastAsia"/>
                <w:color w:val="7030A0"/>
                <w:u w:val="single"/>
              </w:rPr>
              <w:t>项目业绩，类似项目业绩指：单个20万元以上物业服务项目，每提供一个得</w:t>
            </w:r>
            <w:r>
              <w:rPr>
                <w:rFonts w:hint="eastAsia"/>
                <w:color w:val="7030A0"/>
                <w:u w:val="single"/>
                <w:lang w:val="en-US" w:eastAsia="zh-CN"/>
              </w:rPr>
              <w:t>2.5</w:t>
            </w:r>
            <w:r>
              <w:rPr>
                <w:rFonts w:hint="eastAsia"/>
                <w:color w:val="7030A0"/>
                <w:u w:val="single"/>
              </w:rPr>
              <w:t>分，满分为</w:t>
            </w:r>
            <w:r>
              <w:rPr>
                <w:rFonts w:hint="eastAsia"/>
                <w:color w:val="7030A0"/>
                <w:u w:val="single"/>
                <w:lang w:val="en-US" w:eastAsia="zh-CN"/>
              </w:rPr>
              <w:t>10</w:t>
            </w:r>
            <w:r>
              <w:rPr>
                <w:rFonts w:hint="eastAsia"/>
                <w:color w:val="7030A0"/>
                <w:u w:val="single"/>
              </w:rPr>
              <w:t>分。（合同业绩信息须能体现评审</w:t>
            </w:r>
            <w:r>
              <w:rPr>
                <w:rFonts w:hint="eastAsia"/>
                <w:color w:val="auto"/>
              </w:rPr>
              <w:t>要素，以合同签订时间为准；同一项目和业主续签的合同不重复计分）</w:t>
            </w:r>
          </w:p>
          <w:p w14:paraId="008C3ECA">
            <w:pPr>
              <w:rPr>
                <w:rFonts w:hint="eastAsia"/>
                <w:color w:val="auto"/>
                <w:lang w:val="en-US" w:eastAsia="zh-CN"/>
              </w:rPr>
            </w:pPr>
            <w:r>
              <w:rPr>
                <w:rFonts w:hint="eastAsia"/>
                <w:color w:val="auto"/>
                <w:lang w:val="en-US" w:eastAsia="zh-CN"/>
              </w:rPr>
              <w:t>注：</w:t>
            </w:r>
          </w:p>
          <w:p w14:paraId="0CE00CDD">
            <w:pPr>
              <w:numPr>
                <w:ilvl w:val="0"/>
                <w:numId w:val="1"/>
              </w:numPr>
              <w:rPr>
                <w:rFonts w:hint="eastAsia"/>
                <w:color w:val="auto"/>
                <w:lang w:eastAsia="zh-CN"/>
              </w:rPr>
            </w:pPr>
            <w:r>
              <w:rPr>
                <w:rFonts w:hint="eastAsia"/>
                <w:color w:val="auto"/>
              </w:rPr>
              <w:t>提供业绩合同复印件装订入响应文件，并加盖</w:t>
            </w:r>
            <w:r>
              <w:rPr>
                <w:rFonts w:hint="eastAsia"/>
                <w:color w:val="auto"/>
                <w:lang w:val="en-US" w:eastAsia="zh-CN"/>
              </w:rPr>
              <w:t>响应人</w:t>
            </w:r>
            <w:r>
              <w:rPr>
                <w:rFonts w:hint="eastAsia"/>
                <w:color w:val="auto"/>
              </w:rPr>
              <w:t>公章</w:t>
            </w:r>
            <w:r>
              <w:rPr>
                <w:rFonts w:hint="eastAsia"/>
                <w:color w:val="auto"/>
                <w:lang w:eastAsia="zh-CN"/>
              </w:rPr>
              <w:t>；</w:t>
            </w:r>
          </w:p>
          <w:p w14:paraId="105BB8E0">
            <w:pPr>
              <w:numPr>
                <w:ilvl w:val="0"/>
                <w:numId w:val="1"/>
              </w:numPr>
              <w:rPr>
                <w:rFonts w:hint="eastAsia"/>
                <w:color w:val="auto"/>
                <w:lang w:val="en-US" w:eastAsia="zh-CN"/>
              </w:rPr>
            </w:pPr>
            <w:r>
              <w:rPr>
                <w:rFonts w:hint="eastAsia"/>
                <w:color w:val="auto"/>
              </w:rPr>
              <w:t>响应人自身的门槛业绩合同也纳入</w:t>
            </w:r>
            <w:r>
              <w:rPr>
                <w:rFonts w:hint="eastAsia"/>
                <w:color w:val="auto"/>
                <w:lang w:val="en-US" w:eastAsia="zh-CN"/>
              </w:rPr>
              <w:t>本项</w:t>
            </w:r>
            <w:r>
              <w:rPr>
                <w:rFonts w:hint="eastAsia"/>
                <w:color w:val="auto"/>
              </w:rPr>
              <w:t>计分</w:t>
            </w:r>
            <w:r>
              <w:rPr>
                <w:rFonts w:hint="eastAsia"/>
                <w:color w:val="auto"/>
                <w:lang w:eastAsia="zh-CN"/>
              </w:rPr>
              <w:t>。</w:t>
            </w:r>
          </w:p>
        </w:tc>
      </w:tr>
      <w:tr w14:paraId="03568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546" w:type="dxa"/>
            <w:tcBorders>
              <w:top w:val="single" w:color="auto" w:sz="4" w:space="0"/>
              <w:left w:val="single" w:color="auto" w:sz="4" w:space="0"/>
              <w:bottom w:val="single" w:color="auto" w:sz="4" w:space="0"/>
              <w:right w:val="single" w:color="auto" w:sz="4" w:space="0"/>
            </w:tcBorders>
            <w:vAlign w:val="center"/>
          </w:tcPr>
          <w:p w14:paraId="6A0EB0D6">
            <w:pPr>
              <w:jc w:val="center"/>
              <w:rPr>
                <w:rFonts w:hint="eastAsia" w:cs="Times New Roman" w:hAnsiTheme="minorEastAsia" w:eastAsiaTheme="minorEastAsia"/>
                <w:snapToGrid/>
                <w:color w:val="auto"/>
                <w:kern w:val="2"/>
                <w:lang w:val="en-US" w:eastAsia="zh-CN"/>
              </w:rPr>
            </w:pPr>
            <w:r>
              <w:rPr>
                <w:rFonts w:hint="eastAsia" w:cs="Times New Roman" w:hAnsiTheme="minorEastAsia"/>
                <w:snapToGrid/>
                <w:color w:val="auto"/>
                <w:kern w:val="2"/>
                <w:lang w:val="en-US" w:eastAsia="zh-CN"/>
              </w:rPr>
              <w:t>3</w:t>
            </w:r>
          </w:p>
        </w:tc>
        <w:tc>
          <w:tcPr>
            <w:tcW w:w="1297" w:type="dxa"/>
            <w:tcBorders>
              <w:top w:val="single" w:color="auto" w:sz="4" w:space="0"/>
              <w:left w:val="single" w:color="auto" w:sz="4" w:space="0"/>
              <w:bottom w:val="single" w:color="auto" w:sz="4" w:space="0"/>
              <w:right w:val="single" w:color="auto" w:sz="4" w:space="0"/>
            </w:tcBorders>
            <w:vAlign w:val="center"/>
          </w:tcPr>
          <w:p w14:paraId="78BB6967">
            <w:pPr>
              <w:jc w:val="center"/>
              <w:rPr>
                <w:rFonts w:hint="eastAsia" w:cs="Times New Roman" w:hAnsiTheme="minorEastAsia"/>
                <w:snapToGrid/>
                <w:color w:val="auto"/>
                <w:kern w:val="2"/>
              </w:rPr>
            </w:pPr>
            <w:r>
              <w:rPr>
                <w:rFonts w:hint="eastAsia" w:cs="Times New Roman" w:hAnsiTheme="minorEastAsia"/>
                <w:snapToGrid/>
                <w:color w:val="auto"/>
                <w:kern w:val="2"/>
              </w:rPr>
              <w:t>拟投入人员</w:t>
            </w:r>
          </w:p>
        </w:tc>
        <w:tc>
          <w:tcPr>
            <w:tcW w:w="709" w:type="dxa"/>
            <w:tcBorders>
              <w:top w:val="single" w:color="auto" w:sz="4" w:space="0"/>
              <w:left w:val="single" w:color="auto" w:sz="4" w:space="0"/>
              <w:bottom w:val="single" w:color="auto" w:sz="4" w:space="0"/>
              <w:right w:val="single" w:color="auto" w:sz="4" w:space="0"/>
            </w:tcBorders>
            <w:vAlign w:val="center"/>
          </w:tcPr>
          <w:p w14:paraId="1C6BA0F6">
            <w:pPr>
              <w:jc w:val="center"/>
              <w:rPr>
                <w:rFonts w:hint="default" w:cs="Times New Roman" w:hAnsiTheme="minorEastAsia" w:eastAsiaTheme="minorEastAsia"/>
                <w:snapToGrid/>
                <w:color w:val="auto"/>
                <w:kern w:val="2"/>
                <w:lang w:val="en-US" w:eastAsia="zh-CN"/>
              </w:rPr>
            </w:pPr>
            <w:r>
              <w:rPr>
                <w:rFonts w:hint="eastAsia" w:cs="Times New Roman" w:hAnsiTheme="minorEastAsia"/>
                <w:snapToGrid/>
                <w:color w:val="auto"/>
                <w:kern w:val="2"/>
                <w:lang w:val="en-US" w:eastAsia="zh-CN"/>
              </w:rPr>
              <w:t>10</w:t>
            </w:r>
          </w:p>
        </w:tc>
        <w:tc>
          <w:tcPr>
            <w:tcW w:w="6332" w:type="dxa"/>
            <w:tcBorders>
              <w:top w:val="single" w:color="auto" w:sz="4" w:space="0"/>
              <w:left w:val="single" w:color="auto" w:sz="4" w:space="0"/>
              <w:bottom w:val="single" w:color="auto" w:sz="4" w:space="0"/>
              <w:right w:val="single" w:color="auto" w:sz="4" w:space="0"/>
            </w:tcBorders>
            <w:vAlign w:val="center"/>
          </w:tcPr>
          <w:p w14:paraId="79DBE7BC">
            <w:pPr>
              <w:rPr>
                <w:rFonts w:hint="eastAsia" w:cs="Times New Roman" w:hAnsiTheme="minorEastAsia"/>
                <w:snapToGrid/>
                <w:color w:val="auto"/>
                <w:kern w:val="2"/>
              </w:rPr>
            </w:pPr>
            <w:r>
              <w:rPr>
                <w:rFonts w:hint="eastAsia" w:cs="Times New Roman" w:hAnsiTheme="minorEastAsia"/>
                <w:snapToGrid/>
                <w:color w:val="auto"/>
                <w:kern w:val="2"/>
              </w:rPr>
              <w:t>1.拟任本项目的负责人（项目经理）（</w:t>
            </w:r>
            <w:r>
              <w:rPr>
                <w:rFonts w:hint="eastAsia" w:cs="Times New Roman" w:hAnsiTheme="minorEastAsia"/>
                <w:snapToGrid/>
                <w:color w:val="auto"/>
                <w:kern w:val="2"/>
                <w:lang w:val="en-US" w:eastAsia="zh-CN"/>
              </w:rPr>
              <w:t>5</w:t>
            </w:r>
            <w:r>
              <w:rPr>
                <w:rFonts w:hint="eastAsia" w:cs="Times New Roman" w:hAnsiTheme="minorEastAsia"/>
                <w:snapToGrid/>
                <w:color w:val="auto"/>
                <w:kern w:val="2"/>
              </w:rPr>
              <w:t>分）：</w:t>
            </w:r>
          </w:p>
          <w:p w14:paraId="5DA4A446">
            <w:pPr>
              <w:rPr>
                <w:rFonts w:hint="eastAsia" w:cs="Times New Roman" w:hAnsiTheme="minorEastAsia"/>
                <w:snapToGrid/>
                <w:color w:val="auto"/>
                <w:kern w:val="2"/>
              </w:rPr>
            </w:pPr>
            <w:r>
              <w:rPr>
                <w:rFonts w:hint="eastAsia" w:cs="Times New Roman" w:hAnsiTheme="minorEastAsia"/>
                <w:snapToGrid/>
                <w:color w:val="auto"/>
                <w:kern w:val="2"/>
              </w:rPr>
              <w:t>（1）</w:t>
            </w:r>
            <w:r>
              <w:rPr>
                <w:rFonts w:hint="eastAsia" w:cs="Times New Roman" w:hAnsiTheme="minorEastAsia"/>
                <w:snapToGrid/>
                <w:color w:val="auto"/>
                <w:kern w:val="2"/>
                <w:lang w:val="en-US" w:eastAsia="zh-CN"/>
              </w:rPr>
              <w:t>拟派项目经理，50周岁以下，持物业管理项目经理岗位证书，得 2分</w:t>
            </w:r>
            <w:r>
              <w:rPr>
                <w:rFonts w:hint="eastAsia" w:cs="Times New Roman" w:hAnsiTheme="minorEastAsia"/>
                <w:snapToGrid/>
                <w:color w:val="auto"/>
                <w:kern w:val="2"/>
              </w:rPr>
              <w:t>；</w:t>
            </w:r>
          </w:p>
          <w:p w14:paraId="7AD0C255">
            <w:pPr>
              <w:rPr>
                <w:rFonts w:hint="eastAsia" w:cs="Times New Roman" w:hAnsiTheme="minorEastAsia"/>
                <w:snapToGrid/>
                <w:color w:val="auto"/>
                <w:kern w:val="2"/>
              </w:rPr>
            </w:pPr>
            <w:r>
              <w:rPr>
                <w:rFonts w:hint="eastAsia" w:cs="Times New Roman" w:hAnsiTheme="minorEastAsia"/>
                <w:snapToGrid/>
                <w:color w:val="auto"/>
                <w:kern w:val="2"/>
              </w:rPr>
              <w:t>（</w:t>
            </w:r>
            <w:r>
              <w:rPr>
                <w:rFonts w:hint="eastAsia" w:cs="Times New Roman" w:hAnsiTheme="minorEastAsia"/>
                <w:snapToGrid/>
                <w:color w:val="auto"/>
                <w:kern w:val="2"/>
                <w:lang w:val="en-US" w:eastAsia="zh-CN"/>
              </w:rPr>
              <w:t>2</w:t>
            </w:r>
            <w:r>
              <w:rPr>
                <w:rFonts w:hint="eastAsia" w:cs="Times New Roman" w:hAnsiTheme="minorEastAsia"/>
                <w:snapToGrid/>
                <w:color w:val="auto"/>
                <w:kern w:val="2"/>
              </w:rPr>
              <w:t>）具有建（构）筑物消防员证或消防设施操作员证，得</w:t>
            </w:r>
            <w:r>
              <w:rPr>
                <w:rFonts w:hint="eastAsia" w:cs="Times New Roman" w:hAnsiTheme="minorEastAsia"/>
                <w:snapToGrid/>
                <w:color w:val="auto"/>
                <w:kern w:val="2"/>
                <w:lang w:val="en-US" w:eastAsia="zh-CN"/>
              </w:rPr>
              <w:t>2</w:t>
            </w:r>
            <w:r>
              <w:rPr>
                <w:rFonts w:hint="eastAsia" w:cs="Times New Roman" w:hAnsiTheme="minorEastAsia"/>
                <w:snapToGrid/>
                <w:color w:val="auto"/>
                <w:kern w:val="2"/>
              </w:rPr>
              <w:t>分；</w:t>
            </w:r>
          </w:p>
          <w:p w14:paraId="5E3B1CD4">
            <w:pPr>
              <w:rPr>
                <w:rFonts w:hint="eastAsia" w:cs="Times New Roman" w:hAnsiTheme="minorEastAsia"/>
                <w:snapToGrid/>
                <w:color w:val="auto"/>
                <w:kern w:val="2"/>
              </w:rPr>
            </w:pPr>
            <w:r>
              <w:rPr>
                <w:rFonts w:hint="eastAsia" w:cs="Times New Roman" w:hAnsiTheme="minorEastAsia"/>
                <w:snapToGrid/>
                <w:color w:val="auto"/>
                <w:kern w:val="2"/>
              </w:rPr>
              <w:t>（</w:t>
            </w:r>
            <w:r>
              <w:rPr>
                <w:rFonts w:hint="eastAsia" w:cs="Times New Roman" w:hAnsiTheme="minorEastAsia"/>
                <w:snapToGrid/>
                <w:color w:val="auto"/>
                <w:kern w:val="2"/>
                <w:lang w:val="en-US" w:eastAsia="zh-CN"/>
              </w:rPr>
              <w:t>3</w:t>
            </w:r>
            <w:r>
              <w:rPr>
                <w:rFonts w:hint="eastAsia" w:cs="Times New Roman" w:hAnsiTheme="minorEastAsia"/>
                <w:snapToGrid/>
                <w:color w:val="auto"/>
                <w:kern w:val="2"/>
              </w:rPr>
              <w:t>）具有保安员证得</w:t>
            </w:r>
            <w:r>
              <w:rPr>
                <w:rFonts w:hint="eastAsia" w:cs="Times New Roman" w:hAnsiTheme="minorEastAsia"/>
                <w:snapToGrid/>
                <w:color w:val="auto"/>
                <w:kern w:val="2"/>
                <w:lang w:val="en-US" w:eastAsia="zh-CN"/>
              </w:rPr>
              <w:t>1</w:t>
            </w:r>
            <w:r>
              <w:rPr>
                <w:rFonts w:hint="eastAsia" w:cs="Times New Roman" w:hAnsiTheme="minorEastAsia"/>
                <w:snapToGrid/>
                <w:color w:val="auto"/>
                <w:kern w:val="2"/>
              </w:rPr>
              <w:t>分；</w:t>
            </w:r>
          </w:p>
          <w:p w14:paraId="03AFA241">
            <w:pPr>
              <w:rPr>
                <w:rFonts w:hint="eastAsia" w:cs="Times New Roman" w:hAnsiTheme="minorEastAsia"/>
                <w:snapToGrid/>
                <w:color w:val="auto"/>
                <w:kern w:val="2"/>
              </w:rPr>
            </w:pPr>
            <w:r>
              <w:rPr>
                <w:rFonts w:hint="eastAsia" w:cs="Times New Roman" w:hAnsiTheme="minorEastAsia"/>
                <w:snapToGrid/>
                <w:color w:val="auto"/>
                <w:kern w:val="2"/>
                <w:lang w:val="en-US" w:eastAsia="zh-CN"/>
              </w:rPr>
              <w:t>2</w:t>
            </w:r>
            <w:r>
              <w:rPr>
                <w:rFonts w:hint="eastAsia" w:cs="Times New Roman" w:hAnsiTheme="minorEastAsia"/>
                <w:snapToGrid/>
                <w:color w:val="auto"/>
                <w:kern w:val="2"/>
              </w:rPr>
              <w:t>.担任本项目的保安人员（</w:t>
            </w:r>
            <w:r>
              <w:rPr>
                <w:rFonts w:hint="eastAsia" w:cs="Times New Roman" w:hAnsiTheme="minorEastAsia"/>
                <w:snapToGrid/>
                <w:color w:val="auto"/>
                <w:kern w:val="2"/>
                <w:lang w:val="en-US" w:eastAsia="zh-CN"/>
              </w:rPr>
              <w:t>5</w:t>
            </w:r>
            <w:r>
              <w:rPr>
                <w:rFonts w:hint="eastAsia" w:cs="Times New Roman" w:hAnsiTheme="minorEastAsia"/>
                <w:snapToGrid/>
                <w:color w:val="auto"/>
                <w:kern w:val="2"/>
              </w:rPr>
              <w:t>分）：</w:t>
            </w:r>
          </w:p>
          <w:p w14:paraId="419D4ACB">
            <w:pPr>
              <w:rPr>
                <w:rFonts w:hint="eastAsia" w:cs="Times New Roman" w:hAnsiTheme="minorEastAsia"/>
                <w:snapToGrid/>
                <w:color w:val="auto"/>
                <w:kern w:val="2"/>
                <w:lang w:val="en-US" w:eastAsia="zh-CN"/>
              </w:rPr>
            </w:pPr>
            <w:r>
              <w:rPr>
                <w:rFonts w:hint="eastAsia" w:cs="Times New Roman" w:hAnsiTheme="minorEastAsia"/>
                <w:snapToGrid/>
                <w:color w:val="auto"/>
                <w:kern w:val="2"/>
              </w:rPr>
              <w:t>（1）具有保安员证，每提供一个得</w:t>
            </w:r>
            <w:r>
              <w:rPr>
                <w:rFonts w:hint="eastAsia" w:cs="Times New Roman" w:hAnsiTheme="minorEastAsia"/>
                <w:snapToGrid/>
                <w:color w:val="auto"/>
                <w:kern w:val="2"/>
                <w:lang w:val="en-US" w:eastAsia="zh-CN"/>
              </w:rPr>
              <w:t>2</w:t>
            </w:r>
            <w:r>
              <w:rPr>
                <w:rFonts w:hint="eastAsia" w:cs="Times New Roman" w:hAnsiTheme="minorEastAsia"/>
                <w:snapToGrid/>
                <w:color w:val="auto"/>
                <w:kern w:val="2"/>
              </w:rPr>
              <w:t>分，满分</w:t>
            </w:r>
            <w:r>
              <w:rPr>
                <w:rFonts w:hint="eastAsia" w:cs="Times New Roman" w:hAnsiTheme="minorEastAsia"/>
                <w:snapToGrid/>
                <w:color w:val="auto"/>
                <w:kern w:val="2"/>
                <w:lang w:val="en-US" w:eastAsia="zh-CN"/>
              </w:rPr>
              <w:t>5</w:t>
            </w:r>
            <w:r>
              <w:rPr>
                <w:rFonts w:hint="eastAsia" w:cs="Times New Roman" w:hAnsiTheme="minorEastAsia"/>
                <w:snapToGrid/>
                <w:color w:val="auto"/>
                <w:kern w:val="2"/>
              </w:rPr>
              <w:t>分；</w:t>
            </w:r>
          </w:p>
          <w:p w14:paraId="558CCEFA">
            <w:pPr>
              <w:rPr>
                <w:rFonts w:hint="eastAsia" w:cs="Times New Roman" w:hAnsiTheme="minorEastAsia"/>
                <w:snapToGrid/>
                <w:color w:val="auto"/>
                <w:kern w:val="2"/>
              </w:rPr>
            </w:pPr>
            <w:r>
              <w:rPr>
                <w:rFonts w:hint="eastAsia" w:cs="Times New Roman" w:hAnsiTheme="minorEastAsia"/>
                <w:snapToGrid/>
                <w:color w:val="auto"/>
                <w:kern w:val="2"/>
              </w:rPr>
              <w:t>备注：</w:t>
            </w:r>
          </w:p>
          <w:p w14:paraId="42FA2100">
            <w:pPr>
              <w:rPr>
                <w:rFonts w:hint="eastAsia" w:cs="Times New Roman" w:hAnsiTheme="minorEastAsia"/>
                <w:snapToGrid/>
                <w:color w:val="auto"/>
                <w:kern w:val="2"/>
              </w:rPr>
            </w:pPr>
            <w:r>
              <w:rPr>
                <w:rFonts w:hint="eastAsia" w:cs="Times New Roman" w:hAnsiTheme="minorEastAsia"/>
                <w:snapToGrid/>
                <w:color w:val="auto"/>
                <w:kern w:val="2"/>
              </w:rPr>
              <w:t>1.以上人员需提供</w:t>
            </w:r>
            <w:r>
              <w:rPr>
                <w:rFonts w:hint="eastAsia" w:cs="Times New Roman" w:hAnsiTheme="minorEastAsia"/>
                <w:snapToGrid/>
                <w:color w:val="auto"/>
                <w:kern w:val="2"/>
                <w:lang w:val="en-US" w:eastAsia="zh-CN"/>
              </w:rPr>
              <w:t>供应商</w:t>
            </w:r>
            <w:r>
              <w:rPr>
                <w:rFonts w:hint="eastAsia" w:cs="Times New Roman" w:hAnsiTheme="minorEastAsia"/>
                <w:snapToGrid/>
                <w:color w:val="auto"/>
                <w:kern w:val="2"/>
              </w:rPr>
              <w:t>为其连续缴纳的3个月社保证明。</w:t>
            </w:r>
          </w:p>
          <w:p w14:paraId="296CCD0E">
            <w:pPr>
              <w:rPr>
                <w:rFonts w:hint="eastAsia" w:cs="Times New Roman" w:hAnsiTheme="minorEastAsia"/>
                <w:snapToGrid/>
                <w:color w:val="auto"/>
                <w:kern w:val="2"/>
              </w:rPr>
            </w:pPr>
            <w:r>
              <w:rPr>
                <w:rFonts w:hint="eastAsia" w:cs="Times New Roman" w:hAnsiTheme="minorEastAsia"/>
                <w:snapToGrid/>
                <w:color w:val="auto"/>
                <w:kern w:val="2"/>
              </w:rPr>
              <w:t>2..响应文件中须同时提供证件扫描件，建（构）筑物消防员证或消防设施操作员证须提供“技能人才评价证书全国联网查询”平台(http://zscx.osta.org.cn/)查询结果截图，未提供的不得分。</w:t>
            </w:r>
          </w:p>
        </w:tc>
      </w:tr>
      <w:tr w14:paraId="13EA1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546" w:type="dxa"/>
            <w:tcBorders>
              <w:top w:val="single" w:color="auto" w:sz="4" w:space="0"/>
              <w:left w:val="single" w:color="auto" w:sz="4" w:space="0"/>
              <w:bottom w:val="single" w:color="auto" w:sz="4" w:space="0"/>
              <w:right w:val="single" w:color="auto" w:sz="4" w:space="0"/>
            </w:tcBorders>
            <w:vAlign w:val="center"/>
          </w:tcPr>
          <w:p w14:paraId="1971CD19">
            <w:pPr>
              <w:jc w:val="center"/>
              <w:rPr>
                <w:rFonts w:hint="eastAsia" w:cs="Times New Roman" w:hAnsiTheme="minorEastAsia" w:eastAsiaTheme="minorEastAsia"/>
                <w:snapToGrid/>
                <w:color w:val="auto"/>
                <w:kern w:val="2"/>
                <w:lang w:eastAsia="zh-CN"/>
              </w:rPr>
            </w:pPr>
            <w:r>
              <w:rPr>
                <w:rFonts w:hint="eastAsia" w:cs="Times New Roman" w:hAnsiTheme="minorEastAsia"/>
                <w:snapToGrid/>
                <w:color w:val="auto"/>
                <w:kern w:val="2"/>
                <w:lang w:val="en-US" w:eastAsia="zh-CN"/>
              </w:rPr>
              <w:t>4</w:t>
            </w:r>
          </w:p>
        </w:tc>
        <w:tc>
          <w:tcPr>
            <w:tcW w:w="1297" w:type="dxa"/>
            <w:tcBorders>
              <w:top w:val="single" w:color="auto" w:sz="4" w:space="0"/>
              <w:left w:val="single" w:color="auto" w:sz="4" w:space="0"/>
              <w:bottom w:val="single" w:color="auto" w:sz="4" w:space="0"/>
              <w:right w:val="single" w:color="auto" w:sz="4" w:space="0"/>
            </w:tcBorders>
            <w:vAlign w:val="center"/>
          </w:tcPr>
          <w:p w14:paraId="5AFA8225">
            <w:pPr>
              <w:jc w:val="center"/>
              <w:rPr>
                <w:rFonts w:cs="Times New Roman" w:hAnsiTheme="minorEastAsia"/>
                <w:snapToGrid/>
                <w:color w:val="auto"/>
                <w:kern w:val="2"/>
              </w:rPr>
            </w:pPr>
            <w:r>
              <w:rPr>
                <w:rFonts w:hint="eastAsia" w:cs="Times New Roman" w:hAnsiTheme="minorEastAsia"/>
                <w:snapToGrid/>
                <w:color w:val="auto"/>
                <w:kern w:val="2"/>
              </w:rPr>
              <w:t>投标报价</w:t>
            </w:r>
          </w:p>
        </w:tc>
        <w:tc>
          <w:tcPr>
            <w:tcW w:w="709" w:type="dxa"/>
            <w:tcBorders>
              <w:top w:val="single" w:color="auto" w:sz="4" w:space="0"/>
              <w:left w:val="single" w:color="auto" w:sz="4" w:space="0"/>
              <w:bottom w:val="single" w:color="auto" w:sz="4" w:space="0"/>
              <w:right w:val="single" w:color="auto" w:sz="4" w:space="0"/>
            </w:tcBorders>
            <w:vAlign w:val="center"/>
          </w:tcPr>
          <w:p w14:paraId="729E04B6">
            <w:pPr>
              <w:jc w:val="center"/>
              <w:rPr>
                <w:rFonts w:cs="Times New Roman" w:hAnsiTheme="minorEastAsia"/>
                <w:snapToGrid/>
                <w:color w:val="auto"/>
                <w:kern w:val="2"/>
              </w:rPr>
            </w:pPr>
            <w:r>
              <w:rPr>
                <w:rFonts w:hint="eastAsia" w:cs="Times New Roman" w:hAnsiTheme="minorEastAsia"/>
                <w:snapToGrid/>
                <w:color w:val="auto"/>
                <w:kern w:val="2"/>
                <w:lang w:val="en-US" w:eastAsia="zh-CN"/>
              </w:rPr>
              <w:t>2</w:t>
            </w:r>
            <w:r>
              <w:rPr>
                <w:rFonts w:cs="Times New Roman" w:hAnsiTheme="minorEastAsia"/>
                <w:snapToGrid/>
                <w:color w:val="auto"/>
                <w:kern w:val="2"/>
              </w:rPr>
              <w:t>0</w:t>
            </w:r>
          </w:p>
        </w:tc>
        <w:tc>
          <w:tcPr>
            <w:tcW w:w="6332" w:type="dxa"/>
            <w:tcBorders>
              <w:top w:val="single" w:color="auto" w:sz="4" w:space="0"/>
              <w:left w:val="single" w:color="auto" w:sz="4" w:space="0"/>
              <w:bottom w:val="single" w:color="auto" w:sz="4" w:space="0"/>
              <w:right w:val="single" w:color="auto" w:sz="4" w:space="0"/>
            </w:tcBorders>
            <w:vAlign w:val="center"/>
          </w:tcPr>
          <w:p w14:paraId="289A63AE">
            <w:pPr>
              <w:rPr>
                <w:rFonts w:hint="eastAsia" w:cs="Times New Roman" w:hAnsiTheme="minorEastAsia"/>
                <w:snapToGrid/>
                <w:color w:val="auto"/>
                <w:kern w:val="2"/>
                <w:lang w:val="en-US" w:eastAsia="zh-CN"/>
              </w:rPr>
            </w:pPr>
            <w:r>
              <w:rPr>
                <w:rFonts w:hint="eastAsia"/>
                <w:szCs w:val="21"/>
              </w:rPr>
              <w:t>评</w:t>
            </w:r>
            <w:r>
              <w:rPr>
                <w:rFonts w:hint="eastAsia"/>
                <w:szCs w:val="21"/>
                <w:lang w:val="en-US" w:eastAsia="zh-CN"/>
              </w:rPr>
              <w:t>审</w:t>
            </w:r>
            <w:r>
              <w:rPr>
                <w:rFonts w:hint="eastAsia"/>
                <w:szCs w:val="21"/>
              </w:rPr>
              <w:t>委员会</w:t>
            </w:r>
            <w:r>
              <w:rPr>
                <w:rFonts w:hint="eastAsia"/>
                <w:szCs w:val="21"/>
                <w:lang w:val="en-US" w:eastAsia="zh-CN"/>
              </w:rPr>
              <w:t>将</w:t>
            </w:r>
            <w:r>
              <w:rPr>
                <w:rFonts w:hint="eastAsia" w:cs="Times New Roman" w:hAnsiTheme="minorEastAsia"/>
                <w:snapToGrid/>
                <w:color w:val="auto"/>
                <w:kern w:val="2"/>
                <w:lang w:val="en-US" w:eastAsia="zh-CN"/>
              </w:rPr>
              <w:t>低于采购人发布的控制价且经评审合格的含税报价作为有效报价，取有效报价的算术平均值作为评审基准价，各供应商的报价得分按以下公式计算：</w:t>
            </w:r>
          </w:p>
          <w:p w14:paraId="79F5BCD3">
            <w:pPr>
              <w:rPr>
                <w:rFonts w:hint="eastAsia" w:cs="Times New Roman" w:hAnsiTheme="minorEastAsia"/>
                <w:snapToGrid/>
                <w:color w:val="auto"/>
                <w:kern w:val="2"/>
                <w:lang w:val="en-US" w:eastAsia="zh-CN"/>
              </w:rPr>
            </w:pPr>
            <w:r>
              <w:rPr>
                <w:rFonts w:hint="eastAsia" w:cs="Times New Roman" w:hAnsiTheme="minorEastAsia"/>
                <w:snapToGrid/>
                <w:color w:val="auto"/>
                <w:kern w:val="2"/>
                <w:lang w:val="en-US" w:eastAsia="zh-CN"/>
              </w:rPr>
              <w:t>（1）供应商的报价等于评审基准价得分 20分；</w:t>
            </w:r>
          </w:p>
          <w:p w14:paraId="2BA92042">
            <w:pPr>
              <w:rPr>
                <w:rFonts w:hint="eastAsia" w:cs="Times New Roman" w:hAnsiTheme="minorEastAsia"/>
                <w:snapToGrid/>
                <w:color w:val="auto"/>
                <w:kern w:val="2"/>
                <w:lang w:val="en-US" w:eastAsia="zh-CN"/>
              </w:rPr>
            </w:pPr>
            <w:r>
              <w:rPr>
                <w:rFonts w:hint="eastAsia" w:cs="Times New Roman" w:hAnsiTheme="minorEastAsia"/>
                <w:snapToGrid/>
                <w:color w:val="auto"/>
                <w:kern w:val="2"/>
                <w:lang w:val="en-US" w:eastAsia="zh-CN"/>
              </w:rPr>
              <w:t>（2）供应商的报价高于评审基准价得分：20—（供应商报价－评审基准价）/评审基准价*100*0.5；</w:t>
            </w:r>
          </w:p>
          <w:p w14:paraId="70DE4BAE">
            <w:pPr>
              <w:rPr>
                <w:rFonts w:hint="eastAsia" w:cs="Times New Roman" w:hAnsiTheme="minorEastAsia"/>
                <w:snapToGrid/>
                <w:color w:val="auto"/>
                <w:kern w:val="2"/>
                <w:lang w:val="en-US" w:eastAsia="zh-CN"/>
              </w:rPr>
            </w:pPr>
            <w:r>
              <w:rPr>
                <w:rFonts w:hint="eastAsia" w:cs="Times New Roman" w:hAnsiTheme="minorEastAsia"/>
                <w:snapToGrid/>
                <w:color w:val="auto"/>
                <w:kern w:val="2"/>
                <w:lang w:val="en-US" w:eastAsia="zh-CN"/>
              </w:rPr>
              <w:t>（3）供应商的报价低于评审基准价得分：20+（供应商报价－评审基准价）/评审基准价*100*0.2；</w:t>
            </w:r>
          </w:p>
          <w:p w14:paraId="2B779760">
            <w:pPr>
              <w:rPr>
                <w:rFonts w:cs="Times New Roman" w:hAnsiTheme="minorEastAsia"/>
                <w:snapToGrid/>
                <w:color w:val="auto"/>
                <w:kern w:val="2"/>
              </w:rPr>
            </w:pPr>
            <w:r>
              <w:rPr>
                <w:rFonts w:hint="eastAsia" w:cs="Times New Roman" w:hAnsiTheme="minorEastAsia"/>
                <w:snapToGrid/>
                <w:color w:val="auto"/>
                <w:kern w:val="2"/>
                <w:lang w:val="en-US" w:eastAsia="zh-CN"/>
              </w:rPr>
              <w:t>注：最终计算结果四舍五入保留两位小数。</w:t>
            </w:r>
          </w:p>
        </w:tc>
      </w:tr>
    </w:tbl>
    <w:p w14:paraId="3E806639">
      <w:pPr>
        <w:spacing w:line="440" w:lineRule="exact"/>
        <w:rPr>
          <w:rFonts w:hint="eastAsia" w:ascii="宋体" w:hAnsi="宋体"/>
          <w:b/>
          <w:sz w:val="24"/>
          <w:lang w:eastAsia="zh-CN"/>
        </w:rPr>
      </w:pPr>
    </w:p>
    <w:p w14:paraId="53C3C446">
      <w:pPr>
        <w:spacing w:line="440" w:lineRule="exact"/>
        <w:rPr>
          <w:rFonts w:hint="eastAsia" w:ascii="宋体" w:hAnsi="宋体"/>
          <w:b/>
          <w:sz w:val="24"/>
          <w:lang w:eastAsia="zh-CN"/>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52042366"/>
      <w:bookmarkStart w:id="234" w:name="_Toc296602477"/>
      <w:bookmarkStart w:id="235" w:name="_Toc179632607"/>
      <w:bookmarkStart w:id="236" w:name="_Toc246996232"/>
      <w:bookmarkStart w:id="237" w:name="_Toc144974556"/>
      <w:bookmarkStart w:id="238" w:name="_Toc247085747"/>
      <w:bookmarkStart w:id="239" w:name="_Toc246996975"/>
      <w:bookmarkStart w:id="240" w:name="_Toc152045589"/>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0D4AD936">
      <w:pPr>
        <w:rPr>
          <w:rFonts w:hint="default" w:ascii="Times New Roman" w:hAnsi="Times New Roman" w:cs="Times New Roman" w:eastAsiaTheme="minorEastAsia"/>
          <w:b/>
          <w:bCs/>
          <w:kern w:val="0"/>
          <w:sz w:val="28"/>
          <w:szCs w:val="28"/>
          <w:highlight w:val="none"/>
        </w:rPr>
      </w:pPr>
      <w:bookmarkStart w:id="241" w:name="_Toc152042370"/>
      <w:bookmarkStart w:id="242" w:name="_Toc246996236"/>
      <w:bookmarkStart w:id="243" w:name="_Toc144974560"/>
      <w:bookmarkStart w:id="244" w:name="_Toc152045593"/>
      <w:bookmarkStart w:id="245" w:name="_Toc246996979"/>
      <w:bookmarkStart w:id="246" w:name="_Toc179632611"/>
      <w:bookmarkStart w:id="247" w:name="_Toc296602481"/>
      <w:bookmarkStart w:id="248" w:name="_Toc247085751"/>
    </w:p>
    <w:p w14:paraId="76AF663E">
      <w:pPr>
        <w:wordWrap w:val="0"/>
        <w:spacing w:line="440" w:lineRule="exact"/>
        <w:ind w:firstLine="480" w:firstLineChars="200"/>
        <w:jc w:val="both"/>
        <w:outlineLvl w:val="9"/>
        <w:rPr>
          <w:rFonts w:hint="default" w:asciiTheme="minorEastAsia" w:hAnsiTheme="minorEastAsia" w:eastAsiaTheme="minorEastAsia" w:cstheme="minorEastAsia"/>
          <w:b w:val="0"/>
          <w:bCs w:val="0"/>
          <w:kern w:val="2"/>
          <w:sz w:val="24"/>
          <w:szCs w:val="24"/>
          <w:u w:val="none"/>
          <w:lang w:val="en-US" w:eastAsia="zh-CN"/>
        </w:rPr>
      </w:pPr>
      <w:r>
        <w:rPr>
          <w:rFonts w:hint="default" w:asciiTheme="minorEastAsia" w:hAnsiTheme="minorEastAsia" w:eastAsiaTheme="minorEastAsia" w:cstheme="minorEastAsia"/>
          <w:b w:val="0"/>
          <w:bCs w:val="0"/>
          <w:kern w:val="2"/>
          <w:sz w:val="24"/>
          <w:szCs w:val="24"/>
          <w:u w:val="none"/>
        </w:rPr>
        <w:t xml:space="preserve">1. </w:t>
      </w:r>
      <w:r>
        <w:rPr>
          <w:rFonts w:hint="default" w:asciiTheme="minorEastAsia" w:hAnsiTheme="minorEastAsia" w:eastAsiaTheme="minorEastAsia" w:cstheme="minorEastAsia"/>
          <w:b w:val="0"/>
          <w:bCs w:val="0"/>
          <w:kern w:val="2"/>
          <w:sz w:val="24"/>
          <w:szCs w:val="24"/>
          <w:u w:val="none"/>
          <w:lang w:eastAsia="zh-CN"/>
        </w:rPr>
        <w:t>评审</w:t>
      </w:r>
      <w:r>
        <w:rPr>
          <w:rFonts w:hint="default" w:asciiTheme="minorEastAsia" w:hAnsiTheme="minorEastAsia" w:eastAsiaTheme="minorEastAsia" w:cstheme="minorEastAsia"/>
          <w:b w:val="0"/>
          <w:bCs w:val="0"/>
          <w:kern w:val="2"/>
          <w:sz w:val="24"/>
          <w:szCs w:val="24"/>
          <w:u w:val="none"/>
        </w:rPr>
        <w:t>方法</w:t>
      </w:r>
      <w:r>
        <w:rPr>
          <w:rFonts w:hint="default" w:asciiTheme="minorEastAsia" w:hAnsiTheme="minorEastAsia" w:eastAsiaTheme="minorEastAsia" w:cstheme="minorEastAsia"/>
          <w:b w:val="0"/>
          <w:bCs w:val="0"/>
          <w:kern w:val="2"/>
          <w:sz w:val="24"/>
          <w:szCs w:val="24"/>
          <w:u w:val="none"/>
          <w:lang w:eastAsia="zh-CN"/>
        </w:rPr>
        <w:t>（</w:t>
      </w:r>
      <w:r>
        <w:rPr>
          <w:rFonts w:hint="default" w:asciiTheme="minorEastAsia" w:hAnsiTheme="minorEastAsia" w:eastAsiaTheme="minorEastAsia" w:cstheme="minorEastAsia"/>
          <w:b w:val="0"/>
          <w:bCs w:val="0"/>
          <w:snapToGrid/>
          <w:kern w:val="2"/>
          <w:sz w:val="24"/>
          <w:szCs w:val="24"/>
          <w:u w:val="none"/>
        </w:rPr>
        <w:t>综合评审法</w:t>
      </w:r>
      <w:r>
        <w:rPr>
          <w:rFonts w:hint="default" w:asciiTheme="minorEastAsia" w:hAnsiTheme="minorEastAsia" w:eastAsiaTheme="minorEastAsia" w:cstheme="minorEastAsia"/>
          <w:b w:val="0"/>
          <w:bCs w:val="0"/>
          <w:kern w:val="2"/>
          <w:sz w:val="24"/>
          <w:szCs w:val="24"/>
          <w:u w:val="none"/>
          <w:lang w:val="en-US" w:eastAsia="zh-CN"/>
        </w:rPr>
        <w:t>）</w:t>
      </w:r>
    </w:p>
    <w:p w14:paraId="035633D2">
      <w:pPr>
        <w:wordWrap w:val="0"/>
        <w:adjustRightInd/>
        <w:snapToGrid/>
        <w:spacing w:before="0" w:beforeLines="-2147483648" w:after="0" w:afterLines="-2147483648" w:line="440" w:lineRule="exact"/>
        <w:ind w:firstLine="480" w:firstLineChars="200"/>
        <w:jc w:val="both"/>
        <w:outlineLvl w:val="9"/>
        <w:rPr>
          <w:rFonts w:asciiTheme="minorEastAsia" w:hAnsiTheme="minorEastAsia" w:eastAsiaTheme="minorEastAsia" w:cstheme="minorEastAsia"/>
          <w:snapToGrid/>
          <w:kern w:val="2"/>
          <w:sz w:val="24"/>
          <w:u w:val="none"/>
        </w:rPr>
      </w:pPr>
      <w:r>
        <w:rPr>
          <w:rFonts w:hint="default" w:asciiTheme="minorEastAsia" w:hAnsiTheme="minorEastAsia" w:eastAsiaTheme="minorEastAsia" w:cstheme="minorEastAsia"/>
          <w:snapToGrid/>
          <w:kern w:val="2"/>
          <w:sz w:val="24"/>
          <w:u w:val="none"/>
        </w:rPr>
        <w:t>本次评标采用综合评分法，综合评分法是指在最大限度地满足询比文件实质性要求前提下，按照询比文件中规定的各项因素进行综合评审后，以评标总得分最高的报价人作为中标候选供应商或者中标供应商的评标方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textAlignment w:val="auto"/>
        <w:rPr>
          <w:rFonts w:hint="eastAsia" w:ascii="Times New Roman" w:hAnsi="Times New Roman" w:cs="Times New Roman" w:eastAsiaTheme="minorEastAsia"/>
          <w:b/>
          <w:bCs/>
          <w:kern w:val="0"/>
          <w:sz w:val="28"/>
          <w:szCs w:val="28"/>
          <w:highlight w:val="none"/>
          <w:lang w:val="en-US" w:eastAsia="zh-CN"/>
        </w:rPr>
      </w:pP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246996982"/>
      <w:bookmarkStart w:id="252" w:name="_Toc246996239"/>
      <w:bookmarkStart w:id="253" w:name="_Toc247085754"/>
      <w:bookmarkStart w:id="254" w:name="_Toc296602484"/>
      <w:bookmarkStart w:id="255" w:name="_Toc152045596"/>
      <w:bookmarkStart w:id="256"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43"/>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物业服务费按季度支付。供应商应在每季度考核评价结束后，派专人与采购人核算上季度物业服务费，经采购人审核无误后向供应商支付上季度物业服务费。</w:t>
            </w:r>
          </w:p>
          <w:p w14:paraId="1CC99E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采购人依据招标文件“附件：物业服务季度考核评价表”要求，对供应商进行季度考核评价。每季度物业服务费的10%作为考核评价费。如供应商季度考核得分低于90分，每低1分，扣除考核评价费总金额的1%；如供应商在一个合同期内有2次季度考核评价低于70分，则采购人有权单方面解除合同，且不承担任何违约责任。</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2D0411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3D0A17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采购人要求包括但不限于以下内容：</w:t>
      </w:r>
    </w:p>
    <w:p w14:paraId="4064ECC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一、项目概况</w:t>
      </w:r>
    </w:p>
    <w:p w14:paraId="69AFC7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为提高安车集团物业管理服务质量，提升公司整体形象，现需采购物业服务，主要服务区域包括安车集团本部办公楼及室外区域、安行天下驾校训练场、安行天下培训学校办公楼、安源检测站办公楼及室外区域、安天汽贸公司办公区域等。</w:t>
      </w:r>
    </w:p>
    <w:p w14:paraId="17EACBC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二、物业服务范围及内容</w:t>
      </w:r>
    </w:p>
    <w:p w14:paraId="3E6333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为采购人及其子公司提供物业服务，包括但不限于物业服务区域内的保洁、秩序维护等。具体工作内容包括但不限于：</w:t>
      </w:r>
    </w:p>
    <w:p w14:paraId="0719E3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（一）物业人员配置要求</w:t>
      </w:r>
    </w:p>
    <w:p w14:paraId="625C93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1.安保人员，男性，年龄在50周岁以下，身体健康，相貌端正，仪表大方，无犯罪记录，知法、懂法、守法、依法办事，严格遵守内部管理制度和从业规范，遵守安全管理规定；</w:t>
      </w:r>
    </w:p>
    <w:p w14:paraId="08B326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4.保洁人员，年龄在50周岁以下，上岗时统一着装，仪容仪表规范整齐，言语规范，主动热情。</w:t>
      </w:r>
    </w:p>
    <w:p w14:paraId="313668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具体物体人员配置要求详见下表：</w:t>
      </w:r>
    </w:p>
    <w:p w14:paraId="63D4B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表1 物业人员配置表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14:paraId="4DB28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38C9D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14:paraId="48FD25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岗位</w:t>
            </w:r>
          </w:p>
        </w:tc>
        <w:tc>
          <w:tcPr>
            <w:tcW w:w="1701" w:type="dxa"/>
            <w:vAlign w:val="center"/>
          </w:tcPr>
          <w:p w14:paraId="2B49FD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最少配置</w:t>
            </w:r>
          </w:p>
          <w:p w14:paraId="2207C9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人数要求</w:t>
            </w:r>
          </w:p>
        </w:tc>
        <w:tc>
          <w:tcPr>
            <w:tcW w:w="3985" w:type="dxa"/>
            <w:vAlign w:val="center"/>
          </w:tcPr>
          <w:p w14:paraId="414B08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备注</w:t>
            </w:r>
          </w:p>
        </w:tc>
      </w:tr>
      <w:tr w14:paraId="0BBD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F039F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84" w:type="dxa"/>
            <w:vAlign w:val="center"/>
          </w:tcPr>
          <w:p w14:paraId="31673C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安保人员</w:t>
            </w:r>
          </w:p>
        </w:tc>
        <w:tc>
          <w:tcPr>
            <w:tcW w:w="1701" w:type="dxa"/>
            <w:vAlign w:val="center"/>
          </w:tcPr>
          <w:p w14:paraId="13FA0D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5人</w:t>
            </w:r>
          </w:p>
        </w:tc>
        <w:tc>
          <w:tcPr>
            <w:tcW w:w="3985" w:type="dxa"/>
            <w:vAlign w:val="center"/>
          </w:tcPr>
          <w:p w14:paraId="758B1A0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1.全天班24小时；</w:t>
            </w:r>
          </w:p>
          <w:p w14:paraId="74C47CD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2.男性，年龄在50周岁以下，身体健康，形象良好。</w:t>
            </w:r>
          </w:p>
        </w:tc>
      </w:tr>
      <w:tr w14:paraId="282A0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850" w:type="dxa"/>
            <w:vAlign w:val="center"/>
          </w:tcPr>
          <w:p w14:paraId="29762D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84" w:type="dxa"/>
            <w:vAlign w:val="center"/>
          </w:tcPr>
          <w:p w14:paraId="429E64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保洁人员</w:t>
            </w:r>
          </w:p>
        </w:tc>
        <w:tc>
          <w:tcPr>
            <w:tcW w:w="1701" w:type="dxa"/>
            <w:vAlign w:val="center"/>
          </w:tcPr>
          <w:p w14:paraId="41C728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4人</w:t>
            </w:r>
          </w:p>
        </w:tc>
        <w:tc>
          <w:tcPr>
            <w:tcW w:w="3985" w:type="dxa"/>
            <w:vAlign w:val="center"/>
          </w:tcPr>
          <w:p w14:paraId="2DCC452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要求年龄在50周岁以下，身体健康，形象良好</w:t>
            </w:r>
          </w:p>
        </w:tc>
      </w:tr>
      <w:tr w14:paraId="405A9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gridSpan w:val="2"/>
            <w:vAlign w:val="center"/>
          </w:tcPr>
          <w:p w14:paraId="526541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合计</w:t>
            </w:r>
          </w:p>
        </w:tc>
        <w:tc>
          <w:tcPr>
            <w:tcW w:w="5686" w:type="dxa"/>
            <w:gridSpan w:val="2"/>
            <w:vAlign w:val="center"/>
          </w:tcPr>
          <w:p w14:paraId="0A13B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9人</w:t>
            </w:r>
          </w:p>
        </w:tc>
      </w:tr>
    </w:tbl>
    <w:p w14:paraId="73E234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（二）服务要求</w:t>
      </w:r>
    </w:p>
    <w:p w14:paraId="308B89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投标人应当制定秩序维护制度及应急预案，秩序维护员负责进出口24小时安全值守以及物业服务区域内的安全巡逻等，做好值班、交接班情况记录；物业人员应统一着装，佩戴标志，语言规范，文明服务。</w:t>
      </w:r>
    </w:p>
    <w:p w14:paraId="584E07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1.门卫</w:t>
      </w:r>
    </w:p>
    <w:p w14:paraId="141498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（1）实行专人值守制度，24小时不间断值守。值守人员必须遵纪守法，严格执行门卫安全管理制度，做到“四不准”，即不准迟到早退、不准脱岗、缺岗或睡岗、不准酗酒、娱乐和打闹、不准无关人员入内；</w:t>
      </w:r>
    </w:p>
    <w:p w14:paraId="206F86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（2）对来访人员实行登记，并落实防疫规定，非办公时间来访人员不得入内。如确需进入的，应征求相关部门领导同意，并对来访人员身份核验登记；</w:t>
      </w:r>
    </w:p>
    <w:p w14:paraId="2AF38D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（3）对来访人员应用语礼貌规范，引导车辆有序通行、停放。</w:t>
      </w:r>
    </w:p>
    <w:p w14:paraId="15EAEF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2.流动巡视</w:t>
      </w:r>
    </w:p>
    <w:p w14:paraId="24CD53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（1）巡逻人员应按照线路巡逻，保持警觉，发现情况及时报告、处理，发现闲杂人员，应阻止其入内；</w:t>
      </w:r>
    </w:p>
    <w:p w14:paraId="2EB21E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（2）巡逻时，发现问题应及时解决，遇到重大问题应及时通知秩序维护主管并报告采购人，巡逻范围应严密、杜绝盲点。</w:t>
      </w:r>
    </w:p>
    <w:p w14:paraId="0EEE5E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3.治安防范</w:t>
      </w:r>
    </w:p>
    <w:p w14:paraId="7B213C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秩序维护员发现服务区域内发生违法犯罪行为的，应当及时疏散群众并报警，有能力制止的应及时制止，同时应采取措施保护现场。</w:t>
      </w:r>
    </w:p>
    <w:p w14:paraId="4A7413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4.卫生保洁</w:t>
      </w:r>
    </w:p>
    <w:p w14:paraId="1BEB42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保洁管理要求详见下表：</w:t>
      </w:r>
    </w:p>
    <w:p w14:paraId="409ED5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表2 安车集团办公楼保洁质量标准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66"/>
        <w:gridCol w:w="2119"/>
        <w:gridCol w:w="3985"/>
      </w:tblGrid>
      <w:tr w14:paraId="4D25C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EB984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566" w:type="dxa"/>
            <w:vAlign w:val="center"/>
          </w:tcPr>
          <w:p w14:paraId="3F507A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2119" w:type="dxa"/>
            <w:vAlign w:val="center"/>
          </w:tcPr>
          <w:p w14:paraId="27644A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14:paraId="445FAF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14:paraId="70F9A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69D57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566" w:type="dxa"/>
            <w:vAlign w:val="center"/>
          </w:tcPr>
          <w:p w14:paraId="7FBFDD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2-3楼卫生间</w:t>
            </w:r>
          </w:p>
        </w:tc>
        <w:tc>
          <w:tcPr>
            <w:tcW w:w="2119" w:type="dxa"/>
            <w:vAlign w:val="center"/>
          </w:tcPr>
          <w:p w14:paraId="3DBFCF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14:paraId="08D3C0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14:paraId="1C8D5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5795C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566" w:type="dxa"/>
            <w:vAlign w:val="center"/>
          </w:tcPr>
          <w:p w14:paraId="580480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2楼走廊</w:t>
            </w:r>
          </w:p>
        </w:tc>
        <w:tc>
          <w:tcPr>
            <w:tcW w:w="2119" w:type="dxa"/>
            <w:vAlign w:val="center"/>
          </w:tcPr>
          <w:p w14:paraId="32D7A2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17A60F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14:paraId="5B208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4F57C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566" w:type="dxa"/>
            <w:vAlign w:val="center"/>
          </w:tcPr>
          <w:p w14:paraId="15278E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会议室</w:t>
            </w:r>
          </w:p>
          <w:p w14:paraId="6FF7BF8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（3个）</w:t>
            </w:r>
          </w:p>
        </w:tc>
        <w:tc>
          <w:tcPr>
            <w:tcW w:w="2119" w:type="dxa"/>
            <w:vAlign w:val="center"/>
          </w:tcPr>
          <w:p w14:paraId="281939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6A8A1A3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干净无尘、桌椅地面保持干净整洁</w:t>
            </w:r>
          </w:p>
        </w:tc>
      </w:tr>
      <w:tr w14:paraId="556BA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E8A68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566" w:type="dxa"/>
            <w:vAlign w:val="center"/>
          </w:tcPr>
          <w:p w14:paraId="22CD5C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1楼门厅</w:t>
            </w:r>
          </w:p>
        </w:tc>
        <w:tc>
          <w:tcPr>
            <w:tcW w:w="2119" w:type="dxa"/>
            <w:vAlign w:val="center"/>
          </w:tcPr>
          <w:p w14:paraId="37B4E0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22E960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14:paraId="42DB8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6EE81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566" w:type="dxa"/>
            <w:vAlign w:val="center"/>
          </w:tcPr>
          <w:p w14:paraId="3B1FFC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2楼楼道</w:t>
            </w:r>
          </w:p>
        </w:tc>
        <w:tc>
          <w:tcPr>
            <w:tcW w:w="2119" w:type="dxa"/>
            <w:vAlign w:val="center"/>
          </w:tcPr>
          <w:p w14:paraId="72754A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4636BA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7ADCA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7A01A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566" w:type="dxa"/>
            <w:vAlign w:val="center"/>
          </w:tcPr>
          <w:p w14:paraId="50C10B4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2119" w:type="dxa"/>
            <w:vAlign w:val="center"/>
          </w:tcPr>
          <w:p w14:paraId="107D07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14:paraId="4F0EA40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r w14:paraId="4BE91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AD77F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566" w:type="dxa"/>
            <w:vAlign w:val="center"/>
          </w:tcPr>
          <w:p w14:paraId="0036F7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院内</w:t>
            </w:r>
          </w:p>
        </w:tc>
        <w:tc>
          <w:tcPr>
            <w:tcW w:w="2119" w:type="dxa"/>
            <w:shd w:val="clear" w:color="auto" w:fill="auto"/>
            <w:vAlign w:val="center"/>
          </w:tcPr>
          <w:p w14:paraId="36960C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1"/>
                <w:szCs w:val="21"/>
                <w:highlight w:val="none"/>
                <w:lang w:val="en-US" w:eastAsia="zh-CN" w:bidi="ar-SA"/>
              </w:rPr>
            </w:pPr>
            <w:r>
              <w:rPr>
                <w:rFonts w:hint="eastAsia" w:ascii="Times New Roman" w:hAnsi="Times New Roman" w:cs="Times New Roman"/>
                <w:kern w:val="0"/>
                <w:sz w:val="21"/>
                <w:szCs w:val="21"/>
                <w:highlight w:val="none"/>
                <w:lang w:val="en-US" w:eastAsia="zh-CN"/>
              </w:rPr>
              <w:t>全体保持干净整洁</w:t>
            </w:r>
          </w:p>
        </w:tc>
        <w:tc>
          <w:tcPr>
            <w:tcW w:w="3985" w:type="dxa"/>
            <w:shd w:val="clear" w:color="auto" w:fill="auto"/>
            <w:vAlign w:val="center"/>
          </w:tcPr>
          <w:p w14:paraId="7AED6B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1"/>
                <w:szCs w:val="21"/>
                <w:highlight w:val="none"/>
                <w:lang w:val="en-US" w:eastAsia="zh-CN" w:bidi="ar-SA"/>
              </w:rPr>
            </w:pPr>
            <w:r>
              <w:rPr>
                <w:rFonts w:hint="eastAsia" w:ascii="Times New Roman" w:hAnsi="Times New Roman" w:cs="Times New Roman"/>
                <w:kern w:val="0"/>
                <w:sz w:val="21"/>
                <w:szCs w:val="21"/>
                <w:highlight w:val="none"/>
                <w:lang w:val="en-US" w:eastAsia="zh-CN"/>
              </w:rPr>
              <w:t>无杂物、无积水、无痰迹，保持洁净</w:t>
            </w:r>
          </w:p>
        </w:tc>
      </w:tr>
    </w:tbl>
    <w:p w14:paraId="68ECDA2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14:paraId="7F5EA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表3 安源检测站办公楼保洁质量标准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89"/>
        <w:gridCol w:w="2096"/>
        <w:gridCol w:w="3985"/>
      </w:tblGrid>
      <w:tr w14:paraId="12D6F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D5FBA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589" w:type="dxa"/>
            <w:vAlign w:val="center"/>
          </w:tcPr>
          <w:p w14:paraId="2C17AD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2096" w:type="dxa"/>
            <w:vAlign w:val="center"/>
          </w:tcPr>
          <w:p w14:paraId="109E28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14:paraId="55C90B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14:paraId="49CE2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846FD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589" w:type="dxa"/>
            <w:vAlign w:val="center"/>
          </w:tcPr>
          <w:p w14:paraId="75AE0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2096" w:type="dxa"/>
            <w:vAlign w:val="center"/>
          </w:tcPr>
          <w:p w14:paraId="033FCE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14:paraId="193F9FD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14:paraId="26319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A399DA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589" w:type="dxa"/>
            <w:vAlign w:val="center"/>
          </w:tcPr>
          <w:p w14:paraId="0C8070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2096" w:type="dxa"/>
            <w:vAlign w:val="center"/>
          </w:tcPr>
          <w:p w14:paraId="246334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67CA012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14:paraId="460E4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7765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589" w:type="dxa"/>
            <w:vAlign w:val="center"/>
          </w:tcPr>
          <w:p w14:paraId="02E1E8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2096" w:type="dxa"/>
            <w:vAlign w:val="center"/>
          </w:tcPr>
          <w:p w14:paraId="57CCEB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1EE003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14:paraId="0A5CD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444A2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589" w:type="dxa"/>
            <w:vAlign w:val="center"/>
          </w:tcPr>
          <w:p w14:paraId="5F2295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2096" w:type="dxa"/>
            <w:vAlign w:val="center"/>
          </w:tcPr>
          <w:p w14:paraId="59F0E61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2C073B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517A9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21B40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589" w:type="dxa"/>
            <w:vAlign w:val="center"/>
          </w:tcPr>
          <w:p w14:paraId="2DE98D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w:t>
            </w:r>
          </w:p>
          <w:p w14:paraId="206DD0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道路</w:t>
            </w:r>
          </w:p>
        </w:tc>
        <w:tc>
          <w:tcPr>
            <w:tcW w:w="2096" w:type="dxa"/>
            <w:vAlign w:val="center"/>
          </w:tcPr>
          <w:p w14:paraId="56D9B5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全体保持干净整洁</w:t>
            </w:r>
          </w:p>
        </w:tc>
        <w:tc>
          <w:tcPr>
            <w:tcW w:w="3985" w:type="dxa"/>
            <w:vAlign w:val="center"/>
          </w:tcPr>
          <w:p w14:paraId="0B022C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0B8E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5DD61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589" w:type="dxa"/>
            <w:vAlign w:val="center"/>
          </w:tcPr>
          <w:p w14:paraId="649ECD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2096" w:type="dxa"/>
            <w:vAlign w:val="center"/>
          </w:tcPr>
          <w:p w14:paraId="159A3B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14:paraId="285D52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14:paraId="4FA5CD7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14:paraId="6D9E06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表4 安行天下驾校（公共区域、办公楼等）保洁质量标准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678"/>
        <w:gridCol w:w="2007"/>
        <w:gridCol w:w="3985"/>
      </w:tblGrid>
      <w:tr w14:paraId="3E46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96A4C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678" w:type="dxa"/>
            <w:vAlign w:val="center"/>
          </w:tcPr>
          <w:p w14:paraId="78E54D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2007" w:type="dxa"/>
            <w:vAlign w:val="center"/>
          </w:tcPr>
          <w:p w14:paraId="4E6910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14:paraId="06F974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14:paraId="0A31B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802BA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678" w:type="dxa"/>
            <w:vAlign w:val="center"/>
          </w:tcPr>
          <w:p w14:paraId="73355F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训练场</w:t>
            </w:r>
          </w:p>
          <w:p w14:paraId="38B78E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智能训练场</w:t>
            </w:r>
          </w:p>
        </w:tc>
        <w:tc>
          <w:tcPr>
            <w:tcW w:w="2007" w:type="dxa"/>
            <w:vAlign w:val="center"/>
          </w:tcPr>
          <w:p w14:paraId="118027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217232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5764B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BB4AC1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678" w:type="dxa"/>
            <w:vAlign w:val="center"/>
          </w:tcPr>
          <w:p w14:paraId="1B9576B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办公楼</w:t>
            </w:r>
          </w:p>
          <w:p w14:paraId="544395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一楼大厅</w:t>
            </w:r>
          </w:p>
        </w:tc>
        <w:tc>
          <w:tcPr>
            <w:tcW w:w="2007" w:type="dxa"/>
            <w:vAlign w:val="center"/>
          </w:tcPr>
          <w:p w14:paraId="33B5BE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51C200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14:paraId="11F51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D6A0D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678" w:type="dxa"/>
            <w:vAlign w:val="center"/>
          </w:tcPr>
          <w:p w14:paraId="6C8A0A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机房</w:t>
            </w:r>
          </w:p>
        </w:tc>
        <w:tc>
          <w:tcPr>
            <w:tcW w:w="2007" w:type="dxa"/>
            <w:vAlign w:val="center"/>
          </w:tcPr>
          <w:p w14:paraId="3CBEBA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515443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无灰尘，无杂物、无痰迹</w:t>
            </w:r>
          </w:p>
        </w:tc>
      </w:tr>
      <w:tr w14:paraId="645F4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E0EC3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678" w:type="dxa"/>
            <w:vAlign w:val="center"/>
          </w:tcPr>
          <w:p w14:paraId="61309A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2007" w:type="dxa"/>
            <w:vAlign w:val="center"/>
          </w:tcPr>
          <w:p w14:paraId="5C3565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14:paraId="2FDC88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14:paraId="41CCF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D75294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678" w:type="dxa"/>
            <w:vAlign w:val="center"/>
          </w:tcPr>
          <w:p w14:paraId="4B72DF2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外围道路</w:t>
            </w:r>
          </w:p>
        </w:tc>
        <w:tc>
          <w:tcPr>
            <w:tcW w:w="2007" w:type="dxa"/>
            <w:vAlign w:val="center"/>
          </w:tcPr>
          <w:p w14:paraId="30BE05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全体保持干净整洁</w:t>
            </w:r>
          </w:p>
        </w:tc>
        <w:tc>
          <w:tcPr>
            <w:tcW w:w="3985" w:type="dxa"/>
            <w:vAlign w:val="center"/>
          </w:tcPr>
          <w:p w14:paraId="35A4B9F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28338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19C3B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678" w:type="dxa"/>
            <w:vAlign w:val="center"/>
          </w:tcPr>
          <w:p w14:paraId="2DDC50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2007" w:type="dxa"/>
            <w:vAlign w:val="center"/>
          </w:tcPr>
          <w:p w14:paraId="53AECE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14:paraId="074580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14:paraId="7151637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14:paraId="21D443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表5 职业培训学校（4—6层）保洁质量标准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14:paraId="13E89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F9CE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14:paraId="65E3C0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14:paraId="62FD7B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14:paraId="5D324C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14:paraId="4D6D0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289BD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14:paraId="4CF815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14:paraId="07DB408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14:paraId="7900B8A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14:paraId="26EBE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4AA81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14:paraId="5080B49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1701" w:type="dxa"/>
            <w:vAlign w:val="center"/>
          </w:tcPr>
          <w:p w14:paraId="6308AA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39B2B71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14:paraId="22ABD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1B04ED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14:paraId="0C0E64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会议室</w:t>
            </w:r>
          </w:p>
        </w:tc>
        <w:tc>
          <w:tcPr>
            <w:tcW w:w="1701" w:type="dxa"/>
            <w:vAlign w:val="center"/>
          </w:tcPr>
          <w:p w14:paraId="1ECF51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362DB6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干净无尘、桌椅地面保持干净整洁</w:t>
            </w:r>
          </w:p>
        </w:tc>
      </w:tr>
      <w:tr w14:paraId="6653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E49AD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14:paraId="49FA4D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1701" w:type="dxa"/>
            <w:vAlign w:val="center"/>
          </w:tcPr>
          <w:p w14:paraId="755ABF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433E5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14:paraId="207AE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AFBBC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14:paraId="0B1232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电梯</w:t>
            </w:r>
          </w:p>
        </w:tc>
        <w:tc>
          <w:tcPr>
            <w:tcW w:w="1701" w:type="dxa"/>
            <w:vAlign w:val="center"/>
          </w:tcPr>
          <w:p w14:paraId="16E81F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电梯轿厢地面每天清扫两次，并全天保持干净</w:t>
            </w:r>
          </w:p>
        </w:tc>
        <w:tc>
          <w:tcPr>
            <w:tcW w:w="3985" w:type="dxa"/>
            <w:vAlign w:val="center"/>
          </w:tcPr>
          <w:p w14:paraId="7E4E80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6959A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6B16F4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14:paraId="2781E4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1701" w:type="dxa"/>
            <w:vAlign w:val="center"/>
          </w:tcPr>
          <w:p w14:paraId="796A4E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14:paraId="7F474E2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14:paraId="3D709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FC76F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984" w:type="dxa"/>
            <w:vAlign w:val="center"/>
          </w:tcPr>
          <w:p w14:paraId="231FDB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14:paraId="307E5CD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14:paraId="31D60A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14:paraId="2066B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14:paraId="18CCC3CA">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2B1D173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附件：物业服务季度考核评价表</w:t>
      </w:r>
    </w:p>
    <w:p w14:paraId="7A2F95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p>
    <w:p w14:paraId="08AEE7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物业服务季度考核评价表</w:t>
      </w:r>
    </w:p>
    <w:p w14:paraId="6D8B77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269"/>
        <w:gridCol w:w="850"/>
        <w:gridCol w:w="850"/>
      </w:tblGrid>
      <w:tr w14:paraId="14576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5A58A1FB">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序号</w:t>
            </w:r>
          </w:p>
        </w:tc>
        <w:tc>
          <w:tcPr>
            <w:tcW w:w="1701" w:type="dxa"/>
            <w:vAlign w:val="center"/>
          </w:tcPr>
          <w:p w14:paraId="13BAF10E">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考核评价因素</w:t>
            </w:r>
          </w:p>
        </w:tc>
        <w:tc>
          <w:tcPr>
            <w:tcW w:w="4269" w:type="dxa"/>
            <w:vAlign w:val="center"/>
          </w:tcPr>
          <w:p w14:paraId="403F8E51">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w:t>
            </w:r>
            <w:r>
              <w:rPr>
                <w:rFonts w:hint="eastAsia" w:cs="Times New Roman" w:eastAsiaTheme="minorEastAsia"/>
                <w:snapToGrid w:val="0"/>
                <w:sz w:val="21"/>
                <w:szCs w:val="21"/>
                <w:lang w:val="en-US" w:eastAsia="zh-CN"/>
              </w:rPr>
              <w:t>价</w:t>
            </w:r>
            <w:r>
              <w:rPr>
                <w:rFonts w:hint="default" w:ascii="Times New Roman" w:hAnsi="Times New Roman" w:cs="Times New Roman" w:eastAsiaTheme="minorEastAsia"/>
                <w:snapToGrid w:val="0"/>
                <w:sz w:val="21"/>
                <w:szCs w:val="21"/>
              </w:rPr>
              <w:t>标准</w:t>
            </w:r>
          </w:p>
        </w:tc>
        <w:tc>
          <w:tcPr>
            <w:tcW w:w="850" w:type="dxa"/>
            <w:vAlign w:val="center"/>
          </w:tcPr>
          <w:p w14:paraId="26C2E221">
            <w:pPr>
              <w:pStyle w:val="31"/>
              <w:adjustRightInd w:val="0"/>
              <w:snapToGrid w:val="0"/>
              <w:jc w:val="center"/>
              <w:rPr>
                <w:rFonts w:hint="eastAsia" w:ascii="Times New Roman" w:hAnsi="Times New Roman" w:cs="Times New Roman" w:eastAsiaTheme="minorEastAsia"/>
                <w:snapToGrid w:val="0"/>
                <w:sz w:val="21"/>
                <w:szCs w:val="21"/>
                <w:lang w:eastAsia="zh-CN"/>
              </w:rPr>
            </w:pPr>
            <w:r>
              <w:rPr>
                <w:rFonts w:hint="eastAsia" w:cs="Times New Roman" w:eastAsiaTheme="minorEastAsia"/>
                <w:snapToGrid w:val="0"/>
                <w:sz w:val="21"/>
                <w:szCs w:val="21"/>
                <w:lang w:val="en-US" w:eastAsia="zh-CN"/>
              </w:rPr>
              <w:t>分值</w:t>
            </w:r>
          </w:p>
        </w:tc>
        <w:tc>
          <w:tcPr>
            <w:tcW w:w="850" w:type="dxa"/>
            <w:vAlign w:val="center"/>
          </w:tcPr>
          <w:p w14:paraId="4FA11080">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评分</w:t>
            </w:r>
          </w:p>
        </w:tc>
      </w:tr>
      <w:tr w14:paraId="53D8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42E19344">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w:t>
            </w:r>
          </w:p>
        </w:tc>
        <w:tc>
          <w:tcPr>
            <w:tcW w:w="1701" w:type="dxa"/>
            <w:vAlign w:val="center"/>
          </w:tcPr>
          <w:p w14:paraId="3002D5DF">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制度规定方面</w:t>
            </w:r>
          </w:p>
        </w:tc>
        <w:tc>
          <w:tcPr>
            <w:tcW w:w="4269" w:type="dxa"/>
            <w:vAlign w:val="center"/>
          </w:tcPr>
          <w:p w14:paraId="58CDEE6B">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保洁员岗位职责、保安员岗位职责、卫生间保洁标准、卫生间使用管理制度等内容齐全，制度上墙。每少一项扣3分。</w:t>
            </w:r>
          </w:p>
        </w:tc>
        <w:tc>
          <w:tcPr>
            <w:tcW w:w="850" w:type="dxa"/>
            <w:vAlign w:val="center"/>
          </w:tcPr>
          <w:p w14:paraId="63A8958F">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10</w:t>
            </w:r>
          </w:p>
        </w:tc>
        <w:tc>
          <w:tcPr>
            <w:tcW w:w="850" w:type="dxa"/>
            <w:vAlign w:val="center"/>
          </w:tcPr>
          <w:p w14:paraId="06B05F28">
            <w:pPr>
              <w:pStyle w:val="31"/>
              <w:adjustRightInd w:val="0"/>
              <w:snapToGrid w:val="0"/>
              <w:jc w:val="center"/>
              <w:rPr>
                <w:rFonts w:hint="default" w:ascii="Times New Roman" w:hAnsi="Times New Roman" w:cs="Times New Roman" w:eastAsiaTheme="minorEastAsia"/>
                <w:snapToGrid w:val="0"/>
                <w:sz w:val="21"/>
                <w:szCs w:val="21"/>
              </w:rPr>
            </w:pPr>
          </w:p>
        </w:tc>
      </w:tr>
      <w:tr w14:paraId="43024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4A388E18">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w:t>
            </w:r>
          </w:p>
        </w:tc>
        <w:tc>
          <w:tcPr>
            <w:tcW w:w="1701" w:type="dxa"/>
            <w:vAlign w:val="center"/>
          </w:tcPr>
          <w:p w14:paraId="5641BA32">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督导管理方面</w:t>
            </w:r>
          </w:p>
        </w:tc>
        <w:tc>
          <w:tcPr>
            <w:tcW w:w="4269" w:type="dxa"/>
            <w:vAlign w:val="center"/>
          </w:tcPr>
          <w:p w14:paraId="39141BCD">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项目经理对</w:t>
            </w:r>
            <w:r>
              <w:rPr>
                <w:rFonts w:hint="eastAsia" w:cs="Times New Roman" w:eastAsiaTheme="minorEastAsia"/>
                <w:snapToGrid w:val="0"/>
                <w:sz w:val="21"/>
                <w:szCs w:val="21"/>
                <w:lang w:eastAsia="zh-CN"/>
              </w:rPr>
              <w:t>中标人</w:t>
            </w:r>
            <w:r>
              <w:rPr>
                <w:rFonts w:hint="default" w:ascii="Times New Roman" w:hAnsi="Times New Roman" w:cs="Times New Roman" w:eastAsiaTheme="minorEastAsia"/>
                <w:snapToGrid w:val="0"/>
                <w:sz w:val="21"/>
                <w:szCs w:val="21"/>
              </w:rPr>
              <w:t>服务人员的工作情况定期检查督导，发现问题及时指出和克服。每少督导一次扣2分。</w:t>
            </w:r>
          </w:p>
        </w:tc>
        <w:tc>
          <w:tcPr>
            <w:tcW w:w="850" w:type="dxa"/>
            <w:vAlign w:val="center"/>
          </w:tcPr>
          <w:p w14:paraId="3F569FD3">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10</w:t>
            </w:r>
          </w:p>
        </w:tc>
        <w:tc>
          <w:tcPr>
            <w:tcW w:w="850" w:type="dxa"/>
            <w:vAlign w:val="center"/>
          </w:tcPr>
          <w:p w14:paraId="1EDEAC6F">
            <w:pPr>
              <w:pStyle w:val="31"/>
              <w:adjustRightInd w:val="0"/>
              <w:snapToGrid w:val="0"/>
              <w:jc w:val="center"/>
              <w:rPr>
                <w:rFonts w:hint="default" w:ascii="Times New Roman" w:hAnsi="Times New Roman" w:cs="Times New Roman" w:eastAsiaTheme="minorEastAsia"/>
                <w:snapToGrid w:val="0"/>
                <w:sz w:val="21"/>
                <w:szCs w:val="21"/>
              </w:rPr>
            </w:pPr>
          </w:p>
        </w:tc>
      </w:tr>
      <w:tr w14:paraId="507B0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09F6A1DB">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w:t>
            </w:r>
          </w:p>
        </w:tc>
        <w:tc>
          <w:tcPr>
            <w:tcW w:w="1701" w:type="dxa"/>
            <w:vAlign w:val="center"/>
          </w:tcPr>
          <w:p w14:paraId="70E57F16">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服务标准方面</w:t>
            </w:r>
          </w:p>
        </w:tc>
        <w:tc>
          <w:tcPr>
            <w:tcW w:w="4269" w:type="dxa"/>
            <w:vAlign w:val="center"/>
          </w:tcPr>
          <w:p w14:paraId="6A19E035">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没有及时开、关大门，每发现一次扣3分；没有及时疏导车辆造成严重拥堵，每发现一次扣3分；没有对外来办事人员进行询问、登记，每发现一次扣3分；卫生清理不及时、不彻底，有死角、有异味，每发现一次扣3分。</w:t>
            </w:r>
          </w:p>
        </w:tc>
        <w:tc>
          <w:tcPr>
            <w:tcW w:w="850" w:type="dxa"/>
            <w:vAlign w:val="center"/>
          </w:tcPr>
          <w:p w14:paraId="65AE7987">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40</w:t>
            </w:r>
          </w:p>
        </w:tc>
        <w:tc>
          <w:tcPr>
            <w:tcW w:w="850" w:type="dxa"/>
            <w:vAlign w:val="center"/>
          </w:tcPr>
          <w:p w14:paraId="36378C4E">
            <w:pPr>
              <w:pStyle w:val="31"/>
              <w:adjustRightInd w:val="0"/>
              <w:snapToGrid w:val="0"/>
              <w:jc w:val="center"/>
              <w:rPr>
                <w:rFonts w:hint="default" w:ascii="Times New Roman" w:hAnsi="Times New Roman" w:cs="Times New Roman" w:eastAsiaTheme="minorEastAsia"/>
                <w:snapToGrid w:val="0"/>
                <w:sz w:val="21"/>
                <w:szCs w:val="21"/>
              </w:rPr>
            </w:pPr>
          </w:p>
        </w:tc>
      </w:tr>
      <w:tr w14:paraId="5D305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71E51A1A">
            <w:pPr>
              <w:pStyle w:val="31"/>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p>
        </w:tc>
        <w:tc>
          <w:tcPr>
            <w:tcW w:w="1701" w:type="dxa"/>
            <w:vAlign w:val="center"/>
          </w:tcPr>
          <w:p w14:paraId="68824FEE">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态度形象方面</w:t>
            </w:r>
          </w:p>
        </w:tc>
        <w:tc>
          <w:tcPr>
            <w:tcW w:w="4269" w:type="dxa"/>
            <w:vAlign w:val="center"/>
          </w:tcPr>
          <w:p w14:paraId="40ACFD8F">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着装不统一，举止不文明，服务不热情，每发现一次扣5分；在办公区内大声喧哗，影响正常工作秩序，每发现一次扣5分；迟到、早退、睡岗的，每发现一次扣5分；值班人员不在位，无故漏岗、脱岗的，每发现一次扣10分；态度和行为不恰当，对</w:t>
            </w:r>
            <w:r>
              <w:rPr>
                <w:rFonts w:hint="eastAsia" w:cs="Times New Roman" w:eastAsiaTheme="minorEastAsia"/>
                <w:snapToGrid w:val="0"/>
                <w:sz w:val="21"/>
                <w:szCs w:val="21"/>
                <w:lang w:eastAsia="zh-CN"/>
              </w:rPr>
              <w:t>采购人</w:t>
            </w:r>
            <w:r>
              <w:rPr>
                <w:rFonts w:hint="default" w:ascii="Times New Roman" w:hAnsi="Times New Roman" w:cs="Times New Roman" w:eastAsiaTheme="minorEastAsia"/>
                <w:snapToGrid w:val="0"/>
                <w:sz w:val="21"/>
                <w:szCs w:val="21"/>
              </w:rPr>
              <w:t>形象造成较坏影响，每发现一次扣20分；与客户发生争执不能冷静处理，造成恶劣影响的，每发现一次扣30分。</w:t>
            </w:r>
          </w:p>
        </w:tc>
        <w:tc>
          <w:tcPr>
            <w:tcW w:w="850" w:type="dxa"/>
            <w:vAlign w:val="center"/>
          </w:tcPr>
          <w:p w14:paraId="0BBE10BD">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40</w:t>
            </w:r>
          </w:p>
        </w:tc>
        <w:tc>
          <w:tcPr>
            <w:tcW w:w="850" w:type="dxa"/>
            <w:vAlign w:val="center"/>
          </w:tcPr>
          <w:p w14:paraId="2B32372F">
            <w:pPr>
              <w:pStyle w:val="31"/>
              <w:adjustRightInd w:val="0"/>
              <w:snapToGrid w:val="0"/>
              <w:jc w:val="center"/>
              <w:rPr>
                <w:rFonts w:hint="default" w:ascii="Times New Roman" w:hAnsi="Times New Roman" w:cs="Times New Roman" w:eastAsiaTheme="minorEastAsia"/>
                <w:snapToGrid w:val="0"/>
                <w:sz w:val="21"/>
                <w:szCs w:val="21"/>
              </w:rPr>
            </w:pPr>
          </w:p>
        </w:tc>
      </w:tr>
      <w:tr w14:paraId="4F364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1F632E3B">
            <w:pPr>
              <w:pStyle w:val="31"/>
              <w:adjustRightInd w:val="0"/>
              <w:snapToGrid w:val="0"/>
              <w:jc w:val="center"/>
              <w:rPr>
                <w:rFonts w:hint="eastAsia"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5</w:t>
            </w:r>
          </w:p>
        </w:tc>
        <w:tc>
          <w:tcPr>
            <w:tcW w:w="1701" w:type="dxa"/>
            <w:vAlign w:val="center"/>
          </w:tcPr>
          <w:p w14:paraId="32DD3B94">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安全管理方面</w:t>
            </w:r>
          </w:p>
        </w:tc>
        <w:tc>
          <w:tcPr>
            <w:tcW w:w="4269" w:type="dxa"/>
            <w:vAlign w:val="center"/>
          </w:tcPr>
          <w:p w14:paraId="6CA62509">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没有履行应尽职责，造成</w:t>
            </w:r>
            <w:r>
              <w:rPr>
                <w:rFonts w:hint="eastAsia" w:cs="Times New Roman" w:eastAsiaTheme="minorEastAsia"/>
                <w:snapToGrid w:val="0"/>
                <w:sz w:val="21"/>
                <w:szCs w:val="21"/>
                <w:lang w:val="en-US" w:eastAsia="zh-CN"/>
              </w:rPr>
              <w:t>采购人</w:t>
            </w:r>
            <w:r>
              <w:rPr>
                <w:rFonts w:hint="default" w:ascii="Times New Roman" w:hAnsi="Times New Roman" w:cs="Times New Roman" w:eastAsiaTheme="minorEastAsia"/>
                <w:snapToGrid w:val="0"/>
                <w:sz w:val="21"/>
                <w:szCs w:val="21"/>
              </w:rPr>
              <w:t>物品丢失、被盗的；不遵守安全管理规定，致使个人受到伤害或对</w:t>
            </w:r>
            <w:r>
              <w:rPr>
                <w:rFonts w:hint="eastAsia" w:cs="Times New Roman" w:eastAsiaTheme="minorEastAsia"/>
                <w:snapToGrid w:val="0"/>
                <w:sz w:val="21"/>
                <w:szCs w:val="21"/>
                <w:lang w:val="en-US" w:eastAsia="zh-CN"/>
              </w:rPr>
              <w:t>采购人</w:t>
            </w:r>
            <w:r>
              <w:rPr>
                <w:rFonts w:hint="default" w:ascii="Times New Roman" w:hAnsi="Times New Roman" w:cs="Times New Roman" w:eastAsiaTheme="minorEastAsia"/>
                <w:snapToGrid w:val="0"/>
                <w:sz w:val="21"/>
                <w:szCs w:val="21"/>
              </w:rPr>
              <w:t>造成损失的，由</w:t>
            </w:r>
            <w:r>
              <w:rPr>
                <w:rFonts w:hint="eastAsia" w:cs="Times New Roman" w:eastAsiaTheme="minorEastAsia"/>
                <w:snapToGrid w:val="0"/>
                <w:sz w:val="21"/>
                <w:szCs w:val="21"/>
                <w:lang w:val="en-US" w:eastAsia="zh-CN"/>
              </w:rPr>
              <w:t>中标人</w:t>
            </w:r>
            <w:r>
              <w:rPr>
                <w:rFonts w:hint="default" w:ascii="Times New Roman" w:hAnsi="Times New Roman" w:cs="Times New Roman" w:eastAsiaTheme="minorEastAsia"/>
                <w:snapToGrid w:val="0"/>
                <w:sz w:val="21"/>
                <w:szCs w:val="21"/>
              </w:rPr>
              <w:t>承担后果并赔偿全部损失。该次综合考核按0分评定，并视情解除服务合同。</w:t>
            </w:r>
          </w:p>
        </w:tc>
        <w:tc>
          <w:tcPr>
            <w:tcW w:w="850" w:type="dxa"/>
            <w:vAlign w:val="center"/>
          </w:tcPr>
          <w:p w14:paraId="429A07B5">
            <w:pPr>
              <w:pStyle w:val="31"/>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w:t>
            </w:r>
          </w:p>
        </w:tc>
        <w:tc>
          <w:tcPr>
            <w:tcW w:w="850" w:type="dxa"/>
            <w:vAlign w:val="center"/>
          </w:tcPr>
          <w:p w14:paraId="7842837C">
            <w:pPr>
              <w:pStyle w:val="31"/>
              <w:adjustRightInd w:val="0"/>
              <w:snapToGrid w:val="0"/>
              <w:jc w:val="center"/>
              <w:rPr>
                <w:rFonts w:hint="default" w:ascii="Times New Roman" w:hAnsi="Times New Roman" w:cs="Times New Roman" w:eastAsiaTheme="minorEastAsia"/>
                <w:snapToGrid w:val="0"/>
                <w:sz w:val="21"/>
                <w:szCs w:val="21"/>
              </w:rPr>
            </w:pPr>
          </w:p>
        </w:tc>
      </w:tr>
      <w:tr w14:paraId="2D7E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14:paraId="1F7FB2F3">
            <w:pPr>
              <w:pStyle w:val="31"/>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6</w:t>
            </w:r>
          </w:p>
        </w:tc>
        <w:tc>
          <w:tcPr>
            <w:tcW w:w="1701" w:type="dxa"/>
            <w:vAlign w:val="center"/>
          </w:tcPr>
          <w:p w14:paraId="5BA6572C">
            <w:pPr>
              <w:pStyle w:val="31"/>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廉洁从业方面</w:t>
            </w:r>
          </w:p>
        </w:tc>
        <w:tc>
          <w:tcPr>
            <w:tcW w:w="4269" w:type="dxa"/>
            <w:vAlign w:val="center"/>
          </w:tcPr>
          <w:p w14:paraId="1B6E361D">
            <w:pPr>
              <w:pStyle w:val="31"/>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对廉洁从业实行一票否决制。</w:t>
            </w:r>
            <w:r>
              <w:rPr>
                <w:rFonts w:hint="eastAsia" w:cs="Times New Roman" w:eastAsiaTheme="minorEastAsia"/>
                <w:snapToGrid w:val="0"/>
                <w:sz w:val="21"/>
                <w:szCs w:val="21"/>
                <w:lang w:eastAsia="zh-CN"/>
              </w:rPr>
              <w:t>中标人</w:t>
            </w:r>
            <w:r>
              <w:rPr>
                <w:rFonts w:hint="default" w:ascii="Times New Roman" w:hAnsi="Times New Roman" w:cs="Times New Roman" w:eastAsiaTheme="minorEastAsia"/>
                <w:snapToGrid w:val="0"/>
                <w:sz w:val="21"/>
                <w:szCs w:val="21"/>
              </w:rPr>
              <w:t>服务人员不得收受客户好处费，不得损害</w:t>
            </w:r>
            <w:r>
              <w:rPr>
                <w:rFonts w:hint="eastAsia" w:cs="Times New Roman" w:eastAsiaTheme="minorEastAsia"/>
                <w:snapToGrid w:val="0"/>
                <w:sz w:val="21"/>
                <w:szCs w:val="21"/>
                <w:lang w:eastAsia="zh-CN"/>
              </w:rPr>
              <w:t>采购人</w:t>
            </w:r>
            <w:r>
              <w:rPr>
                <w:rFonts w:hint="default" w:ascii="Times New Roman" w:hAnsi="Times New Roman" w:cs="Times New Roman" w:eastAsiaTheme="minorEastAsia"/>
                <w:snapToGrid w:val="0"/>
                <w:sz w:val="21"/>
                <w:szCs w:val="21"/>
              </w:rPr>
              <w:t>利益而谋取私利，不得偷窃、占用、转移</w:t>
            </w:r>
            <w:r>
              <w:rPr>
                <w:rFonts w:hint="eastAsia" w:cs="Times New Roman" w:eastAsiaTheme="minorEastAsia"/>
                <w:snapToGrid w:val="0"/>
                <w:sz w:val="21"/>
                <w:szCs w:val="21"/>
                <w:lang w:eastAsia="zh-CN"/>
              </w:rPr>
              <w:t>采购人</w:t>
            </w:r>
            <w:r>
              <w:rPr>
                <w:rFonts w:hint="default" w:ascii="Times New Roman" w:hAnsi="Times New Roman" w:cs="Times New Roman" w:eastAsiaTheme="minorEastAsia"/>
                <w:snapToGrid w:val="0"/>
                <w:sz w:val="21"/>
                <w:szCs w:val="21"/>
              </w:rPr>
              <w:t>物品，不得以任何理由、任何形式贿赂</w:t>
            </w:r>
            <w:r>
              <w:rPr>
                <w:rFonts w:hint="eastAsia" w:cs="Times New Roman" w:eastAsiaTheme="minorEastAsia"/>
                <w:snapToGrid w:val="0"/>
                <w:sz w:val="21"/>
                <w:szCs w:val="21"/>
                <w:lang w:eastAsia="zh-CN"/>
              </w:rPr>
              <w:t>采购人</w:t>
            </w:r>
            <w:r>
              <w:rPr>
                <w:rFonts w:hint="default" w:ascii="Times New Roman" w:hAnsi="Times New Roman" w:cs="Times New Roman" w:eastAsiaTheme="minorEastAsia"/>
                <w:snapToGrid w:val="0"/>
                <w:sz w:val="21"/>
                <w:szCs w:val="21"/>
              </w:rPr>
              <w:t>工作人员，发现一次，该次综合考核按0分评定，并直接解除服务合同。</w:t>
            </w:r>
          </w:p>
        </w:tc>
        <w:tc>
          <w:tcPr>
            <w:tcW w:w="850" w:type="dxa"/>
            <w:vAlign w:val="center"/>
          </w:tcPr>
          <w:p w14:paraId="0DB4A49C">
            <w:pPr>
              <w:pStyle w:val="31"/>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w:t>
            </w:r>
          </w:p>
        </w:tc>
        <w:tc>
          <w:tcPr>
            <w:tcW w:w="850" w:type="dxa"/>
            <w:vAlign w:val="center"/>
          </w:tcPr>
          <w:p w14:paraId="126FF264">
            <w:pPr>
              <w:pStyle w:val="31"/>
              <w:adjustRightInd w:val="0"/>
              <w:snapToGrid w:val="0"/>
              <w:jc w:val="center"/>
              <w:rPr>
                <w:rFonts w:hint="default" w:ascii="Times New Roman" w:hAnsi="Times New Roman" w:cs="Times New Roman" w:eastAsiaTheme="minorEastAsia"/>
                <w:snapToGrid w:val="0"/>
                <w:sz w:val="21"/>
                <w:szCs w:val="21"/>
              </w:rPr>
            </w:pPr>
          </w:p>
        </w:tc>
      </w:tr>
      <w:tr w14:paraId="66605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0" w:type="dxa"/>
            <w:gridSpan w:val="4"/>
            <w:vAlign w:val="center"/>
          </w:tcPr>
          <w:p w14:paraId="67BDC9AD">
            <w:pPr>
              <w:pStyle w:val="31"/>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合计</w:t>
            </w:r>
          </w:p>
        </w:tc>
        <w:tc>
          <w:tcPr>
            <w:tcW w:w="850" w:type="dxa"/>
            <w:vAlign w:val="center"/>
          </w:tcPr>
          <w:p w14:paraId="1A4DB1CA">
            <w:pPr>
              <w:pStyle w:val="31"/>
              <w:adjustRightInd w:val="0"/>
              <w:snapToGrid w:val="0"/>
              <w:jc w:val="center"/>
              <w:rPr>
                <w:rFonts w:hint="default" w:ascii="Times New Roman" w:hAnsi="Times New Roman" w:cs="Times New Roman" w:eastAsiaTheme="minorEastAsia"/>
                <w:snapToGrid w:val="0"/>
                <w:sz w:val="21"/>
                <w:szCs w:val="21"/>
              </w:rPr>
            </w:pPr>
          </w:p>
        </w:tc>
      </w:tr>
    </w:tbl>
    <w:p w14:paraId="437B5275">
      <w:pPr>
        <w:rPr>
          <w:rFonts w:hint="default" w:eastAsia="仿宋_GB2312"/>
          <w:sz w:val="32"/>
          <w:szCs w:val="32"/>
          <w:lang w:val="en-US" w:eastAsia="zh-CN"/>
        </w:rPr>
      </w:pPr>
    </w:p>
    <w:p w14:paraId="25A57B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300835209"/>
      <w:bookmarkStart w:id="258" w:name="_Toc247514246"/>
      <w:bookmarkStart w:id="259" w:name="_Toc152045787"/>
      <w:bookmarkStart w:id="260" w:name="_Toc247527827"/>
      <w:bookmarkStart w:id="261" w:name="_Toc152042576"/>
      <w:bookmarkStart w:id="262" w:name="_Toc14497485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27828"/>
      <w:bookmarkStart w:id="264" w:name="_Toc247514247"/>
      <w:bookmarkStart w:id="265" w:name="_Toc300835210"/>
      <w:bookmarkStart w:id="266" w:name="_Toc152045788"/>
      <w:bookmarkStart w:id="267" w:name="_Toc144974857"/>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27830"/>
      <w:bookmarkStart w:id="270" w:name="_Toc247514249"/>
      <w:bookmarkStart w:id="271" w:name="_Toc152045790"/>
      <w:bookmarkStart w:id="272" w:name="_Toc300835212"/>
      <w:bookmarkStart w:id="273" w:name="_Toc144974859"/>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，服务期限：</w:t>
      </w:r>
      <w:permStart w:id="45"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45"/>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247527831"/>
      <w:bookmarkStart w:id="276" w:name="_Toc247514283"/>
      <w:bookmarkStart w:id="277" w:name="_Toc144974860"/>
      <w:bookmarkStart w:id="278" w:name="_Toc152042580"/>
      <w:bookmarkStart w:id="279" w:name="_Toc152045791"/>
      <w:bookmarkStart w:id="280"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5792"/>
      <w:bookmarkStart w:id="282" w:name="_Toc144974861"/>
      <w:bookmarkStart w:id="283" w:name="_Toc300835214"/>
      <w:bookmarkStart w:id="284" w:name="_Toc152042581"/>
      <w:bookmarkStart w:id="285" w:name="_Toc247527832"/>
      <w:bookmarkStart w:id="286" w:name="_Toc247514284"/>
      <w:r>
        <w:rPr>
          <w:rFonts w:hint="eastAsia" w:ascii="Times New Roman" w:hAnsi="Times New Roman" w:cs="Times New Roman"/>
          <w:lang w:val="en-US" w:eastAsia="zh-CN"/>
        </w:rPr>
        <w:t>三</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144974862"/>
      <w:bookmarkStart w:id="288" w:name="_Toc300835216"/>
      <w:bookmarkStart w:id="289" w:name="_Toc152042583"/>
      <w:bookmarkStart w:id="290" w:name="_Toc152045794"/>
      <w:bookmarkStart w:id="291" w:name="_Toc247527834"/>
      <w:bookmarkStart w:id="292" w:name="_Toc247514286"/>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5795"/>
      <w:bookmarkStart w:id="295" w:name="_Toc144974863"/>
      <w:bookmarkStart w:id="296" w:name="_Toc247514287"/>
      <w:bookmarkStart w:id="297" w:name="_Toc247527835"/>
      <w:bookmarkStart w:id="298" w:name="_Toc300835218"/>
      <w:bookmarkStart w:id="299" w:name="_Toc152042584"/>
      <w:r>
        <w:rPr>
          <w:rFonts w:hint="default" w:ascii="Times New Roman" w:hAnsi="Times New Roman" w:cs="Times New Roma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6"/>
        <w:tblW w:w="8331"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9"/>
        <w:gridCol w:w="1197"/>
        <w:gridCol w:w="1748"/>
        <w:gridCol w:w="1833"/>
        <w:gridCol w:w="2334"/>
      </w:tblGrid>
      <w:tr w14:paraId="629B5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3" w:hRule="atLeast"/>
        </w:trPr>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98F8C">
            <w:pPr>
              <w:jc w:val="center"/>
              <w:rPr>
                <w:rFonts w:hint="eastAsia" w:ascii="宋体" w:hAnsi="宋体" w:eastAsia="宋体" w:cs="宋体"/>
                <w:b/>
                <w:bCs/>
                <w:i w:val="0"/>
                <w:iCs w:val="0"/>
                <w:color w:val="000000"/>
                <w:sz w:val="24"/>
                <w:szCs w:val="24"/>
                <w:u w:val="none"/>
                <w:lang w:val="en-US" w:eastAsia="zh-CN"/>
              </w:rPr>
            </w:pPr>
            <w:bookmarkStart w:id="300" w:name="_Toc144974864"/>
            <w:bookmarkStart w:id="301" w:name="_Toc247514288"/>
            <w:bookmarkStart w:id="302" w:name="_Toc152042585"/>
            <w:bookmarkStart w:id="303" w:name="_Toc300835221"/>
            <w:bookmarkStart w:id="304" w:name="_Toc152045796"/>
            <w:bookmarkStart w:id="305" w:name="_Toc247527836"/>
            <w:r>
              <w:rPr>
                <w:rFonts w:hint="eastAsia" w:ascii="宋体" w:hAnsi="宋体" w:eastAsia="宋体" w:cs="宋体"/>
                <w:b/>
                <w:bCs/>
                <w:i w:val="0"/>
                <w:iCs w:val="0"/>
                <w:color w:val="000000"/>
                <w:sz w:val="24"/>
                <w:szCs w:val="24"/>
                <w:u w:val="none"/>
                <w:lang w:val="en-US" w:eastAsia="zh-CN"/>
              </w:rPr>
              <w:t>岗位</w:t>
            </w: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FE70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人数</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6337D">
            <w:pPr>
              <w:keepNext w:val="0"/>
              <w:keepLines w:val="0"/>
              <w:widowControl/>
              <w:suppressLineNumbers w:val="0"/>
              <w:jc w:val="center"/>
              <w:textAlignment w:val="center"/>
              <w:rPr>
                <w:rFonts w:hint="default"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服务费/元/月</w:t>
            </w:r>
          </w:p>
        </w:tc>
        <w:tc>
          <w:tcPr>
            <w:tcW w:w="1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03F20">
            <w:pPr>
              <w:keepNext w:val="0"/>
              <w:keepLines w:val="0"/>
              <w:widowControl/>
              <w:suppressLineNumbers w:val="0"/>
              <w:jc w:val="center"/>
              <w:textAlignment w:val="center"/>
              <w:rPr>
                <w:rFonts w:hint="default"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服务费/元/年</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1B8B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小计/元</w:t>
            </w:r>
          </w:p>
        </w:tc>
      </w:tr>
      <w:tr w14:paraId="23102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01A2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保安人员</w:t>
            </w: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0998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C7A4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0C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1052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r>
      <w:tr w14:paraId="44B09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1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F467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保洁人员</w:t>
            </w:r>
          </w:p>
        </w:tc>
        <w:tc>
          <w:tcPr>
            <w:tcW w:w="11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8D15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w:t>
            </w:r>
          </w:p>
        </w:tc>
        <w:tc>
          <w:tcPr>
            <w:tcW w:w="1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6570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c>
          <w:tcPr>
            <w:tcW w:w="1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54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C74A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r>
      <w:tr w14:paraId="7B4AC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5997" w:type="dxa"/>
            <w:gridSpan w:val="4"/>
            <w:tcBorders>
              <w:top w:val="nil"/>
              <w:left w:val="single" w:color="auto" w:sz="4" w:space="0"/>
              <w:bottom w:val="single" w:color="auto" w:sz="4" w:space="0"/>
              <w:right w:val="single" w:color="auto" w:sz="4" w:space="0"/>
            </w:tcBorders>
            <w:shd w:val="clear" w:color="auto" w:fill="auto"/>
            <w:noWrap/>
            <w:vAlign w:val="center"/>
          </w:tcPr>
          <w:p w14:paraId="528D825E">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合计/元（含税）：</w:t>
            </w:r>
          </w:p>
        </w:tc>
        <w:tc>
          <w:tcPr>
            <w:tcW w:w="2334" w:type="dxa"/>
            <w:tcBorders>
              <w:top w:val="nil"/>
              <w:left w:val="single" w:color="auto" w:sz="4" w:space="0"/>
              <w:bottom w:val="single" w:color="auto" w:sz="4" w:space="0"/>
              <w:right w:val="single" w:color="auto" w:sz="4" w:space="0"/>
            </w:tcBorders>
            <w:shd w:val="clear" w:color="auto" w:fill="auto"/>
            <w:noWrap/>
            <w:vAlign w:val="center"/>
          </w:tcPr>
          <w:p w14:paraId="4DA31D3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p>
        </w:tc>
      </w:tr>
    </w:tbl>
    <w:p w14:paraId="1CFEEA8E">
      <w:pPr>
        <w:rPr>
          <w:rFonts w:hint="default" w:ascii="Times New Roman" w:hAnsi="Times New Roman" w:cs="Times New Roman"/>
        </w:rPr>
      </w:pP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bookmarkEnd w:id="300"/>
    <w:bookmarkEnd w:id="301"/>
    <w:bookmarkEnd w:id="302"/>
    <w:bookmarkEnd w:id="303"/>
    <w:bookmarkEnd w:id="304"/>
    <w:bookmarkEnd w:id="305"/>
    <w:p w14:paraId="4DA5CC38">
      <w:pPr>
        <w:pStyle w:val="4"/>
        <w:ind w:firstLine="3213" w:firstLineChars="1000"/>
        <w:rPr>
          <w:rFonts w:hint="default" w:ascii="Times New Roman" w:hAnsi="Times New Roman" w:cs="Times New Roman"/>
        </w:rPr>
      </w:pPr>
      <w:bookmarkStart w:id="306" w:name="_Toc152045810"/>
      <w:bookmarkStart w:id="307" w:name="_Toc144974878"/>
      <w:bookmarkStart w:id="308" w:name="_Toc247514302"/>
      <w:bookmarkStart w:id="309" w:name="_Toc300835226"/>
      <w:bookmarkStart w:id="310" w:name="_Toc247527850"/>
      <w:bookmarkStart w:id="311" w:name="_Toc152042599"/>
      <w:bookmarkStart w:id="312" w:name="_Toc300835223"/>
      <w:r>
        <w:rPr>
          <w:rFonts w:hint="eastAsia" w:ascii="Times New Roman" w:hAnsi="Times New Roman" w:cs="Times New Roman"/>
          <w:lang w:val="en-US" w:eastAsia="zh-CN"/>
        </w:rPr>
        <w:t>六、资格审查资料</w:t>
      </w:r>
    </w:p>
    <w:p w14:paraId="57173CB2">
      <w:pPr>
        <w:pStyle w:val="4"/>
        <w:rPr>
          <w:rFonts w:hint="default" w:ascii="Times New Roman" w:hAnsi="Times New Roman" w:cs="Times New Roman"/>
        </w:rPr>
      </w:pPr>
      <w:r>
        <w:rPr>
          <w:rFonts w:hint="default" w:ascii="Times New Roman" w:hAnsi="Times New Roman" w:cs="Times New Roman"/>
        </w:rPr>
        <w:t>近年完成的类似项目情况表</w:t>
      </w:r>
      <w:bookmarkEnd w:id="306"/>
      <w:bookmarkEnd w:id="307"/>
      <w:bookmarkEnd w:id="308"/>
      <w:bookmarkEnd w:id="309"/>
      <w:bookmarkEnd w:id="310"/>
      <w:bookmarkEnd w:id="311"/>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3" w:name="_Toc247527851"/>
      <w:bookmarkStart w:id="314" w:name="_Toc152045811"/>
      <w:bookmarkStart w:id="315" w:name="_Toc152042600"/>
      <w:bookmarkStart w:id="316" w:name="_Toc144974879"/>
      <w:bookmarkStart w:id="317" w:name="_Toc247514303"/>
    </w:p>
    <w:p w14:paraId="7C055E10">
      <w:pPr>
        <w:spacing w:line="440" w:lineRule="exact"/>
        <w:rPr>
          <w:rFonts w:hint="default" w:ascii="Times New Roman" w:hAnsi="Times New Roman" w:cs="Times New Roman"/>
        </w:rPr>
      </w:pPr>
    </w:p>
    <w:bookmarkEnd w:id="313"/>
    <w:bookmarkEnd w:id="314"/>
    <w:bookmarkEnd w:id="315"/>
    <w:bookmarkEnd w:id="316"/>
    <w:bookmarkEnd w:id="317"/>
    <w:p w14:paraId="4D932E03">
      <w:pPr>
        <w:tabs>
          <w:tab w:val="left" w:pos="720"/>
        </w:tabs>
        <w:spacing w:line="440" w:lineRule="exact"/>
        <w:jc w:val="left"/>
        <w:rPr>
          <w:rFonts w:hint="eastAsia" w:ascii="Times New Roman" w:hAnsi="Times New Roman" w:cs="Times New Roman" w:eastAsiaTheme="minorEastAsia"/>
          <w:szCs w:val="21"/>
          <w:lang w:eastAsia="zh-CN"/>
        </w:rPr>
      </w:pP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p>
    <w:bookmarkEnd w:id="312"/>
    <w:p w14:paraId="433781BC">
      <w:pPr>
        <w:pStyle w:val="4"/>
        <w:jc w:val="center"/>
        <w:rPr>
          <w:rFonts w:hint="default" w:ascii="Times New Roman" w:hAnsi="Times New Roman" w:cs="Times New Roman"/>
          <w:lang w:val="en-US" w:eastAsia="zh-CN"/>
        </w:rPr>
      </w:pPr>
      <w:bookmarkStart w:id="318" w:name="_Toc179632827"/>
      <w:bookmarkStart w:id="319" w:name="_Toc247085890"/>
      <w:bookmarkStart w:id="320" w:name="_Toc152042597"/>
      <w:bookmarkStart w:id="321" w:name="_Toc247527848"/>
      <w:bookmarkStart w:id="322" w:name="_Toc144974875"/>
      <w:bookmarkStart w:id="323" w:name="_Toc152045807"/>
      <w:bookmarkStart w:id="324" w:name="_Toc246996372"/>
      <w:bookmarkStart w:id="325" w:name="_Toc300835224"/>
      <w:bookmarkStart w:id="326" w:name="_Toc144974876"/>
      <w:bookmarkStart w:id="327" w:name="_Toc247514300"/>
      <w:bookmarkStart w:id="328" w:name="_Toc152042596"/>
      <w:bookmarkStart w:id="329" w:name="_Toc246997115"/>
      <w:bookmarkStart w:id="330" w:name="_Toc296602617"/>
      <w:bookmarkStart w:id="331" w:name="_Toc152045808"/>
      <w:r>
        <w:rPr>
          <w:rFonts w:hint="eastAsia" w:ascii="黑体" w:hAnsi="黑体" w:eastAsia="黑体" w:cs="黑体"/>
          <w:lang w:val="en-US" w:eastAsia="zh-CN"/>
        </w:rPr>
        <w:t>七、</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Pr>
          <w:rFonts w:hint="eastAsia" w:ascii="黑体" w:hAnsi="黑体" w:eastAsia="黑体" w:cs="黑体"/>
          <w:lang w:val="en-US" w:eastAsia="zh-CN"/>
        </w:rPr>
        <w:t>响应方案</w:t>
      </w:r>
      <w:r>
        <w:rPr>
          <w:rFonts w:hint="eastAsia" w:ascii="Times New Roman" w:hAnsi="Times New Roman" w:cs="Times New Roman"/>
          <w:lang w:val="en-US" w:eastAsia="zh-CN"/>
        </w:rPr>
        <w:t xml:space="preserve"> </w:t>
      </w:r>
    </w:p>
    <w:p w14:paraId="47CED00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bookmarkStart w:id="332" w:name="_Toc247530162"/>
      <w:bookmarkStart w:id="333" w:name="_Toc144974881"/>
      <w:bookmarkStart w:id="334" w:name="_Toc152042602"/>
      <w:bookmarkStart w:id="335" w:name="_Toc247514305"/>
      <w:bookmarkStart w:id="336" w:name="_Toc152045813"/>
      <w:bookmarkStart w:id="337" w:name="_Toc247527853"/>
      <w:r>
        <w:rPr>
          <w:rFonts w:hint="eastAsia" w:ascii="Times New Roman" w:hAnsi="Times New Roman" w:cs="Times New Roman"/>
          <w:highlight w:val="none"/>
          <w:lang w:val="en-US" w:eastAsia="zh-CN"/>
        </w:rPr>
        <w:t>方案格式参考如下，投标人可根据行业特点及具体情况进行调整：</w:t>
      </w:r>
    </w:p>
    <w:p w14:paraId="1154304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6BE7275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473C13D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29D6CED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3E94DED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30B42B5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2076B08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11BA160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2850660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43F9F0B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bookmarkEnd w:id="332"/>
    <w:bookmarkEnd w:id="333"/>
    <w:bookmarkEnd w:id="334"/>
    <w:bookmarkEnd w:id="335"/>
    <w:bookmarkEnd w:id="336"/>
    <w:bookmarkEnd w:id="337"/>
    <w:p w14:paraId="06F74DD3">
      <w:pPr>
        <w:rPr>
          <w:rFonts w:hint="eastAsia" w:ascii="Times New Roman" w:hAnsi="Times New Roman" w:cs="Times New Roman"/>
          <w:lang w:val="en-US" w:eastAsia="zh-CN"/>
        </w:rPr>
      </w:pPr>
      <w:bookmarkStart w:id="338" w:name="_Toc271821942"/>
      <w:bookmarkStart w:id="339" w:name="_Toc300835233"/>
      <w:r>
        <w:rPr>
          <w:rFonts w:hint="eastAsia" w:ascii="Times New Roman" w:hAnsi="Times New Roman" w:cs="Times New Roman"/>
          <w:lang w:val="en-US" w:eastAsia="zh-CN"/>
        </w:rPr>
        <w:br w:type="page"/>
      </w:r>
    </w:p>
    <w:p w14:paraId="64A30CC9">
      <w:pPr>
        <w:rPr>
          <w:rFonts w:hint="eastAsia"/>
          <w:lang w:val="en-US" w:eastAsia="zh-CN"/>
        </w:rPr>
      </w:pPr>
    </w:p>
    <w:p w14:paraId="1E5B7EEB">
      <w:pPr>
        <w:pStyle w:val="3"/>
        <w:jc w:val="center"/>
        <w:rPr>
          <w:rFonts w:hint="default" w:ascii="Times New Roman" w:hAnsi="Times New Roman" w:cs="Times New Roman"/>
        </w:rPr>
      </w:pPr>
      <w:r>
        <w:rPr>
          <w:rFonts w:hint="eastAsia" w:ascii="Times New Roman" w:hAnsi="Times New Roman" w:cs="Times New Roman"/>
          <w:lang w:eastAsia="zh-CN"/>
        </w:rPr>
        <w:t>八</w:t>
      </w:r>
      <w:r>
        <w:rPr>
          <w:rFonts w:hint="default" w:ascii="Times New Roman" w:hAnsi="Times New Roman" w:cs="Times New Roman"/>
        </w:rPr>
        <w:t>、其他资料</w:t>
      </w:r>
      <w:bookmarkEnd w:id="338"/>
      <w:bookmarkEnd w:id="339"/>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6E80415-70F5-4981-B1AF-82D5A65CCD51}"/>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B2ADC79-E689-41E9-A5C7-FAF58C87FAF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3E19C2DE-C11A-479C-8D70-7D8301234EC1}"/>
  </w:font>
  <w:font w:name="仿宋_GB2312">
    <w:panose1 w:val="02010609030101010101"/>
    <w:charset w:val="86"/>
    <w:family w:val="auto"/>
    <w:pitch w:val="default"/>
    <w:sig w:usb0="00000001" w:usb1="080E0000" w:usb2="00000000" w:usb3="00000000" w:csb0="00040000" w:csb1="00000000"/>
    <w:embedRegular r:id="rId4" w:fontKey="{A3F59CCB-6913-4136-B8E4-330377675FC5}"/>
  </w:font>
  <w:font w:name="方正小标宋简体">
    <w:panose1 w:val="03000509000000000000"/>
    <w:charset w:val="86"/>
    <w:family w:val="auto"/>
    <w:pitch w:val="default"/>
    <w:sig w:usb0="00000001" w:usb1="080E0000" w:usb2="00000000" w:usb3="00000000" w:csb0="00040000" w:csb1="00000000"/>
    <w:embedRegular r:id="rId5" w:fontKey="{14EB9129-B54C-40C8-9A97-08C1185A9014}"/>
  </w:font>
  <w:font w:name="楷体">
    <w:panose1 w:val="02010609060101010101"/>
    <w:charset w:val="86"/>
    <w:family w:val="auto"/>
    <w:pitch w:val="default"/>
    <w:sig w:usb0="800002BF" w:usb1="38CF7CFA" w:usb2="00000016" w:usb3="00000000" w:csb0="00040001" w:csb1="00000000"/>
    <w:embedRegular r:id="rId6" w:fontKey="{1A0BD2F8-1C6F-42D3-8A64-F8635F24B000}"/>
  </w:font>
  <w:font w:name="Wingdings 2">
    <w:panose1 w:val="05020102010507070707"/>
    <w:charset w:val="00"/>
    <w:family w:val="auto"/>
    <w:pitch w:val="default"/>
    <w:sig w:usb0="00000000" w:usb1="00000000" w:usb2="00000000" w:usb3="00000000" w:csb0="80000000" w:csb1="00000000"/>
    <w:embedRegular r:id="rId7" w:fontKey="{368844E3-CD24-4447-9D10-E62CCB4B87B5}"/>
  </w:font>
  <w:font w:name="方正仿宋_GB2312">
    <w:panose1 w:val="02000000000000000000"/>
    <w:charset w:val="86"/>
    <w:family w:val="auto"/>
    <w:pitch w:val="default"/>
    <w:sig w:usb0="A00002BF" w:usb1="184F6CFA" w:usb2="00000012" w:usb3="00000000" w:csb0="00040001" w:csb1="00000000"/>
    <w:embedRegular r:id="rId8" w:fontKey="{2311AF06-DF9C-4629-9C81-172FE8280719}"/>
  </w:font>
  <w:font w:name="仿宋">
    <w:panose1 w:val="02010609060101010101"/>
    <w:charset w:val="86"/>
    <w:family w:val="modern"/>
    <w:pitch w:val="default"/>
    <w:sig w:usb0="800002BF" w:usb1="38CF7CFA" w:usb2="00000016" w:usb3="00000000" w:csb0="00040001" w:csb1="00000000"/>
    <w:embedRegular r:id="rId9" w:fontKey="{67BF54C4-81AC-4A6E-BCC0-B5EA517A72D5}"/>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927007"/>
    <w:multiLevelType w:val="singleLevel"/>
    <w:tmpl w:val="A892700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80D9E"/>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8E0A97"/>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493"/>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A1C95"/>
    <w:rsid w:val="086D3DA1"/>
    <w:rsid w:val="08774BE1"/>
    <w:rsid w:val="088E1D7C"/>
    <w:rsid w:val="088F5820"/>
    <w:rsid w:val="08903F11"/>
    <w:rsid w:val="08932D8F"/>
    <w:rsid w:val="08B056B6"/>
    <w:rsid w:val="08BE35C2"/>
    <w:rsid w:val="08C616D3"/>
    <w:rsid w:val="08E13E13"/>
    <w:rsid w:val="08E32277"/>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C93022"/>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2125AC"/>
    <w:rsid w:val="10446D2F"/>
    <w:rsid w:val="104957CA"/>
    <w:rsid w:val="104D6EF3"/>
    <w:rsid w:val="105C0433"/>
    <w:rsid w:val="1069417C"/>
    <w:rsid w:val="106C1E4B"/>
    <w:rsid w:val="10772B1E"/>
    <w:rsid w:val="108A23D3"/>
    <w:rsid w:val="108A24B6"/>
    <w:rsid w:val="108D506C"/>
    <w:rsid w:val="1095135B"/>
    <w:rsid w:val="10B4026F"/>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C54A02"/>
    <w:rsid w:val="13D35238"/>
    <w:rsid w:val="13D81B1F"/>
    <w:rsid w:val="14061B66"/>
    <w:rsid w:val="14143273"/>
    <w:rsid w:val="14165942"/>
    <w:rsid w:val="142B5FE2"/>
    <w:rsid w:val="14542872"/>
    <w:rsid w:val="14773A8D"/>
    <w:rsid w:val="147E2423"/>
    <w:rsid w:val="1487273A"/>
    <w:rsid w:val="148C28CB"/>
    <w:rsid w:val="14944440"/>
    <w:rsid w:val="14A059A0"/>
    <w:rsid w:val="14A0621B"/>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7FE0021"/>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66520"/>
    <w:rsid w:val="198A59D6"/>
    <w:rsid w:val="19A73D74"/>
    <w:rsid w:val="19AA5416"/>
    <w:rsid w:val="19B60574"/>
    <w:rsid w:val="19CD1CDB"/>
    <w:rsid w:val="19CE7FF6"/>
    <w:rsid w:val="19D11E91"/>
    <w:rsid w:val="19D70C6D"/>
    <w:rsid w:val="19DE262B"/>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A57DE"/>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BB0A1A"/>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43DE7"/>
    <w:rsid w:val="1FB97650"/>
    <w:rsid w:val="1FBE07C2"/>
    <w:rsid w:val="1FC11059"/>
    <w:rsid w:val="1FD53D5E"/>
    <w:rsid w:val="1FDC7161"/>
    <w:rsid w:val="1FE570E2"/>
    <w:rsid w:val="1FE7673E"/>
    <w:rsid w:val="200E38F2"/>
    <w:rsid w:val="201857A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1E41C1"/>
    <w:rsid w:val="21224D81"/>
    <w:rsid w:val="212925B3"/>
    <w:rsid w:val="212B2F31"/>
    <w:rsid w:val="21327DB2"/>
    <w:rsid w:val="213A06E6"/>
    <w:rsid w:val="213D6756"/>
    <w:rsid w:val="213D7BD8"/>
    <w:rsid w:val="214C4EC5"/>
    <w:rsid w:val="2153567F"/>
    <w:rsid w:val="21592826"/>
    <w:rsid w:val="215C64E4"/>
    <w:rsid w:val="217355DC"/>
    <w:rsid w:val="217422B6"/>
    <w:rsid w:val="2188758A"/>
    <w:rsid w:val="219537A4"/>
    <w:rsid w:val="219C0FD7"/>
    <w:rsid w:val="21A5163A"/>
    <w:rsid w:val="21A61686"/>
    <w:rsid w:val="21B56BEB"/>
    <w:rsid w:val="21BC5E24"/>
    <w:rsid w:val="21C13A32"/>
    <w:rsid w:val="21CA7725"/>
    <w:rsid w:val="21CB5418"/>
    <w:rsid w:val="21E23A88"/>
    <w:rsid w:val="21EA7F94"/>
    <w:rsid w:val="2205196D"/>
    <w:rsid w:val="22132E03"/>
    <w:rsid w:val="22270787"/>
    <w:rsid w:val="224D73DD"/>
    <w:rsid w:val="22592601"/>
    <w:rsid w:val="2259286B"/>
    <w:rsid w:val="22603DB2"/>
    <w:rsid w:val="226D7B83"/>
    <w:rsid w:val="2293123C"/>
    <w:rsid w:val="229E5DEF"/>
    <w:rsid w:val="229E633A"/>
    <w:rsid w:val="22A244DC"/>
    <w:rsid w:val="22A570EC"/>
    <w:rsid w:val="22D569A0"/>
    <w:rsid w:val="230F1167"/>
    <w:rsid w:val="232E56FD"/>
    <w:rsid w:val="233F5F96"/>
    <w:rsid w:val="235A4CA6"/>
    <w:rsid w:val="235F4D23"/>
    <w:rsid w:val="236D4028"/>
    <w:rsid w:val="238A4DFC"/>
    <w:rsid w:val="23955CDE"/>
    <w:rsid w:val="23BD5235"/>
    <w:rsid w:val="23BD5488"/>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DF5584"/>
    <w:rsid w:val="25EF41EA"/>
    <w:rsid w:val="25F5789E"/>
    <w:rsid w:val="25F641B4"/>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80179"/>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D7B43"/>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85681"/>
    <w:rsid w:val="2B3E0375"/>
    <w:rsid w:val="2B4012D0"/>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32F35"/>
    <w:rsid w:val="2CD47877"/>
    <w:rsid w:val="2CD755B9"/>
    <w:rsid w:val="2CED26E7"/>
    <w:rsid w:val="2CF04C5C"/>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2650"/>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647360"/>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375ED"/>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14076"/>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324532"/>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0B493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24933"/>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3804"/>
    <w:rsid w:val="400C6ED0"/>
    <w:rsid w:val="400F3658"/>
    <w:rsid w:val="40112738"/>
    <w:rsid w:val="401A50C7"/>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01E0"/>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1242"/>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2FC75D2"/>
    <w:rsid w:val="4301585B"/>
    <w:rsid w:val="431B31A4"/>
    <w:rsid w:val="43325808"/>
    <w:rsid w:val="433E1CAF"/>
    <w:rsid w:val="43412297"/>
    <w:rsid w:val="43413ED4"/>
    <w:rsid w:val="434C1AB7"/>
    <w:rsid w:val="43560B8E"/>
    <w:rsid w:val="43594499"/>
    <w:rsid w:val="435E7A42"/>
    <w:rsid w:val="43636C3F"/>
    <w:rsid w:val="436E5353"/>
    <w:rsid w:val="437C2D76"/>
    <w:rsid w:val="438073DF"/>
    <w:rsid w:val="43972F54"/>
    <w:rsid w:val="439758A7"/>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4FF0DB1"/>
    <w:rsid w:val="45245377"/>
    <w:rsid w:val="4537743F"/>
    <w:rsid w:val="453B77C9"/>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384869"/>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B5822"/>
    <w:rsid w:val="49BC3715"/>
    <w:rsid w:val="49C56A6D"/>
    <w:rsid w:val="49CC07F8"/>
    <w:rsid w:val="49D26E8C"/>
    <w:rsid w:val="49ED0155"/>
    <w:rsid w:val="49F72310"/>
    <w:rsid w:val="49F96717"/>
    <w:rsid w:val="49FD2EE4"/>
    <w:rsid w:val="49FE5ADB"/>
    <w:rsid w:val="4A0B4FDE"/>
    <w:rsid w:val="4A15325D"/>
    <w:rsid w:val="4A1B5742"/>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241572"/>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DD5D96"/>
    <w:rsid w:val="4BE84FA7"/>
    <w:rsid w:val="4BF70C92"/>
    <w:rsid w:val="4BFB5105"/>
    <w:rsid w:val="4BFD0513"/>
    <w:rsid w:val="4C005E77"/>
    <w:rsid w:val="4C1A02C6"/>
    <w:rsid w:val="4C2B76C1"/>
    <w:rsid w:val="4C2C2DD4"/>
    <w:rsid w:val="4C5419A1"/>
    <w:rsid w:val="4C5429A3"/>
    <w:rsid w:val="4C645A11"/>
    <w:rsid w:val="4C845B43"/>
    <w:rsid w:val="4C87254B"/>
    <w:rsid w:val="4CAF7561"/>
    <w:rsid w:val="4CBD57DA"/>
    <w:rsid w:val="4CD46FC7"/>
    <w:rsid w:val="4CDE4416"/>
    <w:rsid w:val="4D004DF6"/>
    <w:rsid w:val="4D110FBB"/>
    <w:rsid w:val="4D1C2C8C"/>
    <w:rsid w:val="4D1E77BE"/>
    <w:rsid w:val="4D245FC5"/>
    <w:rsid w:val="4D2B3B2C"/>
    <w:rsid w:val="4D40640B"/>
    <w:rsid w:val="4D554464"/>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7A455F"/>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AF4A4C"/>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1D35FD"/>
    <w:rsid w:val="55346855"/>
    <w:rsid w:val="559E0172"/>
    <w:rsid w:val="55A256E3"/>
    <w:rsid w:val="55A47D96"/>
    <w:rsid w:val="55A732F5"/>
    <w:rsid w:val="55C94049"/>
    <w:rsid w:val="55DA287E"/>
    <w:rsid w:val="55DC05B3"/>
    <w:rsid w:val="55DD1819"/>
    <w:rsid w:val="55EE6DAD"/>
    <w:rsid w:val="55F21D17"/>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B450BA"/>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21258E"/>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0616"/>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CA3D86"/>
    <w:rsid w:val="5EF83794"/>
    <w:rsid w:val="5F0173CC"/>
    <w:rsid w:val="5F1A1A93"/>
    <w:rsid w:val="5F1D3030"/>
    <w:rsid w:val="5F287F7E"/>
    <w:rsid w:val="5F374C3D"/>
    <w:rsid w:val="5F3833E6"/>
    <w:rsid w:val="5F4315DF"/>
    <w:rsid w:val="5F475677"/>
    <w:rsid w:val="5F484198"/>
    <w:rsid w:val="5F567498"/>
    <w:rsid w:val="5F6E0BB6"/>
    <w:rsid w:val="5F715FD1"/>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286FA5"/>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550C5"/>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AD71C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7D7BFF"/>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94B4E"/>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52A05"/>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CD3B44"/>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213C4"/>
    <w:rsid w:val="727442DD"/>
    <w:rsid w:val="728E7595"/>
    <w:rsid w:val="72A70177"/>
    <w:rsid w:val="72CA582D"/>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15BCA"/>
    <w:rsid w:val="74987BF9"/>
    <w:rsid w:val="74C374EF"/>
    <w:rsid w:val="74C72DEA"/>
    <w:rsid w:val="74D94903"/>
    <w:rsid w:val="74DC7834"/>
    <w:rsid w:val="74E271F1"/>
    <w:rsid w:val="74E512E2"/>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8E74A69"/>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AFF387C"/>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2025"/>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155CB7"/>
    <w:rsid w:val="7D24527D"/>
    <w:rsid w:val="7D3E3E65"/>
    <w:rsid w:val="7D4253C7"/>
    <w:rsid w:val="7D492008"/>
    <w:rsid w:val="7D4C5341"/>
    <w:rsid w:val="7D4E5EE6"/>
    <w:rsid w:val="7D5A0C9F"/>
    <w:rsid w:val="7D5F62B6"/>
    <w:rsid w:val="7D61734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96067"/>
    <w:rsid w:val="7FAA1C29"/>
    <w:rsid w:val="7FAC4830"/>
    <w:rsid w:val="7FB659E5"/>
    <w:rsid w:val="7FB7407D"/>
    <w:rsid w:val="7FC16413"/>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18261</Words>
  <Characters>19326</Characters>
  <Lines>0</Lines>
  <Paragraphs>0</Paragraphs>
  <TotalTime>5</TotalTime>
  <ScaleCrop>false</ScaleCrop>
  <LinksUpToDate>false</LinksUpToDate>
  <CharactersWithSpaces>20406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嘚儿架</cp:lastModifiedBy>
  <cp:lastPrinted>2025-12-25T03:55:00Z</cp:lastPrinted>
  <dcterms:modified xsi:type="dcterms:W3CDTF">2025-12-30T03:50:58Z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A85AB487B43D4AE78DD7B195D91C2BD5_13</vt:lpwstr>
  </property>
  <property fmtid="{D5CDD505-2E9C-101B-9397-08002B2CF9AE}" pid="4" name="KSOTemplateDocerSaveRecord">
    <vt:lpwstr>eyJoZGlkIjoiMWFlMzY4MTEzYzc2MGUzMWUyMTU5YmZjY2YyZGFjYjkiLCJ1c2VySWQiOiIxNzIwNTkyMDc0In0=</vt:lpwstr>
  </property>
</Properties>
</file>