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亳州市城市重点区域交通补短板项目-三曹路（药都大道-薛阁路）、杜仲路(宋汤河桥-华佗大道，含宋汤河桥加宽)更新改造工程质量检测</w:t>
      </w:r>
    </w:p>
    <w:p w14:paraId="6F1022E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BZJK-2025-049号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eastAsia" w:ascii="Times New Roman" w:hAnsi="Times New Roman" w:eastAsia="楷体" w:cs="Times New Roman"/>
          <w:kern w:val="0"/>
          <w:sz w:val="32"/>
          <w:szCs w:val="32"/>
          <w:highlight w:val="none"/>
          <w:shd w:val="clear" w:color="auto" w:fill="auto"/>
          <w:lang w:val="en-US" w:eastAsia="zh-CN"/>
        </w:rPr>
        <w:t xml:space="preserve"> 亳州交控产业发展有限公司 </w:t>
      </w:r>
      <w:permEnd w:id="0"/>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 xml:space="preserve"> 2025年12</w:t>
      </w:r>
      <w:r>
        <w:rPr>
          <w:rFonts w:hint="eastAsia" w:ascii="Times New Roman" w:hAnsi="Times New Roman" w:eastAsia="楷体" w:cs="Times New Roman"/>
          <w:kern w:val="0"/>
          <w:sz w:val="32"/>
          <w:szCs w:val="32"/>
          <w:highlight w:val="none"/>
          <w:u w:val="none"/>
          <w:shd w:val="clear" w:color="auto" w:fill="auto"/>
          <w:lang w:val="en-US" w:eastAsia="zh-CN"/>
        </w:rPr>
        <w:t>月29日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7</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34</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37</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u w:val="none"/>
          <w:lang w:val="en-US" w:eastAsia="zh-CN"/>
        </w:rPr>
      </w:pPr>
      <w:permStart w:id="3" w:edGrp="everyone"/>
      <w:r>
        <w:rPr>
          <w:rFonts w:hint="eastAsia" w:ascii="Times New Roman" w:hAnsi="Times New Roman" w:eastAsia="黑体" w:cs="Times New Roman"/>
          <w:sz w:val="28"/>
          <w:szCs w:val="28"/>
          <w:highlight w:val="none"/>
          <w:u w:val="none"/>
          <w:lang w:val="en-US" w:eastAsia="zh-CN"/>
        </w:rPr>
        <w:t xml:space="preserve"> 亳州市城市重点区域交通补短板项目-三曹路（药都大道-薛阁路）、杜仲路(宋汤河桥-华佗大道，含宋汤河桥加宽)更新改造工程质量检测询比公告</w:t>
      </w:r>
      <w:permEnd w:id="3"/>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152045519"/>
      <w:bookmarkStart w:id="2" w:name="_Toc152042295"/>
      <w:bookmarkStart w:id="3" w:name="_Toc179632536"/>
      <w:bookmarkStart w:id="4" w:name="_Toc246996166"/>
      <w:bookmarkStart w:id="5" w:name="_Toc296602410"/>
      <w:bookmarkStart w:id="6" w:name="_Toc144974487"/>
      <w:bookmarkStart w:id="7" w:name="_Toc247085680"/>
      <w:r>
        <w:rPr>
          <w:rFonts w:hint="eastAsia" w:ascii="宋体" w:hAnsi="宋体" w:eastAsia="宋体" w:cs="宋体"/>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亳州市城市重点区域交通补短板项目-三曹路（药都大道-薛阁路）、杜仲路(宋汤河桥-华佗大道，含宋汤河桥加宽)更新改造工程质量检测项目</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7085681"/>
      <w:bookmarkStart w:id="9" w:name="_Toc152042296"/>
      <w:bookmarkStart w:id="10" w:name="_Toc296602411"/>
      <w:bookmarkStart w:id="11" w:name="_Toc246996910"/>
      <w:bookmarkStart w:id="12" w:name="_Toc179632537"/>
      <w:bookmarkStart w:id="13" w:name="_Toc152045520"/>
      <w:bookmarkStart w:id="14" w:name="_Toc246996167"/>
      <w:bookmarkStart w:id="15" w:name="_Toc144974488"/>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亳州市城市重点区域交通补短板项目-三曹路（药都大道-薛阁路）、杜仲路(宋汤河桥-华佗大道，含宋汤河桥加宽)更新改造工程质量检测</w:t>
      </w:r>
    </w:p>
    <w:permEnd w:id="4"/>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 xml:space="preserve">BZJK-2025-049号 </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5"/>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亳州交控产业发展有限公司</w:t>
      </w:r>
      <w:r>
        <w:rPr>
          <w:rFonts w:hint="eastAsia" w:asciiTheme="minorEastAsia" w:hAnsiTheme="minorEastAsia" w:cstheme="minorEastAsia"/>
          <w:color w:val="FF0000"/>
          <w:sz w:val="28"/>
          <w:szCs w:val="28"/>
          <w:highlight w:val="none"/>
          <w:lang w:val="en-US" w:eastAsia="zh-CN"/>
        </w:rPr>
        <w:t xml:space="preserve"> </w:t>
      </w:r>
      <w:permEnd w:id="6"/>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color w:val="FF0000"/>
          <w:sz w:val="28"/>
          <w:szCs w:val="28"/>
          <w:highlight w:val="none"/>
          <w:u w:val="none"/>
          <w:lang w:val="en-US" w:eastAsia="zh-CN"/>
        </w:rPr>
        <w:t xml:space="preserve"> </w:t>
      </w:r>
      <w:r>
        <w:rPr>
          <w:rFonts w:hint="eastAsia" w:asciiTheme="minorEastAsia" w:hAnsiTheme="minorEastAsia" w:cstheme="minorEastAsia"/>
          <w:sz w:val="28"/>
          <w:szCs w:val="28"/>
          <w:highlight w:val="none"/>
          <w:lang w:val="en-US" w:eastAsia="zh-CN"/>
        </w:rPr>
        <w:t>已落实</w:t>
      </w:r>
      <w:r>
        <w:rPr>
          <w:rFonts w:hint="eastAsia" w:asciiTheme="minorEastAsia" w:hAnsiTheme="minorEastAsia" w:cstheme="minorEastAsia"/>
          <w:color w:val="FF0000"/>
          <w:sz w:val="28"/>
          <w:szCs w:val="28"/>
          <w:highlight w:val="none"/>
          <w:u w:val="none"/>
          <w:lang w:val="en-US" w:eastAsia="zh-CN"/>
        </w:rPr>
        <w:t xml:space="preserve">  </w:t>
      </w:r>
      <w:permEnd w:id="7"/>
    </w:p>
    <w:p w14:paraId="2103456B">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最高限价</w:t>
      </w:r>
      <w:permStart w:id="8" w:edGrp="everyone"/>
      <w:r>
        <w:rPr>
          <w:rFonts w:hint="eastAsia" w:asciiTheme="minorEastAsia" w:hAnsiTheme="minorEastAsia" w:cstheme="minorEastAsia"/>
          <w:sz w:val="28"/>
          <w:szCs w:val="28"/>
          <w:highlight w:val="none"/>
          <w:lang w:val="en-US" w:eastAsia="zh-CN"/>
        </w:rPr>
        <w:t>（含税：6%）</w:t>
      </w:r>
      <w:permEnd w:id="8"/>
      <w:r>
        <w:rPr>
          <w:rFonts w:hint="eastAsia" w:asciiTheme="minorEastAsia" w:hAnsi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收费标准的50%</w:t>
      </w:r>
      <w:permEnd w:id="9"/>
      <w:r>
        <w:rPr>
          <w:rFonts w:hint="eastAsia" w:asciiTheme="minorEastAsia" w:hAnsiTheme="minorEastAsia" w:cstheme="minorEastAsia"/>
          <w:sz w:val="28"/>
          <w:szCs w:val="28"/>
          <w:highlight w:val="none"/>
          <w:lang w:val="en-US" w:eastAsia="zh-CN"/>
        </w:rPr>
        <w:t>，按</w:t>
      </w:r>
      <w:permStart w:id="10" w:edGrp="everyone"/>
      <w:r>
        <w:rPr>
          <w:rFonts w:hint="eastAsia" w:asciiTheme="minorEastAsia" w:hAnsiTheme="minorEastAsia" w:cstheme="minorEastAsia"/>
          <w:sz w:val="28"/>
          <w:szCs w:val="28"/>
          <w:highlight w:val="none"/>
          <w:lang w:val="en-US" w:eastAsia="zh-CN"/>
        </w:rPr>
        <w:t>费率</w:t>
      </w:r>
      <w:permEnd w:id="10"/>
      <w:r>
        <w:rPr>
          <w:rFonts w:hint="eastAsia" w:asciiTheme="minorEastAsia" w:hAnsiTheme="minorEastAsia" w:cstheme="minorEastAsia"/>
          <w:sz w:val="28"/>
          <w:szCs w:val="28"/>
          <w:highlight w:val="none"/>
          <w:lang w:val="en-US" w:eastAsia="zh-CN"/>
        </w:rPr>
        <w:t>报价，最终结算总检测费用不超过70万元。</w:t>
      </w:r>
    </w:p>
    <w:p w14:paraId="71E25E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 xml:space="preserve">收费标准选用先后顺序为： </w:t>
      </w:r>
    </w:p>
    <w:p w14:paraId="2A54B3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①《</w:t>
      </w:r>
      <w:r>
        <w:rPr>
          <w:rFonts w:hint="eastAsia" w:asciiTheme="minorEastAsia" w:hAnsiTheme="minorEastAsia" w:cstheme="minorEastAsia"/>
          <w:sz w:val="28"/>
          <w:szCs w:val="28"/>
          <w:highlight w:val="none"/>
          <w:lang w:val="en-US" w:eastAsia="zh-CN"/>
        </w:rPr>
        <w:t>安</w:t>
      </w:r>
      <w:r>
        <w:rPr>
          <w:rFonts w:hint="default" w:asciiTheme="minorEastAsia" w:hAnsiTheme="minorEastAsia" w:cstheme="minorEastAsia"/>
          <w:sz w:val="28"/>
          <w:szCs w:val="28"/>
          <w:highlight w:val="none"/>
          <w:lang w:val="en-US" w:eastAsia="zh-CN"/>
        </w:rPr>
        <w:t xml:space="preserve">徽省建设工程质量检测收费行业指导价》建质安协（2019）16号 </w:t>
      </w:r>
      <w:r>
        <w:rPr>
          <w:rFonts w:hint="eastAsia" w:asciiTheme="minorEastAsia" w:hAnsiTheme="minorEastAsia" w:cstheme="minorEastAsia"/>
          <w:sz w:val="28"/>
          <w:szCs w:val="28"/>
          <w:highlight w:val="none"/>
          <w:lang w:val="en-US" w:eastAsia="zh-CN"/>
        </w:rPr>
        <w:t>；</w:t>
      </w:r>
    </w:p>
    <w:p w14:paraId="748D206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②</w:t>
      </w:r>
      <w:r>
        <w:rPr>
          <w:rFonts w:hint="eastAsia" w:asciiTheme="minorEastAsia" w:hAnsiTheme="minorEastAsia" w:cstheme="minorEastAsia"/>
          <w:sz w:val="28"/>
          <w:szCs w:val="28"/>
          <w:highlight w:val="none"/>
          <w:lang w:val="en-US" w:eastAsia="zh-CN"/>
        </w:rPr>
        <w:t xml:space="preserve">上述文件内没有的检测项目，以委托人询价结果乘以成交费率为准。  </w:t>
      </w:r>
    </w:p>
    <w:p w14:paraId="33DF81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报价超出限价或</w:t>
      </w:r>
      <w:r>
        <w:rPr>
          <w:rFonts w:hint="eastAsia" w:asciiTheme="minorEastAsia" w:hAnsiTheme="minorEastAsia" w:cstheme="minorEastAsia"/>
          <w:sz w:val="28"/>
          <w:szCs w:val="28"/>
          <w:highlight w:val="none"/>
          <w:lang w:val="en-US" w:eastAsia="zh-CN"/>
        </w:rPr>
        <w:t>为可能影响合同履约的异常低价的</w:t>
      </w:r>
      <w:r>
        <w:rPr>
          <w:rFonts w:hint="eastAsia" w:asciiTheme="minorEastAsia" w:hAnsiTheme="minorEastAsia" w:eastAsiaTheme="minorEastAsia" w:cstheme="minorEastAsia"/>
          <w:sz w:val="28"/>
          <w:szCs w:val="28"/>
          <w:highlight w:val="none"/>
          <w:lang w:val="en-US" w:eastAsia="zh-CN"/>
        </w:rPr>
        <w:t>，按无效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r>
        <w:rPr>
          <w:rFonts w:hint="default" w:ascii="Times New Roman" w:hAnsi="Times New Roman" w:eastAsia="仿宋_GB2312" w:cs="Times New Roman"/>
          <w:sz w:val="28"/>
          <w:szCs w:val="28"/>
          <w:highlight w:val="none"/>
          <w:lang w:val="en-US" w:eastAsia="zh-CN"/>
        </w:rPr>
        <w:tab/>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F91F055">
      <w:pPr>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jc w:val="both"/>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1"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市城市重点区域交通补短板项目-三曹路（药都大道-薛阁路）道路等级为次干路，长度2900米，宽度24米；杜仲路(宋汤河桥-华佗大道，含宋汤河桥加宽)道路等级为主干路，长度1900米，宽度60米；更新改造工程两个项目，需要单独办理相关手续和资料，建设总投资约7600万元。</w:t>
      </w:r>
      <w:permEnd w:id="11"/>
    </w:p>
    <w:p w14:paraId="4D453AC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（二）采购范围</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包含但不限于负责本项目路基、路面、给排水、人行道、绿化、交通安全设施等工程施工准备阶段、施工阶段、缺陷责任期阶段的过程检测以及宋汤河桥加宽原材料（水泥、砂石、钢筋、混凝土等）、预应力构件、非常规的桥梁支座、桩基、新旧结构连接部位应力及变形检测、成桥后的动静载试验、桥面变形、平整度检测、附属设施（护栏、伸缩缝）功能性检测等，以及建设单位要求的检测；供应商按检测规范和询比文件要求的内容进行检测，具体要求详见询比文件第五章采购需求。</w:t>
      </w:r>
    </w:p>
    <w:permEnd w:id="12"/>
    <w:p w14:paraId="43FDE6B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（三）服务期限</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自合同签订之日起910日历天（含施工期和缺陷责任期），具体以实际完成项目检测及竣工验收等工作为准；分为两条道路和宋汤河桥加宽工程分别进行质量检测，具体检测时间以</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人根据现场实际情况要求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进场检测</w:t>
      </w:r>
      <w:r>
        <w:rPr>
          <w:rFonts w:hint="eastAsia" w:asciiTheme="minorEastAsia" w:hAnsiTheme="minorEastAsia" w:cstheme="minorEastAsia"/>
          <w:sz w:val="28"/>
          <w:szCs w:val="28"/>
          <w:highlight w:val="none"/>
          <w:lang w:val="en-US" w:eastAsia="zh-CN"/>
        </w:rPr>
        <w:t>为准</w:t>
      </w:r>
      <w:r>
        <w:rPr>
          <w:rFonts w:hint="eastAsia" w:asciiTheme="minorEastAsia" w:hAnsiTheme="minorEastAsia" w:eastAsiaTheme="minorEastAsia" w:cstheme="minorEastAsia"/>
          <w:sz w:val="28"/>
          <w:szCs w:val="28"/>
          <w:highlight w:val="none"/>
          <w:lang w:val="en-US" w:eastAsia="zh-CN"/>
        </w:rPr>
        <w:t>。</w:t>
      </w:r>
      <w:permEnd w:id="13"/>
    </w:p>
    <w:p w14:paraId="24355A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服务地点</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三曹路（药都大道-薛阁路）、杜仲路(宋汤河桥-华佗大道，含宋汤河桥加宽)</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FF0000"/>
          <w:sz w:val="28"/>
          <w:szCs w:val="28"/>
          <w:highlight w:val="none"/>
          <w:lang w:val="en-US" w:eastAsia="zh-CN"/>
        </w:rPr>
        <w:t xml:space="preserve">  </w:t>
      </w:r>
      <w:permEnd w:id="14"/>
    </w:p>
    <w:p w14:paraId="6D92E0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服务标准</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符合有关试验检测规范、操作规程,并对试验结果承担责任。</w:t>
      </w:r>
      <w:r>
        <w:rPr>
          <w:rFonts w:hint="eastAsia" w:asciiTheme="minorEastAsia" w:hAnsiTheme="minorEastAsia" w:cstheme="minorEastAsia"/>
          <w:color w:val="FF0000"/>
          <w:sz w:val="28"/>
          <w:szCs w:val="28"/>
          <w:highlight w:val="none"/>
          <w:lang w:val="en-US" w:eastAsia="zh-CN"/>
        </w:rPr>
        <w:t xml:space="preserve"> </w:t>
      </w:r>
      <w:permEnd w:id="15"/>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sz w:val="28"/>
          <w:szCs w:val="28"/>
          <w:highlight w:val="none"/>
          <w:lang w:val="en-US" w:eastAsia="zh-CN"/>
        </w:rPr>
        <w:t>独立法人资格，具有有效的营业执照</w:t>
      </w:r>
      <w:permEnd w:id="1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35CC7A0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lang w:val="en-US" w:eastAsia="zh-CN"/>
        </w:rPr>
        <w:t>（二）</w:t>
      </w:r>
      <w:permStart w:id="17" w:edGrp="everyone"/>
      <w:r>
        <w:rPr>
          <w:rFonts w:hint="eastAsia" w:asciiTheme="minorEastAsia" w:hAnsiTheme="minorEastAsia" w:cstheme="minorEastAsia"/>
          <w:sz w:val="28"/>
          <w:szCs w:val="28"/>
          <w:highlight w:val="none"/>
          <w:u w:val="single"/>
          <w:lang w:val="en-US" w:eastAsia="zh-CN"/>
        </w:rPr>
        <w:t xml:space="preserve"> 供应商</w:t>
      </w:r>
      <w:r>
        <w:rPr>
          <w:rFonts w:hint="eastAsia" w:asciiTheme="minorEastAsia" w:hAnsiTheme="minorEastAsia" w:eastAsiaTheme="minorEastAsia" w:cstheme="minorEastAsia"/>
          <w:sz w:val="28"/>
          <w:szCs w:val="28"/>
          <w:highlight w:val="none"/>
          <w:u w:val="single"/>
          <w:lang w:val="en-US" w:eastAsia="zh-CN"/>
        </w:rPr>
        <w:t>必须同时具备以下①和②资质条件</w:t>
      </w:r>
      <w:r>
        <w:rPr>
          <w:rFonts w:hint="eastAsia" w:asciiTheme="minorEastAsia" w:hAnsiTheme="minorEastAsia" w:cstheme="minorEastAsia"/>
          <w:sz w:val="28"/>
          <w:szCs w:val="28"/>
          <w:highlight w:val="none"/>
          <w:u w:val="single"/>
          <w:lang w:val="en-US" w:eastAsia="zh-CN"/>
        </w:rPr>
        <w:t>：</w:t>
      </w:r>
    </w:p>
    <w:p w14:paraId="2CEFAB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u w:val="single"/>
          <w:lang w:val="en-US" w:eastAsia="zh-CN"/>
        </w:rPr>
      </w:pPr>
      <w:r>
        <w:rPr>
          <w:rFonts w:hint="eastAsia" w:asciiTheme="minorEastAsia" w:hAnsiTheme="minorEastAsia" w:eastAsiaTheme="minorEastAsia" w:cstheme="minorEastAsia"/>
          <w:sz w:val="28"/>
          <w:szCs w:val="28"/>
          <w:highlight w:val="none"/>
          <w:u w:val="single"/>
          <w:lang w:val="en-US" w:eastAsia="zh-CN"/>
        </w:rPr>
        <w:t>①供应商须具备建设行政主管部门颁发的建设工程质量检测机构综合资质证书或专项资质证书（专项资质</w:t>
      </w:r>
      <w:r>
        <w:rPr>
          <w:rFonts w:hint="eastAsia" w:asciiTheme="minorEastAsia" w:hAnsiTheme="minorEastAsia" w:cstheme="minorEastAsia"/>
          <w:sz w:val="28"/>
          <w:szCs w:val="28"/>
          <w:highlight w:val="none"/>
          <w:u w:val="single"/>
          <w:lang w:val="en-US" w:eastAsia="zh-CN"/>
        </w:rPr>
        <w:t>需</w:t>
      </w:r>
      <w:r>
        <w:rPr>
          <w:rFonts w:hint="eastAsia" w:asciiTheme="minorEastAsia" w:hAnsiTheme="minorEastAsia" w:eastAsiaTheme="minorEastAsia" w:cstheme="minorEastAsia"/>
          <w:sz w:val="28"/>
          <w:szCs w:val="28"/>
          <w:highlight w:val="none"/>
          <w:u w:val="single"/>
          <w:lang w:val="en-US" w:eastAsia="zh-CN"/>
        </w:rPr>
        <w:t>包括：道路</w:t>
      </w:r>
      <w:r>
        <w:rPr>
          <w:rFonts w:hint="eastAsia" w:asciiTheme="minorEastAsia" w:hAnsiTheme="minorEastAsia" w:cstheme="minorEastAsia"/>
          <w:sz w:val="28"/>
          <w:szCs w:val="28"/>
          <w:highlight w:val="none"/>
          <w:u w:val="single"/>
          <w:lang w:val="en-US" w:eastAsia="zh-CN"/>
        </w:rPr>
        <w:t>工程</w:t>
      </w:r>
      <w:r>
        <w:rPr>
          <w:rFonts w:hint="eastAsia" w:asciiTheme="minorEastAsia" w:hAnsiTheme="minorEastAsia" w:eastAsiaTheme="minorEastAsia" w:cstheme="minorEastAsia"/>
          <w:sz w:val="28"/>
          <w:szCs w:val="28"/>
          <w:highlight w:val="none"/>
          <w:u w:val="single"/>
          <w:lang w:val="en-US" w:eastAsia="zh-CN"/>
        </w:rPr>
        <w:t>、桥梁</w:t>
      </w:r>
      <w:r>
        <w:rPr>
          <w:rFonts w:hint="eastAsia" w:asciiTheme="minorEastAsia" w:hAnsiTheme="minorEastAsia" w:cstheme="minorEastAsia"/>
          <w:sz w:val="28"/>
          <w:szCs w:val="28"/>
          <w:highlight w:val="none"/>
          <w:u w:val="single"/>
          <w:lang w:val="en-US" w:eastAsia="zh-CN"/>
        </w:rPr>
        <w:t>及地下工程</w:t>
      </w:r>
      <w:r>
        <w:rPr>
          <w:rFonts w:hint="eastAsia" w:asciiTheme="minorEastAsia" w:hAnsiTheme="minorEastAsia" w:eastAsiaTheme="minorEastAsia" w:cstheme="minorEastAsia"/>
          <w:sz w:val="28"/>
          <w:szCs w:val="28"/>
          <w:highlight w:val="none"/>
          <w:u w:val="single"/>
          <w:lang w:val="en-US" w:eastAsia="zh-CN"/>
        </w:rPr>
        <w:t>、市政工程材料）；</w:t>
      </w:r>
    </w:p>
    <w:p w14:paraId="34E00FC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u w:val="single"/>
          <w:lang w:val="en-US" w:eastAsia="zh-CN"/>
        </w:rPr>
        <w:t>②</w:t>
      </w:r>
      <w:r>
        <w:rPr>
          <w:rFonts w:hint="eastAsia" w:asciiTheme="minorEastAsia" w:hAnsiTheme="minorEastAsia" w:cstheme="minorEastAsia"/>
          <w:sz w:val="28"/>
          <w:szCs w:val="28"/>
          <w:highlight w:val="none"/>
          <w:u w:val="single"/>
          <w:lang w:val="en-US" w:eastAsia="zh-CN"/>
        </w:rPr>
        <w:t>供应商</w:t>
      </w:r>
      <w:r>
        <w:rPr>
          <w:rFonts w:hint="eastAsia" w:asciiTheme="minorEastAsia" w:hAnsiTheme="minorEastAsia" w:eastAsiaTheme="minorEastAsia" w:cstheme="minorEastAsia"/>
          <w:sz w:val="28"/>
          <w:szCs w:val="28"/>
          <w:highlight w:val="none"/>
          <w:u w:val="single"/>
          <w:lang w:val="en-US" w:eastAsia="zh-CN"/>
        </w:rPr>
        <w:t>须具备有效的CMA计量认证证书。</w:t>
      </w:r>
      <w:r>
        <w:rPr>
          <w:rFonts w:hint="eastAsia" w:asciiTheme="minorEastAsia" w:hAnsiTheme="minorEastAsia" w:cstheme="minorEastAsia"/>
          <w:sz w:val="28"/>
          <w:szCs w:val="28"/>
          <w:highlight w:val="none"/>
          <w:u w:val="single"/>
          <w:lang w:val="en-US" w:eastAsia="zh-CN"/>
        </w:rPr>
        <w:t xml:space="preserve"> </w:t>
      </w:r>
      <w:permEnd w:id="17"/>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）提供</w:t>
      </w:r>
      <w:permStart w:id="18"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2021 </w:t>
      </w:r>
      <w:permEnd w:id="18"/>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9"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 </w:t>
      </w:r>
      <w:permEnd w:id="19"/>
      <w:r>
        <w:rPr>
          <w:rFonts w:hint="eastAsia" w:asciiTheme="minorEastAsia" w:hAnsiTheme="minorEastAsia" w:eastAsiaTheme="minorEastAsia" w:cstheme="minorEastAsia"/>
          <w:sz w:val="28"/>
          <w:szCs w:val="28"/>
          <w:highlight w:val="none"/>
          <w:lang w:val="en-US" w:eastAsia="zh-CN"/>
        </w:rPr>
        <w:t>个，以</w:t>
      </w:r>
      <w:permStart w:id="20"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0"/>
      <w:r>
        <w:rPr>
          <w:rFonts w:hint="eastAsia" w:asciiTheme="minorEastAsia" w:hAnsiTheme="minorEastAsia" w:eastAsiaTheme="minorEastAsia" w:cstheme="minorEastAsia"/>
          <w:sz w:val="28"/>
          <w:szCs w:val="28"/>
          <w:highlight w:val="none"/>
          <w:lang w:val="en-US" w:eastAsia="zh-CN"/>
        </w:rPr>
        <w:t>为准。类似项目业绩指：</w:t>
      </w:r>
      <w:permStart w:id="21"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单项合同金额不少于20万元及以上的市政道路工程第三方检测或交竣工检测业绩（如合同没有具体金额，需附合同业主盖章的证明文件） </w:t>
      </w:r>
      <w:permEnd w:id="21"/>
      <w:r>
        <w:rPr>
          <w:rFonts w:hint="eastAsia" w:asciiTheme="minorEastAsia" w:hAnsiTheme="minorEastAsia" w:eastAsiaTheme="minorEastAsia" w:cstheme="minorEastAsia"/>
          <w:sz w:val="28"/>
          <w:szCs w:val="28"/>
          <w:highlight w:val="none"/>
          <w:lang w:val="en-US" w:eastAsia="zh-CN"/>
        </w:rPr>
        <w:t>；</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2"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22"/>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332FD3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23" w:edGrp="everyone"/>
      <w:r>
        <w:rPr>
          <w:rFonts w:hint="eastAsia" w:asciiTheme="minorEastAsia" w:hAnsiTheme="minorEastAsia" w:eastAsiaTheme="minorEastAsia" w:cstheme="minorEastAsia"/>
          <w:color w:val="FF0000"/>
          <w:sz w:val="28"/>
          <w:szCs w:val="28"/>
          <w:highlight w:val="none"/>
          <w:lang w:val="en-US" w:eastAsia="zh-CN"/>
        </w:rPr>
        <w:t>接受</w:t>
      </w:r>
      <w:permEnd w:id="23"/>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18D3182A">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w:t>
      </w:r>
      <w:r>
        <w:rPr>
          <w:rFonts w:hint="default" w:asciiTheme="minorEastAsia" w:hAnsi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cstheme="minorEastAsia"/>
          <w:sz w:val="28"/>
          <w:szCs w:val="28"/>
          <w:highlight w:val="none"/>
          <w:lang w:val="en-US" w:eastAsia="zh-CN"/>
        </w:rPr>
        <w:t>文件中必须包含联合体协议且联合体协议中必须指定牵头单位；</w:t>
      </w:r>
    </w:p>
    <w:p w14:paraId="30CD5A5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w:t>
      </w:r>
      <w:r>
        <w:rPr>
          <w:rFonts w:hint="default" w:asciiTheme="minorEastAsia" w:hAnsiTheme="minorEastAsia" w:cstheme="minorEastAsia"/>
          <w:sz w:val="28"/>
          <w:szCs w:val="28"/>
          <w:highlight w:val="none"/>
          <w:lang w:val="en-US" w:eastAsia="zh-CN"/>
        </w:rPr>
        <w:t>联合体组成不得超过两名成员</w:t>
      </w:r>
      <w:r>
        <w:rPr>
          <w:rFonts w:hint="eastAsia" w:asciiTheme="minorEastAsia" w:hAnsiTheme="minorEastAsia" w:cstheme="minorEastAsia"/>
          <w:sz w:val="28"/>
          <w:szCs w:val="28"/>
          <w:highlight w:val="none"/>
          <w:lang w:val="en-US" w:eastAsia="zh-CN"/>
        </w:rPr>
        <w:t>；</w:t>
      </w:r>
    </w:p>
    <w:p w14:paraId="52324CC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3.</w:t>
      </w:r>
      <w:r>
        <w:rPr>
          <w:rFonts w:hint="default" w:asciiTheme="minorEastAsia" w:hAnsiTheme="minorEastAsia" w:cstheme="minorEastAsia"/>
          <w:sz w:val="28"/>
          <w:szCs w:val="28"/>
          <w:highlight w:val="none"/>
          <w:lang w:val="en-US" w:eastAsia="zh-CN"/>
        </w:rPr>
        <w:t>由联合体牵头单位负责本次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cstheme="minorEastAsia"/>
          <w:sz w:val="28"/>
          <w:szCs w:val="28"/>
          <w:highlight w:val="none"/>
          <w:lang w:val="en-US" w:eastAsia="zh-CN"/>
        </w:rPr>
        <w:t>的一切事务（包括但不限于</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cstheme="minorEastAsia"/>
          <w:sz w:val="28"/>
          <w:szCs w:val="28"/>
          <w:highlight w:val="none"/>
          <w:lang w:val="en-US" w:eastAsia="zh-CN"/>
        </w:rPr>
        <w:t>文件下载、</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cstheme="minorEastAsia"/>
          <w:sz w:val="28"/>
          <w:szCs w:val="28"/>
          <w:highlight w:val="none"/>
          <w:lang w:val="en-US" w:eastAsia="zh-CN"/>
        </w:rPr>
        <w:t>保证金及履约保证金的缴纳、</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cstheme="minorEastAsia"/>
          <w:sz w:val="28"/>
          <w:szCs w:val="28"/>
          <w:highlight w:val="none"/>
          <w:lang w:val="en-US" w:eastAsia="zh-CN"/>
        </w:rPr>
        <w:t>文件递交、异议、投诉、合同签订、合同履行过程中的管理、沟通、协调及相关文件签署等）；</w:t>
      </w:r>
    </w:p>
    <w:p w14:paraId="13A2B3A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w:t>
      </w:r>
      <w:r>
        <w:rPr>
          <w:rFonts w:hint="default" w:asciiTheme="minorEastAsia" w:hAnsiTheme="minorEastAsia" w:cstheme="minorEastAsia"/>
          <w:sz w:val="28"/>
          <w:szCs w:val="28"/>
          <w:highlight w:val="none"/>
          <w:lang w:val="en-US" w:eastAsia="zh-CN"/>
        </w:rPr>
        <w:t>合同签订前联合体成员变更或解体或有成员退出的，视为联合体自动放弃</w:t>
      </w:r>
      <w:r>
        <w:rPr>
          <w:rFonts w:hint="eastAsia" w:asciiTheme="minorEastAsia" w:hAnsiTheme="minorEastAsia" w:cstheme="minorEastAsia"/>
          <w:sz w:val="28"/>
          <w:szCs w:val="28"/>
          <w:highlight w:val="none"/>
          <w:lang w:val="en-US" w:eastAsia="zh-CN"/>
        </w:rPr>
        <w:t>成交</w:t>
      </w:r>
      <w:r>
        <w:rPr>
          <w:rFonts w:hint="default" w:asciiTheme="minorEastAsia" w:hAnsiTheme="minorEastAsia" w:cstheme="minorEastAsia"/>
          <w:sz w:val="28"/>
          <w:szCs w:val="28"/>
          <w:highlight w:val="none"/>
          <w:lang w:val="en-US" w:eastAsia="zh-CN"/>
        </w:rPr>
        <w:t>资格，</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cstheme="minorEastAsia"/>
          <w:sz w:val="28"/>
          <w:szCs w:val="28"/>
          <w:highlight w:val="none"/>
          <w:lang w:val="en-US" w:eastAsia="zh-CN"/>
        </w:rPr>
        <w:t>人有权拒绝签订合同且不退还</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cstheme="minorEastAsia"/>
          <w:sz w:val="28"/>
          <w:szCs w:val="28"/>
          <w:highlight w:val="none"/>
          <w:lang w:val="en-US" w:eastAsia="zh-CN"/>
        </w:rPr>
        <w:t>保证金；</w:t>
      </w:r>
    </w:p>
    <w:p w14:paraId="3C1A8BBA">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5.</w:t>
      </w:r>
      <w:r>
        <w:rPr>
          <w:rFonts w:hint="default" w:asciiTheme="minorEastAsia" w:hAnsi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成交</w:t>
      </w:r>
      <w:r>
        <w:rPr>
          <w:rFonts w:hint="default" w:asciiTheme="minorEastAsia" w:hAnsiTheme="minorEastAsia" w:cstheme="minorEastAsia"/>
          <w:sz w:val="28"/>
          <w:szCs w:val="28"/>
          <w:highlight w:val="none"/>
          <w:lang w:val="en-US" w:eastAsia="zh-CN"/>
        </w:rPr>
        <w:t>的，联合体各方须共同与</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cstheme="minorEastAsia"/>
          <w:sz w:val="28"/>
          <w:szCs w:val="28"/>
          <w:highlight w:val="none"/>
          <w:lang w:val="en-US" w:eastAsia="zh-CN"/>
        </w:rPr>
        <w:t>人签订合同，否则视为联合体自动放弃</w:t>
      </w:r>
      <w:r>
        <w:rPr>
          <w:rFonts w:hint="eastAsia" w:asciiTheme="minorEastAsia" w:hAnsiTheme="minorEastAsia" w:cstheme="minorEastAsia"/>
          <w:sz w:val="28"/>
          <w:szCs w:val="28"/>
          <w:highlight w:val="none"/>
          <w:lang w:val="en-US" w:eastAsia="zh-CN"/>
        </w:rPr>
        <w:t>成交</w:t>
      </w:r>
      <w:r>
        <w:rPr>
          <w:rFonts w:hint="default" w:asciiTheme="minorEastAsia" w:hAnsiTheme="minorEastAsia" w:cstheme="minorEastAsia"/>
          <w:sz w:val="28"/>
          <w:szCs w:val="28"/>
          <w:highlight w:val="none"/>
          <w:lang w:val="en-US" w:eastAsia="zh-CN"/>
        </w:rPr>
        <w:t>资格，</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cstheme="minorEastAsia"/>
          <w:sz w:val="28"/>
          <w:szCs w:val="28"/>
          <w:highlight w:val="none"/>
          <w:lang w:val="en-US" w:eastAsia="zh-CN"/>
        </w:rPr>
        <w:t>人有权拒绝签订合同且不退还</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cstheme="minorEastAsia"/>
          <w:sz w:val="28"/>
          <w:szCs w:val="28"/>
          <w:highlight w:val="none"/>
          <w:lang w:val="en-US" w:eastAsia="zh-CN"/>
        </w:rPr>
        <w:t>保证金。</w:t>
      </w:r>
    </w:p>
    <w:p w14:paraId="783BEB4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6.联合体的各专业资质等级</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根据联合体协议书约定的专业分工认定</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相同专业单位组成的联合体</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按照承担相应专业工作的资质等级较低的单位确定</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不同专业单位组成的联合体</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按照联合体协议分工所承担的专业工作对应各自的专业资质认定。</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4"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年</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月</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7</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日</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时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分</w:t>
      </w:r>
      <w:permEnd w:id="24"/>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5"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安徽省亳州市高新技术产业开发区神农大道与酒城大道交叉口西北高铁南站金融商务中心2号楼1层108开标室</w:t>
      </w:r>
      <w:r>
        <w:rPr>
          <w:rFonts w:hint="eastAsia" w:asciiTheme="minorEastAsia" w:hAnsiTheme="minorEastAsia" w:cstheme="minorEastAsia"/>
          <w:i w:val="0"/>
          <w:iCs w:val="0"/>
          <w:sz w:val="28"/>
          <w:szCs w:val="28"/>
          <w:highlight w:val="none"/>
          <w:lang w:val="en-US" w:eastAsia="zh-CN"/>
        </w:rPr>
        <w:t>；</w:t>
      </w:r>
      <w:permEnd w:id="25"/>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29FB02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6"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ermEnd w:id="26"/>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7"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27"/>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8" w:edGrp="everyone"/>
      <w:r>
        <w:rPr>
          <w:rFonts w:hint="eastAsia" w:asciiTheme="minorEastAsia" w:hAnsiTheme="minorEastAsia" w:cstheme="minorEastAsia"/>
          <w:sz w:val="28"/>
          <w:szCs w:val="28"/>
          <w:highlight w:val="none"/>
          <w:lang w:val="en-US" w:eastAsia="zh-CN"/>
        </w:rPr>
        <w:t xml:space="preserve"> 亳州交控产业发展有限公司 </w:t>
      </w:r>
    </w:p>
    <w:permEnd w:id="28"/>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9" w:edGrp="everyone"/>
      <w:r>
        <w:rPr>
          <w:rFonts w:hint="eastAsia" w:asciiTheme="minorEastAsia" w:hAnsiTheme="minorEastAsia" w:cstheme="minorEastAsia"/>
          <w:sz w:val="28"/>
          <w:szCs w:val="28"/>
          <w:highlight w:val="none"/>
          <w:lang w:val="en-US" w:eastAsia="zh-CN"/>
        </w:rPr>
        <w:t xml:space="preserve"> 高铁南站金融商务中心2号楼6楼 </w:t>
      </w:r>
      <w:permEnd w:id="29"/>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 xml:space="preserve"> 李工     孙工    </w:t>
      </w:r>
      <w:permEnd w:id="30"/>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1" w:edGrp="everyone"/>
      <w:r>
        <w:rPr>
          <w:rFonts w:hint="eastAsia" w:asciiTheme="minorEastAsia" w:hAnsiTheme="minorEastAsia" w:cstheme="minorEastAsia"/>
          <w:sz w:val="28"/>
          <w:szCs w:val="28"/>
          <w:highlight w:val="none"/>
          <w:lang w:val="en-US" w:eastAsia="zh-CN"/>
        </w:rPr>
        <w:t xml:space="preserve"> 0558- 5998967 </w:t>
      </w:r>
      <w:permEnd w:id="31"/>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3F26394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安徽省亳州市高新技术产业开发区神农大道与酒城大道交叉口西北高铁南站金融商务中心2号楼5层514室</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2" w:edGrp="everyone"/>
      <w:r>
        <w:rPr>
          <w:rFonts w:hint="eastAsia" w:asciiTheme="minorEastAsia" w:hAnsiTheme="minorEastAsia" w:eastAsiaTheme="minorEastAsia" w:cstheme="minorEastAsia"/>
          <w:color w:val="FF0000"/>
          <w:sz w:val="28"/>
          <w:szCs w:val="28"/>
          <w:highlight w:val="none"/>
          <w:lang w:val="en-US" w:eastAsia="zh-CN"/>
        </w:rPr>
        <w:t xml:space="preserve"> 亳州交控产业发展有限公司</w:t>
      </w:r>
    </w:p>
    <w:p w14:paraId="19244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 xml:space="preserve"> 年</w:t>
      </w:r>
      <w:r>
        <w:rPr>
          <w:rFonts w:hint="eastAsia" w:asciiTheme="minorEastAsia" w:hAnsiTheme="minorEastAsia" w:cstheme="minorEastAsia"/>
          <w:color w:val="FF0000"/>
          <w:sz w:val="28"/>
          <w:szCs w:val="28"/>
          <w:highlight w:val="none"/>
          <w:lang w:val="en-US" w:eastAsia="zh-CN"/>
        </w:rPr>
        <w:t xml:space="preserve">12 </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29</w:t>
      </w:r>
      <w:bookmarkStart w:id="353" w:name="_GoBack"/>
      <w:bookmarkEnd w:id="353"/>
      <w:r>
        <w:rPr>
          <w:rFonts w:hint="eastAsia" w:asciiTheme="minorEastAsia" w:hAnsiTheme="minorEastAsia" w:eastAsiaTheme="minorEastAsia" w:cstheme="minorEastAsia"/>
          <w:color w:val="FF0000"/>
          <w:sz w:val="28"/>
          <w:szCs w:val="28"/>
          <w:highlight w:val="none"/>
          <w:lang w:val="en-US" w:eastAsia="zh-CN"/>
        </w:rPr>
        <w:t>日</w:t>
      </w:r>
      <w:permEnd w:id="32"/>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w:t>
      </w:r>
      <w:r>
        <w:rPr>
          <w:rFonts w:hint="eastAsia" w:asciiTheme="majorEastAsia" w:hAnsiTheme="majorEastAsia" w:eastAsiaTheme="majorEastAsia" w:cstheme="majorEastAsia"/>
          <w:b/>
          <w:bCs/>
          <w:sz w:val="32"/>
          <w:szCs w:val="32"/>
          <w:highlight w:val="none"/>
          <w:lang w:val="en-US" w:eastAsia="zh-CN"/>
        </w:rPr>
        <w:t>一</w:t>
      </w:r>
      <w:r>
        <w:rPr>
          <w:rFonts w:hint="default" w:asciiTheme="majorEastAsia" w:hAnsiTheme="majorEastAsia" w:eastAsiaTheme="majorEastAsia" w:cstheme="majorEastAsia"/>
          <w:b/>
          <w:bCs/>
          <w:sz w:val="32"/>
          <w:szCs w:val="32"/>
          <w:highlight w:val="none"/>
          <w:lang w:val="en-US" w:eastAsia="zh-CN"/>
        </w:rPr>
        <w:t xml:space="preserve">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5" w:edGrp="everyone"/>
            <w:r>
              <w:rPr>
                <w:rFonts w:hint="eastAsia" w:ascii="Times New Roman" w:hAnsi="Times New Roman" w:cs="Times New Roman"/>
                <w:szCs w:val="21"/>
                <w:highlight w:val="none"/>
                <w:u w:val="single"/>
                <w:lang w:val="en-US" w:eastAsia="zh-CN"/>
              </w:rPr>
              <w:t xml:space="preserve"> 2026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4 </w:t>
            </w:r>
            <w:r>
              <w:rPr>
                <w:rFonts w:hint="eastAsia" w:ascii="Times New Roman" w:hAnsi="Times New Roman" w:cs="Times New Roman"/>
                <w:szCs w:val="21"/>
                <w:highlight w:val="none"/>
                <w:u w:val="none"/>
                <w:lang w:val="en-US" w:eastAsia="zh-CN"/>
              </w:rPr>
              <w:t>日前</w:t>
            </w:r>
            <w:permEnd w:id="3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8"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8"/>
            <w:r>
              <w:rPr>
                <w:rFonts w:hint="default" w:ascii="Times New Roman" w:hAnsi="Times New Roman" w:cs="Times New Roman"/>
                <w:szCs w:val="21"/>
                <w:highlight w:val="none"/>
              </w:rPr>
              <w:t>的形式：</w:t>
            </w:r>
            <w:permStart w:id="39" w:edGrp="everyone"/>
            <w:r>
              <w:rPr>
                <w:rFonts w:hint="default" w:ascii="Times New Roman" w:hAnsi="Times New Roman" w:cs="Times New Roman"/>
                <w:color w:val="FF0000"/>
                <w:szCs w:val="21"/>
                <w:highlight w:val="none"/>
              </w:rPr>
              <w:t>银行汇款或转账</w:t>
            </w:r>
            <w:permEnd w:id="3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40" w:edGrp="everyone"/>
            <w:r>
              <w:rPr>
                <w:rFonts w:hint="eastAsia" w:ascii="Times New Roman" w:hAnsi="Times New Roman" w:cs="Times New Roman"/>
                <w:color w:val="auto"/>
                <w:szCs w:val="21"/>
                <w:highlight w:val="none"/>
                <w:u w:val="single"/>
                <w:lang w:val="en-US" w:eastAsia="zh-CN"/>
              </w:rPr>
              <w:t xml:space="preserve">  10000元  </w:t>
            </w:r>
            <w:permEnd w:id="4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1" w:edGrp="everyone"/>
            <w:r>
              <w:rPr>
                <w:rFonts w:hint="eastAsia" w:ascii="Times New Roman" w:hAnsi="Times New Roman" w:cs="Times New Roman"/>
                <w:color w:val="FF0000"/>
                <w:szCs w:val="21"/>
                <w:highlight w:val="none"/>
                <w:lang w:val="en-US" w:eastAsia="zh-CN"/>
              </w:rPr>
              <w:t>BZJK-2025- 049 号保证金</w:t>
            </w:r>
            <w:permEnd w:id="4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42"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42"/>
          </w:p>
          <w:p w14:paraId="6B6A56F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提交电子版响应文件的形式：响应文件电子版指供应商现场递交响应文件正本的扫描件（PDF格式）。供应商应于响应文件开启现场递交U盘（随同响应文件密封），或在开启程序完成后发送至电子邮箱bzjkfwbgys@163.com，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77BBEA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3" w:edGrp="everyone"/>
            <w:r>
              <w:rPr>
                <w:rFonts w:hint="eastAsia" w:ascii="Times New Roman" w:hAnsi="Times New Roman" w:cs="Times New Roman"/>
                <w:color w:val="FF0000"/>
                <w:szCs w:val="21"/>
                <w:highlight w:val="none"/>
                <w:lang w:val="en-US" w:eastAsia="zh-CN"/>
              </w:rPr>
              <w:t>开启地址：安徽省亳州市高新技术产业开发区神农大道与酒城大道交叉口西北高铁南站金融商务中心2号楼1层108开标室</w:t>
            </w:r>
          </w:p>
          <w:p w14:paraId="5E76C77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采购人：亳州交控产业发展有限公司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亳州市城市重点区域交通补短板项目-三曹路（药都大道-薛阁路）、杜仲路(宋汤河桥-华佗大道，含宋汤河桥加宽)更新改造工程质量检测响应文件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项目编号：BZJK-2025- 049  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2026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7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3"/>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亳州交控集团招投标中心 张工、田工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0558-5190035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安徽省亳州市高新技术产业开发区神农大道与酒城大道交叉口西北高铁南站金融商务中心2号楼5层514室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4"/>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5"/>
          <w:p w14:paraId="194D93FB">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eastAsia" w:ascii="Times New Roman" w:hAnsi="Times New Roman" w:cs="Times New Roman"/>
                <w:b/>
                <w:bCs/>
                <w:color w:val="FF0000"/>
                <w:szCs w:val="21"/>
                <w:highlight w:val="none"/>
                <w:lang w:val="en-US" w:eastAsia="zh-CN"/>
              </w:rPr>
            </w:pPr>
            <w:permStart w:id="4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
          <w:p w14:paraId="04096F15">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开户名称：亳州交控产业发展有限公司</w:t>
            </w:r>
          </w:p>
          <w:p w14:paraId="5D13BBC3">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开户银行：亳州药都农村商业银行股份有限公司</w:t>
            </w:r>
          </w:p>
          <w:p w14:paraId="32D96688">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银行账号：20010359271466600000013</w:t>
            </w:r>
          </w:p>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color w:val="FF0000"/>
                <w:szCs w:val="21"/>
                <w:highlight w:val="none"/>
                <w:lang w:val="en-US" w:eastAsia="zh-CN"/>
              </w:rPr>
              <w:t>提示：汇款时注意“亳（音bó）州”二字，请勿打错成“毫（háo）州”。</w:t>
            </w:r>
            <w:r>
              <w:rPr>
                <w:rFonts w:hint="eastAsia" w:ascii="Times New Roman" w:hAnsi="Times New Roman" w:cs="Times New Roman"/>
                <w:b/>
                <w:bCs/>
                <w:color w:val="FF0000"/>
                <w:szCs w:val="21"/>
                <w:highlight w:val="none"/>
                <w:lang w:val="en-US" w:eastAsia="zh-CN"/>
              </w:rPr>
              <w:t xml:space="preserve"> </w:t>
            </w:r>
            <w:permEnd w:id="46"/>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7"/>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8" w:edGrp="everyone"/>
            <w:r>
              <w:rPr>
                <w:rFonts w:hint="eastAsia" w:ascii="Times New Roman" w:hAnsi="Times New Roman" w:cs="Times New Roman"/>
                <w:b/>
                <w:bCs/>
                <w:color w:val="FF0000"/>
                <w:szCs w:val="21"/>
                <w:highlight w:val="none"/>
                <w:lang w:val="en-US" w:eastAsia="zh-CN"/>
              </w:rPr>
              <w:t xml:space="preserve">  40000元  </w:t>
            </w:r>
            <w:permEnd w:id="48"/>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服务期满后退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9"/>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46996178"/>
      <w:bookmarkStart w:id="17" w:name="_Toc152042308"/>
      <w:bookmarkStart w:id="18" w:name="_Toc246996921"/>
      <w:bookmarkStart w:id="19" w:name="_Toc296602423"/>
      <w:bookmarkStart w:id="20" w:name="_Toc179632549"/>
      <w:bookmarkStart w:id="21" w:name="_Toc144974500"/>
      <w:bookmarkStart w:id="22" w:name="_Toc247085692"/>
      <w:bookmarkStart w:id="23" w:name="_Toc152045532"/>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6"/>
      <w:bookmarkStart w:id="25" w:name="_Toc247085695"/>
      <w:bookmarkStart w:id="26" w:name="_Toc144974504"/>
      <w:bookmarkStart w:id="27" w:name="_Toc152042312"/>
      <w:bookmarkStart w:id="28" w:name="_Toc152045536"/>
      <w:bookmarkStart w:id="29" w:name="_Toc246996924"/>
      <w:bookmarkStart w:id="30" w:name="_Toc246996181"/>
      <w:bookmarkStart w:id="31" w:name="_Toc179632553"/>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7085696"/>
      <w:bookmarkStart w:id="34" w:name="_Toc152042313"/>
      <w:bookmarkStart w:id="35" w:name="_Toc152045537"/>
      <w:bookmarkStart w:id="36" w:name="_Toc179632554"/>
      <w:bookmarkStart w:id="37" w:name="_Toc246996925"/>
      <w:bookmarkStart w:id="38" w:name="_Toc296602427"/>
      <w:bookmarkStart w:id="39" w:name="_Toc246996182"/>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6996183"/>
      <w:bookmarkStart w:id="41" w:name="_Toc152045538"/>
      <w:bookmarkStart w:id="42" w:name="_Toc246996926"/>
      <w:bookmarkStart w:id="43" w:name="_Toc152042314"/>
      <w:bookmarkStart w:id="44" w:name="_Toc144974506"/>
      <w:bookmarkStart w:id="45" w:name="_Toc247085697"/>
      <w:bookmarkStart w:id="46"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2318"/>
      <w:bookmarkStart w:id="48" w:name="_Toc247085701"/>
      <w:bookmarkStart w:id="49" w:name="_Toc144974510"/>
      <w:bookmarkStart w:id="50" w:name="_Toc246996930"/>
      <w:bookmarkStart w:id="51" w:name="_Toc246996187"/>
      <w:bookmarkStart w:id="52" w:name="_Toc152045542"/>
      <w:bookmarkStart w:id="53" w:name="_Toc179632560"/>
      <w:bookmarkStart w:id="54" w:name="_Toc296602432"/>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2319"/>
      <w:bookmarkStart w:id="56" w:name="_Toc247085702"/>
      <w:bookmarkStart w:id="57" w:name="_Toc246996931"/>
      <w:bookmarkStart w:id="58" w:name="_Toc152045543"/>
      <w:bookmarkStart w:id="59" w:name="_Toc296602433"/>
      <w:bookmarkStart w:id="60" w:name="_Toc144974511"/>
      <w:bookmarkStart w:id="61" w:name="_Toc179632561"/>
      <w:bookmarkStart w:id="62" w:name="_Toc246996188"/>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44974512"/>
      <w:bookmarkStart w:id="64" w:name="_Toc152042320"/>
      <w:bookmarkStart w:id="65" w:name="_Toc179632562"/>
      <w:bookmarkStart w:id="66" w:name="_Toc246996189"/>
      <w:bookmarkStart w:id="67" w:name="_Toc246996932"/>
      <w:bookmarkStart w:id="68" w:name="_Toc296602434"/>
      <w:bookmarkStart w:id="69" w:name="_Toc152045544"/>
      <w:bookmarkStart w:id="70" w:name="_Toc247085703"/>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933"/>
      <w:bookmarkStart w:id="72" w:name="_Toc296602435"/>
      <w:bookmarkStart w:id="73" w:name="_Toc144974513"/>
      <w:bookmarkStart w:id="74" w:name="_Toc152045545"/>
      <w:bookmarkStart w:id="75" w:name="_Toc152042321"/>
      <w:bookmarkStart w:id="76" w:name="_Toc246996190"/>
      <w:bookmarkStart w:id="77" w:name="_Toc247085704"/>
      <w:bookmarkStart w:id="78" w:name="_Toc179632563"/>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46996934"/>
      <w:bookmarkStart w:id="80" w:name="_Toc179632564"/>
      <w:bookmarkStart w:id="81" w:name="_Toc296602436"/>
      <w:bookmarkStart w:id="82" w:name="_Toc152042322"/>
      <w:bookmarkStart w:id="83" w:name="_Toc152045546"/>
      <w:bookmarkStart w:id="84" w:name="_Toc144974514"/>
      <w:bookmarkStart w:id="85" w:name="_Toc246996191"/>
      <w:bookmarkStart w:id="86" w:name="_Toc247085705"/>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5547"/>
      <w:bookmarkStart w:id="88" w:name="_Toc247085706"/>
      <w:bookmarkStart w:id="89" w:name="_Toc296602437"/>
      <w:bookmarkStart w:id="90" w:name="_Toc246996192"/>
      <w:bookmarkStart w:id="91" w:name="_Toc144974515"/>
      <w:bookmarkStart w:id="92" w:name="_Toc152042323"/>
      <w:bookmarkStart w:id="93" w:name="_Toc246996935"/>
      <w:bookmarkStart w:id="94"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52042324"/>
      <w:bookmarkStart w:id="96" w:name="_Toc246996936"/>
      <w:bookmarkStart w:id="97" w:name="_Toc296602438"/>
      <w:bookmarkStart w:id="98" w:name="_Toc152045548"/>
      <w:bookmarkStart w:id="99" w:name="_Toc144974516"/>
      <w:bookmarkStart w:id="100" w:name="_Toc179632566"/>
      <w:bookmarkStart w:id="101" w:name="_Toc246996193"/>
      <w:bookmarkStart w:id="102" w:name="_Toc247085707"/>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79632567"/>
      <w:bookmarkStart w:id="104" w:name="_Toc144974517"/>
      <w:bookmarkStart w:id="105" w:name="_Toc152042325"/>
      <w:bookmarkStart w:id="106"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96602439"/>
      <w:bookmarkStart w:id="108" w:name="_Toc246996194"/>
      <w:bookmarkStart w:id="109" w:name="_Toc247085708"/>
      <w:bookmarkStart w:id="110" w:name="_Toc246996937"/>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199"/>
      <w:bookmarkStart w:id="112" w:name="_Toc296602443"/>
      <w:bookmarkStart w:id="113" w:name="_Toc179632573"/>
      <w:bookmarkStart w:id="114" w:name="_Toc144974523"/>
      <w:bookmarkStart w:id="115" w:name="_Toc152045555"/>
      <w:bookmarkStart w:id="116" w:name="_Toc247085713"/>
      <w:bookmarkStart w:id="117" w:name="_Toc152042331"/>
      <w:bookmarkStart w:id="118" w:name="_Toc246996942"/>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43"/>
      <w:bookmarkStart w:id="120" w:name="_Toc144974524"/>
      <w:bookmarkStart w:id="121" w:name="_Toc246996200"/>
      <w:bookmarkStart w:id="122" w:name="_Toc247085714"/>
      <w:bookmarkStart w:id="123" w:name="_Toc152042332"/>
      <w:bookmarkStart w:id="124" w:name="_Toc296602444"/>
      <w:bookmarkStart w:id="125" w:name="_Toc179632574"/>
      <w:bookmarkStart w:id="126" w:name="_Toc152045556"/>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79632575"/>
      <w:bookmarkStart w:id="128" w:name="_Toc246996201"/>
      <w:bookmarkStart w:id="129" w:name="_Toc144974525"/>
      <w:bookmarkStart w:id="130" w:name="_Toc246996944"/>
      <w:bookmarkStart w:id="131" w:name="_Toc152045557"/>
      <w:bookmarkStart w:id="132" w:name="_Toc152042333"/>
      <w:bookmarkStart w:id="133"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7085716"/>
      <w:bookmarkStart w:id="135" w:name="_Toc179632576"/>
      <w:bookmarkStart w:id="136" w:name="_Toc296602446"/>
      <w:bookmarkStart w:id="137" w:name="_Toc152045558"/>
      <w:bookmarkStart w:id="138" w:name="_Toc144974526"/>
      <w:bookmarkStart w:id="139" w:name="_Toc246996202"/>
      <w:bookmarkStart w:id="140" w:name="_Toc246996945"/>
      <w:bookmarkStart w:id="141" w:name="_Toc152042334"/>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247085717"/>
      <w:bookmarkStart w:id="143" w:name="_Toc296602447"/>
      <w:bookmarkStart w:id="144" w:name="_Toc179632577"/>
      <w:bookmarkStart w:id="145" w:name="_Toc152045559"/>
      <w:bookmarkStart w:id="146" w:name="_Toc152042335"/>
      <w:bookmarkStart w:id="147" w:name="_Toc246996946"/>
      <w:bookmarkStart w:id="148" w:name="_Toc144974527"/>
      <w:bookmarkStart w:id="149" w:name="_Toc246996203"/>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28"/>
      <w:bookmarkStart w:id="151" w:name="_Toc152045560"/>
      <w:bookmarkStart w:id="152" w:name="_Toc296602448"/>
      <w:bookmarkStart w:id="153" w:name="_Toc152042336"/>
      <w:bookmarkStart w:id="154" w:name="_Toc247085718"/>
      <w:bookmarkStart w:id="155" w:name="_Toc246996204"/>
      <w:bookmarkStart w:id="156" w:name="_Toc179632578"/>
      <w:bookmarkStart w:id="157"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44974529"/>
      <w:bookmarkStart w:id="159" w:name="_Toc247085719"/>
      <w:bookmarkStart w:id="160" w:name="_Toc152045561"/>
      <w:bookmarkStart w:id="161" w:name="_Toc246996948"/>
      <w:bookmarkStart w:id="162" w:name="_Toc152042337"/>
      <w:bookmarkStart w:id="163" w:name="_Toc296602449"/>
      <w:bookmarkStart w:id="164" w:name="_Toc246996205"/>
      <w:bookmarkStart w:id="165" w:name="_Toc17963257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询比响应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39"/>
      <w:bookmarkStart w:id="167" w:name="_Toc144974531"/>
      <w:bookmarkStart w:id="168" w:name="_Toc247085721"/>
      <w:bookmarkStart w:id="169" w:name="_Toc152045563"/>
      <w:bookmarkStart w:id="170" w:name="_Toc246996950"/>
      <w:bookmarkStart w:id="171" w:name="_Toc246996207"/>
      <w:bookmarkStart w:id="172" w:name="_Toc296602452"/>
      <w:bookmarkStart w:id="173" w:name="_Toc179632581"/>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52045566"/>
      <w:bookmarkStart w:id="175" w:name="_Toc247085724"/>
      <w:bookmarkStart w:id="176" w:name="_Toc144974534"/>
      <w:bookmarkStart w:id="177" w:name="_Toc296602455"/>
      <w:bookmarkStart w:id="178" w:name="_Toc246996953"/>
      <w:bookmarkStart w:id="179" w:name="_Toc152042342"/>
      <w:bookmarkStart w:id="180" w:name="_Toc179632584"/>
      <w:bookmarkStart w:id="181" w:name="_Toc246996210"/>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7085725"/>
      <w:bookmarkStart w:id="183" w:name="_Toc152042343"/>
      <w:bookmarkStart w:id="184" w:name="_Toc179632585"/>
      <w:bookmarkStart w:id="185" w:name="_Toc144974535"/>
      <w:bookmarkStart w:id="186" w:name="_Toc152045567"/>
      <w:bookmarkStart w:id="187" w:name="_Toc246996211"/>
      <w:bookmarkStart w:id="188" w:name="_Toc246996954"/>
      <w:bookmarkStart w:id="189" w:name="_Toc296602456"/>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46996212"/>
      <w:bookmarkStart w:id="192" w:name="_Toc296602458"/>
      <w:bookmarkStart w:id="193" w:name="_Toc152042344"/>
      <w:bookmarkStart w:id="194" w:name="_Toc247085726"/>
      <w:bookmarkStart w:id="195" w:name="_Toc179632586"/>
      <w:bookmarkStart w:id="196" w:name="_Toc152045568"/>
      <w:bookmarkStart w:id="197" w:name="_Toc144974536"/>
      <w:bookmarkStart w:id="198" w:name="_Toc246996955"/>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52045569"/>
      <w:bookmarkStart w:id="200" w:name="_Toc246996956"/>
      <w:bookmarkStart w:id="201" w:name="_Toc152042345"/>
      <w:bookmarkStart w:id="202" w:name="_Toc246996213"/>
      <w:bookmarkStart w:id="203" w:name="_Toc247085727"/>
      <w:bookmarkStart w:id="204" w:name="_Toc296602459"/>
      <w:bookmarkStart w:id="205" w:name="_Toc179632587"/>
      <w:bookmarkStart w:id="206" w:name="_Toc14497453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44974543"/>
      <w:bookmarkStart w:id="209" w:name="_Toc152042351"/>
      <w:bookmarkStart w:id="210" w:name="_Toc246996219"/>
      <w:bookmarkStart w:id="211" w:name="_Toc296602462"/>
      <w:bookmarkStart w:id="212" w:name="_Toc296590983"/>
      <w:bookmarkStart w:id="213" w:name="_Toc152045575"/>
      <w:bookmarkStart w:id="214" w:name="_Toc246996962"/>
      <w:bookmarkStart w:id="215" w:name="_Toc179632593"/>
      <w:bookmarkStart w:id="216" w:name="_Toc24708573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246996963"/>
      <w:bookmarkStart w:id="218" w:name="_Toc246996220"/>
      <w:bookmarkStart w:id="219" w:name="_Toc296602463"/>
      <w:bookmarkStart w:id="220" w:name="_Toc144974544"/>
      <w:bookmarkStart w:id="221" w:name="_Toc152042352"/>
      <w:bookmarkStart w:id="222" w:name="_Toc179632594"/>
      <w:bookmarkStart w:id="223" w:name="_Toc152045576"/>
      <w:bookmarkStart w:id="224" w:name="_Toc24708573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79632595"/>
      <w:bookmarkStart w:id="226" w:name="_Toc246996221"/>
      <w:bookmarkStart w:id="227" w:name="_Toc246996964"/>
      <w:bookmarkStart w:id="228" w:name="_Toc296602464"/>
      <w:bookmarkStart w:id="229" w:name="_Toc152045577"/>
      <w:bookmarkStart w:id="230" w:name="_Toc152042353"/>
      <w:bookmarkStart w:id="231" w:name="_Toc247085735"/>
      <w:bookmarkStart w:id="232" w:name="_Toc144974545"/>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50" w:edGrp="everyone"/>
      <w:r>
        <w:rPr>
          <w:rFonts w:hint="eastAsia" w:ascii="宋体" w:hAnsi="宋体"/>
          <w:color w:val="FF0000"/>
          <w:sz w:val="24"/>
          <w:lang w:val="en-US" w:eastAsia="zh-CN"/>
        </w:rPr>
        <w:t>综合评估法</w:t>
      </w:r>
      <w:permEnd w:id="50"/>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427D11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C93CB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246996232"/>
            <w:bookmarkStart w:id="234" w:name="_Toc296602477"/>
            <w:bookmarkStart w:id="235" w:name="_Toc179632607"/>
            <w:bookmarkStart w:id="236" w:name="_Toc144974556"/>
            <w:bookmarkStart w:id="237" w:name="_Toc246996975"/>
            <w:bookmarkStart w:id="238" w:name="_Toc152042366"/>
            <w:bookmarkStart w:id="239" w:name="_Toc247085747"/>
            <w:bookmarkStart w:id="240" w:name="_Toc152045589"/>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528EB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DAB0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746114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5075C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D5007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DC5646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E832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noWrap w:val="0"/>
            <w:vAlign w:val="center"/>
          </w:tcPr>
          <w:p w14:paraId="19A35C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eastAsiaTheme="minorEastAsia"/>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9CB8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0A6678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998CC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461D57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E65DC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CFD9D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与营业执照、资质证书一致</w:t>
            </w:r>
          </w:p>
        </w:tc>
      </w:tr>
      <w:tr w14:paraId="189B6E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4886E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88E9C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CFEEE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有法定代表人或其委托代理人签字或加盖单位公章</w:t>
            </w:r>
          </w:p>
        </w:tc>
      </w:tr>
      <w:tr w14:paraId="43C5A5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7FB522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4560F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346DB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符合询比文件要求(格式附后)</w:t>
            </w:r>
          </w:p>
        </w:tc>
      </w:tr>
      <w:tr w14:paraId="4F2946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7E26ED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0B4C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7DACA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val="0"/>
                <w:bCs w:val="0"/>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只能有一个有效报价</w:t>
            </w:r>
          </w:p>
        </w:tc>
      </w:tr>
      <w:tr w14:paraId="31A473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63BBE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9EB2B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C28A10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058F1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706026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878F3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430B5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161B0F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3A225B3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4D083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3DF87C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7EA8ED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BBCB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57A818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C8EAB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F21CB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F14A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471E5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583B7E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50D3B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69308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F577B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D5770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AF8A5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1C0732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D768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E46152E">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D95FA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34429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F77F1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13246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58AF32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b/>
          <w:bCs/>
          <w:kern w:val="0"/>
          <w:sz w:val="28"/>
          <w:szCs w:val="28"/>
          <w:highlight w:val="none"/>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3392E8F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bookmarkStart w:id="241" w:name="_Toc144974563"/>
      <w:bookmarkStart w:id="242" w:name="_Toc246996239"/>
      <w:bookmarkStart w:id="243" w:name="_Toc246996982"/>
      <w:bookmarkStart w:id="244" w:name="_Toc152045596"/>
      <w:bookmarkStart w:id="245" w:name="_Toc247085754"/>
      <w:bookmarkStart w:id="246" w:name="_Toc296602484"/>
      <w:bookmarkStart w:id="247" w:name="_Toc179632614"/>
      <w:bookmarkStart w:id="248" w:name="_Toc152042373"/>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按照以下评分细则对供应商递交的响应文件进行详细评分</w:t>
      </w:r>
      <w:r>
        <w:rPr>
          <w:rFonts w:hint="eastAsia" w:ascii="宋体" w:hAnsi="宋体"/>
          <w:color w:val="FF0000"/>
          <w:sz w:val="24"/>
          <w:highlight w:val="yellow"/>
          <w:lang w:val="en-US" w:eastAsia="zh-CN"/>
        </w:rPr>
        <w:t>（适用于综合评估法）</w:t>
      </w:r>
      <w:r>
        <w:rPr>
          <w:rFonts w:hint="eastAsia" w:ascii="宋体" w:hAnsi="宋体"/>
          <w:sz w:val="24"/>
          <w:lang w:val="en-US" w:eastAsia="zh-CN"/>
        </w:rPr>
        <w:t>。</w:t>
      </w:r>
    </w:p>
    <w:p w14:paraId="5FB962C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《评分细则》如下：</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14951B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6C8F0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1"/>
                <w:szCs w:val="21"/>
                <w:highlight w:val="none"/>
                <w:lang w:val="en-US" w:eastAsia="zh-CN"/>
              </w:rPr>
            </w:pPr>
            <w:r>
              <w:rPr>
                <w:rFonts w:hint="eastAsia" w:ascii="Times New Roman" w:hAnsi="Times New Roman" w:cs="Times New Roman"/>
                <w:b/>
                <w:bCs/>
                <w:kern w:val="0"/>
                <w:sz w:val="21"/>
                <w:szCs w:val="21"/>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43DD1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1"/>
                <w:szCs w:val="21"/>
                <w:highlight w:val="none"/>
                <w:lang w:val="en-US" w:eastAsia="zh-CN"/>
              </w:rPr>
            </w:pPr>
            <w:r>
              <w:rPr>
                <w:rFonts w:hint="eastAsia" w:ascii="Times New Roman" w:hAnsi="Times New Roman" w:cs="Times New Roman"/>
                <w:b/>
                <w:bCs/>
                <w:kern w:val="0"/>
                <w:sz w:val="21"/>
                <w:szCs w:val="21"/>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C21C4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1"/>
                <w:szCs w:val="21"/>
                <w:highlight w:val="none"/>
                <w:lang w:val="en-US" w:eastAsia="zh-CN"/>
              </w:rPr>
            </w:pPr>
            <w:r>
              <w:rPr>
                <w:rFonts w:hint="default" w:ascii="Times New Roman" w:hAnsi="Times New Roman" w:cs="Times New Roman"/>
                <w:b/>
                <w:bCs/>
                <w:kern w:val="0"/>
                <w:sz w:val="21"/>
                <w:szCs w:val="21"/>
                <w:highlight w:val="none"/>
                <w:lang w:val="en-US" w:eastAsia="zh-CN"/>
              </w:rPr>
              <w:t>评分标准</w:t>
            </w:r>
          </w:p>
        </w:tc>
      </w:tr>
      <w:tr w14:paraId="3DDB86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6820" w:type="dxa"/>
          <w:trHeight w:val="312" w:hRule="atLeast"/>
        </w:trPr>
        <w:tc>
          <w:tcPr>
            <w:tcW w:w="1700" w:type="dxa"/>
            <w:vMerge w:val="restart"/>
            <w:tcBorders>
              <w:top w:val="single" w:color="auto" w:sz="4" w:space="0"/>
              <w:right w:val="single" w:color="auto" w:sz="4" w:space="0"/>
            </w:tcBorders>
            <w:noWrap w:val="0"/>
            <w:vAlign w:val="center"/>
          </w:tcPr>
          <w:p w14:paraId="1777C8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permStart w:id="51" w:edGrp="everyone" w:colFirst="0" w:colLast="0"/>
            <w:r>
              <w:rPr>
                <w:rFonts w:hint="eastAsia" w:ascii="Times New Roman" w:hAnsi="Times New Roman" w:cs="Times New Roman"/>
                <w:i w:val="0"/>
                <w:iCs w:val="0"/>
                <w:color w:val="auto"/>
                <w:kern w:val="0"/>
                <w:sz w:val="24"/>
                <w:szCs w:val="24"/>
                <w:highlight w:val="none"/>
                <w:lang w:val="en-US" w:eastAsia="zh-CN"/>
              </w:rPr>
              <w:t>资信业绩评分标准</w:t>
            </w:r>
          </w:p>
          <w:p w14:paraId="639C307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20</w:t>
            </w:r>
            <w:r>
              <w:rPr>
                <w:rFonts w:hint="default" w:ascii="Times New Roman" w:hAnsi="Times New Roman" w:cs="Times New Roman"/>
                <w:i w:val="0"/>
                <w:iCs w:val="0"/>
                <w:color w:val="auto"/>
                <w:kern w:val="0"/>
                <w:sz w:val="24"/>
                <w:szCs w:val="24"/>
                <w:highlight w:val="none"/>
                <w:u w:val="single"/>
                <w:lang w:val="en-US" w:eastAsia="zh-CN"/>
              </w:rPr>
              <w:t>分）</w:t>
            </w:r>
          </w:p>
        </w:tc>
      </w:tr>
      <w:permEnd w:id="51"/>
      <w:tr w14:paraId="08DD72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6CD0A9C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ermStart w:id="52" w:edGrp="everyone" w:colFirst="0" w:colLast="0"/>
            <w:permStart w:id="53" w:edGrp="everyone" w:colFirst="1" w:colLast="1"/>
            <w:permStart w:id="54"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0F3930E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7030A0"/>
                <w:kern w:val="0"/>
                <w:sz w:val="24"/>
                <w:szCs w:val="24"/>
                <w:highlight w:val="none"/>
                <w:lang w:val="en-US" w:eastAsia="zh-CN"/>
              </w:rPr>
            </w:pPr>
            <w:r>
              <w:rPr>
                <w:rFonts w:hint="eastAsia" w:ascii="Times New Roman" w:hAnsi="Times New Roman" w:cs="Times New Roman"/>
                <w:i w:val="0"/>
                <w:iCs w:val="0"/>
                <w:color w:val="7030A0"/>
                <w:kern w:val="0"/>
                <w:sz w:val="24"/>
                <w:szCs w:val="24"/>
                <w:highlight w:val="none"/>
                <w:lang w:val="en-US" w:eastAsia="zh-CN"/>
              </w:rPr>
              <w:t>信誉</w:t>
            </w:r>
          </w:p>
          <w:p w14:paraId="61F9C59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i w:val="0"/>
                <w:iCs w:val="0"/>
                <w:color w:val="7030A0"/>
                <w:kern w:val="0"/>
                <w:sz w:val="21"/>
                <w:szCs w:val="21"/>
                <w:highlight w:val="none"/>
                <w:lang w:val="en-US" w:eastAsia="zh-CN"/>
              </w:rPr>
            </w:pPr>
            <w:r>
              <w:rPr>
                <w:rFonts w:hint="default" w:ascii="Times New Roman" w:hAnsi="Times New Roman" w:cs="Times New Roman"/>
                <w:i w:val="0"/>
                <w:iCs w:val="0"/>
                <w:color w:val="7030A0"/>
                <w:kern w:val="0"/>
                <w:sz w:val="24"/>
                <w:szCs w:val="24"/>
                <w:highlight w:val="none"/>
                <w:u w:val="single"/>
                <w:lang w:val="en-US" w:eastAsia="zh-CN"/>
              </w:rPr>
              <w:t>（</w:t>
            </w:r>
            <w:r>
              <w:rPr>
                <w:rFonts w:hint="eastAsia" w:ascii="Times New Roman" w:hAnsi="Times New Roman" w:cs="Times New Roman"/>
                <w:i w:val="0"/>
                <w:iCs w:val="0"/>
                <w:color w:val="7030A0"/>
                <w:kern w:val="0"/>
                <w:sz w:val="24"/>
                <w:szCs w:val="24"/>
                <w:highlight w:val="none"/>
                <w:u w:val="single"/>
                <w:lang w:val="en-US" w:eastAsia="zh-CN"/>
              </w:rPr>
              <w:t>5</w:t>
            </w:r>
            <w:r>
              <w:rPr>
                <w:rFonts w:hint="default" w:ascii="Times New Roman" w:hAnsi="Times New Roman" w:cs="Times New Roman"/>
                <w:i w:val="0"/>
                <w:iCs w:val="0"/>
                <w:color w:val="7030A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B3CE3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7030A0"/>
                <w:sz w:val="24"/>
              </w:rPr>
            </w:pPr>
            <w:r>
              <w:rPr>
                <w:rFonts w:hint="eastAsia" w:ascii="宋体" w:hAnsi="宋体" w:cs="Times New Roman"/>
                <w:i w:val="0"/>
                <w:iCs w:val="0"/>
                <w:color w:val="7030A0"/>
                <w:sz w:val="24"/>
              </w:rPr>
              <w:t>1、企业具有质量管理体系认证、环境管理体系认证、职业健康安全管理体系认证，且均在有效期内的，每</w:t>
            </w:r>
            <w:r>
              <w:rPr>
                <w:rFonts w:hint="eastAsia" w:ascii="宋体" w:hAnsi="宋体" w:cs="Times New Roman"/>
                <w:i w:val="0"/>
                <w:iCs w:val="0"/>
                <w:color w:val="7030A0"/>
                <w:sz w:val="24"/>
                <w:lang w:val="en-US" w:eastAsia="zh-CN"/>
              </w:rPr>
              <w:t>提供1</w:t>
            </w:r>
            <w:r>
              <w:rPr>
                <w:rFonts w:hint="eastAsia" w:ascii="宋体" w:hAnsi="宋体" w:cs="Times New Roman"/>
                <w:i w:val="0"/>
                <w:iCs w:val="0"/>
                <w:color w:val="7030A0"/>
                <w:sz w:val="24"/>
              </w:rPr>
              <w:t>个得1分， 满分</w:t>
            </w:r>
            <w:r>
              <w:rPr>
                <w:rFonts w:hint="eastAsia" w:ascii="宋体" w:hAnsi="宋体" w:cs="Times New Roman"/>
                <w:i w:val="0"/>
                <w:iCs w:val="0"/>
                <w:color w:val="7030A0"/>
                <w:sz w:val="24"/>
                <w:lang w:val="en-US" w:eastAsia="zh-CN"/>
              </w:rPr>
              <w:t>3</w:t>
            </w:r>
            <w:r>
              <w:rPr>
                <w:rFonts w:hint="eastAsia" w:ascii="宋体" w:hAnsi="宋体" w:cs="Times New Roman"/>
                <w:i w:val="0"/>
                <w:iCs w:val="0"/>
                <w:color w:val="7030A0"/>
                <w:sz w:val="24"/>
              </w:rPr>
              <w:t>分。</w:t>
            </w:r>
          </w:p>
          <w:p w14:paraId="46B77CA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7030A0"/>
                <w:kern w:val="0"/>
                <w:sz w:val="21"/>
                <w:szCs w:val="21"/>
                <w:highlight w:val="none"/>
                <w:lang w:val="en-US" w:eastAsia="zh-CN"/>
              </w:rPr>
            </w:pPr>
            <w:r>
              <w:rPr>
                <w:rFonts w:hint="eastAsia" w:ascii="宋体" w:hAnsi="宋体" w:cs="Times New Roman"/>
                <w:i w:val="0"/>
                <w:iCs w:val="0"/>
                <w:color w:val="7030A0"/>
                <w:sz w:val="24"/>
              </w:rPr>
              <w:t>2、</w:t>
            </w:r>
            <w:r>
              <w:rPr>
                <w:rFonts w:hint="eastAsia" w:ascii="宋体" w:hAnsi="宋体" w:cs="Times New Roman"/>
                <w:i w:val="0"/>
                <w:iCs w:val="0"/>
                <w:color w:val="7030A0"/>
                <w:sz w:val="24"/>
                <w:lang w:val="en-US" w:eastAsia="zh-CN"/>
              </w:rPr>
              <w:t>供应商</w:t>
            </w:r>
            <w:r>
              <w:rPr>
                <w:rFonts w:hint="eastAsia" w:ascii="宋体" w:hAnsi="宋体" w:cs="Times New Roman"/>
                <w:i w:val="0"/>
                <w:iCs w:val="0"/>
                <w:color w:val="7030A0"/>
                <w:sz w:val="24"/>
              </w:rPr>
              <w:t>自202</w:t>
            </w:r>
            <w:r>
              <w:rPr>
                <w:rFonts w:hint="eastAsia" w:ascii="宋体" w:hAnsi="宋体" w:cs="Times New Roman"/>
                <w:i w:val="0"/>
                <w:iCs w:val="0"/>
                <w:color w:val="7030A0"/>
                <w:sz w:val="24"/>
                <w:lang w:val="en-US" w:eastAsia="zh-CN"/>
              </w:rPr>
              <w:t>1</w:t>
            </w:r>
            <w:r>
              <w:rPr>
                <w:rFonts w:hint="eastAsia" w:ascii="宋体" w:hAnsi="宋体" w:cs="Times New Roman"/>
                <w:i w:val="0"/>
                <w:iCs w:val="0"/>
                <w:color w:val="7030A0"/>
                <w:sz w:val="24"/>
              </w:rPr>
              <w:t>年1月1日以来（以获奖时间为准），获得省级及以上行业主管部门</w:t>
            </w:r>
            <w:r>
              <w:rPr>
                <w:rFonts w:hint="eastAsia" w:ascii="宋体" w:hAnsi="宋体" w:cs="Times New Roman"/>
                <w:i w:val="0"/>
                <w:iCs w:val="0"/>
                <w:color w:val="7030A0"/>
                <w:sz w:val="24"/>
                <w:lang w:eastAsia="zh-CN"/>
              </w:rPr>
              <w:t>（</w:t>
            </w:r>
            <w:r>
              <w:rPr>
                <w:rFonts w:hint="eastAsia" w:ascii="宋体" w:hAnsi="宋体" w:cs="Times New Roman"/>
                <w:i w:val="0"/>
                <w:iCs w:val="0"/>
                <w:color w:val="7030A0"/>
                <w:sz w:val="24"/>
              </w:rPr>
              <w:t>含政府</w:t>
            </w:r>
            <w:r>
              <w:rPr>
                <w:rFonts w:hint="eastAsia" w:ascii="宋体" w:hAnsi="宋体" w:cs="Times New Roman"/>
                <w:i w:val="0"/>
                <w:iCs w:val="0"/>
                <w:color w:val="7030A0"/>
                <w:sz w:val="24"/>
                <w:lang w:eastAsia="zh-CN"/>
              </w:rPr>
              <w:t>）</w:t>
            </w:r>
            <w:r>
              <w:rPr>
                <w:rFonts w:hint="eastAsia" w:ascii="宋体" w:hAnsi="宋体" w:cs="Times New Roman"/>
                <w:i w:val="0"/>
                <w:iCs w:val="0"/>
                <w:color w:val="7030A0"/>
                <w:sz w:val="24"/>
              </w:rPr>
              <w:t>或行业协会颁发的</w:t>
            </w:r>
            <w:r>
              <w:rPr>
                <w:rFonts w:hint="eastAsia" w:ascii="Times New Roman" w:hAnsi="Times New Roman" w:cs="Times New Roman"/>
                <w:i w:val="0"/>
                <w:iCs w:val="0"/>
                <w:color w:val="7030A0"/>
                <w:kern w:val="0"/>
                <w:sz w:val="24"/>
                <w:szCs w:val="24"/>
                <w:highlight w:val="none"/>
                <w:lang w:val="en-US" w:eastAsia="zh-CN"/>
              </w:rPr>
              <w:t>建设工程质量检测类荣誉奖项的</w:t>
            </w:r>
            <w:r>
              <w:rPr>
                <w:rFonts w:hint="eastAsia" w:ascii="宋体" w:hAnsi="宋体" w:cs="Times New Roman"/>
                <w:i w:val="0"/>
                <w:iCs w:val="0"/>
                <w:color w:val="7030A0"/>
                <w:sz w:val="24"/>
                <w:lang w:eastAsia="zh-CN"/>
              </w:rPr>
              <w:t>，</w:t>
            </w:r>
            <w:r>
              <w:rPr>
                <w:rFonts w:hint="eastAsia" w:ascii="宋体" w:hAnsi="宋体" w:cs="Times New Roman"/>
                <w:i w:val="0"/>
                <w:iCs w:val="0"/>
                <w:color w:val="7030A0"/>
                <w:sz w:val="24"/>
              </w:rPr>
              <w:t>每</w:t>
            </w:r>
            <w:r>
              <w:rPr>
                <w:rFonts w:hint="eastAsia" w:ascii="宋体" w:hAnsi="宋体" w:cs="Times New Roman"/>
                <w:i w:val="0"/>
                <w:iCs w:val="0"/>
                <w:color w:val="7030A0"/>
                <w:sz w:val="24"/>
                <w:lang w:val="en-US" w:eastAsia="zh-CN"/>
              </w:rPr>
              <w:t>提供1</w:t>
            </w:r>
            <w:r>
              <w:rPr>
                <w:rFonts w:hint="eastAsia" w:ascii="宋体" w:hAnsi="宋体" w:cs="Times New Roman"/>
                <w:i w:val="0"/>
                <w:iCs w:val="0"/>
                <w:color w:val="7030A0"/>
                <w:sz w:val="24"/>
              </w:rPr>
              <w:t>个得</w:t>
            </w:r>
            <w:r>
              <w:rPr>
                <w:rFonts w:hint="eastAsia" w:ascii="宋体" w:hAnsi="宋体" w:cs="Times New Roman"/>
                <w:i w:val="0"/>
                <w:iCs w:val="0"/>
                <w:color w:val="7030A0"/>
                <w:sz w:val="24"/>
                <w:lang w:val="en-US" w:eastAsia="zh-CN"/>
              </w:rPr>
              <w:t>2</w:t>
            </w:r>
            <w:r>
              <w:rPr>
                <w:rFonts w:hint="eastAsia" w:ascii="宋体" w:hAnsi="宋体" w:cs="Times New Roman"/>
                <w:i w:val="0"/>
                <w:iCs w:val="0"/>
                <w:color w:val="7030A0"/>
                <w:sz w:val="24"/>
              </w:rPr>
              <w:t>分</w:t>
            </w:r>
            <w:r>
              <w:rPr>
                <w:rFonts w:hint="eastAsia" w:ascii="宋体" w:hAnsi="宋体" w:cs="Times New Roman"/>
                <w:i w:val="0"/>
                <w:iCs w:val="0"/>
                <w:color w:val="7030A0"/>
                <w:sz w:val="24"/>
                <w:lang w:eastAsia="zh-CN"/>
              </w:rPr>
              <w:t>；</w:t>
            </w:r>
            <w:r>
              <w:rPr>
                <w:rFonts w:hint="eastAsia" w:ascii="宋体" w:hAnsi="宋体" w:cs="Times New Roman"/>
                <w:i w:val="0"/>
                <w:iCs w:val="0"/>
                <w:color w:val="7030A0"/>
                <w:sz w:val="24"/>
              </w:rPr>
              <w:t>获得地市级行业主管部门</w:t>
            </w:r>
            <w:r>
              <w:rPr>
                <w:rFonts w:hint="eastAsia" w:ascii="宋体" w:hAnsi="宋体" w:cs="Times New Roman"/>
                <w:i w:val="0"/>
                <w:iCs w:val="0"/>
                <w:color w:val="7030A0"/>
                <w:sz w:val="24"/>
                <w:lang w:eastAsia="zh-CN"/>
              </w:rPr>
              <w:t>（</w:t>
            </w:r>
            <w:r>
              <w:rPr>
                <w:rFonts w:hint="eastAsia" w:ascii="宋体" w:hAnsi="宋体" w:cs="Times New Roman"/>
                <w:i w:val="0"/>
                <w:iCs w:val="0"/>
                <w:color w:val="7030A0"/>
                <w:sz w:val="24"/>
              </w:rPr>
              <w:t>含政府</w:t>
            </w:r>
            <w:r>
              <w:rPr>
                <w:rFonts w:hint="eastAsia" w:ascii="宋体" w:hAnsi="宋体" w:cs="Times New Roman"/>
                <w:i w:val="0"/>
                <w:iCs w:val="0"/>
                <w:color w:val="7030A0"/>
                <w:sz w:val="24"/>
                <w:lang w:eastAsia="zh-CN"/>
              </w:rPr>
              <w:t>）</w:t>
            </w:r>
            <w:r>
              <w:rPr>
                <w:rFonts w:hint="eastAsia" w:ascii="宋体" w:hAnsi="宋体" w:cs="Times New Roman"/>
                <w:i w:val="0"/>
                <w:iCs w:val="0"/>
                <w:color w:val="7030A0"/>
                <w:sz w:val="24"/>
              </w:rPr>
              <w:t>或行业协会颁发的</w:t>
            </w:r>
            <w:r>
              <w:rPr>
                <w:rFonts w:hint="eastAsia" w:ascii="Times New Roman" w:hAnsi="Times New Roman" w:cs="Times New Roman"/>
                <w:i w:val="0"/>
                <w:iCs w:val="0"/>
                <w:color w:val="7030A0"/>
                <w:kern w:val="0"/>
                <w:sz w:val="24"/>
                <w:szCs w:val="24"/>
                <w:highlight w:val="none"/>
                <w:lang w:val="en-US" w:eastAsia="zh-CN"/>
              </w:rPr>
              <w:t>建设工程质量检测类荣誉奖项的</w:t>
            </w:r>
            <w:r>
              <w:rPr>
                <w:rFonts w:hint="eastAsia" w:ascii="宋体" w:hAnsi="宋体" w:cs="Times New Roman"/>
                <w:i w:val="0"/>
                <w:iCs w:val="0"/>
                <w:color w:val="7030A0"/>
                <w:sz w:val="24"/>
              </w:rPr>
              <w:t>，每</w:t>
            </w:r>
            <w:r>
              <w:rPr>
                <w:rFonts w:hint="eastAsia" w:ascii="宋体" w:hAnsi="宋体" w:cs="Times New Roman"/>
                <w:i w:val="0"/>
                <w:iCs w:val="0"/>
                <w:color w:val="7030A0"/>
                <w:sz w:val="24"/>
                <w:lang w:val="en-US" w:eastAsia="zh-CN"/>
              </w:rPr>
              <w:t>提供1</w:t>
            </w:r>
            <w:r>
              <w:rPr>
                <w:rFonts w:hint="eastAsia" w:ascii="宋体" w:hAnsi="宋体" w:cs="Times New Roman"/>
                <w:i w:val="0"/>
                <w:iCs w:val="0"/>
                <w:color w:val="7030A0"/>
                <w:sz w:val="24"/>
              </w:rPr>
              <w:t>个得</w:t>
            </w:r>
            <w:r>
              <w:rPr>
                <w:rFonts w:hint="eastAsia" w:ascii="宋体" w:hAnsi="宋体" w:cs="Times New Roman"/>
                <w:i w:val="0"/>
                <w:iCs w:val="0"/>
                <w:color w:val="7030A0"/>
                <w:sz w:val="24"/>
                <w:lang w:val="en-US" w:eastAsia="zh-CN"/>
              </w:rPr>
              <w:t>1</w:t>
            </w:r>
            <w:r>
              <w:rPr>
                <w:rFonts w:hint="eastAsia" w:ascii="宋体" w:hAnsi="宋体" w:cs="Times New Roman"/>
                <w:i w:val="0"/>
                <w:iCs w:val="0"/>
                <w:color w:val="7030A0"/>
                <w:sz w:val="24"/>
              </w:rPr>
              <w:t>分。</w:t>
            </w:r>
            <w:r>
              <w:rPr>
                <w:rFonts w:hint="eastAsia" w:ascii="宋体" w:hAnsi="宋体" w:cs="Times New Roman"/>
                <w:i w:val="0"/>
                <w:iCs w:val="0"/>
                <w:color w:val="7030A0"/>
                <w:sz w:val="24"/>
                <w:lang w:val="en-US" w:eastAsia="zh-CN"/>
              </w:rPr>
              <w:t>本项</w:t>
            </w:r>
            <w:r>
              <w:rPr>
                <w:rFonts w:hint="eastAsia" w:ascii="宋体" w:hAnsi="宋体" w:cs="Times New Roman"/>
                <w:i w:val="0"/>
                <w:iCs w:val="0"/>
                <w:color w:val="7030A0"/>
                <w:sz w:val="24"/>
              </w:rPr>
              <w:t>满分得</w:t>
            </w:r>
            <w:r>
              <w:rPr>
                <w:rFonts w:hint="eastAsia" w:ascii="宋体" w:hAnsi="宋体" w:cs="Times New Roman"/>
                <w:i w:val="0"/>
                <w:iCs w:val="0"/>
                <w:color w:val="7030A0"/>
                <w:sz w:val="24"/>
                <w:lang w:val="en-US" w:eastAsia="zh-CN"/>
              </w:rPr>
              <w:t>2</w:t>
            </w:r>
            <w:r>
              <w:rPr>
                <w:rFonts w:hint="eastAsia" w:ascii="宋体" w:hAnsi="宋体" w:cs="Times New Roman"/>
                <w:i w:val="0"/>
                <w:iCs w:val="0"/>
                <w:color w:val="7030A0"/>
                <w:sz w:val="24"/>
              </w:rPr>
              <w:t>分</w:t>
            </w:r>
            <w:r>
              <w:rPr>
                <w:rFonts w:hint="eastAsia" w:ascii="宋体" w:hAnsi="宋体" w:cs="Times New Roman"/>
                <w:i w:val="0"/>
                <w:iCs w:val="0"/>
                <w:color w:val="7030A0"/>
                <w:sz w:val="24"/>
                <w:lang w:eastAsia="zh-CN"/>
              </w:rPr>
              <w:t>，</w:t>
            </w:r>
            <w:r>
              <w:rPr>
                <w:rFonts w:hint="eastAsia" w:ascii="宋体" w:hAnsi="宋体" w:cs="Times New Roman"/>
                <w:i w:val="0"/>
                <w:iCs w:val="0"/>
                <w:color w:val="7030A0"/>
                <w:sz w:val="24"/>
                <w:lang w:val="en-US" w:eastAsia="zh-CN"/>
              </w:rPr>
              <w:t>多分不计。</w:t>
            </w:r>
          </w:p>
        </w:tc>
      </w:tr>
      <w:permEnd w:id="52"/>
      <w:permEnd w:id="53"/>
      <w:permEnd w:id="54"/>
      <w:tr w14:paraId="58D091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15C4194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ermStart w:id="55" w:edGrp="everyone" w:colFirst="0" w:colLast="0"/>
            <w:permStart w:id="56" w:edGrp="everyone" w:colFirst="1" w:colLast="1"/>
            <w:permStart w:id="57"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7279A74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7030A0"/>
                <w:kern w:val="0"/>
                <w:sz w:val="24"/>
                <w:szCs w:val="24"/>
                <w:highlight w:val="none"/>
                <w:lang w:val="en-US" w:eastAsia="zh-CN"/>
              </w:rPr>
            </w:pPr>
            <w:r>
              <w:rPr>
                <w:rFonts w:hint="eastAsia" w:ascii="Times New Roman" w:hAnsi="Times New Roman" w:cs="Times New Roman"/>
                <w:i w:val="0"/>
                <w:iCs w:val="0"/>
                <w:color w:val="7030A0"/>
                <w:kern w:val="0"/>
                <w:sz w:val="24"/>
                <w:szCs w:val="24"/>
                <w:highlight w:val="none"/>
                <w:lang w:val="en-US" w:eastAsia="zh-CN"/>
              </w:rPr>
              <w:t>企业类似</w:t>
            </w:r>
          </w:p>
          <w:p w14:paraId="381A8B9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7030A0"/>
                <w:kern w:val="0"/>
                <w:sz w:val="24"/>
                <w:szCs w:val="24"/>
                <w:highlight w:val="none"/>
                <w:lang w:val="en-US" w:eastAsia="zh-CN"/>
              </w:rPr>
            </w:pPr>
            <w:r>
              <w:rPr>
                <w:rFonts w:hint="eastAsia" w:ascii="Times New Roman" w:hAnsi="Times New Roman" w:cs="Times New Roman"/>
                <w:i w:val="0"/>
                <w:iCs w:val="0"/>
                <w:color w:val="7030A0"/>
                <w:kern w:val="0"/>
                <w:sz w:val="24"/>
                <w:szCs w:val="24"/>
                <w:highlight w:val="none"/>
                <w:lang w:val="en-US" w:eastAsia="zh-CN"/>
              </w:rPr>
              <w:t>项目业绩</w:t>
            </w:r>
          </w:p>
          <w:p w14:paraId="5F46E561">
            <w:pPr>
              <w:keepNext w:val="0"/>
              <w:keepLines w:val="0"/>
              <w:widowControl/>
              <w:suppressLineNumbers w:val="0"/>
              <w:jc w:val="left"/>
              <w:rPr>
                <w:rFonts w:hint="default" w:ascii="Times New Roman" w:hAnsi="Times New Roman" w:cs="Times New Roman"/>
                <w:i w:val="0"/>
                <w:iCs w:val="0"/>
                <w:color w:val="7030A0"/>
                <w:kern w:val="0"/>
                <w:sz w:val="21"/>
                <w:szCs w:val="21"/>
                <w:highlight w:val="none"/>
                <w:lang w:val="en-US" w:eastAsia="zh-CN"/>
              </w:rPr>
            </w:pPr>
            <w:r>
              <w:rPr>
                <w:rFonts w:hint="default" w:ascii="Times New Roman" w:hAnsi="Times New Roman" w:cs="Times New Roman"/>
                <w:i w:val="0"/>
                <w:iCs w:val="0"/>
                <w:color w:val="7030A0"/>
                <w:kern w:val="0"/>
                <w:sz w:val="24"/>
                <w:szCs w:val="24"/>
                <w:highlight w:val="none"/>
                <w:u w:val="single"/>
                <w:lang w:val="en-US" w:eastAsia="zh-CN"/>
              </w:rPr>
              <w:t>（</w:t>
            </w:r>
            <w:r>
              <w:rPr>
                <w:rFonts w:hint="eastAsia" w:ascii="Times New Roman" w:hAnsi="Times New Roman" w:cs="Times New Roman"/>
                <w:i w:val="0"/>
                <w:iCs w:val="0"/>
                <w:color w:val="7030A0"/>
                <w:kern w:val="0"/>
                <w:sz w:val="24"/>
                <w:szCs w:val="24"/>
                <w:highlight w:val="none"/>
                <w:u w:val="single"/>
                <w:lang w:val="en-US" w:eastAsia="zh-CN"/>
              </w:rPr>
              <w:t>8</w:t>
            </w:r>
            <w:r>
              <w:rPr>
                <w:rFonts w:hint="default" w:ascii="Times New Roman" w:hAnsi="Times New Roman" w:cs="Times New Roman"/>
                <w:i w:val="0"/>
                <w:iCs w:val="0"/>
                <w:color w:val="7030A0"/>
                <w:kern w:val="0"/>
                <w:sz w:val="24"/>
                <w:szCs w:val="24"/>
                <w:highlight w:val="none"/>
                <w:u w:val="single"/>
                <w:lang w:val="en-US" w:eastAsia="zh-CN"/>
              </w:rPr>
              <w:t>分）</w:t>
            </w:r>
            <w:r>
              <w:rPr>
                <w:rFonts w:hint="eastAsia" w:ascii="宋体" w:hAnsi="宋体" w:eastAsia="宋体" w:cs="宋体"/>
                <w:i w:val="0"/>
                <w:iCs w:val="0"/>
                <w:color w:val="7030A0"/>
                <w:kern w:val="0"/>
                <w:sz w:val="21"/>
                <w:szCs w:val="21"/>
                <w:lang w:val="en-US" w:eastAsia="zh-CN" w:bidi="ar"/>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2B750B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7030A0"/>
                <w:sz w:val="24"/>
              </w:rPr>
            </w:pPr>
            <w:r>
              <w:rPr>
                <w:rFonts w:hint="eastAsia" w:ascii="宋体" w:hAnsi="宋体" w:cs="Times New Roman"/>
                <w:i w:val="0"/>
                <w:iCs w:val="0"/>
                <w:color w:val="7030A0"/>
                <w:sz w:val="24"/>
                <w:lang w:val="en-US" w:eastAsia="zh-CN"/>
              </w:rPr>
              <w:t>除询比公告要求的资格业绩以外，供应商每额外提供一项</w:t>
            </w:r>
            <w:r>
              <w:rPr>
                <w:rFonts w:hint="eastAsia" w:ascii="宋体" w:hAnsi="宋体" w:cs="Times New Roman"/>
                <w:i w:val="0"/>
                <w:iCs w:val="0"/>
                <w:color w:val="7030A0"/>
                <w:sz w:val="24"/>
              </w:rPr>
              <w:t>20</w:t>
            </w:r>
            <w:r>
              <w:rPr>
                <w:rFonts w:hint="eastAsia" w:ascii="宋体" w:hAnsi="宋体" w:cs="Times New Roman"/>
                <w:i w:val="0"/>
                <w:iCs w:val="0"/>
                <w:color w:val="7030A0"/>
                <w:sz w:val="24"/>
                <w:lang w:val="en-US" w:eastAsia="zh-CN"/>
              </w:rPr>
              <w:t>21</w:t>
            </w:r>
            <w:r>
              <w:rPr>
                <w:rFonts w:hint="eastAsia" w:ascii="宋体" w:hAnsi="宋体" w:cs="Times New Roman"/>
                <w:i w:val="0"/>
                <w:iCs w:val="0"/>
                <w:color w:val="7030A0"/>
                <w:sz w:val="24"/>
              </w:rPr>
              <w:t>年1月1日以来</w:t>
            </w:r>
            <w:r>
              <w:rPr>
                <w:rFonts w:hint="eastAsia" w:ascii="宋体" w:hAnsi="宋体" w:cs="Times New Roman"/>
                <w:i w:val="0"/>
                <w:iCs w:val="0"/>
                <w:color w:val="7030A0"/>
                <w:sz w:val="24"/>
                <w:lang w:val="en-US" w:eastAsia="zh-CN"/>
              </w:rPr>
              <w:t>的企业</w:t>
            </w:r>
            <w:r>
              <w:rPr>
                <w:rFonts w:hint="eastAsia" w:ascii="宋体" w:hAnsi="宋体" w:cs="Times New Roman"/>
                <w:i w:val="0"/>
                <w:iCs w:val="0"/>
                <w:color w:val="7030A0"/>
                <w:sz w:val="24"/>
              </w:rPr>
              <w:t>类似项目业绩得</w:t>
            </w:r>
            <w:r>
              <w:rPr>
                <w:rFonts w:hint="eastAsia" w:ascii="宋体" w:hAnsi="宋体" w:cs="Times New Roman"/>
                <w:i w:val="0"/>
                <w:iCs w:val="0"/>
                <w:color w:val="7030A0"/>
                <w:sz w:val="24"/>
                <w:lang w:val="en-US" w:eastAsia="zh-CN"/>
              </w:rPr>
              <w:t>4</w:t>
            </w:r>
            <w:r>
              <w:rPr>
                <w:rFonts w:hint="eastAsia" w:ascii="宋体" w:hAnsi="宋体" w:cs="Times New Roman"/>
                <w:i w:val="0"/>
                <w:iCs w:val="0"/>
                <w:color w:val="7030A0"/>
                <w:sz w:val="24"/>
              </w:rPr>
              <w:t>分，满分</w:t>
            </w:r>
            <w:r>
              <w:rPr>
                <w:rFonts w:hint="eastAsia" w:ascii="宋体" w:hAnsi="宋体" w:cs="Times New Roman"/>
                <w:i w:val="0"/>
                <w:iCs w:val="0"/>
                <w:color w:val="7030A0"/>
                <w:sz w:val="24"/>
                <w:lang w:val="en-US" w:eastAsia="zh-CN"/>
              </w:rPr>
              <w:t>8</w:t>
            </w:r>
            <w:r>
              <w:rPr>
                <w:rFonts w:hint="eastAsia" w:ascii="宋体" w:hAnsi="宋体" w:cs="Times New Roman"/>
                <w:i w:val="0"/>
                <w:iCs w:val="0"/>
                <w:color w:val="7030A0"/>
                <w:sz w:val="24"/>
              </w:rPr>
              <w:t>分。</w:t>
            </w:r>
          </w:p>
          <w:p w14:paraId="7598C38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eastAsiaTheme="minorEastAsia"/>
                <w:i w:val="0"/>
                <w:iCs w:val="0"/>
                <w:color w:val="7030A0"/>
                <w:sz w:val="24"/>
                <w:lang w:eastAsia="zh-CN"/>
              </w:rPr>
            </w:pPr>
            <w:r>
              <w:rPr>
                <w:rFonts w:hint="eastAsia" w:ascii="宋体" w:hAnsi="宋体" w:cs="Times New Roman"/>
                <w:i w:val="0"/>
                <w:iCs w:val="0"/>
                <w:color w:val="7030A0"/>
                <w:sz w:val="24"/>
                <w:lang w:val="en-US" w:eastAsia="zh-CN"/>
              </w:rPr>
              <w:t>注：1、企业类似项目业绩要求与询比公告供应商资格业绩要求一致，</w:t>
            </w:r>
            <w:r>
              <w:rPr>
                <w:rFonts w:hint="eastAsia" w:ascii="宋体" w:hAnsi="宋体" w:cs="Times New Roman"/>
                <w:color w:val="7030A0"/>
                <w:sz w:val="24"/>
                <w:szCs w:val="24"/>
                <w:u w:val="none"/>
                <w:lang w:val="en-US" w:eastAsia="zh-CN"/>
              </w:rPr>
              <w:t>如合同没有具体金额，需附合同业主盖章的证明文件</w:t>
            </w:r>
            <w:r>
              <w:rPr>
                <w:rFonts w:hint="eastAsia" w:ascii="宋体" w:hAnsi="宋体" w:cs="Times New Roman"/>
                <w:i w:val="0"/>
                <w:iCs w:val="0"/>
                <w:color w:val="7030A0"/>
                <w:sz w:val="24"/>
                <w:lang w:eastAsia="zh-CN"/>
              </w:rPr>
              <w:t>。</w:t>
            </w:r>
          </w:p>
          <w:p w14:paraId="45FB166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7030A0"/>
                <w:kern w:val="0"/>
                <w:sz w:val="21"/>
                <w:szCs w:val="21"/>
                <w:highlight w:val="none"/>
                <w:u w:val="single"/>
                <w:lang w:val="en-US" w:eastAsia="zh-CN"/>
              </w:rPr>
            </w:pPr>
            <w:r>
              <w:rPr>
                <w:rFonts w:hint="eastAsia" w:ascii="宋体" w:hAnsi="宋体" w:cs="Times New Roman"/>
                <w:i w:val="0"/>
                <w:iCs w:val="0"/>
                <w:color w:val="7030A0"/>
                <w:sz w:val="24"/>
              </w:rPr>
              <w:t>2、</w:t>
            </w:r>
            <w:r>
              <w:rPr>
                <w:rFonts w:hint="default" w:ascii="宋体" w:hAnsi="宋体" w:cs="Times New Roman"/>
                <w:i w:val="0"/>
                <w:iCs w:val="0"/>
                <w:color w:val="7030A0"/>
                <w:sz w:val="24"/>
                <w:lang w:val="en-US" w:eastAsia="zh-CN"/>
              </w:rPr>
              <w:t>提供业绩合同</w:t>
            </w:r>
            <w:r>
              <w:rPr>
                <w:rFonts w:hint="eastAsia" w:ascii="宋体" w:hAnsi="宋体" w:cs="Times New Roman"/>
                <w:i w:val="0"/>
                <w:iCs w:val="0"/>
                <w:color w:val="7030A0"/>
                <w:sz w:val="24"/>
                <w:lang w:val="en-US" w:eastAsia="zh-CN"/>
              </w:rPr>
              <w:t>等相关资料</w:t>
            </w:r>
            <w:r>
              <w:rPr>
                <w:rFonts w:hint="default" w:ascii="宋体" w:hAnsi="宋体" w:cs="Times New Roman"/>
                <w:i w:val="0"/>
                <w:iCs w:val="0"/>
                <w:color w:val="7030A0"/>
                <w:sz w:val="24"/>
                <w:lang w:val="en-US" w:eastAsia="zh-CN"/>
              </w:rPr>
              <w:t>复印件或扫描件装订入</w:t>
            </w:r>
            <w:r>
              <w:rPr>
                <w:rFonts w:hint="eastAsia" w:ascii="宋体" w:hAnsi="宋体" w:cs="Times New Roman"/>
                <w:i w:val="0"/>
                <w:iCs w:val="0"/>
                <w:color w:val="7030A0"/>
                <w:sz w:val="24"/>
                <w:lang w:val="en-US" w:eastAsia="zh-CN"/>
              </w:rPr>
              <w:t>响应</w:t>
            </w:r>
            <w:r>
              <w:rPr>
                <w:rFonts w:hint="default" w:ascii="宋体" w:hAnsi="宋体" w:cs="Times New Roman"/>
                <w:i w:val="0"/>
                <w:iCs w:val="0"/>
                <w:color w:val="7030A0"/>
                <w:sz w:val="24"/>
                <w:lang w:val="en-US" w:eastAsia="zh-CN"/>
              </w:rPr>
              <w:t>文件中</w:t>
            </w:r>
            <w:r>
              <w:rPr>
                <w:rFonts w:hint="eastAsia" w:ascii="宋体" w:hAnsi="宋体" w:cs="Times New Roman"/>
                <w:i w:val="0"/>
                <w:iCs w:val="0"/>
                <w:color w:val="7030A0"/>
                <w:sz w:val="24"/>
              </w:rPr>
              <w:t>。</w:t>
            </w:r>
          </w:p>
        </w:tc>
      </w:tr>
      <w:permEnd w:id="55"/>
      <w:permEnd w:id="56"/>
      <w:permEnd w:id="57"/>
      <w:tr w14:paraId="6D7405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bottom w:val="single" w:color="auto" w:sz="4" w:space="0"/>
              <w:right w:val="single" w:color="auto" w:sz="4" w:space="0"/>
            </w:tcBorders>
            <w:noWrap w:val="0"/>
            <w:vAlign w:val="center"/>
          </w:tcPr>
          <w:p w14:paraId="1F2D331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58" w:edGrp="everyone"/>
          </w:p>
        </w:tc>
        <w:tc>
          <w:tcPr>
            <w:tcW w:w="1984" w:type="dxa"/>
            <w:tcBorders>
              <w:top w:val="single" w:color="auto" w:sz="4" w:space="0"/>
              <w:left w:val="single" w:color="auto" w:sz="4" w:space="0"/>
              <w:bottom w:val="single" w:color="auto" w:sz="4" w:space="0"/>
              <w:right w:val="single" w:color="auto" w:sz="4" w:space="0"/>
            </w:tcBorders>
            <w:noWrap w:val="0"/>
            <w:vAlign w:val="center"/>
          </w:tcPr>
          <w:p w14:paraId="5CE980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7030A0"/>
                <w:kern w:val="0"/>
                <w:sz w:val="24"/>
                <w:szCs w:val="24"/>
                <w:highlight w:val="none"/>
                <w:lang w:val="en-US" w:eastAsia="zh-CN"/>
              </w:rPr>
            </w:pPr>
            <w:r>
              <w:rPr>
                <w:rFonts w:hint="eastAsia" w:ascii="Times New Roman" w:hAnsi="Times New Roman" w:cs="Times New Roman"/>
                <w:color w:val="7030A0"/>
                <w:kern w:val="0"/>
                <w:sz w:val="24"/>
                <w:szCs w:val="24"/>
                <w:highlight w:val="none"/>
                <w:lang w:val="en-US" w:eastAsia="zh-CN"/>
              </w:rPr>
              <w:t>项目负责人</w:t>
            </w:r>
          </w:p>
          <w:p w14:paraId="4D7259F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7030A0"/>
                <w:kern w:val="0"/>
                <w:sz w:val="24"/>
                <w:szCs w:val="24"/>
                <w:highlight w:val="none"/>
                <w:lang w:val="en-US" w:eastAsia="zh-CN"/>
              </w:rPr>
            </w:pPr>
            <w:r>
              <w:rPr>
                <w:rFonts w:hint="eastAsia" w:ascii="Times New Roman" w:hAnsi="Times New Roman" w:cs="Times New Roman"/>
                <w:color w:val="7030A0"/>
                <w:kern w:val="0"/>
                <w:sz w:val="24"/>
                <w:szCs w:val="24"/>
                <w:highlight w:val="none"/>
                <w:lang w:val="en-US" w:eastAsia="zh-CN"/>
              </w:rPr>
              <w:t>资历和业绩</w:t>
            </w:r>
          </w:p>
          <w:p w14:paraId="2DABB9A5">
            <w:pPr>
              <w:keepNext w:val="0"/>
              <w:keepLines w:val="0"/>
              <w:widowControl/>
              <w:suppressLineNumbers w:val="0"/>
              <w:jc w:val="left"/>
              <w:rPr>
                <w:rFonts w:hint="default" w:ascii="Times New Roman" w:hAnsi="Times New Roman" w:cs="Times New Roman"/>
                <w:i/>
                <w:iCs/>
                <w:color w:val="7030A0"/>
                <w:kern w:val="0"/>
                <w:sz w:val="24"/>
                <w:szCs w:val="24"/>
                <w:highlight w:val="none"/>
                <w:u w:val="single"/>
                <w:lang w:val="en-US" w:eastAsia="zh-CN"/>
              </w:rPr>
            </w:pPr>
            <w:r>
              <w:rPr>
                <w:rFonts w:hint="default" w:ascii="Times New Roman" w:hAnsi="Times New Roman" w:cs="Times New Roman"/>
                <w:i/>
                <w:iCs/>
                <w:color w:val="7030A0"/>
                <w:kern w:val="0"/>
                <w:sz w:val="24"/>
                <w:szCs w:val="24"/>
                <w:highlight w:val="none"/>
                <w:u w:val="single"/>
                <w:lang w:val="en-US" w:eastAsia="zh-CN"/>
              </w:rPr>
              <w:t>（</w:t>
            </w:r>
            <w:r>
              <w:rPr>
                <w:rFonts w:hint="eastAsia" w:ascii="Times New Roman" w:hAnsi="Times New Roman" w:cs="Times New Roman"/>
                <w:i/>
                <w:iCs/>
                <w:color w:val="7030A0"/>
                <w:kern w:val="0"/>
                <w:sz w:val="24"/>
                <w:szCs w:val="24"/>
                <w:highlight w:val="none"/>
                <w:u w:val="single"/>
                <w:lang w:val="en-US" w:eastAsia="zh-CN"/>
              </w:rPr>
              <w:t>7</w:t>
            </w:r>
            <w:r>
              <w:rPr>
                <w:rFonts w:hint="default" w:ascii="Times New Roman" w:hAnsi="Times New Roman" w:cs="Times New Roman"/>
                <w:i/>
                <w:iCs/>
                <w:color w:val="7030A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85A7D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7030A0"/>
                <w:sz w:val="24"/>
                <w:lang w:val="en-US" w:eastAsia="zh-CN"/>
              </w:rPr>
            </w:pPr>
            <w:r>
              <w:rPr>
                <w:rFonts w:hint="eastAsia" w:ascii="宋体" w:hAnsi="宋体" w:cs="Times New Roman"/>
                <w:color w:val="7030A0"/>
                <w:sz w:val="24"/>
                <w:lang w:val="en-US" w:eastAsia="zh-CN"/>
              </w:rPr>
              <w:t>1、本项目负责人具有以下证书的，每提供1项得2分，满分4分；</w:t>
            </w:r>
          </w:p>
          <w:p w14:paraId="69E43B0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eastAsiaTheme="minorEastAsia"/>
                <w:color w:val="7030A0"/>
                <w:sz w:val="24"/>
                <w:lang w:eastAsia="zh-CN"/>
              </w:rPr>
            </w:pPr>
            <w:r>
              <w:rPr>
                <w:rFonts w:hint="eastAsia" w:ascii="宋体" w:hAnsi="宋体" w:cs="Times New Roman"/>
                <w:color w:val="7030A0"/>
                <w:sz w:val="24"/>
                <w:lang w:val="en-US" w:eastAsia="zh-CN"/>
              </w:rPr>
              <w:t>（1）</w:t>
            </w:r>
            <w:r>
              <w:rPr>
                <w:rFonts w:hint="eastAsia" w:ascii="宋体" w:hAnsi="宋体" w:cs="Times New Roman"/>
                <w:color w:val="7030A0"/>
                <w:sz w:val="24"/>
              </w:rPr>
              <w:t>市政</w:t>
            </w:r>
            <w:r>
              <w:rPr>
                <w:rFonts w:hint="eastAsia" w:ascii="宋体" w:hAnsi="宋体" w:cs="Times New Roman"/>
                <w:color w:val="7030A0"/>
                <w:sz w:val="24"/>
                <w:lang w:val="en-US" w:eastAsia="zh-CN"/>
              </w:rPr>
              <w:t>工程类</w:t>
            </w:r>
            <w:r>
              <w:rPr>
                <w:rFonts w:hint="eastAsia" w:ascii="宋体" w:hAnsi="宋体" w:cs="Times New Roman"/>
                <w:color w:val="7030A0"/>
                <w:sz w:val="24"/>
              </w:rPr>
              <w:t>高级</w:t>
            </w:r>
            <w:r>
              <w:rPr>
                <w:rFonts w:hint="eastAsia" w:ascii="宋体" w:hAnsi="宋体" w:cs="Times New Roman"/>
                <w:color w:val="7030A0"/>
                <w:sz w:val="24"/>
                <w:lang w:val="en-US" w:eastAsia="zh-CN"/>
              </w:rPr>
              <w:t>及以上</w:t>
            </w:r>
            <w:r>
              <w:rPr>
                <w:rFonts w:hint="eastAsia" w:ascii="宋体" w:hAnsi="宋体" w:cs="Times New Roman"/>
                <w:color w:val="7030A0"/>
                <w:sz w:val="24"/>
              </w:rPr>
              <w:t>工程师职称证书</w:t>
            </w:r>
            <w:r>
              <w:rPr>
                <w:rFonts w:hint="eastAsia" w:ascii="宋体" w:hAnsi="宋体" w:cs="Times New Roman"/>
                <w:color w:val="7030A0"/>
                <w:sz w:val="24"/>
                <w:lang w:eastAsia="zh-CN"/>
              </w:rPr>
              <w:t>；</w:t>
            </w:r>
          </w:p>
          <w:p w14:paraId="671D293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eastAsiaTheme="minorEastAsia"/>
                <w:color w:val="7030A0"/>
                <w:sz w:val="24"/>
                <w:lang w:val="en-US" w:eastAsia="zh-CN"/>
              </w:rPr>
            </w:pPr>
            <w:r>
              <w:rPr>
                <w:rFonts w:hint="eastAsia" w:ascii="宋体" w:hAnsi="宋体" w:cs="Times New Roman"/>
                <w:color w:val="7030A0"/>
                <w:sz w:val="24"/>
                <w:lang w:eastAsia="zh-CN"/>
              </w:rPr>
              <w:t>（</w:t>
            </w:r>
            <w:r>
              <w:rPr>
                <w:rFonts w:hint="eastAsia" w:ascii="宋体" w:hAnsi="宋体" w:cs="Times New Roman"/>
                <w:color w:val="7030A0"/>
                <w:sz w:val="24"/>
                <w:lang w:val="en-US" w:eastAsia="zh-CN"/>
              </w:rPr>
              <w:t>2</w:t>
            </w:r>
            <w:r>
              <w:rPr>
                <w:rFonts w:hint="eastAsia" w:ascii="宋体" w:hAnsi="宋体" w:cs="Times New Roman"/>
                <w:color w:val="7030A0"/>
                <w:sz w:val="24"/>
                <w:lang w:eastAsia="zh-CN"/>
              </w:rPr>
              <w:t>）</w:t>
            </w:r>
            <w:r>
              <w:rPr>
                <w:rFonts w:hint="eastAsia" w:ascii="宋体" w:hAnsi="宋体" w:cs="Times New Roman"/>
                <w:color w:val="7030A0"/>
                <w:sz w:val="24"/>
              </w:rPr>
              <w:t>检测人员岗位证书</w:t>
            </w:r>
            <w:r>
              <w:rPr>
                <w:rFonts w:hint="eastAsia" w:ascii="宋体" w:hAnsi="宋体" w:cs="Times New Roman"/>
                <w:color w:val="7030A0"/>
                <w:sz w:val="24"/>
                <w:lang w:eastAsia="zh-CN"/>
              </w:rPr>
              <w:t>。</w:t>
            </w:r>
          </w:p>
          <w:p w14:paraId="28FD7A1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7030A0"/>
                <w:sz w:val="24"/>
                <w:lang w:val="en-US" w:eastAsia="zh-CN"/>
              </w:rPr>
            </w:pPr>
            <w:r>
              <w:rPr>
                <w:rFonts w:hint="eastAsia" w:ascii="宋体" w:hAnsi="宋体" w:cs="Times New Roman"/>
                <w:color w:val="7030A0"/>
                <w:sz w:val="24"/>
                <w:lang w:val="en-US" w:eastAsia="zh-CN"/>
              </w:rPr>
              <w:t>2、项目负责人每提供1项以项目负责人身份完成的</w:t>
            </w:r>
            <w:r>
              <w:rPr>
                <w:rFonts w:hint="eastAsia" w:ascii="宋体" w:hAnsi="宋体" w:cs="Times New Roman"/>
                <w:color w:val="7030A0"/>
                <w:sz w:val="24"/>
                <w:szCs w:val="24"/>
                <w:u w:val="none"/>
                <w:lang w:val="en-US" w:eastAsia="zh-CN"/>
              </w:rPr>
              <w:t>单项合同金额不少于20万元及以上的市政道路工程第三方检测或交竣工检测业绩（如合同没有具体金额，需附合同建设方盖章的证明文件）</w:t>
            </w:r>
            <w:r>
              <w:rPr>
                <w:rFonts w:hint="eastAsia" w:ascii="宋体" w:hAnsi="宋体" w:cs="Times New Roman"/>
                <w:color w:val="7030A0"/>
                <w:sz w:val="24"/>
                <w:lang w:val="en-US" w:eastAsia="zh-CN"/>
              </w:rPr>
              <w:t>得3分，满分3分。</w:t>
            </w:r>
          </w:p>
          <w:p w14:paraId="5C0BC44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7030A0"/>
                <w:sz w:val="24"/>
              </w:rPr>
            </w:pPr>
            <w:r>
              <w:rPr>
                <w:rFonts w:hint="eastAsia" w:ascii="宋体" w:hAnsi="宋体" w:cs="Times New Roman"/>
                <w:color w:val="7030A0"/>
                <w:sz w:val="24"/>
                <w:lang w:val="en-US" w:eastAsia="zh-CN"/>
              </w:rPr>
              <w:t>注：须提供相关证书复印件及2025年6月至今供应商为其连续缴纳的任意3个月社保证明（社保管理单位出具），合同需体现项目负责人身份信息，如无，需业主单位出具证明并加盖公章。</w:t>
            </w:r>
          </w:p>
        </w:tc>
      </w:tr>
      <w:permEnd w:id="58"/>
      <w:tr w14:paraId="3EABEB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1700" w:type="dxa"/>
            <w:vMerge w:val="restart"/>
            <w:tcBorders>
              <w:top w:val="single" w:color="auto" w:sz="4" w:space="0"/>
              <w:right w:val="single" w:color="auto" w:sz="4" w:space="0"/>
            </w:tcBorders>
            <w:noWrap w:val="0"/>
            <w:vAlign w:val="center"/>
          </w:tcPr>
          <w:p w14:paraId="013B12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permStart w:id="59" w:edGrp="everyone" w:colFirst="1" w:colLast="1"/>
            <w:permStart w:id="60" w:edGrp="everyone" w:colFirst="2" w:colLast="2"/>
            <w:r>
              <w:rPr>
                <w:rFonts w:hint="eastAsia" w:ascii="Times New Roman" w:hAnsi="Times New Roman" w:cs="Times New Roman"/>
                <w:i w:val="0"/>
                <w:iCs w:val="0"/>
                <w:color w:val="auto"/>
                <w:kern w:val="0"/>
                <w:sz w:val="24"/>
                <w:szCs w:val="24"/>
                <w:highlight w:val="none"/>
                <w:lang w:val="en-US" w:eastAsia="zh-CN"/>
              </w:rPr>
              <w:t>服务方案评分标准</w:t>
            </w:r>
          </w:p>
          <w:p w14:paraId="404516B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i w:val="0"/>
                <w:iCs w:val="0"/>
                <w:kern w:val="0"/>
                <w:sz w:val="21"/>
                <w:szCs w:val="21"/>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i w:val="0"/>
                <w:iCs w:val="0"/>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4A87D3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cs="Times New Roman"/>
                <w:i w:val="0"/>
                <w:iCs w:val="0"/>
                <w:color w:val="auto"/>
                <w:sz w:val="24"/>
              </w:rPr>
            </w:pPr>
            <w:r>
              <w:rPr>
                <w:rFonts w:hint="eastAsia" w:ascii="宋体" w:hAnsi="宋体" w:cs="Times New Roman"/>
                <w:i w:val="0"/>
                <w:iCs w:val="0"/>
                <w:color w:val="auto"/>
                <w:sz w:val="24"/>
              </w:rPr>
              <w:t>进度控制</w:t>
            </w:r>
          </w:p>
          <w:p w14:paraId="55A579A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cs="Times New Roman"/>
                <w:i w:val="0"/>
                <w:iCs w:val="0"/>
                <w:color w:val="auto"/>
                <w:sz w:val="24"/>
              </w:rPr>
            </w:pPr>
            <w:r>
              <w:rPr>
                <w:rFonts w:hint="eastAsia" w:ascii="宋体" w:hAnsi="宋体" w:cs="Times New Roman"/>
                <w:i w:val="0"/>
                <w:iCs w:val="0"/>
                <w:color w:val="auto"/>
                <w:sz w:val="24"/>
              </w:rPr>
              <w:t>措施</w:t>
            </w:r>
          </w:p>
          <w:p w14:paraId="721DA2F6">
            <w:pPr>
              <w:pStyle w:val="29"/>
              <w:spacing w:before="130" w:line="403" w:lineRule="auto"/>
              <w:ind w:right="139"/>
              <w:jc w:val="left"/>
              <w:rPr>
                <w:rFonts w:hint="default" w:ascii="Times New Roman" w:hAnsi="Times New Roman" w:cs="Times New Roman"/>
                <w:i w:val="0"/>
                <w:iCs w:val="0"/>
                <w:kern w:val="0"/>
                <w:sz w:val="21"/>
                <w:szCs w:val="21"/>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7</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96A9F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进度控制措施，综合评定：</w:t>
            </w:r>
          </w:p>
          <w:p w14:paraId="44A7DD0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1）合理可行且符合实际情况的酌情按照5-7分进行评分；</w:t>
            </w:r>
          </w:p>
          <w:p w14:paraId="06CA0AC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2）内容较详细，基本符合实际情况的酌情按照3-5分进行评分；</w:t>
            </w:r>
          </w:p>
          <w:p w14:paraId="5971203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3）内容空洞，不符合实际情况的酌情按照0-3分进行评分；</w:t>
            </w:r>
          </w:p>
          <w:p w14:paraId="74326F8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i w:val="0"/>
                <w:iCs w:val="0"/>
                <w:kern w:val="0"/>
                <w:sz w:val="21"/>
                <w:szCs w:val="21"/>
                <w:highlight w:val="none"/>
                <w:lang w:val="en-US" w:eastAsia="zh-CN"/>
              </w:rPr>
            </w:pPr>
            <w:r>
              <w:rPr>
                <w:rFonts w:hint="eastAsia" w:ascii="宋体" w:hAnsi="宋体" w:cs="Times New Roman"/>
                <w:i w:val="0"/>
                <w:iCs w:val="0"/>
                <w:color w:val="auto"/>
                <w:sz w:val="24"/>
                <w:lang w:val="en-US" w:eastAsia="zh-CN"/>
              </w:rPr>
              <w:t>）4未提供的得0分。</w:t>
            </w:r>
          </w:p>
        </w:tc>
      </w:tr>
      <w:permEnd w:id="59"/>
      <w:permEnd w:id="60"/>
      <w:tr w14:paraId="27C117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1AB347F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ermStart w:id="61" w:edGrp="everyone" w:colFirst="1" w:colLast="1"/>
            <w:permStart w:id="62"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83FE4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质量、保密、安全等保证措施</w:t>
            </w:r>
          </w:p>
          <w:p w14:paraId="7D33F398">
            <w:pPr>
              <w:pStyle w:val="29"/>
              <w:spacing w:before="127" w:line="404" w:lineRule="auto"/>
              <w:ind w:right="159"/>
              <w:jc w:val="left"/>
              <w:rPr>
                <w:rFonts w:hint="default" w:ascii="Times New Roman" w:hAnsi="Times New Roman" w:cs="Times New Roman"/>
                <w:i w:val="0"/>
                <w:iCs w:val="0"/>
                <w:color w:val="FF0000"/>
                <w:kern w:val="0"/>
                <w:sz w:val="21"/>
                <w:szCs w:val="21"/>
                <w:highlight w:val="none"/>
                <w:u w:val="singl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8</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19608A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质量承诺、质量控制、保密、安全等保证措施及违反质量承诺的处罚措施合理具体。综合评定：</w:t>
            </w:r>
          </w:p>
          <w:p w14:paraId="2892231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1）内容详实、表述清晰、奖惩措施合理的酌情按照5-8分进行评分；</w:t>
            </w:r>
          </w:p>
          <w:p w14:paraId="31C50D1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2）内容详实、表述较清晰，奖惩措施较合理，酌情按照3-5分进行评分；</w:t>
            </w:r>
          </w:p>
          <w:p w14:paraId="0B791160">
            <w:pPr>
              <w:keepNext w:val="0"/>
              <w:keepLines w:val="0"/>
              <w:widowControl/>
              <w:suppressLineNumbers w:val="0"/>
              <w:ind w:firstLine="480" w:firstLineChars="200"/>
              <w:jc w:val="left"/>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3）内容不完整、奖惩措施不完全的酌情按照0-3分进行评分；</w:t>
            </w:r>
          </w:p>
          <w:p w14:paraId="76AD1D00">
            <w:pPr>
              <w:keepNext w:val="0"/>
              <w:keepLines w:val="0"/>
              <w:widowControl/>
              <w:suppressLineNumbers w:val="0"/>
              <w:ind w:firstLine="480" w:firstLineChars="200"/>
              <w:jc w:val="left"/>
              <w:rPr>
                <w:rFonts w:hint="eastAsia" w:ascii="Times New Roman" w:hAnsi="Times New Roman" w:cs="Times New Roman"/>
                <w:i w:val="0"/>
                <w:iCs w:val="0"/>
                <w:color w:val="FF0000"/>
                <w:kern w:val="0"/>
                <w:sz w:val="21"/>
                <w:szCs w:val="21"/>
                <w:highlight w:val="none"/>
                <w:u w:val="single"/>
                <w:lang w:val="en-US" w:eastAsia="zh-CN"/>
              </w:rPr>
            </w:pPr>
            <w:r>
              <w:rPr>
                <w:rFonts w:hint="eastAsia" w:ascii="宋体" w:hAnsi="宋体" w:cs="Times New Roman"/>
                <w:i w:val="0"/>
                <w:iCs w:val="0"/>
                <w:color w:val="auto"/>
                <w:sz w:val="24"/>
                <w:lang w:val="en-US" w:eastAsia="zh-CN"/>
              </w:rPr>
              <w:t>4）未提供的得0分。</w:t>
            </w:r>
          </w:p>
        </w:tc>
      </w:tr>
      <w:permEnd w:id="61"/>
      <w:permEnd w:id="62"/>
      <w:tr w14:paraId="67965B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12A91FC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ermStart w:id="63" w:edGrp="everyone" w:colFirst="0" w:colLast="0"/>
            <w:permStart w:id="64" w:edGrp="everyone" w:colFirst="1" w:colLast="1"/>
            <w:permStart w:id="65"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11F3ADE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cs="Times New Roman"/>
                <w:i w:val="0"/>
                <w:iCs w:val="0"/>
                <w:color w:val="auto"/>
                <w:sz w:val="24"/>
              </w:rPr>
            </w:pPr>
            <w:r>
              <w:rPr>
                <w:rFonts w:hint="eastAsia" w:ascii="宋体" w:hAnsi="宋体" w:cs="Times New Roman"/>
                <w:i w:val="0"/>
                <w:iCs w:val="0"/>
                <w:color w:val="auto"/>
                <w:sz w:val="24"/>
              </w:rPr>
              <w:t>应急响应措施</w:t>
            </w:r>
          </w:p>
          <w:p w14:paraId="6D727794">
            <w:pPr>
              <w:pStyle w:val="29"/>
              <w:spacing w:before="130" w:line="403" w:lineRule="auto"/>
              <w:ind w:right="138"/>
              <w:jc w:val="left"/>
              <w:rPr>
                <w:rFonts w:hint="default" w:ascii="Times New Roman" w:hAnsi="Times New Roman" w:cs="Times New Roman"/>
                <w:i w:val="0"/>
                <w:iCs w:val="0"/>
                <w:kern w:val="0"/>
                <w:sz w:val="21"/>
                <w:szCs w:val="21"/>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5</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6C456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投标人提供的应急响应措施评分：</w:t>
            </w:r>
          </w:p>
          <w:p w14:paraId="6C5D868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1）科学、合理、针对性强的酌情按照3-5分进行评分；</w:t>
            </w:r>
          </w:p>
          <w:p w14:paraId="3536EE0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2）相对科学、合理的酌情按照1-3分进行评分；</w:t>
            </w:r>
          </w:p>
          <w:p w14:paraId="11517D87">
            <w:pPr>
              <w:keepNext w:val="0"/>
              <w:keepLines w:val="0"/>
              <w:widowControl/>
              <w:suppressLineNumbers w:val="0"/>
              <w:ind w:firstLine="240" w:firstLineChars="100"/>
              <w:jc w:val="left"/>
              <w:rPr>
                <w:rFonts w:hint="default" w:ascii="Times New Roman" w:hAnsi="Times New Roman" w:cs="Times New Roman"/>
                <w:i w:val="0"/>
                <w:iCs w:val="0"/>
                <w:kern w:val="0"/>
                <w:sz w:val="21"/>
                <w:szCs w:val="21"/>
                <w:highlight w:val="none"/>
                <w:lang w:val="en-US" w:eastAsia="zh-CN"/>
              </w:rPr>
            </w:pPr>
            <w:r>
              <w:rPr>
                <w:rFonts w:hint="eastAsia" w:ascii="宋体" w:hAnsi="宋体" w:cs="Times New Roman"/>
                <w:i w:val="0"/>
                <w:iCs w:val="0"/>
                <w:color w:val="auto"/>
                <w:sz w:val="24"/>
                <w:lang w:val="en-US" w:eastAsia="zh-CN"/>
              </w:rPr>
              <w:t>3）内容不完整，措施不完全或内容差或者不提供的酌情按照0-1分进行评分。</w:t>
            </w:r>
          </w:p>
        </w:tc>
      </w:tr>
      <w:permEnd w:id="63"/>
      <w:permEnd w:id="64"/>
      <w:permEnd w:id="65"/>
      <w:tr w14:paraId="54D216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607DE7B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ermStart w:id="66" w:edGrp="everyone"/>
          </w:p>
        </w:tc>
        <w:tc>
          <w:tcPr>
            <w:tcW w:w="1984" w:type="dxa"/>
            <w:tcBorders>
              <w:top w:val="single" w:color="auto" w:sz="4" w:space="0"/>
              <w:left w:val="single" w:color="auto" w:sz="4" w:space="0"/>
              <w:bottom w:val="single" w:color="auto" w:sz="4" w:space="0"/>
              <w:right w:val="single" w:color="auto" w:sz="4" w:space="0"/>
            </w:tcBorders>
            <w:noWrap w:val="0"/>
            <w:vAlign w:val="center"/>
          </w:tcPr>
          <w:p w14:paraId="23D99F0B">
            <w:pPr>
              <w:spacing w:line="440" w:lineRule="exact"/>
              <w:jc w:val="center"/>
              <w:rPr>
                <w:rFonts w:ascii="宋体" w:hAnsi="宋体" w:cs="Times New Roman"/>
                <w:i w:val="0"/>
                <w:iCs w:val="0"/>
                <w:color w:val="auto"/>
                <w:sz w:val="24"/>
              </w:rPr>
            </w:pPr>
            <w:r>
              <w:rPr>
                <w:rFonts w:hint="eastAsia" w:ascii="宋体" w:hAnsi="宋体" w:cs="Times New Roman"/>
                <w:i w:val="0"/>
                <w:iCs w:val="0"/>
                <w:color w:val="auto"/>
                <w:sz w:val="24"/>
                <w:lang w:val="en-US" w:eastAsia="zh-CN"/>
              </w:rPr>
              <w:t>其他</w:t>
            </w:r>
            <w:r>
              <w:rPr>
                <w:rFonts w:hint="eastAsia" w:ascii="宋体" w:hAnsi="宋体" w:cs="Times New Roman"/>
                <w:i w:val="0"/>
                <w:iCs w:val="0"/>
                <w:color w:val="auto"/>
                <w:sz w:val="24"/>
              </w:rPr>
              <w:t>服务方案</w:t>
            </w:r>
          </w:p>
          <w:p w14:paraId="5440AFC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B398E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供应商自行踏勘现场、并结合询比文件及相关资料自行编制本服务方案，由评审委员会进行综合评审。综合评审内容包括（但不仅限于）：</w:t>
            </w:r>
          </w:p>
          <w:p w14:paraId="05F2B7FA">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①</w:t>
            </w:r>
            <w:r>
              <w:rPr>
                <w:rFonts w:hint="eastAsia" w:ascii="宋体" w:hAnsi="宋体" w:cs="Times New Roman"/>
                <w:i w:val="0"/>
                <w:iCs w:val="0"/>
                <w:color w:val="auto"/>
                <w:sz w:val="24"/>
                <w:lang w:val="en-US" w:eastAsia="zh-CN"/>
              </w:rPr>
              <w:tab/>
            </w:r>
            <w:r>
              <w:rPr>
                <w:rFonts w:hint="eastAsia" w:ascii="宋体" w:hAnsi="宋体" w:cs="Times New Roman"/>
                <w:i w:val="0"/>
                <w:iCs w:val="0"/>
                <w:color w:val="auto"/>
                <w:sz w:val="24"/>
                <w:lang w:val="en-US" w:eastAsia="zh-CN"/>
              </w:rPr>
              <w:t>检测方案：检测总体思路、检测方案内容完整性和编制水平；</w:t>
            </w:r>
          </w:p>
          <w:p w14:paraId="669463F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②拟投入的设备仪器配备：满足本项目检测配备要求；</w:t>
            </w:r>
          </w:p>
          <w:p w14:paraId="64B8D37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③服务工作重、难点分析及建议：对服务工作的重点、难点内容进行分析给出合理化建议；</w:t>
            </w:r>
          </w:p>
          <w:p w14:paraId="74501D81">
            <w:pPr>
              <w:keepNext w:val="0"/>
              <w:keepLines w:val="0"/>
              <w:widowControl/>
              <w:suppressLineNumbers w:val="0"/>
              <w:ind w:firstLine="480" w:firstLineChars="200"/>
              <w:jc w:val="left"/>
              <w:rPr>
                <w:rFonts w:hint="eastAsia" w:ascii="Times New Roman" w:hAnsi="Times New Roman" w:cs="Times New Roman"/>
                <w:i w:val="0"/>
                <w:iCs w:val="0"/>
                <w:color w:val="FF0000"/>
                <w:kern w:val="0"/>
                <w:sz w:val="21"/>
                <w:szCs w:val="21"/>
                <w:highlight w:val="none"/>
                <w:u w:val="single"/>
                <w:lang w:val="en-US" w:eastAsia="zh-CN"/>
              </w:rPr>
            </w:pPr>
            <w:r>
              <w:rPr>
                <w:rFonts w:hint="eastAsia" w:ascii="宋体" w:hAnsi="宋体" w:cs="Times New Roman"/>
                <w:i w:val="0"/>
                <w:iCs w:val="0"/>
                <w:color w:val="auto"/>
                <w:sz w:val="24"/>
                <w:lang w:val="en-US" w:eastAsia="zh-CN"/>
              </w:rPr>
              <w:t>综合上述，评委会根据响应单位针对本项目配备进行综合评定，评价优秀的得7-10分，评价良好的得5-7分，评价一般的得3-5分，差的得0-3分。</w:t>
            </w:r>
          </w:p>
        </w:tc>
      </w:tr>
      <w:permEnd w:id="66"/>
      <w:tr w14:paraId="517897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9B49C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lang w:val="en-US" w:eastAsia="zh-CN"/>
              </w:rPr>
            </w:pPr>
            <w:permStart w:id="67" w:edGrp="everyone" w:colFirst="1" w:colLast="1"/>
            <w:permStart w:id="68" w:edGrp="everyone" w:colFirst="2" w:colLast="2"/>
            <w:r>
              <w:rPr>
                <w:rFonts w:hint="eastAsia" w:ascii="Times New Roman" w:hAnsi="Times New Roman" w:cs="Times New Roman"/>
                <w:i w:val="0"/>
                <w:iCs w:val="0"/>
                <w:color w:val="auto"/>
                <w:kern w:val="0"/>
                <w:sz w:val="24"/>
                <w:szCs w:val="24"/>
                <w:highlight w:val="none"/>
                <w:lang w:val="en-US" w:eastAsia="zh-CN"/>
              </w:rPr>
              <w:t>响应报价评分标准</w:t>
            </w:r>
          </w:p>
          <w:p w14:paraId="65D46E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50</w:t>
            </w:r>
            <w:r>
              <w:rPr>
                <w:rFonts w:hint="default" w:ascii="Times New Roman" w:hAnsi="Times New Roman" w:cs="Times New Roman"/>
                <w:i w:val="0"/>
                <w:iCs w:val="0"/>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86FE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FF0000"/>
                <w:kern w:val="0"/>
                <w:sz w:val="21"/>
                <w:szCs w:val="21"/>
                <w:highlight w:val="none"/>
                <w:u w:val="single"/>
                <w:lang w:val="en-US" w:eastAsia="zh-CN"/>
              </w:rPr>
            </w:pPr>
            <w:r>
              <w:rPr>
                <w:rFonts w:hint="default" w:ascii="Times New Roman" w:hAnsi="Times New Roman" w:cs="Times New Roman"/>
                <w:i w:val="0"/>
                <w:iCs w:val="0"/>
                <w:color w:val="FF0000"/>
                <w:kern w:val="0"/>
                <w:sz w:val="21"/>
                <w:szCs w:val="21"/>
                <w:highlight w:val="none"/>
                <w:u w:val="single"/>
                <w:lang w:val="en-US" w:eastAsia="zh-CN"/>
              </w:rPr>
              <w:t>（</w:t>
            </w:r>
            <w:r>
              <w:rPr>
                <w:rFonts w:hint="eastAsia" w:ascii="Times New Roman" w:hAnsi="Times New Roman" w:cs="Times New Roman"/>
                <w:i w:val="0"/>
                <w:iCs w:val="0"/>
                <w:color w:val="FF0000"/>
                <w:kern w:val="0"/>
                <w:sz w:val="21"/>
                <w:szCs w:val="21"/>
                <w:highlight w:val="none"/>
                <w:u w:val="single"/>
                <w:lang w:val="en-US" w:eastAsia="zh-CN"/>
              </w:rPr>
              <w:t xml:space="preserve"> 响应报价</w:t>
            </w:r>
          </w:p>
          <w:p w14:paraId="1A39FE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u w:val="single"/>
                <w:lang w:val="en-US" w:eastAsia="zh-CN"/>
              </w:rPr>
              <w:t>50</w:t>
            </w:r>
            <w:r>
              <w:rPr>
                <w:rFonts w:hint="default" w:ascii="Times New Roman" w:hAnsi="Times New Roman" w:cs="Times New Roman"/>
                <w:i w:val="0"/>
                <w:iCs w:val="0"/>
                <w:color w:val="FF0000"/>
                <w:kern w:val="0"/>
                <w:sz w:val="21"/>
                <w:szCs w:val="21"/>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12B518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以所有有效供应商报价算术平均值作为基准价，公式如下：</w:t>
            </w:r>
          </w:p>
          <w:p w14:paraId="7F9FC2A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供应商的</w:t>
            </w:r>
            <w:r>
              <w:rPr>
                <w:rFonts w:hint="default" w:ascii="宋体" w:hAnsi="宋体" w:cs="Times New Roman"/>
                <w:i w:val="0"/>
                <w:iCs w:val="0"/>
                <w:color w:val="auto"/>
                <w:sz w:val="24"/>
                <w:lang w:val="en-US" w:eastAsia="zh-CN"/>
              </w:rPr>
              <w:t>报价等于基准价的，得满分</w:t>
            </w:r>
            <w:r>
              <w:rPr>
                <w:rFonts w:hint="eastAsia" w:ascii="宋体" w:hAnsi="宋体" w:cs="Times New Roman"/>
                <w:i w:val="0"/>
                <w:iCs w:val="0"/>
                <w:color w:val="auto"/>
                <w:sz w:val="24"/>
                <w:lang w:val="en-US" w:eastAsia="zh-CN"/>
              </w:rPr>
              <w:t>50</w:t>
            </w:r>
            <w:r>
              <w:rPr>
                <w:rFonts w:hint="default" w:ascii="宋体" w:hAnsi="宋体" w:cs="Times New Roman"/>
                <w:i w:val="0"/>
                <w:iCs w:val="0"/>
                <w:color w:val="auto"/>
                <w:sz w:val="24"/>
                <w:lang w:val="en-US" w:eastAsia="zh-CN"/>
              </w:rPr>
              <w:t>分。</w:t>
            </w:r>
          </w:p>
          <w:p w14:paraId="320A736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供应商的</w:t>
            </w:r>
            <w:r>
              <w:rPr>
                <w:rFonts w:hint="default" w:ascii="宋体" w:hAnsi="宋体" w:cs="Times New Roman"/>
                <w:i w:val="0"/>
                <w:iCs w:val="0"/>
                <w:color w:val="auto"/>
                <w:sz w:val="24"/>
                <w:lang w:val="en-US" w:eastAsia="zh-CN"/>
              </w:rPr>
              <w:t>报价高于基准价的，报价得分计算公式</w:t>
            </w:r>
            <w:r>
              <w:rPr>
                <w:rFonts w:hint="eastAsia" w:ascii="宋体" w:hAnsi="宋体" w:cs="Times New Roman"/>
                <w:i w:val="0"/>
                <w:iCs w:val="0"/>
                <w:color w:val="auto"/>
                <w:sz w:val="24"/>
                <w:lang w:val="en-US" w:eastAsia="zh-CN"/>
              </w:rPr>
              <w:t>：5</w:t>
            </w:r>
            <w:r>
              <w:rPr>
                <w:rFonts w:hint="default" w:ascii="宋体" w:hAnsi="宋体" w:cs="Times New Roman"/>
                <w:i w:val="0"/>
                <w:iCs w:val="0"/>
                <w:color w:val="auto"/>
                <w:sz w:val="24"/>
                <w:lang w:val="en-US" w:eastAsia="zh-CN"/>
              </w:rPr>
              <w:t>0-(投标报价-基准价)/基准价*</w:t>
            </w:r>
            <w:r>
              <w:rPr>
                <w:rFonts w:hint="eastAsia" w:ascii="宋体" w:hAnsi="宋体" w:cs="Times New Roman"/>
                <w:i w:val="0"/>
                <w:iCs w:val="0"/>
                <w:color w:val="auto"/>
                <w:sz w:val="24"/>
                <w:lang w:val="en-US" w:eastAsia="zh-CN"/>
              </w:rPr>
              <w:t>1</w:t>
            </w:r>
            <w:r>
              <w:rPr>
                <w:rFonts w:hint="default" w:ascii="宋体" w:hAnsi="宋体" w:cs="Times New Roman"/>
                <w:i w:val="0"/>
                <w:iCs w:val="0"/>
                <w:color w:val="auto"/>
                <w:sz w:val="24"/>
                <w:lang w:val="en-US" w:eastAsia="zh-CN"/>
              </w:rPr>
              <w:t>*100</w:t>
            </w:r>
            <w:r>
              <w:rPr>
                <w:rFonts w:hint="eastAsia" w:ascii="宋体" w:hAnsi="宋体" w:cs="Times New Roman"/>
                <w:i w:val="0"/>
                <w:iCs w:val="0"/>
                <w:color w:val="auto"/>
                <w:sz w:val="24"/>
                <w:lang w:val="en-US" w:eastAsia="zh-CN"/>
              </w:rPr>
              <w:t>；</w:t>
            </w:r>
          </w:p>
          <w:p w14:paraId="4FC848D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供应商的</w:t>
            </w:r>
            <w:r>
              <w:rPr>
                <w:rFonts w:hint="default" w:ascii="宋体" w:hAnsi="宋体" w:cs="Times New Roman"/>
                <w:i w:val="0"/>
                <w:iCs w:val="0"/>
                <w:color w:val="auto"/>
                <w:sz w:val="24"/>
                <w:lang w:val="en-US" w:eastAsia="zh-CN"/>
              </w:rPr>
              <w:t>报价低于基准价的，报价得分计算公式</w:t>
            </w:r>
            <w:r>
              <w:rPr>
                <w:rFonts w:hint="eastAsia" w:ascii="宋体" w:hAnsi="宋体" w:cs="Times New Roman"/>
                <w:i w:val="0"/>
                <w:iCs w:val="0"/>
                <w:color w:val="auto"/>
                <w:sz w:val="24"/>
                <w:lang w:val="en-US" w:eastAsia="zh-CN"/>
              </w:rPr>
              <w:t>：5</w:t>
            </w:r>
            <w:r>
              <w:rPr>
                <w:rFonts w:hint="default" w:ascii="宋体" w:hAnsi="宋体" w:cs="Times New Roman"/>
                <w:i w:val="0"/>
                <w:iCs w:val="0"/>
                <w:color w:val="auto"/>
                <w:sz w:val="24"/>
                <w:lang w:val="en-US" w:eastAsia="zh-CN"/>
              </w:rPr>
              <w:t>0+(投标报价-基准价)/基准价*</w:t>
            </w:r>
            <w:r>
              <w:rPr>
                <w:rFonts w:hint="eastAsia" w:ascii="宋体" w:hAnsi="宋体" w:cs="Times New Roman"/>
                <w:i w:val="0"/>
                <w:iCs w:val="0"/>
                <w:color w:val="auto"/>
                <w:sz w:val="24"/>
                <w:lang w:val="en-US" w:eastAsia="zh-CN"/>
              </w:rPr>
              <w:t>0.5</w:t>
            </w:r>
            <w:r>
              <w:rPr>
                <w:rFonts w:hint="default" w:ascii="宋体" w:hAnsi="宋体" w:cs="Times New Roman"/>
                <w:i w:val="0"/>
                <w:iCs w:val="0"/>
                <w:color w:val="auto"/>
                <w:sz w:val="24"/>
                <w:lang w:val="en-US" w:eastAsia="zh-CN"/>
              </w:rPr>
              <w:t>*100</w:t>
            </w:r>
            <w:r>
              <w:rPr>
                <w:rFonts w:hint="eastAsia" w:ascii="宋体" w:hAnsi="宋体" w:cs="Times New Roman"/>
                <w:i w:val="0"/>
                <w:iCs w:val="0"/>
                <w:color w:val="auto"/>
                <w:sz w:val="24"/>
                <w:lang w:val="en-US" w:eastAsia="zh-CN"/>
              </w:rPr>
              <w:t>。</w:t>
            </w:r>
          </w:p>
          <w:p w14:paraId="62881A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val="0"/>
                <w:iCs w:val="0"/>
                <w:kern w:val="0"/>
                <w:sz w:val="21"/>
                <w:szCs w:val="21"/>
                <w:highlight w:val="none"/>
                <w:lang w:val="en-US" w:eastAsia="zh-CN"/>
              </w:rPr>
            </w:pPr>
            <w:r>
              <w:rPr>
                <w:rFonts w:hint="default" w:ascii="宋体" w:hAnsi="宋体" w:cs="Times New Roman"/>
                <w:i w:val="0"/>
                <w:iCs w:val="0"/>
                <w:color w:val="auto"/>
                <w:sz w:val="24"/>
                <w:lang w:val="en-US" w:eastAsia="zh-CN"/>
              </w:rPr>
              <w:t>注</w:t>
            </w:r>
            <w:r>
              <w:rPr>
                <w:rFonts w:hint="eastAsia" w:ascii="宋体" w:hAnsi="宋体" w:cs="Times New Roman"/>
                <w:i w:val="0"/>
                <w:iCs w:val="0"/>
                <w:color w:val="auto"/>
                <w:sz w:val="24"/>
                <w:lang w:val="en-US" w:eastAsia="zh-CN"/>
              </w:rPr>
              <w:t>：投标报价得分最低扣至20分；</w:t>
            </w:r>
            <w:r>
              <w:rPr>
                <w:rFonts w:hint="default" w:ascii="宋体" w:hAnsi="宋体" w:cs="Times New Roman"/>
                <w:i w:val="0"/>
                <w:iCs w:val="0"/>
                <w:color w:val="auto"/>
                <w:sz w:val="24"/>
                <w:lang w:val="en-US" w:eastAsia="zh-CN"/>
              </w:rPr>
              <w:t>得分</w:t>
            </w:r>
            <w:r>
              <w:rPr>
                <w:rFonts w:hint="eastAsia" w:ascii="宋体" w:hAnsi="宋体" w:cs="Times New Roman"/>
                <w:i w:val="0"/>
                <w:iCs w:val="0"/>
                <w:color w:val="auto"/>
                <w:sz w:val="24"/>
                <w:lang w:val="en-US" w:eastAsia="zh-CN"/>
              </w:rPr>
              <w:t>保留</w:t>
            </w:r>
            <w:r>
              <w:rPr>
                <w:rFonts w:hint="default" w:ascii="宋体" w:hAnsi="宋体" w:cs="Times New Roman"/>
                <w:i w:val="0"/>
                <w:iCs w:val="0"/>
                <w:color w:val="auto"/>
                <w:sz w:val="24"/>
                <w:lang w:val="en-US" w:eastAsia="zh-CN"/>
              </w:rPr>
              <w:t>小数点后两位，第三位四舍五入。</w:t>
            </w:r>
          </w:p>
        </w:tc>
      </w:tr>
      <w:permEnd w:id="67"/>
      <w:permEnd w:id="68"/>
      <w:tr w14:paraId="053977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3"/>
            <w:tcBorders>
              <w:top w:val="single" w:color="auto" w:sz="4" w:space="0"/>
              <w:bottom w:val="single" w:color="auto" w:sz="4" w:space="0"/>
              <w:right w:val="single" w:color="auto" w:sz="4" w:space="0"/>
            </w:tcBorders>
            <w:noWrap w:val="0"/>
            <w:vAlign w:val="center"/>
          </w:tcPr>
          <w:p w14:paraId="68EA53A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eastAsiaTheme="minorEastAsia"/>
                <w:i w:val="0"/>
                <w:iCs w:val="0"/>
                <w:kern w:val="0"/>
                <w:sz w:val="21"/>
                <w:szCs w:val="21"/>
                <w:highlight w:val="none"/>
                <w:lang w:val="en-US" w:eastAsia="zh-CN"/>
              </w:rPr>
            </w:pPr>
            <w:permStart w:id="69" w:edGrp="everyone" w:colFirst="0" w:colLast="0"/>
            <w:r>
              <w:rPr>
                <w:rFonts w:hint="default" w:ascii="Times New Roman" w:hAnsi="Times New Roman" w:cs="Times New Roman"/>
                <w:i w:val="0"/>
                <w:iCs w:val="0"/>
                <w:kern w:val="0"/>
                <w:sz w:val="21"/>
                <w:szCs w:val="21"/>
                <w:highlight w:val="none"/>
                <w:lang w:val="en-US" w:eastAsia="zh-CN"/>
              </w:rPr>
              <w:t>注：</w:t>
            </w:r>
            <w:r>
              <w:rPr>
                <w:rFonts w:hint="eastAsia"/>
              </w:rPr>
              <w:t>评分区间一律按左闭右开计算，评分保留2位小数</w:t>
            </w:r>
            <w:r>
              <w:rPr>
                <w:rFonts w:hint="eastAsia"/>
                <w:lang w:eastAsia="zh-CN"/>
              </w:rPr>
              <w:t>。</w:t>
            </w:r>
          </w:p>
        </w:tc>
      </w:tr>
      <w:permEnd w:id="69"/>
    </w:tbl>
    <w:p w14:paraId="10C1BAD7">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综合评估法）</w:t>
      </w:r>
    </w:p>
    <w:p w14:paraId="5527CD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eastAsia="zh-CN"/>
        </w:rPr>
        <w:t>本次</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kern w:val="0"/>
          <w:sz w:val="24"/>
          <w:szCs w:val="24"/>
          <w:highlight w:val="none"/>
          <w:lang w:eastAsia="zh-CN"/>
        </w:rPr>
        <w:t>采用综合评估法。</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p>
    <w:p w14:paraId="19A3461E">
      <w:pPr>
        <w:rPr>
          <w:rFonts w:hint="default" w:ascii="Times New Roman" w:hAnsi="Times New Roman" w:cs="Times New Roman" w:eastAsiaTheme="minorEastAsia"/>
          <w:b/>
          <w:bCs/>
          <w:kern w:val="0"/>
          <w:sz w:val="28"/>
          <w:szCs w:val="28"/>
          <w:highlight w:val="none"/>
        </w:rPr>
      </w:pPr>
      <w:bookmarkStart w:id="249" w:name="_Toc152042370"/>
      <w:bookmarkStart w:id="250" w:name="_Toc296602481"/>
      <w:bookmarkStart w:id="251" w:name="_Toc246996979"/>
      <w:bookmarkStart w:id="252" w:name="_Toc152045593"/>
      <w:bookmarkStart w:id="253" w:name="_Toc179632611"/>
      <w:bookmarkStart w:id="254" w:name="_Toc247085751"/>
      <w:bookmarkStart w:id="255" w:name="_Toc246996236"/>
      <w:bookmarkStart w:id="256" w:name="_Toc144974560"/>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9"/>
      <w:bookmarkEnd w:id="250"/>
      <w:bookmarkEnd w:id="251"/>
      <w:bookmarkEnd w:id="252"/>
      <w:bookmarkEnd w:id="253"/>
      <w:bookmarkEnd w:id="254"/>
      <w:bookmarkEnd w:id="255"/>
      <w:bookmarkEnd w:id="256"/>
    </w:p>
    <w:p w14:paraId="73A22F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03AE8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5CF10F1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6E61FAA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F10D12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1302776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5890CC4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EF9185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79C92C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1433E4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017334F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44046D4D">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1"/>
      <w:r>
        <w:rPr>
          <w:rFonts w:hint="default" w:ascii="Times New Roman" w:hAnsi="Times New Roman" w:cs="Times New Roman" w:eastAsiaTheme="minorEastAsia"/>
          <w:b/>
          <w:bCs/>
          <w:kern w:val="0"/>
          <w:sz w:val="28"/>
          <w:szCs w:val="28"/>
          <w:highlight w:val="none"/>
          <w:lang w:eastAsia="zh-CN"/>
        </w:rPr>
        <w:t>和补正</w:t>
      </w:r>
      <w:bookmarkEnd w:id="242"/>
      <w:bookmarkEnd w:id="243"/>
      <w:bookmarkEnd w:id="244"/>
      <w:bookmarkEnd w:id="245"/>
      <w:bookmarkEnd w:id="246"/>
      <w:bookmarkEnd w:id="247"/>
      <w:bookmarkEnd w:id="248"/>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5BF6DE8E">
      <w:pPr>
        <w:spacing w:line="720" w:lineRule="auto"/>
        <w:ind w:firstLine="560" w:firstLineChars="200"/>
        <w:rPr>
          <w:rFonts w:ascii="Times New Roman" w:hAnsi="Times New Roman" w:eastAsia="黑体" w:cs="Times New Roman"/>
          <w:sz w:val="28"/>
        </w:rPr>
      </w:pPr>
      <w:r>
        <w:rPr>
          <w:rFonts w:hint="eastAsia" w:ascii="Times New Roman" w:hAnsi="Times New Roman" w:eastAsia="黑体" w:cs="Times New Roman"/>
          <w:sz w:val="28"/>
        </w:rPr>
        <w:t>合同编号：                              工程编号：</w:t>
      </w:r>
    </w:p>
    <w:p w14:paraId="6D8AE041">
      <w:pPr>
        <w:spacing w:line="720" w:lineRule="auto"/>
        <w:jc w:val="center"/>
        <w:rPr>
          <w:rFonts w:ascii="Times New Roman" w:hAnsi="Times New Roman" w:eastAsia="宋体" w:cs="Times New Roman"/>
          <w:sz w:val="28"/>
        </w:rPr>
      </w:pPr>
    </w:p>
    <w:p w14:paraId="1CCE5B74">
      <w:pPr>
        <w:spacing w:line="720" w:lineRule="auto"/>
        <w:jc w:val="center"/>
        <w:rPr>
          <w:rFonts w:ascii="Times New Roman" w:hAnsi="Times New Roman" w:eastAsia="宋体" w:cs="Times New Roman"/>
          <w:sz w:val="28"/>
        </w:rPr>
      </w:pPr>
    </w:p>
    <w:p w14:paraId="269AD553">
      <w:pPr>
        <w:spacing w:line="720" w:lineRule="auto"/>
        <w:jc w:val="center"/>
        <w:rPr>
          <w:rFonts w:ascii="Times New Roman" w:hAnsi="Times New Roman" w:eastAsia="黑体" w:cs="Times New Roman"/>
          <w:bCs/>
          <w:sz w:val="48"/>
          <w:szCs w:val="48"/>
        </w:rPr>
      </w:pPr>
      <w:r>
        <w:rPr>
          <w:rFonts w:hint="eastAsia" w:ascii="Times New Roman" w:hAnsi="Times New Roman" w:eastAsia="黑体" w:cs="Times New Roman"/>
          <w:bCs/>
          <w:sz w:val="48"/>
          <w:szCs w:val="48"/>
        </w:rPr>
        <w:t>工程检测合同</w:t>
      </w:r>
    </w:p>
    <w:p w14:paraId="74226746">
      <w:pPr>
        <w:spacing w:line="720" w:lineRule="auto"/>
        <w:jc w:val="center"/>
        <w:rPr>
          <w:rFonts w:ascii="Times New Roman" w:hAnsi="Times New Roman" w:eastAsia="宋体" w:cs="Times New Roman"/>
          <w:b/>
          <w:sz w:val="84"/>
        </w:rPr>
      </w:pPr>
    </w:p>
    <w:p w14:paraId="3695D08C">
      <w:pPr>
        <w:spacing w:line="720" w:lineRule="auto"/>
        <w:rPr>
          <w:rFonts w:ascii="Times New Roman" w:hAnsi="Times New Roman" w:eastAsia="宋体" w:cs="Times New Roman"/>
          <w:b/>
          <w:sz w:val="84"/>
        </w:rPr>
      </w:pPr>
    </w:p>
    <w:p w14:paraId="0F3D0372">
      <w:pPr>
        <w:spacing w:line="720" w:lineRule="auto"/>
        <w:jc w:val="center"/>
        <w:rPr>
          <w:rFonts w:ascii="Times New Roman" w:hAnsi="Times New Roman" w:eastAsia="宋体" w:cs="Times New Roman"/>
        </w:rPr>
      </w:pPr>
    </w:p>
    <w:p w14:paraId="44F11E39">
      <w:pPr>
        <w:wordWrap w:val="0"/>
        <w:spacing w:line="560" w:lineRule="exact"/>
        <w:ind w:left="2096" w:leftChars="284" w:hanging="1500" w:hangingChars="500"/>
        <w:jc w:val="left"/>
        <w:rPr>
          <w:rFonts w:ascii="仿宋" w:hAnsi="仿宋" w:eastAsia="仿宋" w:cs="仿宋"/>
          <w:color w:val="000000"/>
          <w:sz w:val="30"/>
          <w:szCs w:val="30"/>
          <w:u w:val="single"/>
        </w:rPr>
      </w:pPr>
      <w:r>
        <w:rPr>
          <w:rFonts w:hint="eastAsia" w:ascii="仿宋" w:hAnsi="仿宋" w:eastAsia="仿宋" w:cs="仿宋"/>
          <w:sz w:val="30"/>
          <w:szCs w:val="30"/>
        </w:rPr>
        <w:t>工程名称：</w:t>
      </w:r>
      <w:r>
        <w:rPr>
          <w:rFonts w:hint="eastAsia" w:ascii="仿宋" w:hAnsi="仿宋" w:eastAsia="仿宋" w:cs="仿宋"/>
          <w:color w:val="000000"/>
          <w:sz w:val="30"/>
          <w:szCs w:val="30"/>
          <w:u w:val="single"/>
        </w:rPr>
        <w:t>亳州市城市重点区域交通补短板项目-</w:t>
      </w:r>
      <w:r>
        <w:rPr>
          <w:rFonts w:hint="eastAsia" w:ascii="仿宋" w:hAnsi="仿宋" w:eastAsia="仿宋" w:cs="仿宋"/>
          <w:color w:val="000000"/>
          <w:sz w:val="30"/>
          <w:szCs w:val="30"/>
          <w:u w:val="single"/>
          <w:lang w:val="en-US" w:eastAsia="zh-CN"/>
        </w:rPr>
        <w:t>三曹路（药都大道-薛阁路）、杜仲路（宋汤河桥-华佗大道）</w:t>
      </w:r>
      <w:r>
        <w:rPr>
          <w:rFonts w:hint="eastAsia" w:ascii="仿宋" w:hAnsi="仿宋" w:eastAsia="仿宋" w:cs="仿宋"/>
          <w:color w:val="000000"/>
          <w:sz w:val="30"/>
          <w:szCs w:val="30"/>
          <w:u w:val="single"/>
        </w:rPr>
        <w:t>质量检测项目</w:t>
      </w:r>
    </w:p>
    <w:p w14:paraId="3A5048E5">
      <w:pPr>
        <w:wordWrap w:val="0"/>
        <w:spacing w:line="560" w:lineRule="exact"/>
        <w:jc w:val="left"/>
        <w:rPr>
          <w:rFonts w:ascii="仿宋" w:hAnsi="仿宋" w:eastAsia="仿宋" w:cs="仿宋"/>
          <w:color w:val="FF0000"/>
          <w:sz w:val="30"/>
          <w:szCs w:val="30"/>
          <w:u w:val="single"/>
          <w:lang w:bidi="en-US"/>
        </w:rPr>
      </w:pPr>
    </w:p>
    <w:p w14:paraId="2AE246F0">
      <w:pPr>
        <w:wordWrap w:val="0"/>
        <w:spacing w:line="560" w:lineRule="exact"/>
        <w:ind w:firstLine="600" w:firstLineChars="200"/>
        <w:rPr>
          <w:rFonts w:ascii="仿宋" w:hAnsi="仿宋" w:eastAsia="仿宋" w:cs="仿宋"/>
          <w:sz w:val="30"/>
          <w:szCs w:val="30"/>
          <w:u w:val="single"/>
        </w:rPr>
      </w:pPr>
      <w:r>
        <w:rPr>
          <w:rFonts w:hint="eastAsia" w:ascii="仿宋" w:hAnsi="仿宋" w:eastAsia="仿宋" w:cs="仿宋"/>
          <w:sz w:val="30"/>
          <w:szCs w:val="30"/>
        </w:rPr>
        <w:t>委托单位(甲方)：</w:t>
      </w:r>
      <w:r>
        <w:rPr>
          <w:rFonts w:hint="eastAsia" w:ascii="仿宋" w:hAnsi="仿宋" w:eastAsia="仿宋" w:cs="仿宋"/>
          <w:sz w:val="30"/>
          <w:szCs w:val="30"/>
          <w:u w:val="single"/>
        </w:rPr>
        <w:t>亳州交控产业发展有限公司</w:t>
      </w:r>
    </w:p>
    <w:p w14:paraId="4609CB64">
      <w:pPr>
        <w:wordWrap w:val="0"/>
        <w:spacing w:line="560" w:lineRule="exact"/>
        <w:rPr>
          <w:rFonts w:ascii="仿宋" w:hAnsi="仿宋" w:eastAsia="仿宋" w:cs="仿宋"/>
          <w:sz w:val="30"/>
          <w:szCs w:val="30"/>
        </w:rPr>
      </w:pPr>
    </w:p>
    <w:p w14:paraId="53E4E1C7">
      <w:pPr>
        <w:wordWrap w:val="0"/>
        <w:spacing w:line="560" w:lineRule="exact"/>
        <w:ind w:firstLine="600" w:firstLineChars="200"/>
        <w:rPr>
          <w:rFonts w:hint="default" w:ascii="Times New Roman" w:hAnsi="Times New Roman" w:eastAsia="仿宋" w:cs="Times New Roman"/>
          <w:sz w:val="36"/>
          <w:u w:val="single"/>
          <w:lang w:val="en-US" w:eastAsia="zh-CN"/>
        </w:rPr>
      </w:pPr>
      <w:r>
        <w:rPr>
          <w:rFonts w:hint="eastAsia" w:ascii="仿宋" w:hAnsi="仿宋" w:eastAsia="仿宋" w:cs="仿宋"/>
          <w:sz w:val="30"/>
          <w:szCs w:val="30"/>
        </w:rPr>
        <w:t>检测单位(乙方)：</w:t>
      </w:r>
      <w:r>
        <w:rPr>
          <w:rFonts w:hint="eastAsia" w:ascii="仿宋" w:hAnsi="仿宋" w:eastAsia="仿宋" w:cs="仿宋"/>
          <w:sz w:val="30"/>
          <w:szCs w:val="30"/>
          <w:u w:val="single"/>
          <w:lang w:val="en-US" w:eastAsia="zh-CN"/>
        </w:rPr>
        <w:t xml:space="preserve">                        </w:t>
      </w:r>
    </w:p>
    <w:p w14:paraId="20900A87">
      <w:pPr>
        <w:spacing w:line="560" w:lineRule="exact"/>
        <w:rPr>
          <w:rFonts w:ascii="Times New Roman" w:hAnsi="Times New Roman" w:eastAsia="宋体" w:cs="Times New Roman"/>
          <w:b/>
          <w:sz w:val="28"/>
        </w:rPr>
      </w:pPr>
    </w:p>
    <w:p w14:paraId="653F7A77">
      <w:pPr>
        <w:spacing w:line="560" w:lineRule="exact"/>
        <w:rPr>
          <w:rFonts w:ascii="Times New Roman" w:hAnsi="Times New Roman" w:eastAsia="宋体" w:cs="Times New Roman"/>
          <w:b/>
          <w:sz w:val="28"/>
        </w:rPr>
      </w:pPr>
    </w:p>
    <w:p w14:paraId="4EA42783">
      <w:pPr>
        <w:spacing w:line="560" w:lineRule="exact"/>
        <w:rPr>
          <w:rFonts w:ascii="Times New Roman" w:hAnsi="Times New Roman" w:eastAsia="宋体" w:cs="Times New Roman"/>
          <w:b/>
          <w:sz w:val="28"/>
        </w:rPr>
      </w:pPr>
    </w:p>
    <w:p w14:paraId="662B2674">
      <w:pPr>
        <w:spacing w:line="560" w:lineRule="exact"/>
        <w:rPr>
          <w:rFonts w:ascii="Times New Roman" w:hAnsi="Times New Roman" w:eastAsia="宋体" w:cs="Times New Roman"/>
          <w:b/>
          <w:sz w:val="28"/>
        </w:rPr>
      </w:pPr>
    </w:p>
    <w:p w14:paraId="3F663F22">
      <w:pPr>
        <w:spacing w:beforeLines="50" w:beforeAutospacing="1" w:afterLines="30" w:afterAutospacing="1" w:line="400" w:lineRule="exact"/>
        <w:rPr>
          <w:rFonts w:ascii="宋体" w:hAnsi="宋体"/>
          <w:sz w:val="24"/>
        </w:rPr>
        <w:sectPr>
          <w:headerReference r:id="rId5" w:type="default"/>
          <w:footerReference r:id="rId6" w:type="default"/>
          <w:pgSz w:w="11906" w:h="16838"/>
          <w:pgMar w:top="1440" w:right="1474" w:bottom="1440" w:left="1474" w:header="851" w:footer="992" w:gutter="0"/>
          <w:cols w:space="720" w:num="1"/>
          <w:docGrid w:type="lines" w:linePitch="312" w:charSpace="0"/>
        </w:sectPr>
      </w:pPr>
    </w:p>
    <w:p w14:paraId="71B6C9D2">
      <w:pPr>
        <w:spacing w:line="480" w:lineRule="exact"/>
        <w:rPr>
          <w:rFonts w:ascii="仿宋" w:hAnsi="仿宋" w:eastAsia="仿宋" w:cs="仿宋"/>
          <w:sz w:val="28"/>
          <w:szCs w:val="28"/>
          <w:u w:val="single"/>
        </w:rPr>
      </w:pPr>
      <w:r>
        <w:rPr>
          <w:rFonts w:hint="eastAsia" w:ascii="仿宋" w:hAnsi="仿宋" w:eastAsia="仿宋" w:cs="仿宋"/>
          <w:sz w:val="28"/>
          <w:szCs w:val="28"/>
        </w:rPr>
        <w:t>发包人（甲方）：</w:t>
      </w:r>
      <w:r>
        <w:rPr>
          <w:rFonts w:hint="eastAsia" w:ascii="仿宋" w:hAnsi="仿宋" w:eastAsia="仿宋" w:cs="仿宋"/>
          <w:sz w:val="28"/>
          <w:szCs w:val="28"/>
          <w:u w:val="single"/>
          <w:lang w:bidi="en-US"/>
        </w:rPr>
        <w:t>亳州交控产业发展有限公司</w:t>
      </w:r>
    </w:p>
    <w:p w14:paraId="025FFE73">
      <w:pPr>
        <w:spacing w:line="480" w:lineRule="exact"/>
        <w:rPr>
          <w:rFonts w:hint="default" w:ascii="仿宋" w:hAnsi="仿宋" w:eastAsia="仿宋" w:cs="仿宋"/>
          <w:sz w:val="28"/>
          <w:szCs w:val="28"/>
          <w:u w:val="single"/>
          <w:lang w:val="en-US" w:eastAsia="zh-CN"/>
        </w:rPr>
      </w:pPr>
      <w:r>
        <w:rPr>
          <w:rFonts w:hint="eastAsia" w:ascii="仿宋" w:hAnsi="仿宋" w:eastAsia="仿宋" w:cs="仿宋"/>
          <w:sz w:val="28"/>
          <w:szCs w:val="28"/>
        </w:rPr>
        <w:t>承包人（乙方）：</w:t>
      </w:r>
      <w:r>
        <w:rPr>
          <w:rFonts w:hint="eastAsia" w:ascii="仿宋" w:hAnsi="仿宋" w:eastAsia="仿宋" w:cs="仿宋"/>
          <w:sz w:val="28"/>
          <w:szCs w:val="28"/>
          <w:u w:val="single"/>
          <w:lang w:val="en-US" w:eastAsia="zh-CN"/>
        </w:rPr>
        <w:t xml:space="preserve">                        </w:t>
      </w:r>
    </w:p>
    <w:p w14:paraId="1FE8E203">
      <w:pPr>
        <w:spacing w:line="480" w:lineRule="exact"/>
        <w:ind w:firstLine="560" w:firstLineChars="200"/>
        <w:rPr>
          <w:rFonts w:ascii="仿宋" w:hAnsi="仿宋" w:eastAsia="仿宋" w:cs="仿宋"/>
          <w:sz w:val="28"/>
          <w:szCs w:val="28"/>
          <w:u w:val="single"/>
          <w:lang w:bidi="en-US"/>
        </w:rPr>
      </w:pPr>
      <w:r>
        <w:rPr>
          <w:rFonts w:hint="eastAsia" w:ascii="仿宋" w:hAnsi="仿宋" w:eastAsia="仿宋" w:cs="仿宋"/>
          <w:sz w:val="28"/>
          <w:szCs w:val="28"/>
        </w:rPr>
        <w:t>为进一步明确双方的责任，确保合同的顺利履行，根据《中华人民共和国</w:t>
      </w:r>
      <w:r>
        <w:rPr>
          <w:rFonts w:hint="eastAsia" w:ascii="仿宋" w:hAnsi="仿宋" w:eastAsia="仿宋" w:cs="仿宋"/>
          <w:color w:val="000000"/>
          <w:sz w:val="28"/>
          <w:szCs w:val="28"/>
        </w:rPr>
        <w:t>民法典》、《</w:t>
      </w:r>
      <w:r>
        <w:rPr>
          <w:rFonts w:hint="eastAsia" w:ascii="仿宋" w:hAnsi="仿宋" w:eastAsia="仿宋" w:cs="仿宋"/>
          <w:sz w:val="28"/>
          <w:szCs w:val="28"/>
        </w:rPr>
        <w:t>亳州市城市重点区域交通补短板项目-</w:t>
      </w:r>
      <w:r>
        <w:rPr>
          <w:rFonts w:hint="eastAsia" w:ascii="仿宋" w:hAnsi="仿宋" w:eastAsia="仿宋" w:cs="仿宋"/>
          <w:sz w:val="28"/>
          <w:szCs w:val="28"/>
          <w:lang w:val="en-US" w:eastAsia="zh-CN"/>
        </w:rPr>
        <w:t>三曹路（药都大道-薛阁路）、杜仲路（宋汤河桥-华佗大道）</w:t>
      </w:r>
      <w:r>
        <w:rPr>
          <w:rFonts w:hint="eastAsia" w:ascii="仿宋" w:hAnsi="仿宋" w:eastAsia="仿宋" w:cs="仿宋"/>
          <w:sz w:val="28"/>
          <w:szCs w:val="28"/>
        </w:rPr>
        <w:t>质量检测项目，项目编号：          》规定的招标文件、中标（成交）通知书等相关资料的要求，经甲乙双方充分协商，特订立本协议，以便共同遵守。</w:t>
      </w:r>
    </w:p>
    <w:p w14:paraId="4E2C9D84">
      <w:pPr>
        <w:spacing w:line="500" w:lineRule="exact"/>
        <w:outlineLvl w:val="0"/>
        <w:rPr>
          <w:rFonts w:ascii="仿宋" w:hAnsi="仿宋" w:eastAsia="仿宋" w:cs="仿宋"/>
          <w:b/>
          <w:bCs/>
          <w:sz w:val="28"/>
          <w:szCs w:val="28"/>
        </w:rPr>
      </w:pPr>
      <w:r>
        <w:rPr>
          <w:rFonts w:hint="eastAsia" w:ascii="仿宋" w:hAnsi="仿宋" w:eastAsia="仿宋" w:cs="仿宋"/>
          <w:b/>
          <w:bCs/>
          <w:sz w:val="28"/>
          <w:szCs w:val="28"/>
        </w:rPr>
        <w:t>一、工程概况</w:t>
      </w:r>
    </w:p>
    <w:p w14:paraId="25265CB8">
      <w:pPr>
        <w:spacing w:line="480" w:lineRule="exact"/>
        <w:ind w:firstLine="560" w:firstLineChars="200"/>
        <w:rPr>
          <w:rFonts w:ascii="仿宋" w:hAnsi="仿宋" w:eastAsia="仿宋" w:cs="仿宋"/>
          <w:sz w:val="28"/>
          <w:szCs w:val="28"/>
          <w:lang w:bidi="en-US"/>
        </w:rPr>
      </w:pPr>
      <w:r>
        <w:rPr>
          <w:rFonts w:hint="eastAsia" w:ascii="仿宋" w:hAnsi="仿宋" w:eastAsia="仿宋" w:cs="仿宋"/>
          <w:sz w:val="28"/>
          <w:szCs w:val="28"/>
        </w:rPr>
        <w:t>亳州市城市重点区域交通补短板项目-</w:t>
      </w:r>
      <w:r>
        <w:rPr>
          <w:rFonts w:hint="eastAsia" w:ascii="仿宋" w:hAnsi="仿宋" w:eastAsia="仿宋" w:cs="仿宋"/>
          <w:sz w:val="28"/>
          <w:szCs w:val="28"/>
          <w:lang w:val="en-US" w:eastAsia="zh-CN"/>
        </w:rPr>
        <w:t>三曹路（药都大道-薛阁路）、杜仲路（宋汤河桥-华佗大道）</w:t>
      </w:r>
      <w:r>
        <w:rPr>
          <w:rFonts w:hint="eastAsia" w:ascii="仿宋" w:hAnsi="仿宋" w:eastAsia="仿宋" w:cs="仿宋"/>
          <w:sz w:val="28"/>
          <w:szCs w:val="28"/>
        </w:rPr>
        <w:t>质量检测项目，</w:t>
      </w:r>
      <w:r>
        <w:rPr>
          <w:rFonts w:hint="eastAsia" w:ascii="仿宋" w:hAnsi="仿宋" w:eastAsia="仿宋" w:cs="仿宋"/>
          <w:sz w:val="28"/>
          <w:szCs w:val="28"/>
          <w:lang w:val="en-US" w:eastAsia="zh-CN"/>
        </w:rPr>
        <w:t>其中三曹路（药都大道-薛阁路），含薛阁路（三曹路-希夷大道），其中，三曹路为城市次干道，道路长度约2500m，红线宽24m，薛阁路段为支路，道路长度约423m，红线宽15m；杜仲路（宋汤河桥-华佗大道），城市主干道，道路长度约1900m，红线宽60m;</w:t>
      </w:r>
      <w:r>
        <w:rPr>
          <w:rFonts w:hint="eastAsia" w:ascii="仿宋" w:hAnsi="仿宋" w:eastAsia="仿宋" w:cs="仿宋"/>
          <w:sz w:val="28"/>
          <w:szCs w:val="28"/>
        </w:rPr>
        <w:t>更新改造工程</w:t>
      </w:r>
      <w:r>
        <w:rPr>
          <w:rFonts w:hint="eastAsia" w:ascii="仿宋" w:hAnsi="仿宋" w:eastAsia="仿宋" w:cs="仿宋"/>
          <w:sz w:val="28"/>
          <w:szCs w:val="28"/>
          <w:lang w:eastAsia="zh-CN"/>
        </w:rPr>
        <w:t>两</w:t>
      </w:r>
      <w:r>
        <w:rPr>
          <w:rFonts w:hint="eastAsia" w:ascii="仿宋" w:hAnsi="仿宋" w:eastAsia="仿宋" w:cs="仿宋"/>
          <w:sz w:val="28"/>
          <w:szCs w:val="28"/>
        </w:rPr>
        <w:t>个项目，需要单独办理相关手续和资料，建设总投资约</w:t>
      </w:r>
      <w:r>
        <w:rPr>
          <w:rFonts w:hint="eastAsia" w:ascii="仿宋" w:hAnsi="仿宋" w:eastAsia="仿宋" w:cs="仿宋"/>
          <w:sz w:val="28"/>
          <w:szCs w:val="28"/>
          <w:lang w:val="en-US" w:eastAsia="zh-CN"/>
        </w:rPr>
        <w:t>76</w:t>
      </w:r>
      <w:r>
        <w:rPr>
          <w:rFonts w:hint="eastAsia" w:ascii="仿宋" w:hAnsi="仿宋" w:eastAsia="仿宋" w:cs="仿宋"/>
          <w:sz w:val="28"/>
          <w:szCs w:val="28"/>
        </w:rPr>
        <w:t>00万。</w:t>
      </w:r>
    </w:p>
    <w:p w14:paraId="0266A558">
      <w:pPr>
        <w:spacing w:line="500" w:lineRule="exact"/>
        <w:outlineLvl w:val="0"/>
        <w:rPr>
          <w:rFonts w:ascii="仿宋" w:hAnsi="仿宋" w:eastAsia="仿宋" w:cs="仿宋"/>
          <w:b/>
          <w:bCs/>
          <w:sz w:val="28"/>
          <w:szCs w:val="28"/>
        </w:rPr>
      </w:pPr>
      <w:r>
        <w:rPr>
          <w:rFonts w:hint="eastAsia" w:ascii="仿宋" w:hAnsi="仿宋" w:eastAsia="仿宋" w:cs="仿宋"/>
          <w:b/>
          <w:bCs/>
          <w:sz w:val="28"/>
          <w:szCs w:val="28"/>
        </w:rPr>
        <w:t>二、检测内容</w:t>
      </w:r>
    </w:p>
    <w:p w14:paraId="20F375DB">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工程质量检测范围包括但不限于：负责本项目路基、路面、</w:t>
      </w:r>
      <w:r>
        <w:rPr>
          <w:rFonts w:hint="eastAsia" w:ascii="仿宋" w:hAnsi="仿宋" w:eastAsia="仿宋" w:cs="仿宋"/>
          <w:sz w:val="28"/>
          <w:szCs w:val="28"/>
          <w:lang w:eastAsia="zh-CN"/>
        </w:rPr>
        <w:t>桥梁、</w:t>
      </w:r>
      <w:r>
        <w:rPr>
          <w:rFonts w:hint="eastAsia" w:ascii="仿宋" w:hAnsi="仿宋" w:eastAsia="仿宋" w:cs="仿宋"/>
          <w:sz w:val="28"/>
          <w:szCs w:val="28"/>
        </w:rPr>
        <w:t>给排水、人行道、绿化、交通安全设施等工程施工准备阶段、施工阶段、缺陷责任期阶段的过程检测等，以及建设单位要求的其他检测项目；乙方按检测规范和招标文件要求的内容进行检测，具体要求详见附件1采购需求。</w:t>
      </w:r>
    </w:p>
    <w:p w14:paraId="72D895AB">
      <w:pPr>
        <w:spacing w:line="500" w:lineRule="exact"/>
        <w:outlineLvl w:val="0"/>
        <w:rPr>
          <w:rFonts w:ascii="仿宋" w:hAnsi="仿宋" w:eastAsia="仿宋" w:cs="仿宋"/>
          <w:b/>
          <w:bCs/>
          <w:sz w:val="28"/>
          <w:szCs w:val="28"/>
        </w:rPr>
      </w:pPr>
      <w:r>
        <w:rPr>
          <w:rFonts w:hint="eastAsia" w:ascii="仿宋" w:hAnsi="仿宋" w:eastAsia="仿宋" w:cs="仿宋"/>
          <w:b/>
          <w:bCs/>
          <w:sz w:val="28"/>
          <w:szCs w:val="28"/>
        </w:rPr>
        <w:t>三、检测具体内容及要求</w:t>
      </w:r>
    </w:p>
    <w:p w14:paraId="6A6F391B">
      <w:pPr>
        <w:adjustRightInd w:val="0"/>
        <w:snapToGrid w:val="0"/>
        <w:spacing w:line="540" w:lineRule="exact"/>
        <w:ind w:firstLine="560" w:firstLineChars="200"/>
        <w:rPr>
          <w:rFonts w:ascii="宋体" w:hAnsi="Times New Roman" w:eastAsia="宋体" w:cs="Times New Roman"/>
          <w:sz w:val="24"/>
        </w:rPr>
      </w:pPr>
      <w:r>
        <w:rPr>
          <w:rFonts w:hint="eastAsia" w:ascii="仿宋" w:hAnsi="仿宋" w:eastAsia="仿宋" w:cs="仿宋"/>
          <w:sz w:val="28"/>
          <w:szCs w:val="28"/>
        </w:rPr>
        <w:t>1.甲方委托乙方进行技术服务的内容如下：</w:t>
      </w:r>
    </w:p>
    <w:p w14:paraId="352A6792">
      <w:pPr>
        <w:adjustRightInd w:val="0"/>
        <w:snapToGrid w:val="0"/>
        <w:spacing w:line="480" w:lineRule="exact"/>
        <w:ind w:firstLine="560" w:firstLineChars="200"/>
        <w:outlineLvl w:val="0"/>
        <w:rPr>
          <w:rFonts w:ascii="仿宋" w:hAnsi="仿宋" w:eastAsia="仿宋" w:cs="仿宋"/>
          <w:sz w:val="28"/>
          <w:szCs w:val="28"/>
        </w:rPr>
      </w:pPr>
      <w:r>
        <w:rPr>
          <w:rFonts w:hint="eastAsia" w:ascii="仿宋" w:hAnsi="仿宋" w:eastAsia="仿宋" w:cs="仿宋"/>
          <w:sz w:val="28"/>
          <w:szCs w:val="28"/>
        </w:rPr>
        <w:t>（1）工作内容</w:t>
      </w:r>
    </w:p>
    <w:p w14:paraId="582D3AFC">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根据相关政策法规及技术规范的要求，乙方在规定的时间内完成亳州市城市重点区域交通补短板项目-</w:t>
      </w:r>
      <w:r>
        <w:rPr>
          <w:rFonts w:hint="eastAsia" w:ascii="仿宋" w:hAnsi="仿宋" w:eastAsia="仿宋" w:cs="仿宋"/>
          <w:sz w:val="28"/>
          <w:szCs w:val="28"/>
          <w:lang w:val="en-US" w:eastAsia="zh-CN"/>
        </w:rPr>
        <w:t>三曹路（药都大道-薛阁路）、杜仲路（宋汤河桥-华佗大道）</w:t>
      </w:r>
      <w:r>
        <w:rPr>
          <w:rFonts w:hint="eastAsia" w:ascii="仿宋" w:hAnsi="仿宋" w:eastAsia="仿宋" w:cs="仿宋"/>
          <w:sz w:val="28"/>
          <w:szCs w:val="28"/>
        </w:rPr>
        <w:t>更新改造工程质量检测的路基、路面、</w:t>
      </w:r>
      <w:r>
        <w:rPr>
          <w:rFonts w:hint="eastAsia" w:ascii="仿宋" w:hAnsi="仿宋" w:eastAsia="仿宋" w:cs="仿宋"/>
          <w:sz w:val="28"/>
          <w:szCs w:val="28"/>
          <w:lang w:eastAsia="zh-CN"/>
        </w:rPr>
        <w:t>桥梁、</w:t>
      </w:r>
      <w:r>
        <w:rPr>
          <w:rFonts w:hint="eastAsia" w:ascii="仿宋" w:hAnsi="仿宋" w:eastAsia="仿宋" w:cs="仿宋"/>
          <w:sz w:val="28"/>
          <w:szCs w:val="28"/>
        </w:rPr>
        <w:t>给排水、人行道、绿化、交通安全设施等工程施工准备阶段、施工阶段、缺陷责任期阶段的过程检测等，以及建设单位要求的其他检测项目；乙方按检测规范和招标文件要求的内容进行检测。</w:t>
      </w:r>
    </w:p>
    <w:p w14:paraId="17E11F36">
      <w:pPr>
        <w:adjustRightInd w:val="0"/>
        <w:snapToGrid w:val="0"/>
        <w:spacing w:line="480" w:lineRule="exact"/>
        <w:ind w:firstLine="560" w:firstLineChars="200"/>
        <w:outlineLvl w:val="0"/>
        <w:rPr>
          <w:rFonts w:ascii="仿宋" w:hAnsi="仿宋" w:eastAsia="仿宋" w:cs="仿宋"/>
          <w:sz w:val="24"/>
        </w:rPr>
      </w:pPr>
      <w:r>
        <w:rPr>
          <w:rFonts w:hint="eastAsia" w:ascii="仿宋" w:hAnsi="仿宋" w:eastAsia="仿宋" w:cs="仿宋"/>
          <w:sz w:val="28"/>
          <w:szCs w:val="28"/>
        </w:rPr>
        <w:t>（2）成果文件</w:t>
      </w:r>
    </w:p>
    <w:p w14:paraId="2088D200">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亳州市城市重点区域交通补短板项目-</w:t>
      </w:r>
      <w:r>
        <w:rPr>
          <w:rFonts w:hint="eastAsia" w:ascii="仿宋" w:hAnsi="仿宋" w:eastAsia="仿宋" w:cs="仿宋"/>
          <w:sz w:val="28"/>
          <w:szCs w:val="28"/>
          <w:lang w:val="en-US" w:eastAsia="zh-CN"/>
        </w:rPr>
        <w:t>三曹路（药都大道-薛阁路）、杜仲路（宋汤河桥-华佗大道）</w:t>
      </w:r>
      <w:r>
        <w:rPr>
          <w:rFonts w:hint="eastAsia" w:ascii="仿宋" w:hAnsi="仿宋" w:eastAsia="仿宋" w:cs="仿宋"/>
          <w:sz w:val="28"/>
          <w:szCs w:val="28"/>
        </w:rPr>
        <w:t>质量检测项目的道路</w:t>
      </w:r>
      <w:r>
        <w:rPr>
          <w:rFonts w:hint="eastAsia" w:ascii="仿宋" w:hAnsi="仿宋" w:eastAsia="仿宋" w:cs="仿宋"/>
          <w:sz w:val="28"/>
          <w:szCs w:val="28"/>
          <w:lang w:eastAsia="zh-CN"/>
        </w:rPr>
        <w:t>、桥梁</w:t>
      </w:r>
      <w:r>
        <w:rPr>
          <w:rFonts w:hint="eastAsia" w:ascii="仿宋" w:hAnsi="仿宋" w:eastAsia="仿宋" w:cs="仿宋"/>
          <w:sz w:val="28"/>
          <w:szCs w:val="28"/>
        </w:rPr>
        <w:t>检测报告，检测报告壹式叁份。</w:t>
      </w:r>
    </w:p>
    <w:p w14:paraId="25BB9FDB">
      <w:pPr>
        <w:adjustRightInd w:val="0"/>
        <w:snapToGrid w:val="0"/>
        <w:spacing w:line="480" w:lineRule="exact"/>
        <w:ind w:firstLine="560" w:firstLineChars="200"/>
        <w:outlineLvl w:val="0"/>
        <w:rPr>
          <w:rFonts w:ascii="仿宋" w:hAnsi="仿宋" w:eastAsia="仿宋" w:cs="仿宋"/>
          <w:bCs/>
          <w:sz w:val="28"/>
          <w:szCs w:val="28"/>
        </w:rPr>
      </w:pPr>
      <w:r>
        <w:rPr>
          <w:rFonts w:hint="eastAsia" w:ascii="仿宋" w:hAnsi="仿宋" w:eastAsia="仿宋" w:cs="仿宋"/>
          <w:bCs/>
          <w:sz w:val="28"/>
          <w:szCs w:val="28"/>
        </w:rPr>
        <w:t>（3）质量要求</w:t>
      </w:r>
    </w:p>
    <w:p w14:paraId="520FE636">
      <w:pPr>
        <w:spacing w:line="480" w:lineRule="exact"/>
        <w:ind w:firstLine="560" w:firstLineChars="200"/>
        <w:rPr>
          <w:rFonts w:ascii="仿宋" w:hAnsi="仿宋" w:eastAsia="仿宋" w:cs="仿宋"/>
          <w:bCs/>
          <w:sz w:val="28"/>
          <w:szCs w:val="28"/>
        </w:rPr>
      </w:pPr>
      <w:r>
        <w:rPr>
          <w:rFonts w:hint="eastAsia" w:ascii="仿宋" w:hAnsi="仿宋" w:eastAsia="仿宋" w:cs="仿宋"/>
          <w:bCs/>
          <w:sz w:val="28"/>
          <w:szCs w:val="28"/>
        </w:rPr>
        <w:t>乙方须保证所提供的检测报告数据真实可靠，满足甲方的检测需求。</w:t>
      </w:r>
    </w:p>
    <w:p w14:paraId="25767993">
      <w:pPr>
        <w:adjustRightInd w:val="0"/>
        <w:snapToGrid w:val="0"/>
        <w:spacing w:line="480" w:lineRule="exact"/>
        <w:ind w:firstLine="560" w:firstLineChars="200"/>
        <w:outlineLvl w:val="0"/>
        <w:rPr>
          <w:rFonts w:ascii="仿宋" w:hAnsi="仿宋" w:eastAsia="仿宋" w:cs="仿宋"/>
          <w:bCs/>
          <w:sz w:val="28"/>
          <w:szCs w:val="28"/>
        </w:rPr>
      </w:pPr>
      <w:r>
        <w:rPr>
          <w:rFonts w:hint="eastAsia" w:ascii="仿宋" w:hAnsi="仿宋" w:eastAsia="仿宋" w:cs="仿宋"/>
          <w:bCs/>
          <w:sz w:val="28"/>
          <w:szCs w:val="28"/>
        </w:rPr>
        <w:t>（4）检测要求</w:t>
      </w:r>
    </w:p>
    <w:p w14:paraId="5D843AA9">
      <w:pPr>
        <w:spacing w:line="480" w:lineRule="exact"/>
        <w:ind w:firstLine="560" w:firstLineChars="200"/>
        <w:rPr>
          <w:rFonts w:ascii="仿宋" w:hAnsi="仿宋" w:eastAsia="仿宋" w:cs="仿宋"/>
          <w:sz w:val="28"/>
          <w:szCs w:val="28"/>
        </w:rPr>
      </w:pPr>
      <w:r>
        <w:rPr>
          <w:rFonts w:ascii="仿宋" w:hAnsi="仿宋" w:eastAsia="仿宋" w:cs="仿宋"/>
          <w:sz w:val="28"/>
          <w:szCs w:val="28"/>
        </w:rPr>
        <w:t>①</w:t>
      </w:r>
      <w:r>
        <w:rPr>
          <w:rFonts w:hint="eastAsia" w:ascii="仿宋" w:hAnsi="仿宋" w:eastAsia="仿宋" w:cs="仿宋"/>
          <w:sz w:val="28"/>
          <w:szCs w:val="28"/>
        </w:rPr>
        <w:t>乙方须编制切实可行的检测方案，并严格按方案开展检测工作。</w:t>
      </w:r>
    </w:p>
    <w:p w14:paraId="7E37E5A3">
      <w:pPr>
        <w:spacing w:line="480" w:lineRule="exact"/>
        <w:ind w:firstLine="560" w:firstLineChars="200"/>
        <w:rPr>
          <w:rFonts w:ascii="仿宋" w:hAnsi="仿宋" w:eastAsia="仿宋" w:cs="仿宋"/>
          <w:sz w:val="28"/>
          <w:szCs w:val="28"/>
        </w:rPr>
      </w:pPr>
      <w:r>
        <w:rPr>
          <w:rFonts w:ascii="仿宋" w:hAnsi="仿宋" w:eastAsia="仿宋" w:cs="仿宋"/>
          <w:sz w:val="28"/>
          <w:szCs w:val="28"/>
        </w:rPr>
        <w:t>②</w:t>
      </w:r>
      <w:r>
        <w:rPr>
          <w:rFonts w:hint="eastAsia" w:ascii="仿宋" w:hAnsi="仿宋" w:eastAsia="仿宋" w:cs="仿宋"/>
          <w:sz w:val="28"/>
          <w:szCs w:val="28"/>
        </w:rPr>
        <w:t>乙方按工程需要和投标文件承诺配备工程技术人员和设备仪器并保持人员相对稳定，按经审批过的检测方案开展工作，否则愿承担由此带来的一切后果。</w:t>
      </w:r>
    </w:p>
    <w:p w14:paraId="711D9620">
      <w:pPr>
        <w:spacing w:line="480" w:lineRule="exact"/>
        <w:ind w:firstLine="560" w:firstLineChars="200"/>
        <w:rPr>
          <w:rFonts w:ascii="仿宋" w:hAnsi="仿宋" w:eastAsia="仿宋" w:cs="仿宋"/>
          <w:sz w:val="28"/>
          <w:szCs w:val="28"/>
        </w:rPr>
      </w:pPr>
      <w:r>
        <w:rPr>
          <w:rFonts w:ascii="仿宋" w:hAnsi="仿宋" w:eastAsia="仿宋" w:cs="仿宋"/>
          <w:sz w:val="28"/>
          <w:szCs w:val="28"/>
        </w:rPr>
        <w:t>③</w:t>
      </w:r>
      <w:r>
        <w:rPr>
          <w:rFonts w:hint="eastAsia" w:ascii="仿宋" w:hAnsi="仿宋" w:eastAsia="仿宋" w:cs="仿宋"/>
          <w:sz w:val="28"/>
          <w:szCs w:val="28"/>
        </w:rPr>
        <w:t>乙方应按安全作业规定在现场安全检测作业，承担现场作业人员现场和路途的安全责任。</w:t>
      </w:r>
    </w:p>
    <w:p w14:paraId="07BD2DFF">
      <w:pPr>
        <w:adjustRightInd w:val="0"/>
        <w:snapToGrid w:val="0"/>
        <w:spacing w:line="480" w:lineRule="exact"/>
        <w:ind w:firstLine="560" w:firstLineChars="200"/>
        <w:outlineLvl w:val="0"/>
        <w:rPr>
          <w:rFonts w:ascii="仿宋" w:hAnsi="仿宋" w:eastAsia="仿宋" w:cs="仿宋"/>
          <w:bCs/>
          <w:sz w:val="28"/>
          <w:szCs w:val="28"/>
        </w:rPr>
      </w:pPr>
      <w:r>
        <w:rPr>
          <w:rFonts w:hint="eastAsia" w:ascii="仿宋" w:hAnsi="仿宋" w:eastAsia="仿宋" w:cs="仿宋"/>
          <w:bCs/>
          <w:sz w:val="28"/>
          <w:szCs w:val="28"/>
        </w:rPr>
        <w:t>（5）人员配备要求</w:t>
      </w:r>
    </w:p>
    <w:p w14:paraId="6A079457">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签订合同之日起3天内，乙方必须按甲方要求将人员配备到位，否则，甲方有权终止合同，且乙方应赔偿甲方因此遭受的全部损失（包括但不限于甲方本次招标已经发生和即将发生的费用、重新招标发生的费用、重新招标的中标价高于本次招标中标价的差额）。</w:t>
      </w:r>
    </w:p>
    <w:p w14:paraId="1058B9C0">
      <w:pPr>
        <w:adjustRightInd w:val="0"/>
        <w:snapToGrid w:val="0"/>
        <w:spacing w:line="480" w:lineRule="exact"/>
        <w:ind w:firstLine="560" w:firstLineChars="200"/>
        <w:rPr>
          <w:rFonts w:ascii="仿宋" w:hAnsi="仿宋" w:eastAsia="仿宋" w:cs="仿宋"/>
          <w:b/>
          <w:bCs/>
          <w:sz w:val="28"/>
          <w:szCs w:val="28"/>
        </w:rPr>
      </w:pPr>
      <w:r>
        <w:rPr>
          <w:rFonts w:hint="eastAsia" w:ascii="仿宋" w:hAnsi="仿宋" w:eastAsia="仿宋" w:cs="仿宋"/>
          <w:sz w:val="28"/>
          <w:szCs w:val="28"/>
        </w:rPr>
        <w:t>2.乙方应按下列要求完成技术工作：</w:t>
      </w:r>
    </w:p>
    <w:p w14:paraId="52B7ADEE">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（1）技术服务地点：</w:t>
      </w:r>
      <w:r>
        <w:rPr>
          <w:rFonts w:hint="eastAsia" w:ascii="仿宋" w:hAnsi="仿宋" w:eastAsia="仿宋" w:cs="仿宋"/>
          <w:sz w:val="28"/>
          <w:szCs w:val="28"/>
          <w:lang w:bidi="en-US"/>
        </w:rPr>
        <w:t>亳州市城市重点区域交通补短板项目</w:t>
      </w:r>
      <w:r>
        <w:rPr>
          <w:rFonts w:hint="eastAsia" w:ascii="仿宋" w:hAnsi="仿宋" w:eastAsia="仿宋" w:cs="仿宋"/>
          <w:color w:val="000000"/>
          <w:sz w:val="28"/>
          <w:szCs w:val="28"/>
          <w:lang w:eastAsia="zh-CN"/>
        </w:rPr>
        <w:t>三曹路、杜仲</w:t>
      </w:r>
      <w:r>
        <w:rPr>
          <w:rFonts w:hint="eastAsia" w:ascii="仿宋" w:hAnsi="仿宋" w:eastAsia="仿宋" w:cs="仿宋"/>
          <w:color w:val="000000"/>
          <w:sz w:val="28"/>
          <w:szCs w:val="28"/>
        </w:rPr>
        <w:t>路</w:t>
      </w:r>
      <w:r>
        <w:rPr>
          <w:rFonts w:hint="eastAsia" w:ascii="仿宋" w:hAnsi="仿宋" w:eastAsia="仿宋" w:cs="仿宋"/>
          <w:sz w:val="28"/>
          <w:szCs w:val="28"/>
          <w:lang w:bidi="en-US"/>
        </w:rPr>
        <w:t>更新改造</w:t>
      </w:r>
      <w:r>
        <w:rPr>
          <w:rFonts w:hint="eastAsia" w:ascii="仿宋" w:hAnsi="仿宋" w:eastAsia="仿宋" w:cs="仿宋"/>
          <w:sz w:val="28"/>
          <w:szCs w:val="28"/>
        </w:rPr>
        <w:t>工程项目所在地。</w:t>
      </w:r>
    </w:p>
    <w:p w14:paraId="19CC2447">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（2）技术服务进度、期限：自合同签订之日起</w:t>
      </w:r>
      <w:r>
        <w:rPr>
          <w:rFonts w:hint="eastAsia" w:ascii="仿宋" w:hAnsi="仿宋" w:eastAsia="仿宋" w:cs="仿宋"/>
          <w:sz w:val="28"/>
          <w:szCs w:val="28"/>
          <w:u w:val="single"/>
          <w:lang w:val="en-US" w:eastAsia="zh-CN"/>
        </w:rPr>
        <w:t xml:space="preserve">   910   </w:t>
      </w:r>
      <w:r>
        <w:rPr>
          <w:rFonts w:ascii="仿宋" w:hAnsi="仿宋" w:eastAsia="仿宋" w:cs="仿宋"/>
          <w:sz w:val="28"/>
          <w:szCs w:val="28"/>
        </w:rPr>
        <w:t>日历天（含施工期和缺陷责任期）</w:t>
      </w:r>
      <w:r>
        <w:rPr>
          <w:rFonts w:hint="eastAsia" w:ascii="仿宋" w:hAnsi="仿宋" w:eastAsia="仿宋" w:cs="仿宋"/>
          <w:sz w:val="28"/>
          <w:szCs w:val="28"/>
        </w:rPr>
        <w:t>，具体以实际完成项目检测及竣工验收等工作为准；分为五条道路分别进行质量检测，具体检测时间以甲方根据现场实际情况要求乙方进场检测。</w:t>
      </w:r>
    </w:p>
    <w:p w14:paraId="392209A3">
      <w:pPr>
        <w:adjustRightInd w:val="0"/>
        <w:snapToGrid w:val="0"/>
        <w:spacing w:line="480" w:lineRule="exact"/>
        <w:ind w:firstLine="560" w:firstLineChars="200"/>
        <w:rPr>
          <w:rFonts w:hint="default" w:ascii="仿宋" w:hAnsi="仿宋" w:eastAsia="仿宋" w:cs="仿宋"/>
          <w:sz w:val="28"/>
          <w:szCs w:val="28"/>
          <w:u w:val="single"/>
          <w:lang w:val="en-US" w:eastAsia="zh-CN"/>
        </w:rPr>
      </w:pPr>
      <w:r>
        <w:rPr>
          <w:rFonts w:hint="eastAsia" w:ascii="仿宋" w:hAnsi="仿宋" w:eastAsia="仿宋" w:cs="仿宋"/>
          <w:sz w:val="28"/>
          <w:szCs w:val="28"/>
        </w:rPr>
        <w:t>（3）项目负责人：</w:t>
      </w:r>
      <w:r>
        <w:rPr>
          <w:rFonts w:hint="eastAsia" w:ascii="仿宋" w:hAnsi="仿宋" w:eastAsia="仿宋" w:cs="仿宋"/>
          <w:sz w:val="28"/>
          <w:szCs w:val="28"/>
          <w:u w:val="single"/>
          <w:lang w:val="en-US" w:eastAsia="zh-CN"/>
        </w:rPr>
        <w:t xml:space="preserve">           </w:t>
      </w:r>
    </w:p>
    <w:p w14:paraId="2E9D25D9">
      <w:pPr>
        <w:adjustRightInd w:val="0"/>
        <w:snapToGrid w:val="0"/>
        <w:spacing w:line="480" w:lineRule="exact"/>
        <w:ind w:firstLine="560" w:firstLineChars="200"/>
        <w:rPr>
          <w:rFonts w:ascii="仿宋" w:hAnsi="仿宋" w:eastAsia="仿宋" w:cs="仿宋"/>
          <w:b/>
          <w:bCs/>
          <w:sz w:val="28"/>
          <w:szCs w:val="28"/>
        </w:rPr>
      </w:pPr>
      <w:r>
        <w:rPr>
          <w:rFonts w:hint="eastAsia" w:ascii="仿宋" w:hAnsi="仿宋" w:eastAsia="仿宋" w:cs="仿宋"/>
          <w:sz w:val="28"/>
          <w:szCs w:val="28"/>
        </w:rPr>
        <w:t>3.为保证乙方有效进行技术服务工作，甲方应当向乙方提供下列工作条件和协作事项：</w:t>
      </w:r>
    </w:p>
    <w:p w14:paraId="50181C88">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（1）提供技术资料：设计图纸（含审图意见、设计变更、施工变更联系单）、地质勘察报告及施工质保资料。</w:t>
      </w:r>
    </w:p>
    <w:p w14:paraId="6591420B">
      <w:pPr>
        <w:adjustRightInd w:val="0"/>
        <w:snapToGrid w:val="0"/>
        <w:spacing w:line="480" w:lineRule="exact"/>
        <w:ind w:firstLine="560" w:firstLineChars="200"/>
        <w:rPr>
          <w:rFonts w:ascii="宋体" w:hAnsi="Times New Roman" w:eastAsia="宋体" w:cs="Times New Roman"/>
          <w:sz w:val="24"/>
        </w:rPr>
      </w:pPr>
      <w:r>
        <w:rPr>
          <w:rFonts w:hint="eastAsia" w:ascii="仿宋" w:hAnsi="仿宋" w:eastAsia="仿宋" w:cs="仿宋"/>
          <w:sz w:val="28"/>
          <w:szCs w:val="28"/>
        </w:rPr>
        <w:t>（2）提供工作条件：现场具备检测条件。</w:t>
      </w:r>
    </w:p>
    <w:p w14:paraId="45D39E25">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4.乙方必须按检测相关规范要求进行现场检测，确保其各项检测数据真实有效，并能准确反映检测项目的质量情况，对本公司出具的检测报告负法律责任。</w:t>
      </w:r>
    </w:p>
    <w:p w14:paraId="512FDE87">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5.双方确定本合同有效期内，乙方利用甲方提供的技术资料和工作条件所完的新的技术成果，归（甲、乙双）方所有。</w:t>
      </w:r>
    </w:p>
    <w:p w14:paraId="4A0925FF">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6.双方按以下约定承担各自的违约责任：</w:t>
      </w:r>
    </w:p>
    <w:p w14:paraId="0FD69DFE">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（1）乙方逾期出具检测报告的，每逾期一天需向甲方支付本合同金额万分之一的违约金；逾期影响工程备案的，乙方须向甲方支付本合同金额的10%作为违约金；</w:t>
      </w:r>
    </w:p>
    <w:p w14:paraId="1426D2D9">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（2）任何一方未按照合同约定履行义务给对方造成损失的，应当承担相应的赔偿责任；</w:t>
      </w:r>
    </w:p>
    <w:p w14:paraId="714A51B8">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（3）任何一方未经对方同意而单方面终止合同的，应向对方赔偿本合同金额的10%作为违约金，并追究其法律和经济责任。</w:t>
      </w:r>
    </w:p>
    <w:p w14:paraId="176F2793">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7.合同如发生纠纷，当事人双方应当及时协商解决，协商不成时，按以下第（②）项方式处理：①根据《中华人民共和国仲裁法》的规定向合肥仲裁委员会申请仲裁。②向甲方所在地的人民法院起诉。</w:t>
      </w:r>
    </w:p>
    <w:p w14:paraId="2EF77565">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8.检测费用及支付</w:t>
      </w:r>
    </w:p>
    <w:p w14:paraId="287E88F5">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（1）收费标准和服务内容参照【关于公布《安徽省建设工程质量检测收费行业指导价》的通知】建质安协【2019】16号文，其中收费标准以该文件规定标准的</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计取，即文件中计费标准×投标报价费率(%)，但服务质量不变，具体检测费用依据实际检测项目、数量及提供完整的检测报告为准。</w:t>
      </w:r>
    </w:p>
    <w:p w14:paraId="79B8FE88">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2）付款方式：每条道路工程项目单独进行支付：按一个季度内实际完成检测工程量的65%支付费用，工程竣工验收合格后付至全部检测工程量对应检测费的80%，工程结算审核完成后付至全部检测工程量对应检测费的97%，</w:t>
      </w:r>
      <w:r>
        <w:rPr>
          <w:rFonts w:hint="eastAsia" w:ascii="仿宋" w:hAnsi="仿宋" w:eastAsia="仿宋" w:cs="仿宋"/>
          <w:sz w:val="28"/>
          <w:szCs w:val="28"/>
          <w:lang w:val="en-US" w:eastAsia="zh-CN"/>
        </w:rPr>
        <w:t>余款3%待</w:t>
      </w:r>
      <w:r>
        <w:rPr>
          <w:rFonts w:hint="eastAsia" w:ascii="仿宋" w:hAnsi="仿宋" w:eastAsia="仿宋" w:cs="仿宋"/>
          <w:sz w:val="28"/>
          <w:szCs w:val="28"/>
        </w:rPr>
        <w:t>工程缺陷责任期（以施工合同约定为准）满后无息付清。最终结算总检测费用不超过70万元。付款前，乙方应按照国家税收有关规定开具等额增值税专用发票，否则甲方有权暂停付款。</w:t>
      </w:r>
    </w:p>
    <w:p w14:paraId="51FF6B0E">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需要检测的道路以甲方通知为准，最终依据具体检测项目及数量据实结算，若存在某条道路不实施，最终甲方不承担任何违约责任</w:t>
      </w:r>
      <w:r>
        <w:rPr>
          <w:rFonts w:hint="eastAsia" w:ascii="仿宋" w:hAnsi="仿宋" w:eastAsia="仿宋" w:cs="仿宋"/>
          <w:sz w:val="28"/>
          <w:szCs w:val="28"/>
        </w:rPr>
        <w:t>。</w:t>
      </w:r>
    </w:p>
    <w:p w14:paraId="77A9C0ED">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9.其他要求</w:t>
      </w:r>
    </w:p>
    <w:p w14:paraId="6D50FF83">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（1）施工过程中，甲方有权对工程质量有怀疑的部位增加检测频率。检测数量及频率按照国家相关规范的规定计取并满足甲方要求；费用已包含在合同总价中，不另行计算。</w:t>
      </w:r>
    </w:p>
    <w:p w14:paraId="3C8C147B">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（2）乙方应在工程开工前7个工作日内向甲方报送工程项目检测方案，审定的检测方案作为附件纳入本合同。检测单位应严格按照发包人审定的检测方案开展检测工作。</w:t>
      </w:r>
    </w:p>
    <w:p w14:paraId="01D0038A">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（3）乙方须定期向甲方汇报月度检测内容及下一步工作安排，每周向甲方提交周检测总结（检测不合格台账），对发现检测不合格项目应及时向甲方汇报，每月25日提交检测月报以及检测结果汇总。</w:t>
      </w:r>
    </w:p>
    <w:p w14:paraId="7B535910">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4）乙方应严格按照合同进度要求提交合格的检测报告，所有检测不得影响分部分项验收，必要时乙方应提前做好预检测及协调工作，由乙方原因造成的停工、返工、窝工，乙方自行承担全部赔偿责任且免收相应部分检测费用，因乙方失误提供错误检测结果，乙方承担由此引发的一切后果。乙方须按时参加有关工程质量的会议或检查，并根据检查结果对不超出原定范围的内容做必要调整或补充。</w:t>
      </w:r>
    </w:p>
    <w:p w14:paraId="0305CA67">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5）乙方必须配合甲方做好资料备案工作，检测人员须服从甲方协调与安排，及时完成甲方临时指派的其他检测任务，按甲方要求参加工程调度会或验收等（所有检测费用包含在合同总价内）；确有特殊情况须提前向甲方请假并经甲方同意，否则，每缺席一次须向甲方支付违约金1000元/天。</w:t>
      </w:r>
    </w:p>
    <w:p w14:paraId="12ADA20A">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（6）乙方未按合同约定提交检测文件资料，经甲方催告后10日内仍未提交的，须向甲方支付违约金1000元/天。</w:t>
      </w:r>
    </w:p>
    <w:p w14:paraId="4B1C3EE9">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（7）乙方应为其工作人员购买人身安全保险，乙方人员在检测工作中的安全责任由乙方自行负责，乙方检测工作给甲方或第三方人员造成人身或财产损害的，乙方应承担全部赔偿责任。</w:t>
      </w:r>
    </w:p>
    <w:p w14:paraId="1AD112FF">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8）乙方不得与施工单位串通作假，不得以任何形式要求施工单位购买指定材料，不得出现“吃、拿、卡、要”等情况，一经查实，甲方有权终止合同，不予退还乙方履约保证金，并将乙方清除出场，同时甲方将联合相关部门予以公开曝光。</w:t>
      </w:r>
    </w:p>
    <w:p w14:paraId="1DDF6F0C">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（9）现场所需检测仪器、设备等检测工具由乙方自行提供，否则按违约处理。</w:t>
      </w:r>
    </w:p>
    <w:p w14:paraId="1606A8FA">
      <w:pPr>
        <w:adjustRightInd w:val="0"/>
        <w:snapToGrid w:val="0"/>
        <w:spacing w:line="48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（10）满足亳州市质量主管部门要求，并检测报告得到亳州市质量主管认</w:t>
      </w:r>
    </w:p>
    <w:p w14:paraId="221BB6B0">
      <w:pPr>
        <w:adjustRightInd w:val="0"/>
        <w:snapToGrid w:val="0"/>
        <w:spacing w:line="480" w:lineRule="exact"/>
        <w:rPr>
          <w:rFonts w:ascii="仿宋" w:hAnsi="仿宋" w:eastAsia="仿宋" w:cs="仿宋"/>
          <w:color w:val="000000"/>
          <w:sz w:val="28"/>
          <w:szCs w:val="28"/>
        </w:rPr>
      </w:pPr>
      <w:r>
        <w:rPr>
          <w:rFonts w:hint="eastAsia" w:ascii="仿宋" w:hAnsi="仿宋" w:eastAsia="仿宋" w:cs="仿宋"/>
          <w:color w:val="000000"/>
          <w:sz w:val="28"/>
          <w:szCs w:val="28"/>
        </w:rPr>
        <w:t>可。因乙方无法满足亳州市质量主管部门要求，或检测报告不能得到亳州市质量主管部门的认可，甲方有权解除合同，乙方须向甲方支付 30000元的违约金，且甲方有权要求乙方承担全部赔偿责任。</w:t>
      </w:r>
    </w:p>
    <w:p w14:paraId="4D38DE6E">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10.下列关于安徽省政采项目管理咨询有限公司的招标文件及有关附件是本合同不可分割的组成部分，与本合同具有同等法律效力，这些文件包括但不限于：①招标文件；②乙方提供的投标文件；③服务承诺；④甲乙双方商定的其他文件。以上附件顺序在前的具有优先解释权。</w:t>
      </w:r>
    </w:p>
    <w:p w14:paraId="5933A91A">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11.本合同的变更，必须由双方协商一致，以书面形式确定。</w:t>
      </w:r>
    </w:p>
    <w:p w14:paraId="3F8A88F1">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12.本合同一式陆 份，甲方执叁份，乙方执叁份，自双方签字盖章之日起生效。</w:t>
      </w:r>
    </w:p>
    <w:p w14:paraId="44C08BBA">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13.其他</w:t>
      </w:r>
    </w:p>
    <w:p w14:paraId="49ED25B2">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在合同服务期内，双方分别制定项目负责人，负责项目的对接和联系工作：</w:t>
      </w:r>
    </w:p>
    <w:p w14:paraId="4B4E60C0">
      <w:pPr>
        <w:adjustRightInd w:val="0"/>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甲方联系人：       ；   联系电话：             ；</w:t>
      </w:r>
    </w:p>
    <w:p w14:paraId="02339F59">
      <w:pPr>
        <w:snapToGrid w:val="0"/>
        <w:spacing w:line="480" w:lineRule="exact"/>
        <w:ind w:firstLine="560" w:firstLineChars="200"/>
        <w:rPr>
          <w:rFonts w:hint="eastAsia" w:ascii="Times New Roman" w:hAnsi="宋体" w:eastAsia="仿宋" w:cs="Times New Roman"/>
          <w:bCs/>
          <w:szCs w:val="28"/>
          <w:lang w:val="en-US" w:eastAsia="zh-CN"/>
        </w:rPr>
      </w:pPr>
      <w:r>
        <w:rPr>
          <w:rFonts w:hint="eastAsia" w:ascii="仿宋" w:hAnsi="仿宋" w:eastAsia="仿宋" w:cs="仿宋"/>
          <w:sz w:val="28"/>
          <w:szCs w:val="28"/>
        </w:rPr>
        <w:t>乙方联系人：</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联系电话：</w:t>
      </w:r>
      <w:r>
        <w:rPr>
          <w:rFonts w:hint="eastAsia" w:ascii="仿宋" w:hAnsi="仿宋" w:eastAsia="仿宋" w:cs="仿宋"/>
          <w:sz w:val="28"/>
          <w:szCs w:val="28"/>
          <w:lang w:val="en-US" w:eastAsia="zh-CN"/>
        </w:rPr>
        <w:t xml:space="preserve">             。</w:t>
      </w:r>
    </w:p>
    <w:p w14:paraId="4065D8D7">
      <w:pPr>
        <w:spacing w:line="560" w:lineRule="exact"/>
        <w:ind w:firstLine="560" w:firstLineChars="200"/>
        <w:rPr>
          <w:rFonts w:ascii="Times New Roman" w:hAnsi="Times New Roman" w:eastAsia="宋体" w:cs="Times New Roman"/>
          <w:b/>
          <w:bCs/>
          <w:sz w:val="28"/>
        </w:rPr>
      </w:pPr>
      <w:r>
        <w:rPr>
          <w:rFonts w:hint="eastAsia" w:ascii="仿宋" w:hAnsi="仿宋" w:eastAsia="仿宋" w:cs="仿宋"/>
          <w:sz w:val="28"/>
          <w:szCs w:val="28"/>
        </w:rPr>
        <w:t>（本页以下无正文）</w:t>
      </w:r>
    </w:p>
    <w:p w14:paraId="3F417BF4">
      <w:pPr>
        <w:spacing w:line="560" w:lineRule="exact"/>
        <w:rPr>
          <w:rFonts w:ascii="仿宋" w:hAnsi="仿宋" w:eastAsia="仿宋" w:cs="仿宋"/>
          <w:sz w:val="28"/>
        </w:rPr>
      </w:pPr>
      <w:r>
        <w:rPr>
          <w:rFonts w:hint="eastAsia" w:ascii="仿宋" w:hAnsi="仿宋" w:eastAsia="仿宋" w:cs="仿宋"/>
          <w:b/>
          <w:bCs/>
          <w:sz w:val="28"/>
        </w:rPr>
        <w:t>甲 方</w:t>
      </w:r>
      <w:r>
        <w:rPr>
          <w:rFonts w:hint="eastAsia" w:ascii="仿宋" w:hAnsi="仿宋" w:eastAsia="仿宋" w:cs="仿宋"/>
          <w:sz w:val="28"/>
        </w:rPr>
        <w:t xml:space="preserve">：     （单位盖章）          </w:t>
      </w:r>
      <w:r>
        <w:rPr>
          <w:rFonts w:hint="eastAsia" w:ascii="仿宋" w:hAnsi="仿宋" w:eastAsia="仿宋" w:cs="仿宋"/>
          <w:b/>
          <w:bCs/>
          <w:sz w:val="28"/>
        </w:rPr>
        <w:t xml:space="preserve"> 乙 方</w:t>
      </w:r>
      <w:r>
        <w:rPr>
          <w:rFonts w:hint="eastAsia" w:ascii="仿宋" w:hAnsi="仿宋" w:eastAsia="仿宋" w:cs="仿宋"/>
          <w:sz w:val="28"/>
        </w:rPr>
        <w:t>：（单位盖章）</w:t>
      </w:r>
    </w:p>
    <w:p w14:paraId="0F4623EE">
      <w:pPr>
        <w:spacing w:line="560" w:lineRule="exact"/>
        <w:rPr>
          <w:rFonts w:ascii="仿宋" w:hAnsi="仿宋" w:eastAsia="仿宋" w:cs="仿宋"/>
          <w:b/>
          <w:sz w:val="28"/>
        </w:rPr>
      </w:pPr>
      <w:r>
        <w:rPr>
          <w:rFonts w:hint="eastAsia" w:ascii="仿宋" w:hAnsi="仿宋" w:eastAsia="仿宋" w:cs="仿宋"/>
          <w:b/>
          <w:bCs/>
          <w:sz w:val="28"/>
        </w:rPr>
        <w:t>法定代表人</w:t>
      </w:r>
      <w:r>
        <w:rPr>
          <w:rFonts w:hint="eastAsia" w:ascii="仿宋" w:hAnsi="仿宋" w:eastAsia="仿宋" w:cs="仿宋"/>
          <w:sz w:val="28"/>
        </w:rPr>
        <w:t xml:space="preserve">：                      </w:t>
      </w:r>
      <w:r>
        <w:rPr>
          <w:rFonts w:hint="eastAsia" w:ascii="仿宋" w:hAnsi="仿宋" w:eastAsia="仿宋" w:cs="仿宋"/>
          <w:b/>
          <w:sz w:val="28"/>
        </w:rPr>
        <w:t xml:space="preserve"> 法定代表人：</w:t>
      </w:r>
    </w:p>
    <w:p w14:paraId="71550E4A">
      <w:pPr>
        <w:spacing w:line="560" w:lineRule="exact"/>
        <w:rPr>
          <w:rFonts w:ascii="仿宋" w:hAnsi="仿宋" w:eastAsia="仿宋" w:cs="仿宋"/>
          <w:b/>
          <w:bCs/>
          <w:sz w:val="28"/>
        </w:rPr>
      </w:pPr>
      <w:r>
        <w:rPr>
          <w:rFonts w:hint="eastAsia" w:ascii="仿宋" w:hAnsi="仿宋" w:eastAsia="仿宋" w:cs="仿宋"/>
          <w:b/>
          <w:bCs/>
          <w:sz w:val="28"/>
        </w:rPr>
        <w:t>代  表：                           代 表：</w:t>
      </w:r>
    </w:p>
    <w:p w14:paraId="7ECBCD14">
      <w:pPr>
        <w:spacing w:line="560" w:lineRule="exact"/>
        <w:ind w:left="5060" w:hanging="5060" w:hangingChars="1800"/>
        <w:jc w:val="left"/>
        <w:rPr>
          <w:rFonts w:ascii="仿宋" w:hAnsi="仿宋" w:eastAsia="仿宋" w:cs="仿宋"/>
          <w:b/>
          <w:bCs/>
          <w:spacing w:val="-20"/>
          <w:sz w:val="28"/>
        </w:rPr>
      </w:pPr>
      <w:r>
        <w:rPr>
          <w:rFonts w:hint="eastAsia" w:ascii="仿宋" w:hAnsi="仿宋" w:eastAsia="仿宋" w:cs="仿宋"/>
          <w:b/>
          <w:bCs/>
          <w:sz w:val="28"/>
        </w:rPr>
        <w:t xml:space="preserve">联系电话：    </w:t>
      </w:r>
      <w:r>
        <w:rPr>
          <w:rFonts w:hint="eastAsia" w:ascii="仿宋" w:hAnsi="仿宋" w:eastAsia="仿宋" w:cs="仿宋"/>
          <w:b/>
          <w:bCs/>
          <w:sz w:val="28"/>
          <w:lang w:val="en-US" w:eastAsia="zh-CN"/>
        </w:rPr>
        <w:t xml:space="preserve">                     </w:t>
      </w:r>
      <w:r>
        <w:rPr>
          <w:rFonts w:hint="eastAsia" w:ascii="仿宋" w:hAnsi="仿宋" w:eastAsia="仿宋" w:cs="仿宋"/>
          <w:b/>
          <w:bCs/>
          <w:sz w:val="28"/>
        </w:rPr>
        <w:t>联系电话：                               开户行：</w:t>
      </w:r>
    </w:p>
    <w:p w14:paraId="5A1B1174">
      <w:pPr>
        <w:spacing w:line="560" w:lineRule="exact"/>
        <w:rPr>
          <w:rFonts w:ascii="Times New Roman" w:hAnsi="Times New Roman" w:eastAsia="宋体" w:cs="Times New Roman"/>
          <w:b/>
          <w:bCs/>
          <w:sz w:val="28"/>
        </w:rPr>
      </w:pPr>
      <w:r>
        <w:rPr>
          <w:rFonts w:hint="eastAsia" w:ascii="仿宋" w:hAnsi="仿宋" w:eastAsia="仿宋" w:cs="仿宋"/>
          <w:b/>
          <w:bCs/>
          <w:sz w:val="28"/>
        </w:rPr>
        <w:t xml:space="preserve">                                  </w:t>
      </w:r>
      <w:r>
        <w:rPr>
          <w:rFonts w:hint="eastAsia" w:ascii="仿宋" w:hAnsi="仿宋" w:eastAsia="仿宋" w:cs="仿宋"/>
          <w:b/>
          <w:bCs/>
          <w:color w:val="000000"/>
          <w:sz w:val="28"/>
        </w:rPr>
        <w:t xml:space="preserve"> 银行账号</w:t>
      </w:r>
      <w:r>
        <w:rPr>
          <w:rFonts w:hint="eastAsia" w:ascii="仿宋" w:hAnsi="仿宋" w:eastAsia="仿宋" w:cs="仿宋"/>
          <w:b/>
          <w:bCs/>
          <w:sz w:val="28"/>
        </w:rPr>
        <w:t>：</w:t>
      </w:r>
    </w:p>
    <w:p w14:paraId="60CDB1BB">
      <w:pPr>
        <w:spacing w:line="560" w:lineRule="exact"/>
        <w:rPr>
          <w:rFonts w:ascii="Times New Roman" w:hAnsi="Times New Roman" w:eastAsia="宋体" w:cs="Times New Roman"/>
          <w:b/>
          <w:bCs/>
          <w:sz w:val="28"/>
        </w:rPr>
      </w:pPr>
    </w:p>
    <w:p w14:paraId="223B7451">
      <w:pPr>
        <w:spacing w:line="560" w:lineRule="exact"/>
        <w:ind w:right="560"/>
        <w:jc w:val="center"/>
        <w:rPr>
          <w:rFonts w:hint="default" w:eastAsia="仿宋"/>
          <w:sz w:val="28"/>
          <w:lang w:val="en-US" w:eastAsia="zh-CN"/>
        </w:rPr>
        <w:sectPr>
          <w:pgSz w:w="11906" w:h="16838"/>
          <w:pgMar w:top="1418" w:right="1021" w:bottom="1247" w:left="1474" w:header="851" w:footer="992" w:gutter="0"/>
          <w:cols w:space="720" w:num="1"/>
          <w:docGrid w:type="lines" w:linePitch="312" w:charSpace="0"/>
        </w:sectPr>
      </w:pPr>
      <w:r>
        <w:rPr>
          <w:rFonts w:hint="eastAsia" w:ascii="仿宋" w:hAnsi="仿宋" w:eastAsia="仿宋" w:cs="仿宋"/>
          <w:b/>
          <w:bCs/>
          <w:sz w:val="28"/>
        </w:rPr>
        <w:t xml:space="preserve">                                 日 期</w:t>
      </w:r>
      <w:r>
        <w:rPr>
          <w:rFonts w:hint="eastAsia" w:ascii="仿宋" w:hAnsi="仿宋" w:eastAsia="仿宋" w:cs="仿宋"/>
          <w:sz w:val="28"/>
        </w:rPr>
        <w:t>：</w:t>
      </w:r>
      <w:r>
        <w:rPr>
          <w:rFonts w:hint="eastAsia" w:ascii="仿宋" w:hAnsi="仿宋" w:eastAsia="仿宋" w:cs="仿宋"/>
          <w:sz w:val="28"/>
          <w:lang w:val="en-US" w:eastAsia="zh-CN"/>
        </w:rPr>
        <w:t xml:space="preserve">   </w:t>
      </w:r>
      <w:r>
        <w:rPr>
          <w:rFonts w:hint="eastAsia" w:ascii="仿宋" w:hAnsi="仿宋" w:eastAsia="仿宋" w:cs="仿宋"/>
          <w:sz w:val="28"/>
        </w:rPr>
        <w:t xml:space="preserve">年 </w:t>
      </w:r>
      <w:r>
        <w:rPr>
          <w:rFonts w:hint="eastAsia" w:ascii="仿宋" w:hAnsi="仿宋" w:eastAsia="仿宋" w:cs="仿宋"/>
          <w:sz w:val="28"/>
          <w:lang w:val="en-US" w:eastAsia="zh-CN"/>
        </w:rPr>
        <w:t xml:space="preserve">   月</w:t>
      </w:r>
    </w:p>
    <w:p w14:paraId="2A035BF7">
      <w:pPr>
        <w:spacing w:line="560" w:lineRule="exact"/>
        <w:rPr>
          <w:rFonts w:ascii="黑体" w:hAnsi="黑体" w:eastAsia="黑体" w:cs="黑体"/>
          <w:sz w:val="28"/>
          <w:szCs w:val="36"/>
        </w:rPr>
      </w:pPr>
      <w:r>
        <w:rPr>
          <w:rFonts w:hint="eastAsia" w:ascii="黑体" w:hAnsi="黑体" w:eastAsia="黑体" w:cs="黑体"/>
          <w:sz w:val="28"/>
          <w:szCs w:val="36"/>
        </w:rPr>
        <w:t>附件1</w:t>
      </w:r>
    </w:p>
    <w:tbl>
      <w:tblPr>
        <w:tblStyle w:val="16"/>
        <w:tblW w:w="830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9"/>
        <w:gridCol w:w="1481"/>
        <w:gridCol w:w="4002"/>
        <w:gridCol w:w="2042"/>
      </w:tblGrid>
      <w:tr w14:paraId="73B0B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83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259C336">
            <w:pPr>
              <w:jc w:val="center"/>
              <w:rPr>
                <w:rFonts w:hint="default"/>
                <w:kern w:val="0"/>
                <w:sz w:val="24"/>
                <w:lang w:val="en-US"/>
              </w:rPr>
            </w:pPr>
            <w:r>
              <w:rPr>
                <w:rFonts w:hint="eastAsia"/>
                <w:kern w:val="0"/>
                <w:sz w:val="24"/>
                <w:lang w:val="en-US" w:eastAsia="zh-CN"/>
              </w:rPr>
              <w:t>亳州市城市重点区域交通补短板项目-三曹路（药都大道-薛阁路）、杜仲路(宋汤河桥-华佗大道，含宋汤河桥加宽)更新改造工程质量检测采购需求表</w:t>
            </w:r>
          </w:p>
        </w:tc>
      </w:tr>
      <w:tr w14:paraId="091A2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CE11E">
            <w:pPr>
              <w:jc w:val="center"/>
              <w:rPr>
                <w:rFonts w:hint="eastAsia"/>
                <w:kern w:val="0"/>
                <w:sz w:val="24"/>
              </w:rPr>
            </w:pPr>
            <w:r>
              <w:rPr>
                <w:rFonts w:hint="eastAsia"/>
                <w:kern w:val="0"/>
                <w:sz w:val="24"/>
                <w:lang w:val="en-US" w:eastAsia="zh-CN"/>
              </w:rPr>
              <w:t>序号</w:t>
            </w:r>
          </w:p>
        </w:tc>
        <w:tc>
          <w:tcPr>
            <w:tcW w:w="54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76FD0">
            <w:pPr>
              <w:jc w:val="center"/>
              <w:rPr>
                <w:rFonts w:hint="eastAsia"/>
                <w:kern w:val="0"/>
                <w:sz w:val="24"/>
              </w:rPr>
            </w:pPr>
            <w:r>
              <w:rPr>
                <w:rFonts w:hint="eastAsia"/>
                <w:kern w:val="0"/>
                <w:sz w:val="24"/>
                <w:lang w:val="en-US" w:eastAsia="zh-CN"/>
              </w:rPr>
              <w:t>检 测 项 目</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B181A">
            <w:pPr>
              <w:jc w:val="center"/>
              <w:rPr>
                <w:rFonts w:hint="eastAsia"/>
                <w:kern w:val="0"/>
                <w:sz w:val="24"/>
              </w:rPr>
            </w:pPr>
            <w:r>
              <w:rPr>
                <w:rFonts w:hint="eastAsia"/>
                <w:kern w:val="0"/>
                <w:sz w:val="24"/>
                <w:lang w:val="en-US" w:eastAsia="zh-CN"/>
              </w:rPr>
              <w:t>备注</w:t>
            </w:r>
          </w:p>
        </w:tc>
      </w:tr>
      <w:tr w14:paraId="6EB94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410BC0BE">
            <w:pPr>
              <w:jc w:val="center"/>
              <w:rPr>
                <w:kern w:val="0"/>
                <w:sz w:val="24"/>
              </w:rPr>
            </w:pPr>
            <w:r>
              <w:rPr>
                <w:rFonts w:hint="eastAsia"/>
                <w:kern w:val="0"/>
                <w:sz w:val="24"/>
                <w:lang w:val="en-US" w:eastAsia="zh-CN"/>
              </w:rPr>
              <w:t>1</w:t>
            </w: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407A02">
            <w:pPr>
              <w:jc w:val="center"/>
              <w:rPr>
                <w:rFonts w:hint="eastAsia"/>
                <w:kern w:val="0"/>
                <w:sz w:val="24"/>
              </w:rPr>
            </w:pPr>
            <w:r>
              <w:rPr>
                <w:rFonts w:hint="eastAsia"/>
                <w:kern w:val="0"/>
                <w:sz w:val="24"/>
                <w:lang w:val="en-US" w:eastAsia="zh-CN"/>
              </w:rPr>
              <w:t>原材料</w:t>
            </w:r>
            <w:r>
              <w:rPr>
                <w:rFonts w:hint="eastAsia"/>
                <w:kern w:val="0"/>
                <w:sz w:val="24"/>
                <w:lang w:val="en-US" w:eastAsia="zh-CN"/>
              </w:rPr>
              <w:br w:type="textWrapping"/>
            </w:r>
            <w:r>
              <w:rPr>
                <w:rFonts w:hint="eastAsia"/>
                <w:kern w:val="0"/>
                <w:sz w:val="24"/>
                <w:lang w:val="en-US" w:eastAsia="zh-CN"/>
              </w:rPr>
              <w:t>及配合比</w:t>
            </w: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AB8ED">
            <w:pPr>
              <w:jc w:val="center"/>
              <w:rPr>
                <w:rFonts w:hint="eastAsia"/>
                <w:kern w:val="0"/>
                <w:sz w:val="24"/>
              </w:rPr>
            </w:pPr>
            <w:r>
              <w:rPr>
                <w:rFonts w:hint="eastAsia"/>
                <w:kern w:val="0"/>
                <w:sz w:val="24"/>
                <w:lang w:val="en-US" w:eastAsia="zh-CN"/>
              </w:rPr>
              <w:t>水泥</w:t>
            </w:r>
          </w:p>
        </w:tc>
        <w:tc>
          <w:tcPr>
            <w:tcW w:w="2042" w:type="dxa"/>
            <w:vMerge w:val="restart"/>
            <w:tcBorders>
              <w:top w:val="single" w:color="000000" w:sz="4" w:space="0"/>
              <w:left w:val="single" w:color="000000" w:sz="4" w:space="0"/>
              <w:right w:val="single" w:color="000000" w:sz="4" w:space="0"/>
            </w:tcBorders>
            <w:shd w:val="clear" w:color="auto" w:fill="auto"/>
            <w:vAlign w:val="center"/>
          </w:tcPr>
          <w:p w14:paraId="2B887FCE">
            <w:pPr>
              <w:jc w:val="center"/>
              <w:rPr>
                <w:rFonts w:hint="eastAsia"/>
                <w:kern w:val="0"/>
                <w:sz w:val="24"/>
              </w:rPr>
            </w:pPr>
            <w:r>
              <w:rPr>
                <w:rFonts w:hint="eastAsia"/>
                <w:kern w:val="0"/>
                <w:sz w:val="24"/>
                <w:lang w:val="en-US" w:eastAsia="zh-CN"/>
              </w:rPr>
              <w:t>亳州市城市重点区域交通补短板项目-三曹路（药都大道-薛阁路）道路等级为次干路，长度2900米，宽度24米；杜仲路(宋汤河桥-华佗大道，含宋汤河桥加宽)道路等级为主干路，长度1900米，宽度60米更新改造工程两个项目，需要单独办理相关手续和资料。包含此表内容但不限于此表内容（负责本项目路基、路面、给排水、人行道、绿化、交通安全设施等工程施工准备阶段、施工阶段、缺陷责任期阶段的过程检测以及宋汤河桥加宽原材料（水泥、砂石、钢筋、混凝土等）、预应力构件、非常规的桥梁支座、桩基、新旧结构连接部位应力及变形检测、成桥后的动静载试验、桥面变形、平整度检测、附属设施（护栏、伸缩缝）功能性检测等，以及</w:t>
            </w:r>
            <w:r>
              <w:rPr>
                <w:rFonts w:hint="default"/>
                <w:kern w:val="0"/>
                <w:sz w:val="24"/>
                <w:lang w:val="en-US" w:eastAsia="zh-CN"/>
              </w:rPr>
              <w:t>建设单位要求</w:t>
            </w:r>
            <w:r>
              <w:rPr>
                <w:rFonts w:hint="eastAsia"/>
                <w:kern w:val="0"/>
                <w:sz w:val="24"/>
                <w:lang w:val="en-US" w:eastAsia="zh-CN"/>
              </w:rPr>
              <w:t>的检测）。</w:t>
            </w:r>
          </w:p>
        </w:tc>
      </w:tr>
      <w:tr w14:paraId="34DB3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AC620">
            <w:pPr>
              <w:jc w:val="center"/>
              <w:rPr>
                <w:rFonts w:hint="eastAsia"/>
                <w:kern w:val="0"/>
                <w:sz w:val="24"/>
              </w:rPr>
            </w:pPr>
            <w:r>
              <w:rPr>
                <w:rFonts w:hint="eastAsia"/>
                <w:kern w:val="0"/>
                <w:sz w:val="24"/>
                <w:lang w:val="en-US" w:eastAsia="zh-CN"/>
              </w:rPr>
              <w:t>2</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B7633">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DB168">
            <w:pPr>
              <w:jc w:val="center"/>
              <w:rPr>
                <w:rFonts w:hint="eastAsia"/>
                <w:kern w:val="0"/>
                <w:sz w:val="24"/>
              </w:rPr>
            </w:pPr>
            <w:r>
              <w:rPr>
                <w:rFonts w:hint="eastAsia"/>
                <w:kern w:val="0"/>
                <w:sz w:val="24"/>
                <w:lang w:val="en-US" w:eastAsia="zh-CN"/>
              </w:rPr>
              <w:t>水泥混凝土粗集料</w:t>
            </w:r>
          </w:p>
        </w:tc>
        <w:tc>
          <w:tcPr>
            <w:tcW w:w="2042" w:type="dxa"/>
            <w:vMerge w:val="continue"/>
            <w:tcBorders>
              <w:left w:val="single" w:color="000000" w:sz="4" w:space="0"/>
              <w:right w:val="single" w:color="000000" w:sz="4" w:space="0"/>
            </w:tcBorders>
            <w:shd w:val="clear" w:color="auto" w:fill="auto"/>
            <w:vAlign w:val="center"/>
          </w:tcPr>
          <w:p w14:paraId="7E20DFF8">
            <w:pPr>
              <w:jc w:val="center"/>
              <w:rPr>
                <w:rFonts w:hint="eastAsia"/>
                <w:kern w:val="0"/>
                <w:sz w:val="24"/>
              </w:rPr>
            </w:pPr>
          </w:p>
        </w:tc>
      </w:tr>
      <w:tr w14:paraId="59451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7587006B">
            <w:pPr>
              <w:jc w:val="center"/>
              <w:rPr>
                <w:rFonts w:hint="eastAsia"/>
                <w:kern w:val="0"/>
                <w:sz w:val="24"/>
              </w:rPr>
            </w:pPr>
            <w:r>
              <w:rPr>
                <w:rFonts w:hint="eastAsia"/>
                <w:kern w:val="0"/>
                <w:sz w:val="24"/>
                <w:lang w:val="en-US" w:eastAsia="zh-CN"/>
              </w:rPr>
              <w:t>3</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524A38">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6E221">
            <w:pPr>
              <w:jc w:val="center"/>
              <w:rPr>
                <w:rFonts w:hint="eastAsia"/>
                <w:kern w:val="0"/>
                <w:sz w:val="24"/>
              </w:rPr>
            </w:pPr>
            <w:r>
              <w:rPr>
                <w:rFonts w:hint="eastAsia"/>
                <w:kern w:val="0"/>
                <w:sz w:val="24"/>
                <w:lang w:val="en-US" w:eastAsia="zh-CN"/>
              </w:rPr>
              <w:t>水泥混凝土细集料</w:t>
            </w:r>
          </w:p>
        </w:tc>
        <w:tc>
          <w:tcPr>
            <w:tcW w:w="2042" w:type="dxa"/>
            <w:vMerge w:val="continue"/>
            <w:tcBorders>
              <w:left w:val="single" w:color="000000" w:sz="4" w:space="0"/>
              <w:right w:val="single" w:color="000000" w:sz="4" w:space="0"/>
            </w:tcBorders>
            <w:shd w:val="clear" w:color="auto" w:fill="auto"/>
            <w:vAlign w:val="center"/>
          </w:tcPr>
          <w:p w14:paraId="1938C3F6">
            <w:pPr>
              <w:jc w:val="center"/>
              <w:rPr>
                <w:rFonts w:hint="eastAsia"/>
                <w:kern w:val="0"/>
                <w:sz w:val="24"/>
              </w:rPr>
            </w:pPr>
          </w:p>
        </w:tc>
      </w:tr>
      <w:tr w14:paraId="59B5D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1548E571">
            <w:pPr>
              <w:jc w:val="center"/>
              <w:rPr>
                <w:rFonts w:hint="eastAsia"/>
                <w:kern w:val="0"/>
                <w:sz w:val="24"/>
              </w:rPr>
            </w:pPr>
            <w:r>
              <w:rPr>
                <w:rFonts w:hint="eastAsia"/>
                <w:kern w:val="0"/>
                <w:sz w:val="24"/>
                <w:lang w:val="en-US" w:eastAsia="zh-CN"/>
              </w:rPr>
              <w:t>4</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5978C7">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DE4C7">
            <w:pPr>
              <w:jc w:val="center"/>
              <w:rPr>
                <w:rFonts w:hint="eastAsia"/>
                <w:kern w:val="0"/>
                <w:sz w:val="24"/>
              </w:rPr>
            </w:pPr>
            <w:r>
              <w:rPr>
                <w:rFonts w:hint="eastAsia"/>
                <w:kern w:val="0"/>
                <w:sz w:val="24"/>
                <w:lang w:val="en-US" w:eastAsia="zh-CN"/>
              </w:rPr>
              <w:t>钢筋</w:t>
            </w:r>
          </w:p>
        </w:tc>
        <w:tc>
          <w:tcPr>
            <w:tcW w:w="2042" w:type="dxa"/>
            <w:vMerge w:val="continue"/>
            <w:tcBorders>
              <w:left w:val="single" w:color="000000" w:sz="4" w:space="0"/>
              <w:right w:val="single" w:color="000000" w:sz="4" w:space="0"/>
            </w:tcBorders>
            <w:shd w:val="clear" w:color="auto" w:fill="auto"/>
            <w:vAlign w:val="center"/>
          </w:tcPr>
          <w:p w14:paraId="3D9DB860">
            <w:pPr>
              <w:jc w:val="center"/>
              <w:rPr>
                <w:rFonts w:hint="eastAsia"/>
                <w:kern w:val="0"/>
                <w:sz w:val="24"/>
              </w:rPr>
            </w:pPr>
          </w:p>
        </w:tc>
      </w:tr>
      <w:tr w14:paraId="76060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3951A">
            <w:pPr>
              <w:jc w:val="center"/>
              <w:rPr>
                <w:rFonts w:hint="eastAsia"/>
                <w:kern w:val="0"/>
                <w:sz w:val="24"/>
              </w:rPr>
            </w:pPr>
            <w:r>
              <w:rPr>
                <w:rFonts w:hint="eastAsia"/>
                <w:kern w:val="0"/>
                <w:sz w:val="24"/>
                <w:lang w:val="en-US" w:eastAsia="zh-CN"/>
              </w:rPr>
              <w:t>5</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6883FA">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6B058">
            <w:pPr>
              <w:jc w:val="center"/>
              <w:rPr>
                <w:rFonts w:hint="eastAsia"/>
                <w:kern w:val="0"/>
                <w:sz w:val="24"/>
              </w:rPr>
            </w:pPr>
            <w:r>
              <w:rPr>
                <w:rFonts w:hint="eastAsia"/>
                <w:kern w:val="0"/>
                <w:sz w:val="24"/>
                <w:lang w:val="en-US" w:eastAsia="zh-CN"/>
              </w:rPr>
              <w:t>沥青面层粗集料</w:t>
            </w:r>
          </w:p>
        </w:tc>
        <w:tc>
          <w:tcPr>
            <w:tcW w:w="2042" w:type="dxa"/>
            <w:vMerge w:val="continue"/>
            <w:tcBorders>
              <w:left w:val="single" w:color="000000" w:sz="4" w:space="0"/>
              <w:right w:val="single" w:color="000000" w:sz="4" w:space="0"/>
            </w:tcBorders>
            <w:shd w:val="clear" w:color="auto" w:fill="auto"/>
            <w:vAlign w:val="center"/>
          </w:tcPr>
          <w:p w14:paraId="3E6BEEE3">
            <w:pPr>
              <w:jc w:val="center"/>
              <w:rPr>
                <w:rFonts w:hint="eastAsia"/>
                <w:kern w:val="0"/>
                <w:sz w:val="24"/>
              </w:rPr>
            </w:pPr>
          </w:p>
        </w:tc>
      </w:tr>
      <w:tr w14:paraId="317EF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09F22F74">
            <w:pPr>
              <w:jc w:val="center"/>
              <w:rPr>
                <w:rFonts w:hint="eastAsia"/>
                <w:kern w:val="0"/>
                <w:sz w:val="24"/>
              </w:rPr>
            </w:pPr>
            <w:r>
              <w:rPr>
                <w:rFonts w:hint="eastAsia"/>
                <w:kern w:val="0"/>
                <w:sz w:val="24"/>
                <w:lang w:val="en-US" w:eastAsia="zh-CN"/>
              </w:rPr>
              <w:t>6</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5BA46F">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6886D">
            <w:pPr>
              <w:jc w:val="center"/>
              <w:rPr>
                <w:rFonts w:hint="eastAsia"/>
                <w:kern w:val="0"/>
                <w:sz w:val="24"/>
              </w:rPr>
            </w:pPr>
            <w:r>
              <w:rPr>
                <w:rFonts w:hint="eastAsia"/>
                <w:kern w:val="0"/>
                <w:sz w:val="24"/>
                <w:lang w:val="en-US" w:eastAsia="zh-CN"/>
              </w:rPr>
              <w:t>沥青面层细集料</w:t>
            </w:r>
          </w:p>
        </w:tc>
        <w:tc>
          <w:tcPr>
            <w:tcW w:w="2042" w:type="dxa"/>
            <w:vMerge w:val="continue"/>
            <w:tcBorders>
              <w:left w:val="single" w:color="000000" w:sz="4" w:space="0"/>
              <w:right w:val="single" w:color="000000" w:sz="4" w:space="0"/>
            </w:tcBorders>
            <w:shd w:val="clear" w:color="auto" w:fill="auto"/>
            <w:vAlign w:val="center"/>
          </w:tcPr>
          <w:p w14:paraId="49FB07A3">
            <w:pPr>
              <w:jc w:val="center"/>
              <w:rPr>
                <w:rFonts w:hint="eastAsia"/>
                <w:kern w:val="0"/>
                <w:sz w:val="24"/>
              </w:rPr>
            </w:pPr>
          </w:p>
        </w:tc>
      </w:tr>
      <w:tr w14:paraId="5387B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3FB3855E">
            <w:pPr>
              <w:jc w:val="center"/>
              <w:rPr>
                <w:rFonts w:hint="eastAsia"/>
                <w:kern w:val="0"/>
                <w:sz w:val="24"/>
              </w:rPr>
            </w:pPr>
            <w:r>
              <w:rPr>
                <w:rFonts w:hint="eastAsia"/>
                <w:kern w:val="0"/>
                <w:sz w:val="24"/>
                <w:lang w:val="en-US" w:eastAsia="zh-CN"/>
              </w:rPr>
              <w:t>7</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0C99C6">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A820F">
            <w:pPr>
              <w:jc w:val="center"/>
              <w:rPr>
                <w:rFonts w:hint="eastAsia"/>
                <w:kern w:val="0"/>
                <w:sz w:val="24"/>
              </w:rPr>
            </w:pPr>
            <w:r>
              <w:rPr>
                <w:rFonts w:hint="eastAsia"/>
                <w:kern w:val="0"/>
                <w:sz w:val="24"/>
                <w:lang w:val="en-US" w:eastAsia="zh-CN"/>
              </w:rPr>
              <w:t>沥青</w:t>
            </w:r>
          </w:p>
        </w:tc>
        <w:tc>
          <w:tcPr>
            <w:tcW w:w="2042" w:type="dxa"/>
            <w:vMerge w:val="continue"/>
            <w:tcBorders>
              <w:left w:val="single" w:color="000000" w:sz="4" w:space="0"/>
              <w:right w:val="single" w:color="000000" w:sz="4" w:space="0"/>
            </w:tcBorders>
            <w:shd w:val="clear" w:color="auto" w:fill="auto"/>
            <w:vAlign w:val="center"/>
          </w:tcPr>
          <w:p w14:paraId="341C6F77">
            <w:pPr>
              <w:jc w:val="center"/>
              <w:rPr>
                <w:rFonts w:hint="eastAsia"/>
                <w:kern w:val="0"/>
                <w:sz w:val="24"/>
              </w:rPr>
            </w:pPr>
          </w:p>
        </w:tc>
      </w:tr>
      <w:tr w14:paraId="703FD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E1EA6">
            <w:pPr>
              <w:jc w:val="center"/>
              <w:rPr>
                <w:rFonts w:hint="eastAsia"/>
                <w:kern w:val="0"/>
                <w:sz w:val="24"/>
              </w:rPr>
            </w:pPr>
            <w:r>
              <w:rPr>
                <w:rFonts w:hint="eastAsia"/>
                <w:kern w:val="0"/>
                <w:sz w:val="24"/>
                <w:lang w:val="en-US" w:eastAsia="zh-CN"/>
              </w:rPr>
              <w:t>8</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5BCE42">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B4A84">
            <w:pPr>
              <w:jc w:val="center"/>
              <w:rPr>
                <w:rFonts w:hint="eastAsia"/>
                <w:kern w:val="0"/>
                <w:sz w:val="24"/>
              </w:rPr>
            </w:pPr>
            <w:r>
              <w:rPr>
                <w:rFonts w:hint="eastAsia"/>
                <w:kern w:val="0"/>
                <w:sz w:val="24"/>
                <w:lang w:val="en-US" w:eastAsia="zh-CN"/>
              </w:rPr>
              <w:t>矿粉</w:t>
            </w:r>
          </w:p>
        </w:tc>
        <w:tc>
          <w:tcPr>
            <w:tcW w:w="2042" w:type="dxa"/>
            <w:vMerge w:val="continue"/>
            <w:tcBorders>
              <w:left w:val="single" w:color="000000" w:sz="4" w:space="0"/>
              <w:right w:val="single" w:color="000000" w:sz="4" w:space="0"/>
            </w:tcBorders>
            <w:shd w:val="clear" w:color="auto" w:fill="auto"/>
            <w:vAlign w:val="center"/>
          </w:tcPr>
          <w:p w14:paraId="02E5664D">
            <w:pPr>
              <w:jc w:val="center"/>
              <w:rPr>
                <w:rFonts w:hint="eastAsia"/>
                <w:kern w:val="0"/>
                <w:sz w:val="24"/>
              </w:rPr>
            </w:pPr>
          </w:p>
        </w:tc>
      </w:tr>
      <w:tr w14:paraId="1632E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24E3F114">
            <w:pPr>
              <w:jc w:val="center"/>
              <w:rPr>
                <w:rFonts w:hint="eastAsia"/>
                <w:kern w:val="0"/>
                <w:sz w:val="24"/>
              </w:rPr>
            </w:pPr>
            <w:r>
              <w:rPr>
                <w:rFonts w:hint="eastAsia"/>
                <w:kern w:val="0"/>
                <w:sz w:val="24"/>
                <w:lang w:val="en-US" w:eastAsia="zh-CN"/>
              </w:rPr>
              <w:t>9</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A47BD6">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BBB2F">
            <w:pPr>
              <w:jc w:val="center"/>
              <w:rPr>
                <w:rFonts w:hint="eastAsia"/>
                <w:kern w:val="0"/>
                <w:sz w:val="24"/>
              </w:rPr>
            </w:pPr>
            <w:r>
              <w:rPr>
                <w:rFonts w:hint="eastAsia"/>
                <w:kern w:val="0"/>
                <w:sz w:val="24"/>
                <w:lang w:val="en-US" w:eastAsia="zh-CN"/>
              </w:rPr>
              <w:t>沥青混凝土配合比/验证</w:t>
            </w:r>
          </w:p>
        </w:tc>
        <w:tc>
          <w:tcPr>
            <w:tcW w:w="2042" w:type="dxa"/>
            <w:vMerge w:val="continue"/>
            <w:tcBorders>
              <w:left w:val="single" w:color="000000" w:sz="4" w:space="0"/>
              <w:right w:val="single" w:color="000000" w:sz="4" w:space="0"/>
            </w:tcBorders>
            <w:shd w:val="clear" w:color="auto" w:fill="auto"/>
            <w:vAlign w:val="center"/>
          </w:tcPr>
          <w:p w14:paraId="6BBB9139">
            <w:pPr>
              <w:jc w:val="center"/>
              <w:rPr>
                <w:rFonts w:hint="eastAsia"/>
                <w:kern w:val="0"/>
                <w:sz w:val="24"/>
              </w:rPr>
            </w:pPr>
          </w:p>
        </w:tc>
      </w:tr>
      <w:tr w14:paraId="39DFF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12D65970">
            <w:pPr>
              <w:jc w:val="center"/>
              <w:rPr>
                <w:rFonts w:hint="eastAsia"/>
                <w:kern w:val="0"/>
                <w:sz w:val="24"/>
              </w:rPr>
            </w:pPr>
            <w:r>
              <w:rPr>
                <w:rFonts w:hint="eastAsia"/>
                <w:kern w:val="0"/>
                <w:sz w:val="24"/>
                <w:lang w:val="en-US" w:eastAsia="zh-CN"/>
              </w:rPr>
              <w:t>10</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3038A0">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49B5F">
            <w:pPr>
              <w:jc w:val="center"/>
              <w:rPr>
                <w:rFonts w:hint="eastAsia"/>
                <w:kern w:val="0"/>
                <w:sz w:val="24"/>
              </w:rPr>
            </w:pPr>
            <w:r>
              <w:rPr>
                <w:rFonts w:hint="eastAsia"/>
                <w:kern w:val="0"/>
                <w:sz w:val="24"/>
                <w:lang w:val="en-US" w:eastAsia="zh-CN"/>
              </w:rPr>
              <w:t>级配碎石配合比</w:t>
            </w:r>
          </w:p>
        </w:tc>
        <w:tc>
          <w:tcPr>
            <w:tcW w:w="2042" w:type="dxa"/>
            <w:vMerge w:val="continue"/>
            <w:tcBorders>
              <w:left w:val="single" w:color="000000" w:sz="4" w:space="0"/>
              <w:right w:val="single" w:color="000000" w:sz="4" w:space="0"/>
            </w:tcBorders>
            <w:shd w:val="clear" w:color="auto" w:fill="auto"/>
            <w:vAlign w:val="center"/>
          </w:tcPr>
          <w:p w14:paraId="2728A452">
            <w:pPr>
              <w:jc w:val="center"/>
              <w:rPr>
                <w:rFonts w:hint="eastAsia"/>
                <w:kern w:val="0"/>
                <w:sz w:val="24"/>
              </w:rPr>
            </w:pPr>
          </w:p>
        </w:tc>
      </w:tr>
      <w:tr w14:paraId="6894B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C3F75">
            <w:pPr>
              <w:jc w:val="center"/>
              <w:rPr>
                <w:rFonts w:hint="eastAsia"/>
                <w:kern w:val="0"/>
                <w:sz w:val="24"/>
              </w:rPr>
            </w:pPr>
            <w:r>
              <w:rPr>
                <w:rFonts w:hint="eastAsia"/>
                <w:kern w:val="0"/>
                <w:sz w:val="24"/>
                <w:lang w:val="en-US" w:eastAsia="zh-CN"/>
              </w:rPr>
              <w:t>11</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249D75">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44198">
            <w:pPr>
              <w:jc w:val="center"/>
              <w:rPr>
                <w:rFonts w:hint="eastAsia"/>
                <w:kern w:val="0"/>
                <w:sz w:val="24"/>
              </w:rPr>
            </w:pPr>
            <w:r>
              <w:rPr>
                <w:rFonts w:hint="eastAsia"/>
                <w:kern w:val="0"/>
                <w:sz w:val="24"/>
                <w:lang w:val="en-US" w:eastAsia="zh-CN"/>
              </w:rPr>
              <w:t>路面混基层凝土配合比</w:t>
            </w:r>
          </w:p>
        </w:tc>
        <w:tc>
          <w:tcPr>
            <w:tcW w:w="2042" w:type="dxa"/>
            <w:vMerge w:val="continue"/>
            <w:tcBorders>
              <w:left w:val="single" w:color="000000" w:sz="4" w:space="0"/>
              <w:right w:val="single" w:color="000000" w:sz="4" w:space="0"/>
            </w:tcBorders>
            <w:shd w:val="clear" w:color="auto" w:fill="auto"/>
            <w:vAlign w:val="center"/>
          </w:tcPr>
          <w:p w14:paraId="0CCF1044">
            <w:pPr>
              <w:jc w:val="center"/>
              <w:rPr>
                <w:rFonts w:hint="eastAsia"/>
                <w:kern w:val="0"/>
                <w:sz w:val="24"/>
              </w:rPr>
            </w:pPr>
          </w:p>
        </w:tc>
      </w:tr>
      <w:tr w14:paraId="059FA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1C0523CC">
            <w:pPr>
              <w:jc w:val="center"/>
              <w:rPr>
                <w:rFonts w:hint="eastAsia"/>
                <w:kern w:val="0"/>
                <w:sz w:val="24"/>
              </w:rPr>
            </w:pPr>
            <w:r>
              <w:rPr>
                <w:rFonts w:hint="eastAsia"/>
                <w:kern w:val="0"/>
                <w:sz w:val="24"/>
                <w:lang w:val="en-US" w:eastAsia="zh-CN"/>
              </w:rPr>
              <w:t>12</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8C4A75">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BA58F">
            <w:pPr>
              <w:jc w:val="center"/>
              <w:rPr>
                <w:rFonts w:hint="eastAsia"/>
                <w:kern w:val="0"/>
                <w:sz w:val="24"/>
              </w:rPr>
            </w:pPr>
            <w:r>
              <w:rPr>
                <w:rFonts w:hint="eastAsia"/>
                <w:kern w:val="0"/>
                <w:sz w:val="24"/>
                <w:lang w:val="en-US" w:eastAsia="zh-CN"/>
              </w:rPr>
              <w:t>排水工程混凝土配合比</w:t>
            </w:r>
          </w:p>
        </w:tc>
        <w:tc>
          <w:tcPr>
            <w:tcW w:w="2042" w:type="dxa"/>
            <w:vMerge w:val="continue"/>
            <w:tcBorders>
              <w:left w:val="single" w:color="000000" w:sz="4" w:space="0"/>
              <w:right w:val="single" w:color="000000" w:sz="4" w:space="0"/>
            </w:tcBorders>
            <w:shd w:val="clear" w:color="auto" w:fill="auto"/>
            <w:vAlign w:val="center"/>
          </w:tcPr>
          <w:p w14:paraId="3B775C59">
            <w:pPr>
              <w:jc w:val="center"/>
              <w:rPr>
                <w:rFonts w:hint="eastAsia"/>
                <w:kern w:val="0"/>
                <w:sz w:val="24"/>
              </w:rPr>
            </w:pPr>
          </w:p>
        </w:tc>
      </w:tr>
      <w:tr w14:paraId="7A0FF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703E8A81">
            <w:pPr>
              <w:jc w:val="center"/>
              <w:rPr>
                <w:rFonts w:hint="eastAsia"/>
                <w:kern w:val="0"/>
                <w:sz w:val="24"/>
              </w:rPr>
            </w:pPr>
            <w:r>
              <w:rPr>
                <w:rFonts w:hint="eastAsia"/>
                <w:kern w:val="0"/>
                <w:sz w:val="24"/>
                <w:lang w:val="en-US" w:eastAsia="zh-CN"/>
              </w:rPr>
              <w:t>13</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3BB54B">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AD053">
            <w:pPr>
              <w:jc w:val="center"/>
              <w:rPr>
                <w:rFonts w:hint="eastAsia"/>
                <w:kern w:val="0"/>
                <w:sz w:val="24"/>
              </w:rPr>
            </w:pPr>
            <w:r>
              <w:rPr>
                <w:rFonts w:hint="eastAsia"/>
                <w:kern w:val="0"/>
                <w:sz w:val="24"/>
                <w:lang w:val="en-US" w:eastAsia="zh-CN"/>
              </w:rPr>
              <w:t>孔道压浆混凝土配合比</w:t>
            </w:r>
          </w:p>
        </w:tc>
        <w:tc>
          <w:tcPr>
            <w:tcW w:w="2042" w:type="dxa"/>
            <w:vMerge w:val="continue"/>
            <w:tcBorders>
              <w:left w:val="single" w:color="000000" w:sz="4" w:space="0"/>
              <w:right w:val="single" w:color="000000" w:sz="4" w:space="0"/>
            </w:tcBorders>
            <w:shd w:val="clear" w:color="auto" w:fill="auto"/>
            <w:vAlign w:val="center"/>
          </w:tcPr>
          <w:p w14:paraId="300C7FE4">
            <w:pPr>
              <w:jc w:val="center"/>
              <w:rPr>
                <w:rFonts w:hint="eastAsia"/>
                <w:kern w:val="0"/>
                <w:sz w:val="24"/>
              </w:rPr>
            </w:pPr>
          </w:p>
        </w:tc>
      </w:tr>
      <w:tr w14:paraId="6197B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6A3F3">
            <w:pPr>
              <w:jc w:val="center"/>
              <w:rPr>
                <w:rFonts w:hint="eastAsia"/>
                <w:kern w:val="0"/>
                <w:sz w:val="24"/>
              </w:rPr>
            </w:pPr>
            <w:r>
              <w:rPr>
                <w:rFonts w:hint="eastAsia"/>
                <w:kern w:val="0"/>
                <w:sz w:val="24"/>
                <w:lang w:val="en-US" w:eastAsia="zh-CN"/>
              </w:rPr>
              <w:t>14</w:t>
            </w:r>
          </w:p>
        </w:tc>
        <w:tc>
          <w:tcPr>
            <w:tcW w:w="1481" w:type="dxa"/>
            <w:vMerge w:val="restart"/>
            <w:tcBorders>
              <w:top w:val="nil"/>
              <w:left w:val="single" w:color="000000" w:sz="4" w:space="0"/>
              <w:bottom w:val="nil"/>
              <w:right w:val="single" w:color="000000" w:sz="4" w:space="0"/>
            </w:tcBorders>
            <w:shd w:val="clear" w:color="auto" w:fill="auto"/>
            <w:vAlign w:val="center"/>
          </w:tcPr>
          <w:p w14:paraId="5B907DF3">
            <w:pPr>
              <w:jc w:val="center"/>
              <w:rPr>
                <w:rFonts w:hint="eastAsia"/>
                <w:kern w:val="0"/>
                <w:sz w:val="24"/>
              </w:rPr>
            </w:pPr>
            <w:r>
              <w:rPr>
                <w:rFonts w:hint="eastAsia"/>
                <w:kern w:val="0"/>
                <w:sz w:val="24"/>
                <w:lang w:val="en-US" w:eastAsia="zh-CN"/>
              </w:rPr>
              <w:t>路面基层</w:t>
            </w: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B0880">
            <w:pPr>
              <w:jc w:val="center"/>
              <w:rPr>
                <w:rFonts w:hint="eastAsia"/>
                <w:kern w:val="0"/>
                <w:sz w:val="24"/>
              </w:rPr>
            </w:pPr>
            <w:r>
              <w:rPr>
                <w:rFonts w:hint="eastAsia"/>
                <w:kern w:val="0"/>
                <w:sz w:val="24"/>
                <w:lang w:val="en-US" w:eastAsia="zh-CN"/>
              </w:rPr>
              <w:t>水泥混凝土取芯强度、厚度</w:t>
            </w:r>
          </w:p>
        </w:tc>
        <w:tc>
          <w:tcPr>
            <w:tcW w:w="2042" w:type="dxa"/>
            <w:vMerge w:val="continue"/>
            <w:tcBorders>
              <w:left w:val="single" w:color="000000" w:sz="4" w:space="0"/>
              <w:right w:val="single" w:color="000000" w:sz="4" w:space="0"/>
            </w:tcBorders>
            <w:shd w:val="clear" w:color="auto" w:fill="auto"/>
            <w:vAlign w:val="center"/>
          </w:tcPr>
          <w:p w14:paraId="4665E073">
            <w:pPr>
              <w:jc w:val="center"/>
              <w:rPr>
                <w:rFonts w:hint="eastAsia"/>
                <w:kern w:val="0"/>
                <w:sz w:val="24"/>
              </w:rPr>
            </w:pPr>
          </w:p>
        </w:tc>
      </w:tr>
      <w:tr w14:paraId="00EBD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2FFA52E4">
            <w:pPr>
              <w:jc w:val="center"/>
              <w:rPr>
                <w:rFonts w:hint="eastAsia"/>
                <w:kern w:val="0"/>
                <w:sz w:val="24"/>
              </w:rPr>
            </w:pPr>
            <w:r>
              <w:rPr>
                <w:rFonts w:hint="eastAsia"/>
                <w:kern w:val="0"/>
                <w:sz w:val="24"/>
                <w:lang w:val="en-US" w:eastAsia="zh-CN"/>
              </w:rPr>
              <w:t>15</w:t>
            </w:r>
          </w:p>
        </w:tc>
        <w:tc>
          <w:tcPr>
            <w:tcW w:w="1481" w:type="dxa"/>
            <w:vMerge w:val="continue"/>
            <w:tcBorders>
              <w:top w:val="nil"/>
              <w:left w:val="single" w:color="000000" w:sz="4" w:space="0"/>
              <w:bottom w:val="nil"/>
              <w:right w:val="single" w:color="000000" w:sz="4" w:space="0"/>
            </w:tcBorders>
            <w:shd w:val="clear" w:color="auto" w:fill="auto"/>
            <w:vAlign w:val="center"/>
          </w:tcPr>
          <w:p w14:paraId="0F73AE81">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C411F">
            <w:pPr>
              <w:jc w:val="center"/>
              <w:rPr>
                <w:rFonts w:hint="eastAsia"/>
                <w:kern w:val="0"/>
                <w:sz w:val="24"/>
              </w:rPr>
            </w:pPr>
            <w:r>
              <w:rPr>
                <w:rFonts w:hint="eastAsia"/>
                <w:kern w:val="0"/>
                <w:sz w:val="24"/>
                <w:lang w:val="en-US" w:eastAsia="zh-CN"/>
              </w:rPr>
              <w:t>混凝土路面板角弯沉和注浆后饱满度</w:t>
            </w:r>
          </w:p>
        </w:tc>
        <w:tc>
          <w:tcPr>
            <w:tcW w:w="2042" w:type="dxa"/>
            <w:vMerge w:val="continue"/>
            <w:tcBorders>
              <w:left w:val="single" w:color="000000" w:sz="4" w:space="0"/>
              <w:right w:val="single" w:color="000000" w:sz="4" w:space="0"/>
            </w:tcBorders>
            <w:shd w:val="clear" w:color="auto" w:fill="auto"/>
            <w:vAlign w:val="center"/>
          </w:tcPr>
          <w:p w14:paraId="26BA24A5">
            <w:pPr>
              <w:jc w:val="center"/>
              <w:rPr>
                <w:rFonts w:hint="eastAsia"/>
                <w:kern w:val="0"/>
                <w:sz w:val="24"/>
              </w:rPr>
            </w:pPr>
          </w:p>
        </w:tc>
      </w:tr>
      <w:tr w14:paraId="1F013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21850632">
            <w:pPr>
              <w:jc w:val="center"/>
              <w:rPr>
                <w:rFonts w:hint="eastAsia"/>
                <w:kern w:val="0"/>
                <w:sz w:val="24"/>
              </w:rPr>
            </w:pPr>
            <w:r>
              <w:rPr>
                <w:rFonts w:hint="eastAsia"/>
                <w:kern w:val="0"/>
                <w:sz w:val="24"/>
                <w:lang w:val="en-US" w:eastAsia="zh-CN"/>
              </w:rPr>
              <w:t>16</w:t>
            </w:r>
          </w:p>
        </w:tc>
        <w:tc>
          <w:tcPr>
            <w:tcW w:w="1481" w:type="dxa"/>
            <w:vMerge w:val="continue"/>
            <w:tcBorders>
              <w:top w:val="nil"/>
              <w:left w:val="single" w:color="000000" w:sz="4" w:space="0"/>
              <w:bottom w:val="nil"/>
              <w:right w:val="single" w:color="000000" w:sz="4" w:space="0"/>
            </w:tcBorders>
            <w:shd w:val="clear" w:color="auto" w:fill="auto"/>
            <w:vAlign w:val="center"/>
          </w:tcPr>
          <w:p w14:paraId="1D675235">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94C34">
            <w:pPr>
              <w:jc w:val="center"/>
              <w:rPr>
                <w:rFonts w:hint="eastAsia"/>
                <w:kern w:val="0"/>
                <w:sz w:val="24"/>
              </w:rPr>
            </w:pPr>
            <w:r>
              <w:rPr>
                <w:rFonts w:hint="eastAsia"/>
                <w:kern w:val="0"/>
                <w:sz w:val="24"/>
                <w:lang w:val="en-US" w:eastAsia="zh-CN"/>
              </w:rPr>
              <w:t>孔道压浆/混凝土试块（抗压/抗弯拉）</w:t>
            </w:r>
          </w:p>
        </w:tc>
        <w:tc>
          <w:tcPr>
            <w:tcW w:w="2042" w:type="dxa"/>
            <w:vMerge w:val="continue"/>
            <w:tcBorders>
              <w:left w:val="single" w:color="000000" w:sz="4" w:space="0"/>
              <w:right w:val="single" w:color="000000" w:sz="4" w:space="0"/>
            </w:tcBorders>
            <w:shd w:val="clear" w:color="auto" w:fill="auto"/>
            <w:vAlign w:val="center"/>
          </w:tcPr>
          <w:p w14:paraId="3B73EF25">
            <w:pPr>
              <w:jc w:val="center"/>
              <w:rPr>
                <w:rFonts w:hint="eastAsia"/>
                <w:kern w:val="0"/>
                <w:sz w:val="24"/>
              </w:rPr>
            </w:pPr>
          </w:p>
        </w:tc>
      </w:tr>
      <w:tr w14:paraId="1E31F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4E4C4">
            <w:pPr>
              <w:jc w:val="center"/>
              <w:rPr>
                <w:rFonts w:hint="eastAsia"/>
                <w:kern w:val="0"/>
                <w:sz w:val="24"/>
              </w:rPr>
            </w:pPr>
            <w:r>
              <w:rPr>
                <w:rFonts w:hint="eastAsia"/>
                <w:kern w:val="0"/>
                <w:sz w:val="24"/>
                <w:lang w:val="en-US" w:eastAsia="zh-CN"/>
              </w:rPr>
              <w:t>17</w:t>
            </w:r>
          </w:p>
        </w:tc>
        <w:tc>
          <w:tcPr>
            <w:tcW w:w="1481" w:type="dxa"/>
            <w:vMerge w:val="continue"/>
            <w:tcBorders>
              <w:top w:val="nil"/>
              <w:left w:val="single" w:color="000000" w:sz="4" w:space="0"/>
              <w:bottom w:val="nil"/>
              <w:right w:val="single" w:color="000000" w:sz="4" w:space="0"/>
            </w:tcBorders>
            <w:shd w:val="clear" w:color="auto" w:fill="auto"/>
            <w:vAlign w:val="center"/>
          </w:tcPr>
          <w:p w14:paraId="1D0EBB00">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78EEB">
            <w:pPr>
              <w:jc w:val="center"/>
              <w:rPr>
                <w:rFonts w:hint="eastAsia"/>
                <w:kern w:val="0"/>
                <w:sz w:val="24"/>
              </w:rPr>
            </w:pPr>
            <w:r>
              <w:rPr>
                <w:rFonts w:hint="eastAsia"/>
                <w:kern w:val="0"/>
                <w:sz w:val="24"/>
                <w:lang w:val="en-US" w:eastAsia="zh-CN"/>
              </w:rPr>
              <w:t>级配碎石层压实度、厚度</w:t>
            </w:r>
          </w:p>
        </w:tc>
        <w:tc>
          <w:tcPr>
            <w:tcW w:w="2042" w:type="dxa"/>
            <w:vMerge w:val="continue"/>
            <w:tcBorders>
              <w:left w:val="single" w:color="000000" w:sz="4" w:space="0"/>
              <w:right w:val="single" w:color="000000" w:sz="4" w:space="0"/>
            </w:tcBorders>
            <w:shd w:val="clear" w:color="auto" w:fill="auto"/>
            <w:vAlign w:val="center"/>
          </w:tcPr>
          <w:p w14:paraId="25A4B06E">
            <w:pPr>
              <w:jc w:val="center"/>
              <w:rPr>
                <w:rFonts w:hint="eastAsia"/>
                <w:kern w:val="0"/>
                <w:sz w:val="24"/>
              </w:rPr>
            </w:pPr>
          </w:p>
        </w:tc>
      </w:tr>
      <w:tr w14:paraId="6862B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066549E4">
            <w:pPr>
              <w:jc w:val="center"/>
              <w:rPr>
                <w:rFonts w:hint="eastAsia"/>
                <w:kern w:val="0"/>
                <w:sz w:val="24"/>
              </w:rPr>
            </w:pPr>
            <w:r>
              <w:rPr>
                <w:rFonts w:hint="eastAsia"/>
                <w:kern w:val="0"/>
                <w:sz w:val="24"/>
                <w:lang w:val="en-US" w:eastAsia="zh-CN"/>
              </w:rPr>
              <w:t>18</w:t>
            </w:r>
          </w:p>
        </w:tc>
        <w:tc>
          <w:tcPr>
            <w:tcW w:w="1481" w:type="dxa"/>
            <w:vMerge w:val="continue"/>
            <w:tcBorders>
              <w:top w:val="nil"/>
              <w:left w:val="single" w:color="000000" w:sz="4" w:space="0"/>
              <w:bottom w:val="nil"/>
              <w:right w:val="single" w:color="000000" w:sz="4" w:space="0"/>
            </w:tcBorders>
            <w:shd w:val="clear" w:color="auto" w:fill="auto"/>
            <w:vAlign w:val="center"/>
          </w:tcPr>
          <w:p w14:paraId="4F6F3325">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21C1E">
            <w:pPr>
              <w:jc w:val="center"/>
              <w:rPr>
                <w:rFonts w:hint="eastAsia"/>
                <w:kern w:val="0"/>
                <w:sz w:val="24"/>
              </w:rPr>
            </w:pPr>
            <w:r>
              <w:rPr>
                <w:rFonts w:hint="eastAsia"/>
                <w:kern w:val="0"/>
                <w:sz w:val="24"/>
                <w:lang w:val="en-US" w:eastAsia="zh-CN"/>
              </w:rPr>
              <w:t>土基压实度</w:t>
            </w:r>
          </w:p>
        </w:tc>
        <w:tc>
          <w:tcPr>
            <w:tcW w:w="2042" w:type="dxa"/>
            <w:vMerge w:val="continue"/>
            <w:tcBorders>
              <w:left w:val="single" w:color="000000" w:sz="4" w:space="0"/>
              <w:right w:val="single" w:color="000000" w:sz="4" w:space="0"/>
            </w:tcBorders>
            <w:shd w:val="clear" w:color="auto" w:fill="auto"/>
            <w:vAlign w:val="center"/>
          </w:tcPr>
          <w:p w14:paraId="6C3FC847">
            <w:pPr>
              <w:jc w:val="center"/>
              <w:rPr>
                <w:rFonts w:hint="eastAsia"/>
                <w:kern w:val="0"/>
                <w:sz w:val="24"/>
              </w:rPr>
            </w:pPr>
          </w:p>
        </w:tc>
      </w:tr>
      <w:tr w14:paraId="0AE0D8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25AAAACA">
            <w:pPr>
              <w:jc w:val="center"/>
              <w:rPr>
                <w:rFonts w:hint="eastAsia"/>
                <w:kern w:val="0"/>
                <w:sz w:val="24"/>
              </w:rPr>
            </w:pPr>
            <w:r>
              <w:rPr>
                <w:rFonts w:hint="eastAsia"/>
                <w:kern w:val="0"/>
                <w:sz w:val="24"/>
                <w:lang w:val="en-US" w:eastAsia="zh-CN"/>
              </w:rPr>
              <w:t>19</w:t>
            </w:r>
          </w:p>
        </w:tc>
        <w:tc>
          <w:tcPr>
            <w:tcW w:w="1481" w:type="dxa"/>
            <w:vMerge w:val="restart"/>
            <w:tcBorders>
              <w:top w:val="single" w:color="000000" w:sz="4" w:space="0"/>
              <w:left w:val="single" w:color="000000" w:sz="4" w:space="0"/>
              <w:bottom w:val="nil"/>
              <w:right w:val="single" w:color="000000" w:sz="4" w:space="0"/>
            </w:tcBorders>
            <w:shd w:val="clear" w:color="auto" w:fill="auto"/>
            <w:vAlign w:val="center"/>
          </w:tcPr>
          <w:p w14:paraId="0D035CF8">
            <w:pPr>
              <w:jc w:val="center"/>
              <w:rPr>
                <w:rFonts w:hint="eastAsia"/>
                <w:kern w:val="0"/>
                <w:sz w:val="24"/>
              </w:rPr>
            </w:pPr>
            <w:r>
              <w:rPr>
                <w:rFonts w:hint="eastAsia"/>
                <w:kern w:val="0"/>
                <w:sz w:val="24"/>
                <w:lang w:val="en-US" w:eastAsia="zh-CN"/>
              </w:rPr>
              <w:t>路面面层</w:t>
            </w: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57E24">
            <w:pPr>
              <w:jc w:val="center"/>
              <w:rPr>
                <w:rFonts w:hint="eastAsia"/>
                <w:kern w:val="0"/>
                <w:sz w:val="24"/>
              </w:rPr>
            </w:pPr>
            <w:r>
              <w:rPr>
                <w:rFonts w:hint="eastAsia"/>
                <w:kern w:val="0"/>
                <w:sz w:val="24"/>
                <w:lang w:val="en-US" w:eastAsia="zh-CN"/>
              </w:rPr>
              <w:t>压实度</w:t>
            </w:r>
          </w:p>
        </w:tc>
        <w:tc>
          <w:tcPr>
            <w:tcW w:w="2042" w:type="dxa"/>
            <w:vMerge w:val="continue"/>
            <w:tcBorders>
              <w:left w:val="single" w:color="000000" w:sz="4" w:space="0"/>
              <w:right w:val="single" w:color="000000" w:sz="4" w:space="0"/>
            </w:tcBorders>
            <w:shd w:val="clear" w:color="auto" w:fill="auto"/>
            <w:vAlign w:val="center"/>
          </w:tcPr>
          <w:p w14:paraId="224E568C">
            <w:pPr>
              <w:jc w:val="center"/>
              <w:rPr>
                <w:rFonts w:hint="eastAsia"/>
                <w:kern w:val="0"/>
                <w:sz w:val="24"/>
              </w:rPr>
            </w:pPr>
          </w:p>
        </w:tc>
      </w:tr>
      <w:tr w14:paraId="1178D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4A560">
            <w:pPr>
              <w:jc w:val="center"/>
              <w:rPr>
                <w:rFonts w:hint="eastAsia"/>
                <w:kern w:val="0"/>
                <w:sz w:val="24"/>
              </w:rPr>
            </w:pPr>
            <w:r>
              <w:rPr>
                <w:rFonts w:hint="eastAsia"/>
                <w:kern w:val="0"/>
                <w:sz w:val="24"/>
                <w:lang w:val="en-US" w:eastAsia="zh-CN"/>
              </w:rPr>
              <w:t>20</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6CC438E8">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8D1A5">
            <w:pPr>
              <w:jc w:val="center"/>
              <w:rPr>
                <w:rFonts w:hint="eastAsia"/>
                <w:kern w:val="0"/>
                <w:sz w:val="24"/>
              </w:rPr>
            </w:pPr>
            <w:r>
              <w:rPr>
                <w:rFonts w:hint="eastAsia"/>
                <w:kern w:val="0"/>
                <w:sz w:val="24"/>
                <w:lang w:val="en-US" w:eastAsia="zh-CN"/>
              </w:rPr>
              <w:t>厚度</w:t>
            </w:r>
          </w:p>
        </w:tc>
        <w:tc>
          <w:tcPr>
            <w:tcW w:w="2042" w:type="dxa"/>
            <w:vMerge w:val="continue"/>
            <w:tcBorders>
              <w:left w:val="single" w:color="000000" w:sz="4" w:space="0"/>
              <w:right w:val="single" w:color="000000" w:sz="4" w:space="0"/>
            </w:tcBorders>
            <w:shd w:val="clear" w:color="auto" w:fill="auto"/>
            <w:vAlign w:val="center"/>
          </w:tcPr>
          <w:p w14:paraId="65B7678A">
            <w:pPr>
              <w:jc w:val="center"/>
              <w:rPr>
                <w:rFonts w:hint="eastAsia"/>
                <w:kern w:val="0"/>
                <w:sz w:val="24"/>
              </w:rPr>
            </w:pPr>
          </w:p>
        </w:tc>
      </w:tr>
      <w:tr w14:paraId="7C134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5F6E4F88">
            <w:pPr>
              <w:jc w:val="center"/>
              <w:rPr>
                <w:rFonts w:hint="eastAsia"/>
                <w:kern w:val="0"/>
                <w:sz w:val="24"/>
              </w:rPr>
            </w:pPr>
            <w:r>
              <w:rPr>
                <w:rFonts w:hint="eastAsia"/>
                <w:kern w:val="0"/>
                <w:sz w:val="24"/>
                <w:lang w:val="en-US" w:eastAsia="zh-CN"/>
              </w:rPr>
              <w:t>21</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7270F3FB">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8E884">
            <w:pPr>
              <w:jc w:val="center"/>
              <w:rPr>
                <w:rFonts w:hint="eastAsia"/>
                <w:kern w:val="0"/>
                <w:sz w:val="24"/>
              </w:rPr>
            </w:pPr>
            <w:r>
              <w:rPr>
                <w:rFonts w:hint="eastAsia"/>
                <w:kern w:val="0"/>
                <w:sz w:val="24"/>
                <w:lang w:val="en-US" w:eastAsia="zh-CN"/>
              </w:rPr>
              <w:t>马歇尔稳定度</w:t>
            </w:r>
          </w:p>
        </w:tc>
        <w:tc>
          <w:tcPr>
            <w:tcW w:w="2042" w:type="dxa"/>
            <w:vMerge w:val="continue"/>
            <w:tcBorders>
              <w:left w:val="single" w:color="000000" w:sz="4" w:space="0"/>
              <w:right w:val="single" w:color="000000" w:sz="4" w:space="0"/>
            </w:tcBorders>
            <w:shd w:val="clear" w:color="auto" w:fill="auto"/>
            <w:vAlign w:val="center"/>
          </w:tcPr>
          <w:p w14:paraId="2A3E7BEB">
            <w:pPr>
              <w:jc w:val="center"/>
              <w:rPr>
                <w:rFonts w:hint="eastAsia"/>
                <w:kern w:val="0"/>
                <w:sz w:val="24"/>
              </w:rPr>
            </w:pPr>
          </w:p>
        </w:tc>
      </w:tr>
      <w:tr w14:paraId="43E1B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1A051131">
            <w:pPr>
              <w:jc w:val="center"/>
              <w:rPr>
                <w:rFonts w:hint="eastAsia"/>
                <w:kern w:val="0"/>
                <w:sz w:val="24"/>
              </w:rPr>
            </w:pPr>
            <w:r>
              <w:rPr>
                <w:rFonts w:hint="eastAsia"/>
                <w:kern w:val="0"/>
                <w:sz w:val="24"/>
                <w:lang w:val="en-US" w:eastAsia="zh-CN"/>
              </w:rPr>
              <w:t>22</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6735676B">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B3CC6">
            <w:pPr>
              <w:jc w:val="center"/>
              <w:rPr>
                <w:rFonts w:hint="eastAsia"/>
                <w:kern w:val="0"/>
                <w:sz w:val="24"/>
              </w:rPr>
            </w:pPr>
            <w:r>
              <w:rPr>
                <w:rFonts w:hint="eastAsia"/>
                <w:kern w:val="0"/>
                <w:sz w:val="24"/>
                <w:lang w:val="en-US" w:eastAsia="zh-CN"/>
              </w:rPr>
              <w:t>马歇尔密度</w:t>
            </w:r>
          </w:p>
        </w:tc>
        <w:tc>
          <w:tcPr>
            <w:tcW w:w="2042" w:type="dxa"/>
            <w:vMerge w:val="continue"/>
            <w:tcBorders>
              <w:left w:val="single" w:color="000000" w:sz="4" w:space="0"/>
              <w:right w:val="single" w:color="000000" w:sz="4" w:space="0"/>
            </w:tcBorders>
            <w:shd w:val="clear" w:color="auto" w:fill="auto"/>
            <w:vAlign w:val="center"/>
          </w:tcPr>
          <w:p w14:paraId="4B37A796">
            <w:pPr>
              <w:jc w:val="center"/>
              <w:rPr>
                <w:rFonts w:hint="eastAsia"/>
                <w:kern w:val="0"/>
                <w:sz w:val="24"/>
              </w:rPr>
            </w:pPr>
          </w:p>
        </w:tc>
      </w:tr>
      <w:tr w14:paraId="26337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D66F3">
            <w:pPr>
              <w:jc w:val="center"/>
              <w:rPr>
                <w:rFonts w:hint="eastAsia"/>
                <w:kern w:val="0"/>
                <w:sz w:val="24"/>
              </w:rPr>
            </w:pPr>
            <w:r>
              <w:rPr>
                <w:rFonts w:hint="eastAsia"/>
                <w:kern w:val="0"/>
                <w:sz w:val="24"/>
                <w:lang w:val="en-US" w:eastAsia="zh-CN"/>
              </w:rPr>
              <w:t>23</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1A4C75C8">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F42D9">
            <w:pPr>
              <w:jc w:val="center"/>
              <w:rPr>
                <w:rFonts w:hint="eastAsia"/>
                <w:kern w:val="0"/>
                <w:sz w:val="24"/>
              </w:rPr>
            </w:pPr>
            <w:r>
              <w:rPr>
                <w:rFonts w:hint="eastAsia"/>
                <w:kern w:val="0"/>
                <w:sz w:val="24"/>
                <w:lang w:val="en-US" w:eastAsia="zh-CN"/>
              </w:rPr>
              <w:t>沥青含量、矿料级配、油石比、矿料级配、流值</w:t>
            </w:r>
          </w:p>
        </w:tc>
        <w:tc>
          <w:tcPr>
            <w:tcW w:w="2042" w:type="dxa"/>
            <w:vMerge w:val="continue"/>
            <w:tcBorders>
              <w:left w:val="single" w:color="000000" w:sz="4" w:space="0"/>
              <w:right w:val="single" w:color="000000" w:sz="4" w:space="0"/>
            </w:tcBorders>
            <w:shd w:val="clear" w:color="auto" w:fill="auto"/>
            <w:vAlign w:val="center"/>
          </w:tcPr>
          <w:p w14:paraId="0C8A30B1">
            <w:pPr>
              <w:jc w:val="center"/>
              <w:rPr>
                <w:rFonts w:hint="eastAsia"/>
                <w:kern w:val="0"/>
                <w:sz w:val="24"/>
              </w:rPr>
            </w:pPr>
          </w:p>
        </w:tc>
      </w:tr>
      <w:tr w14:paraId="2C6D2E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28BA79B3">
            <w:pPr>
              <w:jc w:val="center"/>
              <w:rPr>
                <w:rFonts w:hint="eastAsia"/>
                <w:kern w:val="0"/>
                <w:sz w:val="24"/>
              </w:rPr>
            </w:pPr>
            <w:r>
              <w:rPr>
                <w:rFonts w:hint="eastAsia"/>
                <w:kern w:val="0"/>
                <w:sz w:val="24"/>
                <w:lang w:val="en-US" w:eastAsia="zh-CN"/>
              </w:rPr>
              <w:t>24</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6503F19F">
            <w:pPr>
              <w:jc w:val="center"/>
              <w:rPr>
                <w:rFonts w:hint="eastAsia"/>
                <w:kern w:val="0"/>
                <w:sz w:val="24"/>
              </w:rPr>
            </w:pPr>
          </w:p>
        </w:tc>
        <w:tc>
          <w:tcPr>
            <w:tcW w:w="4002" w:type="dxa"/>
            <w:tcBorders>
              <w:top w:val="single" w:color="000000" w:sz="4" w:space="0"/>
              <w:left w:val="nil"/>
              <w:bottom w:val="single" w:color="000000" w:sz="4" w:space="0"/>
              <w:right w:val="single" w:color="000000" w:sz="4" w:space="0"/>
            </w:tcBorders>
            <w:shd w:val="clear" w:color="auto" w:fill="auto"/>
            <w:noWrap/>
            <w:vAlign w:val="center"/>
          </w:tcPr>
          <w:p w14:paraId="313B2F55">
            <w:pPr>
              <w:jc w:val="center"/>
              <w:rPr>
                <w:rFonts w:hint="eastAsia"/>
                <w:kern w:val="0"/>
                <w:sz w:val="24"/>
              </w:rPr>
            </w:pPr>
            <w:r>
              <w:rPr>
                <w:rFonts w:hint="eastAsia"/>
                <w:kern w:val="0"/>
                <w:sz w:val="24"/>
                <w:lang w:val="en-US" w:eastAsia="zh-CN"/>
              </w:rPr>
              <w:t>平整度/井框与路面高差</w:t>
            </w:r>
          </w:p>
        </w:tc>
        <w:tc>
          <w:tcPr>
            <w:tcW w:w="2042" w:type="dxa"/>
            <w:vMerge w:val="continue"/>
            <w:tcBorders>
              <w:left w:val="single" w:color="000000" w:sz="4" w:space="0"/>
              <w:right w:val="single" w:color="000000" w:sz="4" w:space="0"/>
            </w:tcBorders>
            <w:shd w:val="clear" w:color="auto" w:fill="auto"/>
            <w:vAlign w:val="center"/>
          </w:tcPr>
          <w:p w14:paraId="239E6091">
            <w:pPr>
              <w:jc w:val="center"/>
              <w:rPr>
                <w:rFonts w:hint="eastAsia"/>
                <w:kern w:val="0"/>
                <w:sz w:val="24"/>
              </w:rPr>
            </w:pPr>
          </w:p>
        </w:tc>
      </w:tr>
      <w:tr w14:paraId="14C19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61AA1BBE">
            <w:pPr>
              <w:jc w:val="center"/>
              <w:rPr>
                <w:rFonts w:hint="eastAsia"/>
                <w:kern w:val="0"/>
                <w:sz w:val="24"/>
              </w:rPr>
            </w:pPr>
            <w:r>
              <w:rPr>
                <w:rFonts w:hint="eastAsia"/>
                <w:kern w:val="0"/>
                <w:sz w:val="24"/>
                <w:lang w:val="en-US" w:eastAsia="zh-CN"/>
              </w:rPr>
              <w:t>25</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0B6711AD">
            <w:pPr>
              <w:jc w:val="center"/>
              <w:rPr>
                <w:rFonts w:hint="eastAsia"/>
                <w:kern w:val="0"/>
                <w:sz w:val="24"/>
              </w:rPr>
            </w:pPr>
          </w:p>
        </w:tc>
        <w:tc>
          <w:tcPr>
            <w:tcW w:w="4002" w:type="dxa"/>
            <w:tcBorders>
              <w:top w:val="single" w:color="000000" w:sz="4" w:space="0"/>
              <w:left w:val="nil"/>
              <w:bottom w:val="single" w:color="000000" w:sz="4" w:space="0"/>
              <w:right w:val="single" w:color="000000" w:sz="4" w:space="0"/>
            </w:tcBorders>
            <w:shd w:val="clear" w:color="auto" w:fill="auto"/>
            <w:vAlign w:val="center"/>
          </w:tcPr>
          <w:p w14:paraId="7C0DC6F9">
            <w:pPr>
              <w:jc w:val="center"/>
              <w:rPr>
                <w:rFonts w:hint="eastAsia"/>
                <w:kern w:val="0"/>
                <w:sz w:val="24"/>
              </w:rPr>
            </w:pPr>
            <w:r>
              <w:rPr>
                <w:rFonts w:hint="eastAsia"/>
                <w:kern w:val="0"/>
                <w:sz w:val="24"/>
                <w:lang w:val="en-US" w:eastAsia="zh-CN"/>
              </w:rPr>
              <w:t>弯沉</w:t>
            </w:r>
          </w:p>
        </w:tc>
        <w:tc>
          <w:tcPr>
            <w:tcW w:w="2042" w:type="dxa"/>
            <w:vMerge w:val="continue"/>
            <w:tcBorders>
              <w:left w:val="single" w:color="000000" w:sz="4" w:space="0"/>
              <w:right w:val="single" w:color="000000" w:sz="4" w:space="0"/>
            </w:tcBorders>
            <w:shd w:val="clear" w:color="auto" w:fill="auto"/>
            <w:vAlign w:val="center"/>
          </w:tcPr>
          <w:p w14:paraId="255A5F79">
            <w:pPr>
              <w:jc w:val="center"/>
              <w:rPr>
                <w:rFonts w:hint="eastAsia"/>
                <w:kern w:val="0"/>
                <w:sz w:val="24"/>
              </w:rPr>
            </w:pPr>
          </w:p>
        </w:tc>
      </w:tr>
      <w:tr w14:paraId="340FB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3940A">
            <w:pPr>
              <w:jc w:val="center"/>
              <w:rPr>
                <w:rFonts w:hint="eastAsia"/>
                <w:kern w:val="0"/>
                <w:sz w:val="24"/>
              </w:rPr>
            </w:pPr>
            <w:r>
              <w:rPr>
                <w:rFonts w:hint="eastAsia"/>
                <w:kern w:val="0"/>
                <w:sz w:val="24"/>
                <w:lang w:val="en-US" w:eastAsia="zh-CN"/>
              </w:rPr>
              <w:t>26</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1DC7EF78">
            <w:pPr>
              <w:jc w:val="center"/>
              <w:rPr>
                <w:rFonts w:hint="eastAsia"/>
                <w:kern w:val="0"/>
                <w:sz w:val="24"/>
              </w:rPr>
            </w:pPr>
          </w:p>
        </w:tc>
        <w:tc>
          <w:tcPr>
            <w:tcW w:w="4002" w:type="dxa"/>
            <w:tcBorders>
              <w:top w:val="single" w:color="000000" w:sz="4" w:space="0"/>
              <w:left w:val="nil"/>
              <w:bottom w:val="single" w:color="000000" w:sz="4" w:space="0"/>
              <w:right w:val="single" w:color="000000" w:sz="4" w:space="0"/>
            </w:tcBorders>
            <w:shd w:val="clear" w:color="auto" w:fill="auto"/>
            <w:vAlign w:val="center"/>
          </w:tcPr>
          <w:p w14:paraId="27F48998">
            <w:pPr>
              <w:jc w:val="center"/>
              <w:rPr>
                <w:rFonts w:hint="eastAsia"/>
                <w:kern w:val="0"/>
                <w:sz w:val="24"/>
              </w:rPr>
            </w:pPr>
            <w:r>
              <w:rPr>
                <w:rFonts w:hint="eastAsia"/>
                <w:kern w:val="0"/>
                <w:sz w:val="24"/>
                <w:lang w:val="en-US" w:eastAsia="zh-CN"/>
              </w:rPr>
              <w:t>抗车辙、渗水系数、摩擦系数等</w:t>
            </w:r>
          </w:p>
        </w:tc>
        <w:tc>
          <w:tcPr>
            <w:tcW w:w="2042" w:type="dxa"/>
            <w:vMerge w:val="continue"/>
            <w:tcBorders>
              <w:left w:val="single" w:color="000000" w:sz="4" w:space="0"/>
              <w:right w:val="single" w:color="000000" w:sz="4" w:space="0"/>
            </w:tcBorders>
            <w:shd w:val="clear" w:color="auto" w:fill="auto"/>
            <w:vAlign w:val="center"/>
          </w:tcPr>
          <w:p w14:paraId="639E1D55">
            <w:pPr>
              <w:jc w:val="center"/>
              <w:rPr>
                <w:rFonts w:hint="eastAsia"/>
                <w:kern w:val="0"/>
                <w:sz w:val="24"/>
              </w:rPr>
            </w:pPr>
          </w:p>
        </w:tc>
      </w:tr>
      <w:tr w14:paraId="1ED4D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6B5E21F2">
            <w:pPr>
              <w:jc w:val="center"/>
              <w:rPr>
                <w:rFonts w:hint="eastAsia"/>
                <w:kern w:val="0"/>
                <w:sz w:val="24"/>
              </w:rPr>
            </w:pPr>
            <w:r>
              <w:rPr>
                <w:rFonts w:hint="eastAsia"/>
                <w:kern w:val="0"/>
                <w:sz w:val="24"/>
                <w:lang w:val="en-US" w:eastAsia="zh-CN"/>
              </w:rPr>
              <w:t>27</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47CE0C1A">
            <w:pPr>
              <w:jc w:val="center"/>
              <w:rPr>
                <w:rFonts w:hint="eastAsia"/>
                <w:kern w:val="0"/>
                <w:sz w:val="24"/>
              </w:rPr>
            </w:pPr>
          </w:p>
        </w:tc>
        <w:tc>
          <w:tcPr>
            <w:tcW w:w="4002" w:type="dxa"/>
            <w:tcBorders>
              <w:top w:val="single" w:color="000000" w:sz="4" w:space="0"/>
              <w:left w:val="nil"/>
              <w:bottom w:val="single" w:color="000000" w:sz="4" w:space="0"/>
              <w:right w:val="single" w:color="000000" w:sz="4" w:space="0"/>
            </w:tcBorders>
            <w:shd w:val="clear" w:color="auto" w:fill="auto"/>
            <w:vAlign w:val="center"/>
          </w:tcPr>
          <w:p w14:paraId="1FA59DF5">
            <w:pPr>
              <w:jc w:val="center"/>
              <w:rPr>
                <w:rFonts w:hint="eastAsia"/>
                <w:kern w:val="0"/>
                <w:sz w:val="24"/>
              </w:rPr>
            </w:pPr>
            <w:r>
              <w:rPr>
                <w:rFonts w:hint="eastAsia"/>
                <w:kern w:val="0"/>
                <w:sz w:val="24"/>
                <w:lang w:val="en-US" w:eastAsia="zh-CN"/>
              </w:rPr>
              <w:t>横坡</w:t>
            </w:r>
          </w:p>
        </w:tc>
        <w:tc>
          <w:tcPr>
            <w:tcW w:w="2042" w:type="dxa"/>
            <w:vMerge w:val="continue"/>
            <w:tcBorders>
              <w:left w:val="single" w:color="000000" w:sz="4" w:space="0"/>
              <w:right w:val="single" w:color="000000" w:sz="4" w:space="0"/>
            </w:tcBorders>
            <w:shd w:val="clear" w:color="auto" w:fill="auto"/>
            <w:vAlign w:val="center"/>
          </w:tcPr>
          <w:p w14:paraId="1AD667EB">
            <w:pPr>
              <w:jc w:val="center"/>
              <w:rPr>
                <w:rFonts w:hint="eastAsia"/>
                <w:kern w:val="0"/>
                <w:sz w:val="24"/>
              </w:rPr>
            </w:pPr>
          </w:p>
        </w:tc>
      </w:tr>
      <w:tr w14:paraId="2075B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70235C05">
            <w:pPr>
              <w:jc w:val="center"/>
              <w:rPr>
                <w:rFonts w:hint="eastAsia"/>
                <w:kern w:val="0"/>
                <w:sz w:val="24"/>
              </w:rPr>
            </w:pPr>
            <w:r>
              <w:rPr>
                <w:rFonts w:hint="eastAsia"/>
                <w:kern w:val="0"/>
                <w:sz w:val="24"/>
                <w:lang w:val="en-US" w:eastAsia="zh-CN"/>
              </w:rPr>
              <w:t>28</w:t>
            </w:r>
          </w:p>
        </w:tc>
        <w:tc>
          <w:tcPr>
            <w:tcW w:w="1481" w:type="dxa"/>
            <w:vMerge w:val="restart"/>
            <w:tcBorders>
              <w:top w:val="single" w:color="000000" w:sz="4" w:space="0"/>
              <w:left w:val="single" w:color="000000" w:sz="4" w:space="0"/>
              <w:bottom w:val="nil"/>
              <w:right w:val="single" w:color="000000" w:sz="4" w:space="0"/>
            </w:tcBorders>
            <w:shd w:val="clear" w:color="auto" w:fill="auto"/>
            <w:vAlign w:val="center"/>
          </w:tcPr>
          <w:p w14:paraId="647D40B5">
            <w:pPr>
              <w:jc w:val="center"/>
              <w:rPr>
                <w:rFonts w:hint="eastAsia"/>
                <w:kern w:val="0"/>
                <w:sz w:val="24"/>
              </w:rPr>
            </w:pPr>
            <w:r>
              <w:rPr>
                <w:rFonts w:hint="eastAsia"/>
                <w:kern w:val="0"/>
                <w:sz w:val="24"/>
                <w:lang w:val="en-US" w:eastAsia="zh-CN"/>
              </w:rPr>
              <w:t>排水工程</w:t>
            </w:r>
          </w:p>
        </w:tc>
        <w:tc>
          <w:tcPr>
            <w:tcW w:w="4002" w:type="dxa"/>
            <w:tcBorders>
              <w:top w:val="single" w:color="000000" w:sz="4" w:space="0"/>
              <w:left w:val="nil"/>
              <w:bottom w:val="single" w:color="000000" w:sz="4" w:space="0"/>
              <w:right w:val="single" w:color="000000" w:sz="4" w:space="0"/>
            </w:tcBorders>
            <w:shd w:val="clear" w:color="auto" w:fill="auto"/>
            <w:vAlign w:val="center"/>
          </w:tcPr>
          <w:p w14:paraId="405B4895">
            <w:pPr>
              <w:jc w:val="center"/>
              <w:rPr>
                <w:rFonts w:hint="eastAsia"/>
                <w:kern w:val="0"/>
                <w:sz w:val="24"/>
              </w:rPr>
            </w:pPr>
            <w:r>
              <w:rPr>
                <w:rFonts w:hint="eastAsia"/>
                <w:kern w:val="0"/>
                <w:sz w:val="24"/>
                <w:lang w:val="en-US" w:eastAsia="zh-CN"/>
              </w:rPr>
              <w:t>砼强度（试块）</w:t>
            </w:r>
          </w:p>
        </w:tc>
        <w:tc>
          <w:tcPr>
            <w:tcW w:w="2042" w:type="dxa"/>
            <w:vMerge w:val="continue"/>
            <w:tcBorders>
              <w:left w:val="single" w:color="000000" w:sz="4" w:space="0"/>
              <w:right w:val="single" w:color="000000" w:sz="4" w:space="0"/>
            </w:tcBorders>
            <w:shd w:val="clear" w:color="auto" w:fill="auto"/>
            <w:vAlign w:val="center"/>
          </w:tcPr>
          <w:p w14:paraId="623140B1">
            <w:pPr>
              <w:jc w:val="center"/>
              <w:rPr>
                <w:rFonts w:hint="eastAsia"/>
                <w:kern w:val="0"/>
                <w:sz w:val="24"/>
              </w:rPr>
            </w:pPr>
          </w:p>
        </w:tc>
      </w:tr>
      <w:tr w14:paraId="14A97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9C76A8F">
            <w:pPr>
              <w:jc w:val="center"/>
              <w:rPr>
                <w:rFonts w:hint="eastAsia"/>
                <w:kern w:val="0"/>
                <w:sz w:val="24"/>
              </w:rPr>
            </w:pPr>
            <w:r>
              <w:rPr>
                <w:rFonts w:hint="eastAsia"/>
                <w:kern w:val="0"/>
                <w:sz w:val="24"/>
                <w:lang w:val="en-US" w:eastAsia="zh-CN"/>
              </w:rPr>
              <w:t>29</w:t>
            </w:r>
          </w:p>
        </w:tc>
        <w:tc>
          <w:tcPr>
            <w:tcW w:w="1481"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168808E7">
            <w:pPr>
              <w:jc w:val="center"/>
              <w:rPr>
                <w:rFonts w:hint="eastAsia"/>
                <w:kern w:val="0"/>
                <w:sz w:val="24"/>
              </w:rPr>
            </w:pPr>
          </w:p>
        </w:tc>
        <w:tc>
          <w:tcPr>
            <w:tcW w:w="4002" w:type="dxa"/>
            <w:tcBorders>
              <w:top w:val="nil"/>
              <w:left w:val="nil"/>
              <w:bottom w:val="single" w:color="auto" w:sz="4" w:space="0"/>
              <w:right w:val="single" w:color="000000" w:sz="4" w:space="0"/>
            </w:tcBorders>
            <w:shd w:val="clear" w:color="auto" w:fill="auto"/>
            <w:vAlign w:val="center"/>
          </w:tcPr>
          <w:p w14:paraId="046693A6">
            <w:pPr>
              <w:jc w:val="center"/>
              <w:rPr>
                <w:rFonts w:hint="eastAsia"/>
                <w:kern w:val="0"/>
                <w:sz w:val="24"/>
              </w:rPr>
            </w:pPr>
            <w:r>
              <w:rPr>
                <w:rFonts w:hint="eastAsia"/>
                <w:kern w:val="0"/>
                <w:sz w:val="24"/>
                <w:lang w:val="en-US" w:eastAsia="zh-CN"/>
              </w:rPr>
              <w:t>给排水管材</w:t>
            </w:r>
          </w:p>
        </w:tc>
        <w:tc>
          <w:tcPr>
            <w:tcW w:w="2042" w:type="dxa"/>
            <w:vMerge w:val="continue"/>
            <w:tcBorders>
              <w:left w:val="single" w:color="000000" w:sz="4" w:space="0"/>
              <w:bottom w:val="single" w:color="auto" w:sz="4" w:space="0"/>
              <w:right w:val="single" w:color="000000" w:sz="4" w:space="0"/>
            </w:tcBorders>
            <w:shd w:val="clear" w:color="auto" w:fill="auto"/>
            <w:vAlign w:val="center"/>
          </w:tcPr>
          <w:p w14:paraId="7302308E">
            <w:pPr>
              <w:jc w:val="center"/>
              <w:rPr>
                <w:rFonts w:hint="eastAsia"/>
                <w:kern w:val="0"/>
                <w:sz w:val="24"/>
              </w:rPr>
            </w:pPr>
          </w:p>
        </w:tc>
      </w:tr>
      <w:tr w14:paraId="62ACF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EC44C7E">
            <w:pPr>
              <w:jc w:val="center"/>
              <w:rPr>
                <w:rFonts w:hint="eastAsia"/>
                <w:kern w:val="0"/>
                <w:sz w:val="24"/>
              </w:rPr>
            </w:pPr>
            <w:r>
              <w:rPr>
                <w:rFonts w:hint="eastAsia"/>
                <w:kern w:val="0"/>
                <w:sz w:val="24"/>
                <w:lang w:val="en-US" w:eastAsia="zh-CN"/>
              </w:rPr>
              <w:t>30</w:t>
            </w:r>
          </w:p>
        </w:tc>
        <w:tc>
          <w:tcPr>
            <w:tcW w:w="1481"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33A39332">
            <w:pPr>
              <w:jc w:val="center"/>
              <w:rPr>
                <w:rFonts w:hint="eastAsia"/>
                <w:kern w:val="0"/>
                <w:sz w:val="24"/>
              </w:rPr>
            </w:pPr>
          </w:p>
        </w:tc>
        <w:tc>
          <w:tcPr>
            <w:tcW w:w="4002" w:type="dxa"/>
            <w:tcBorders>
              <w:top w:val="single" w:color="auto" w:sz="4" w:space="0"/>
              <w:left w:val="nil"/>
              <w:bottom w:val="single" w:color="000000" w:sz="4" w:space="0"/>
              <w:right w:val="single" w:color="000000" w:sz="4" w:space="0"/>
            </w:tcBorders>
            <w:shd w:val="clear" w:color="auto" w:fill="auto"/>
            <w:vAlign w:val="center"/>
          </w:tcPr>
          <w:p w14:paraId="1B92A5FB">
            <w:pPr>
              <w:jc w:val="center"/>
              <w:rPr>
                <w:rFonts w:hint="eastAsia"/>
                <w:kern w:val="0"/>
                <w:sz w:val="24"/>
              </w:rPr>
            </w:pPr>
            <w:r>
              <w:rPr>
                <w:rFonts w:hint="eastAsia"/>
                <w:kern w:val="0"/>
                <w:sz w:val="24"/>
                <w:lang w:val="en-US" w:eastAsia="zh-CN"/>
              </w:rPr>
              <w:t>井盖/雨水箅</w:t>
            </w:r>
          </w:p>
        </w:tc>
        <w:tc>
          <w:tcPr>
            <w:tcW w:w="2042" w:type="dxa"/>
            <w:vMerge w:val="continue"/>
            <w:tcBorders>
              <w:top w:val="single" w:color="auto" w:sz="4" w:space="0"/>
              <w:left w:val="single" w:color="000000" w:sz="4" w:space="0"/>
              <w:right w:val="single" w:color="000000" w:sz="4" w:space="0"/>
            </w:tcBorders>
            <w:shd w:val="clear" w:color="auto" w:fill="auto"/>
            <w:vAlign w:val="center"/>
          </w:tcPr>
          <w:p w14:paraId="772AE5D6">
            <w:pPr>
              <w:jc w:val="center"/>
              <w:rPr>
                <w:rFonts w:hint="eastAsia"/>
                <w:kern w:val="0"/>
                <w:sz w:val="24"/>
              </w:rPr>
            </w:pPr>
          </w:p>
        </w:tc>
      </w:tr>
      <w:tr w14:paraId="575B3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31DAEDCA">
            <w:pPr>
              <w:jc w:val="center"/>
              <w:rPr>
                <w:rFonts w:hint="eastAsia"/>
                <w:kern w:val="0"/>
                <w:sz w:val="24"/>
              </w:rPr>
            </w:pPr>
            <w:r>
              <w:rPr>
                <w:rFonts w:hint="eastAsia"/>
                <w:kern w:val="0"/>
                <w:sz w:val="24"/>
                <w:lang w:val="en-US" w:eastAsia="zh-CN"/>
              </w:rPr>
              <w:t>31</w:t>
            </w:r>
          </w:p>
        </w:tc>
        <w:tc>
          <w:tcPr>
            <w:tcW w:w="1481"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44B64665">
            <w:pPr>
              <w:jc w:val="center"/>
              <w:rPr>
                <w:rFonts w:hint="eastAsia"/>
                <w:kern w:val="0"/>
                <w:sz w:val="24"/>
              </w:rPr>
            </w:pPr>
            <w:r>
              <w:rPr>
                <w:rFonts w:hint="eastAsia"/>
                <w:kern w:val="0"/>
                <w:sz w:val="24"/>
                <w:lang w:val="en-US" w:eastAsia="zh-CN"/>
              </w:rPr>
              <w:t>交通工程</w:t>
            </w: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14:paraId="065244A6">
            <w:pPr>
              <w:jc w:val="center"/>
              <w:rPr>
                <w:rFonts w:hint="eastAsia"/>
                <w:kern w:val="0"/>
                <w:sz w:val="24"/>
              </w:rPr>
            </w:pPr>
            <w:r>
              <w:rPr>
                <w:rFonts w:hint="eastAsia"/>
                <w:kern w:val="0"/>
                <w:sz w:val="24"/>
                <w:lang w:val="en-US" w:eastAsia="zh-CN"/>
              </w:rPr>
              <w:t>立柱竖直度/标志板净空</w:t>
            </w:r>
          </w:p>
        </w:tc>
        <w:tc>
          <w:tcPr>
            <w:tcW w:w="2042" w:type="dxa"/>
            <w:vMerge w:val="continue"/>
            <w:tcBorders>
              <w:left w:val="single" w:color="000000" w:sz="4" w:space="0"/>
              <w:right w:val="single" w:color="000000" w:sz="4" w:space="0"/>
            </w:tcBorders>
            <w:shd w:val="clear" w:color="auto" w:fill="auto"/>
            <w:vAlign w:val="center"/>
          </w:tcPr>
          <w:p w14:paraId="0C8CA271">
            <w:pPr>
              <w:jc w:val="center"/>
              <w:rPr>
                <w:rFonts w:hint="eastAsia"/>
                <w:kern w:val="0"/>
                <w:sz w:val="24"/>
              </w:rPr>
            </w:pPr>
          </w:p>
        </w:tc>
      </w:tr>
      <w:tr w14:paraId="49880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97B50">
            <w:pPr>
              <w:jc w:val="center"/>
              <w:rPr>
                <w:rFonts w:hint="eastAsia"/>
                <w:kern w:val="0"/>
                <w:sz w:val="24"/>
              </w:rPr>
            </w:pPr>
            <w:r>
              <w:rPr>
                <w:rFonts w:hint="eastAsia"/>
                <w:kern w:val="0"/>
                <w:sz w:val="24"/>
                <w:lang w:val="en-US" w:eastAsia="zh-CN"/>
              </w:rPr>
              <w:t>32</w:t>
            </w:r>
          </w:p>
        </w:tc>
        <w:tc>
          <w:tcPr>
            <w:tcW w:w="1481"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02BA5B0C">
            <w:pPr>
              <w:jc w:val="center"/>
              <w:rPr>
                <w:rFonts w:hint="eastAsia"/>
                <w:kern w:val="0"/>
                <w:sz w:val="24"/>
              </w:rPr>
            </w:pP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14:paraId="66AF3610">
            <w:pPr>
              <w:jc w:val="center"/>
              <w:rPr>
                <w:rFonts w:hint="eastAsia"/>
                <w:kern w:val="0"/>
                <w:sz w:val="24"/>
              </w:rPr>
            </w:pPr>
            <w:r>
              <w:rPr>
                <w:rFonts w:hint="eastAsia"/>
                <w:kern w:val="0"/>
                <w:sz w:val="24"/>
                <w:lang w:val="en-US" w:eastAsia="zh-CN"/>
              </w:rPr>
              <w:t>标志板（几何尺寸）</w:t>
            </w:r>
          </w:p>
        </w:tc>
        <w:tc>
          <w:tcPr>
            <w:tcW w:w="2042" w:type="dxa"/>
            <w:vMerge w:val="continue"/>
            <w:tcBorders>
              <w:left w:val="single" w:color="000000" w:sz="4" w:space="0"/>
              <w:right w:val="single" w:color="000000" w:sz="4" w:space="0"/>
            </w:tcBorders>
            <w:shd w:val="clear" w:color="auto" w:fill="auto"/>
            <w:vAlign w:val="center"/>
          </w:tcPr>
          <w:p w14:paraId="6ECAEE6A">
            <w:pPr>
              <w:jc w:val="center"/>
              <w:rPr>
                <w:rFonts w:hint="eastAsia"/>
                <w:kern w:val="0"/>
                <w:sz w:val="24"/>
              </w:rPr>
            </w:pPr>
          </w:p>
        </w:tc>
      </w:tr>
      <w:tr w14:paraId="73A16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090D2281">
            <w:pPr>
              <w:jc w:val="center"/>
              <w:rPr>
                <w:rFonts w:hint="eastAsia"/>
                <w:kern w:val="0"/>
                <w:sz w:val="24"/>
              </w:rPr>
            </w:pPr>
            <w:r>
              <w:rPr>
                <w:rFonts w:hint="eastAsia"/>
                <w:kern w:val="0"/>
                <w:sz w:val="24"/>
                <w:lang w:val="en-US" w:eastAsia="zh-CN"/>
              </w:rPr>
              <w:t>33</w:t>
            </w:r>
          </w:p>
        </w:tc>
        <w:tc>
          <w:tcPr>
            <w:tcW w:w="1481"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6F52C0D">
            <w:pPr>
              <w:jc w:val="center"/>
              <w:rPr>
                <w:rFonts w:hint="eastAsia"/>
                <w:kern w:val="0"/>
                <w:sz w:val="24"/>
              </w:rPr>
            </w:pP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14:paraId="20B9A1D0">
            <w:pPr>
              <w:jc w:val="center"/>
              <w:rPr>
                <w:rFonts w:hint="eastAsia"/>
                <w:kern w:val="0"/>
                <w:sz w:val="24"/>
              </w:rPr>
            </w:pPr>
            <w:r>
              <w:rPr>
                <w:rFonts w:hint="eastAsia"/>
                <w:kern w:val="0"/>
                <w:sz w:val="24"/>
                <w:lang w:val="en-US" w:eastAsia="zh-CN"/>
              </w:rPr>
              <w:t>标志板反光膜逆反射系数</w:t>
            </w:r>
          </w:p>
        </w:tc>
        <w:tc>
          <w:tcPr>
            <w:tcW w:w="2042" w:type="dxa"/>
            <w:vMerge w:val="continue"/>
            <w:tcBorders>
              <w:left w:val="single" w:color="000000" w:sz="4" w:space="0"/>
              <w:right w:val="single" w:color="000000" w:sz="4" w:space="0"/>
            </w:tcBorders>
            <w:shd w:val="clear" w:color="auto" w:fill="auto"/>
            <w:vAlign w:val="center"/>
          </w:tcPr>
          <w:p w14:paraId="034799FB">
            <w:pPr>
              <w:jc w:val="center"/>
              <w:rPr>
                <w:rFonts w:hint="eastAsia"/>
                <w:kern w:val="0"/>
                <w:sz w:val="24"/>
              </w:rPr>
            </w:pPr>
          </w:p>
        </w:tc>
      </w:tr>
      <w:tr w14:paraId="0D96E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2125E93A">
            <w:pPr>
              <w:jc w:val="center"/>
              <w:rPr>
                <w:rFonts w:hint="eastAsia"/>
                <w:kern w:val="0"/>
                <w:sz w:val="24"/>
              </w:rPr>
            </w:pPr>
            <w:r>
              <w:rPr>
                <w:rFonts w:hint="eastAsia"/>
                <w:kern w:val="0"/>
                <w:sz w:val="24"/>
                <w:lang w:val="en-US" w:eastAsia="zh-CN"/>
              </w:rPr>
              <w:t>34</w:t>
            </w:r>
          </w:p>
        </w:tc>
        <w:tc>
          <w:tcPr>
            <w:tcW w:w="1481"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4988997">
            <w:pPr>
              <w:jc w:val="center"/>
              <w:rPr>
                <w:rFonts w:hint="eastAsia"/>
                <w:kern w:val="0"/>
                <w:sz w:val="24"/>
              </w:rPr>
            </w:pP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14:paraId="44DCA7D8">
            <w:pPr>
              <w:jc w:val="center"/>
              <w:rPr>
                <w:rFonts w:hint="eastAsia"/>
                <w:kern w:val="0"/>
                <w:sz w:val="24"/>
              </w:rPr>
            </w:pPr>
            <w:r>
              <w:rPr>
                <w:rFonts w:hint="eastAsia"/>
                <w:kern w:val="0"/>
                <w:sz w:val="24"/>
                <w:lang w:val="en-US" w:eastAsia="zh-CN"/>
              </w:rPr>
              <w:t>反光标线逆反色系数</w:t>
            </w:r>
          </w:p>
        </w:tc>
        <w:tc>
          <w:tcPr>
            <w:tcW w:w="2042" w:type="dxa"/>
            <w:vMerge w:val="continue"/>
            <w:tcBorders>
              <w:left w:val="single" w:color="000000" w:sz="4" w:space="0"/>
              <w:right w:val="single" w:color="000000" w:sz="4" w:space="0"/>
            </w:tcBorders>
            <w:shd w:val="clear" w:color="auto" w:fill="auto"/>
            <w:vAlign w:val="center"/>
          </w:tcPr>
          <w:p w14:paraId="79DFEB0C">
            <w:pPr>
              <w:jc w:val="center"/>
              <w:rPr>
                <w:rFonts w:hint="eastAsia"/>
                <w:kern w:val="0"/>
                <w:sz w:val="24"/>
              </w:rPr>
            </w:pPr>
          </w:p>
        </w:tc>
      </w:tr>
      <w:tr w14:paraId="4C315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F02E6">
            <w:pPr>
              <w:jc w:val="center"/>
              <w:rPr>
                <w:rFonts w:hint="eastAsia"/>
                <w:kern w:val="0"/>
                <w:sz w:val="24"/>
              </w:rPr>
            </w:pPr>
            <w:r>
              <w:rPr>
                <w:rFonts w:hint="eastAsia"/>
                <w:kern w:val="0"/>
                <w:sz w:val="24"/>
                <w:lang w:val="en-US" w:eastAsia="zh-CN"/>
              </w:rPr>
              <w:t>35</w:t>
            </w:r>
          </w:p>
        </w:tc>
        <w:tc>
          <w:tcPr>
            <w:tcW w:w="1481"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4813304">
            <w:pPr>
              <w:jc w:val="center"/>
              <w:rPr>
                <w:rFonts w:hint="eastAsia"/>
                <w:kern w:val="0"/>
                <w:sz w:val="24"/>
              </w:rPr>
            </w:pPr>
          </w:p>
        </w:tc>
        <w:tc>
          <w:tcPr>
            <w:tcW w:w="4002" w:type="dxa"/>
            <w:tcBorders>
              <w:top w:val="nil"/>
              <w:left w:val="single" w:color="000000" w:sz="4" w:space="0"/>
              <w:bottom w:val="single" w:color="auto" w:sz="4" w:space="0"/>
              <w:right w:val="single" w:color="000000" w:sz="4" w:space="0"/>
            </w:tcBorders>
            <w:shd w:val="clear" w:color="auto" w:fill="auto"/>
            <w:noWrap/>
            <w:vAlign w:val="center"/>
          </w:tcPr>
          <w:p w14:paraId="30000047">
            <w:pPr>
              <w:jc w:val="center"/>
              <w:rPr>
                <w:rFonts w:hint="eastAsia"/>
                <w:kern w:val="0"/>
                <w:sz w:val="24"/>
              </w:rPr>
            </w:pPr>
            <w:r>
              <w:rPr>
                <w:rFonts w:hint="eastAsia"/>
                <w:kern w:val="0"/>
                <w:sz w:val="24"/>
                <w:lang w:val="en-US" w:eastAsia="zh-CN"/>
              </w:rPr>
              <w:t>标线几何尺寸（宽度、厚度等）</w:t>
            </w:r>
          </w:p>
        </w:tc>
        <w:tc>
          <w:tcPr>
            <w:tcW w:w="2042" w:type="dxa"/>
            <w:vMerge w:val="continue"/>
            <w:tcBorders>
              <w:left w:val="single" w:color="000000" w:sz="4" w:space="0"/>
              <w:right w:val="single" w:color="000000" w:sz="4" w:space="0"/>
            </w:tcBorders>
            <w:shd w:val="clear" w:color="auto" w:fill="auto"/>
            <w:vAlign w:val="center"/>
          </w:tcPr>
          <w:p w14:paraId="7AAB9F72">
            <w:pPr>
              <w:jc w:val="center"/>
              <w:rPr>
                <w:rFonts w:hint="eastAsia"/>
                <w:kern w:val="0"/>
                <w:sz w:val="24"/>
              </w:rPr>
            </w:pPr>
          </w:p>
        </w:tc>
      </w:tr>
      <w:tr w14:paraId="54C5A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BB688">
            <w:pPr>
              <w:jc w:val="center"/>
              <w:rPr>
                <w:rFonts w:hint="default"/>
                <w:kern w:val="0"/>
                <w:sz w:val="24"/>
                <w:lang w:val="en-US" w:eastAsia="zh-CN"/>
              </w:rPr>
            </w:pPr>
            <w:r>
              <w:rPr>
                <w:rFonts w:hint="eastAsia"/>
                <w:kern w:val="0"/>
                <w:sz w:val="24"/>
                <w:lang w:val="en-US" w:eastAsia="zh-CN"/>
              </w:rPr>
              <w:t>36</w:t>
            </w:r>
          </w:p>
        </w:tc>
        <w:tc>
          <w:tcPr>
            <w:tcW w:w="1481" w:type="dxa"/>
            <w:vMerge w:val="restart"/>
            <w:tcBorders>
              <w:top w:val="single" w:color="auto" w:sz="4" w:space="0"/>
              <w:left w:val="single" w:color="000000" w:sz="4" w:space="0"/>
              <w:bottom w:val="single" w:color="auto" w:sz="4" w:space="0"/>
              <w:right w:val="single" w:color="auto" w:sz="4" w:space="0"/>
            </w:tcBorders>
            <w:shd w:val="clear" w:color="auto" w:fill="auto"/>
            <w:vAlign w:val="center"/>
          </w:tcPr>
          <w:p w14:paraId="1EB40317">
            <w:pPr>
              <w:jc w:val="center"/>
              <w:rPr>
                <w:rFonts w:hint="eastAsia"/>
                <w:kern w:val="0"/>
                <w:sz w:val="24"/>
                <w:lang w:val="en-US" w:eastAsia="zh-CN"/>
              </w:rPr>
            </w:pPr>
            <w:r>
              <w:rPr>
                <w:rFonts w:hint="eastAsia"/>
                <w:kern w:val="0"/>
                <w:sz w:val="24"/>
                <w:lang w:val="en-US" w:eastAsia="zh-CN"/>
              </w:rPr>
              <w:t>桥梁工程</w:t>
            </w:r>
          </w:p>
        </w:tc>
        <w:tc>
          <w:tcPr>
            <w:tcW w:w="40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0967A0">
            <w:pPr>
              <w:jc w:val="center"/>
              <w:rPr>
                <w:rFonts w:hint="default"/>
                <w:kern w:val="0"/>
                <w:sz w:val="24"/>
                <w:lang w:val="en-US" w:eastAsia="zh-CN"/>
              </w:rPr>
            </w:pPr>
            <w:r>
              <w:rPr>
                <w:rFonts w:hint="eastAsia"/>
                <w:kern w:val="0"/>
                <w:sz w:val="24"/>
                <w:lang w:val="en-US" w:eastAsia="zh-CN"/>
              </w:rPr>
              <w:t>原材料（水泥、砂石、钢筋、混凝土）</w:t>
            </w:r>
          </w:p>
        </w:tc>
        <w:tc>
          <w:tcPr>
            <w:tcW w:w="2042" w:type="dxa"/>
            <w:vMerge w:val="continue"/>
            <w:tcBorders>
              <w:left w:val="single" w:color="000000" w:sz="4" w:space="0"/>
              <w:right w:val="single" w:color="000000" w:sz="4" w:space="0"/>
            </w:tcBorders>
            <w:shd w:val="clear" w:color="auto" w:fill="auto"/>
            <w:vAlign w:val="center"/>
          </w:tcPr>
          <w:p w14:paraId="3DB16E61">
            <w:pPr>
              <w:jc w:val="center"/>
              <w:rPr>
                <w:rFonts w:hint="eastAsia"/>
                <w:kern w:val="0"/>
                <w:sz w:val="24"/>
              </w:rPr>
            </w:pPr>
          </w:p>
        </w:tc>
      </w:tr>
      <w:tr w14:paraId="21CC1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FE7C4">
            <w:pPr>
              <w:jc w:val="center"/>
              <w:rPr>
                <w:rFonts w:hint="default"/>
                <w:kern w:val="0"/>
                <w:sz w:val="24"/>
                <w:lang w:val="en-US" w:eastAsia="zh-CN"/>
              </w:rPr>
            </w:pPr>
            <w:r>
              <w:rPr>
                <w:rFonts w:hint="eastAsia"/>
                <w:kern w:val="0"/>
                <w:sz w:val="24"/>
                <w:lang w:val="en-US" w:eastAsia="zh-CN"/>
              </w:rPr>
              <w:t>37</w:t>
            </w:r>
          </w:p>
        </w:tc>
        <w:tc>
          <w:tcPr>
            <w:tcW w:w="1481" w:type="dxa"/>
            <w:vMerge w:val="continue"/>
            <w:tcBorders>
              <w:top w:val="single" w:color="auto" w:sz="4" w:space="0"/>
              <w:left w:val="single" w:color="000000" w:sz="4" w:space="0"/>
              <w:bottom w:val="single" w:color="auto" w:sz="4" w:space="0"/>
              <w:right w:val="single" w:color="auto" w:sz="4" w:space="0"/>
            </w:tcBorders>
            <w:shd w:val="clear" w:color="auto" w:fill="auto"/>
            <w:vAlign w:val="center"/>
          </w:tcPr>
          <w:p w14:paraId="27F11F83">
            <w:pPr>
              <w:jc w:val="center"/>
              <w:rPr>
                <w:rFonts w:hint="eastAsia"/>
                <w:kern w:val="0"/>
                <w:sz w:val="24"/>
                <w:lang w:val="en-US" w:eastAsia="zh-CN"/>
              </w:rPr>
            </w:pPr>
          </w:p>
        </w:tc>
        <w:tc>
          <w:tcPr>
            <w:tcW w:w="40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6758FA">
            <w:pPr>
              <w:jc w:val="center"/>
              <w:rPr>
                <w:rFonts w:hint="eastAsia"/>
                <w:kern w:val="0"/>
                <w:sz w:val="24"/>
                <w:lang w:val="en-US" w:eastAsia="zh-CN"/>
              </w:rPr>
            </w:pPr>
            <w:r>
              <w:rPr>
                <w:rFonts w:hint="eastAsia"/>
                <w:kern w:val="0"/>
                <w:sz w:val="24"/>
                <w:lang w:val="en-US" w:eastAsia="zh-CN"/>
              </w:rPr>
              <w:t>预应力构件</w:t>
            </w:r>
          </w:p>
        </w:tc>
        <w:tc>
          <w:tcPr>
            <w:tcW w:w="2042" w:type="dxa"/>
            <w:vMerge w:val="continue"/>
            <w:tcBorders>
              <w:left w:val="single" w:color="000000" w:sz="4" w:space="0"/>
              <w:right w:val="single" w:color="000000" w:sz="4" w:space="0"/>
            </w:tcBorders>
            <w:shd w:val="clear" w:color="auto" w:fill="auto"/>
            <w:vAlign w:val="center"/>
          </w:tcPr>
          <w:p w14:paraId="6F3CCE42">
            <w:pPr>
              <w:jc w:val="center"/>
              <w:rPr>
                <w:rFonts w:hint="eastAsia"/>
                <w:kern w:val="0"/>
                <w:sz w:val="24"/>
              </w:rPr>
            </w:pPr>
          </w:p>
        </w:tc>
      </w:tr>
      <w:tr w14:paraId="53589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C744A">
            <w:pPr>
              <w:jc w:val="center"/>
              <w:rPr>
                <w:rFonts w:hint="default"/>
                <w:kern w:val="0"/>
                <w:sz w:val="24"/>
                <w:lang w:val="en-US" w:eastAsia="zh-CN"/>
              </w:rPr>
            </w:pPr>
            <w:r>
              <w:rPr>
                <w:rFonts w:hint="eastAsia"/>
                <w:kern w:val="0"/>
                <w:sz w:val="24"/>
                <w:lang w:val="en-US" w:eastAsia="zh-CN"/>
              </w:rPr>
              <w:t>38</w:t>
            </w:r>
          </w:p>
        </w:tc>
        <w:tc>
          <w:tcPr>
            <w:tcW w:w="1481" w:type="dxa"/>
            <w:vMerge w:val="continue"/>
            <w:tcBorders>
              <w:top w:val="single" w:color="auto" w:sz="4" w:space="0"/>
              <w:left w:val="single" w:color="000000" w:sz="4" w:space="0"/>
              <w:bottom w:val="single" w:color="auto" w:sz="4" w:space="0"/>
              <w:right w:val="single" w:color="auto" w:sz="4" w:space="0"/>
            </w:tcBorders>
            <w:shd w:val="clear" w:color="auto" w:fill="auto"/>
            <w:vAlign w:val="center"/>
          </w:tcPr>
          <w:p w14:paraId="0A102CA1">
            <w:pPr>
              <w:jc w:val="center"/>
              <w:rPr>
                <w:rFonts w:hint="eastAsia"/>
                <w:kern w:val="0"/>
                <w:sz w:val="24"/>
              </w:rPr>
            </w:pPr>
          </w:p>
        </w:tc>
        <w:tc>
          <w:tcPr>
            <w:tcW w:w="40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08CAC1">
            <w:pPr>
              <w:jc w:val="center"/>
              <w:rPr>
                <w:rFonts w:hint="eastAsia"/>
                <w:kern w:val="0"/>
                <w:sz w:val="24"/>
                <w:lang w:val="en-US" w:eastAsia="zh-CN"/>
              </w:rPr>
            </w:pPr>
            <w:r>
              <w:rPr>
                <w:rFonts w:hint="eastAsia"/>
                <w:kern w:val="0"/>
                <w:sz w:val="24"/>
                <w:lang w:val="en-US" w:eastAsia="zh-CN"/>
              </w:rPr>
              <w:t>非常规的桥梁支座、桩基</w:t>
            </w:r>
          </w:p>
        </w:tc>
        <w:tc>
          <w:tcPr>
            <w:tcW w:w="2042" w:type="dxa"/>
            <w:vMerge w:val="continue"/>
            <w:tcBorders>
              <w:left w:val="single" w:color="000000" w:sz="4" w:space="0"/>
              <w:right w:val="single" w:color="000000" w:sz="4" w:space="0"/>
            </w:tcBorders>
            <w:shd w:val="clear" w:color="auto" w:fill="auto"/>
            <w:vAlign w:val="center"/>
          </w:tcPr>
          <w:p w14:paraId="4BC614A4">
            <w:pPr>
              <w:jc w:val="center"/>
              <w:rPr>
                <w:rFonts w:hint="eastAsia"/>
                <w:kern w:val="0"/>
                <w:sz w:val="24"/>
              </w:rPr>
            </w:pPr>
          </w:p>
        </w:tc>
      </w:tr>
      <w:tr w14:paraId="2B438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48665">
            <w:pPr>
              <w:jc w:val="center"/>
              <w:rPr>
                <w:rFonts w:hint="default"/>
                <w:kern w:val="0"/>
                <w:sz w:val="24"/>
                <w:lang w:val="en-US" w:eastAsia="zh-CN"/>
              </w:rPr>
            </w:pPr>
            <w:r>
              <w:rPr>
                <w:rFonts w:hint="eastAsia"/>
                <w:kern w:val="0"/>
                <w:sz w:val="24"/>
                <w:lang w:val="en-US" w:eastAsia="zh-CN"/>
              </w:rPr>
              <w:t>39</w:t>
            </w:r>
          </w:p>
        </w:tc>
        <w:tc>
          <w:tcPr>
            <w:tcW w:w="1481" w:type="dxa"/>
            <w:vMerge w:val="continue"/>
            <w:tcBorders>
              <w:top w:val="single" w:color="auto" w:sz="4" w:space="0"/>
              <w:left w:val="single" w:color="000000" w:sz="4" w:space="0"/>
              <w:bottom w:val="single" w:color="auto" w:sz="4" w:space="0"/>
              <w:right w:val="single" w:color="auto" w:sz="4" w:space="0"/>
            </w:tcBorders>
            <w:shd w:val="clear" w:color="auto" w:fill="auto"/>
            <w:vAlign w:val="center"/>
          </w:tcPr>
          <w:p w14:paraId="09D240D4">
            <w:pPr>
              <w:jc w:val="center"/>
              <w:rPr>
                <w:rFonts w:hint="eastAsia"/>
                <w:kern w:val="0"/>
                <w:sz w:val="24"/>
              </w:rPr>
            </w:pPr>
          </w:p>
        </w:tc>
        <w:tc>
          <w:tcPr>
            <w:tcW w:w="40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0F5217">
            <w:pPr>
              <w:jc w:val="center"/>
              <w:rPr>
                <w:rFonts w:hint="eastAsia"/>
                <w:kern w:val="0"/>
                <w:sz w:val="24"/>
                <w:lang w:val="en-US" w:eastAsia="zh-CN"/>
              </w:rPr>
            </w:pPr>
            <w:r>
              <w:rPr>
                <w:rFonts w:hint="eastAsia"/>
                <w:kern w:val="0"/>
                <w:sz w:val="24"/>
                <w:lang w:val="en-US" w:eastAsia="zh-CN"/>
              </w:rPr>
              <w:t>桥面变形、平整度检测、附属设施（护栏、伸缩缝）功能性检测</w:t>
            </w:r>
          </w:p>
        </w:tc>
        <w:tc>
          <w:tcPr>
            <w:tcW w:w="2042" w:type="dxa"/>
            <w:vMerge w:val="continue"/>
            <w:tcBorders>
              <w:left w:val="single" w:color="000000" w:sz="4" w:space="0"/>
              <w:right w:val="single" w:color="000000" w:sz="4" w:space="0"/>
            </w:tcBorders>
            <w:shd w:val="clear" w:color="auto" w:fill="auto"/>
            <w:vAlign w:val="center"/>
          </w:tcPr>
          <w:p w14:paraId="2B5245AB">
            <w:pPr>
              <w:jc w:val="center"/>
              <w:rPr>
                <w:rFonts w:hint="eastAsia"/>
                <w:kern w:val="0"/>
                <w:sz w:val="24"/>
              </w:rPr>
            </w:pPr>
          </w:p>
        </w:tc>
      </w:tr>
      <w:tr w14:paraId="183E1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18FF2">
            <w:pPr>
              <w:jc w:val="center"/>
              <w:rPr>
                <w:rFonts w:hint="default"/>
                <w:kern w:val="0"/>
                <w:sz w:val="24"/>
                <w:lang w:val="en-US" w:eastAsia="zh-CN"/>
              </w:rPr>
            </w:pPr>
            <w:r>
              <w:rPr>
                <w:rFonts w:hint="eastAsia"/>
                <w:kern w:val="0"/>
                <w:sz w:val="24"/>
                <w:lang w:val="en-US" w:eastAsia="zh-CN"/>
              </w:rPr>
              <w:t>40</w:t>
            </w:r>
          </w:p>
        </w:tc>
        <w:tc>
          <w:tcPr>
            <w:tcW w:w="1481" w:type="dxa"/>
            <w:vMerge w:val="continue"/>
            <w:tcBorders>
              <w:top w:val="single" w:color="auto" w:sz="4" w:space="0"/>
              <w:left w:val="single" w:color="000000" w:sz="4" w:space="0"/>
              <w:bottom w:val="single" w:color="auto" w:sz="4" w:space="0"/>
              <w:right w:val="single" w:color="auto" w:sz="4" w:space="0"/>
            </w:tcBorders>
            <w:shd w:val="clear" w:color="auto" w:fill="auto"/>
            <w:vAlign w:val="center"/>
          </w:tcPr>
          <w:p w14:paraId="2281F847">
            <w:pPr>
              <w:jc w:val="center"/>
              <w:rPr>
                <w:rFonts w:hint="eastAsia"/>
                <w:kern w:val="0"/>
                <w:sz w:val="24"/>
              </w:rPr>
            </w:pPr>
          </w:p>
        </w:tc>
        <w:tc>
          <w:tcPr>
            <w:tcW w:w="40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E36E1C">
            <w:pPr>
              <w:jc w:val="center"/>
              <w:rPr>
                <w:rFonts w:hint="default"/>
                <w:kern w:val="0"/>
                <w:sz w:val="24"/>
                <w:lang w:val="en-US" w:eastAsia="zh-CN"/>
              </w:rPr>
            </w:pPr>
            <w:r>
              <w:rPr>
                <w:rFonts w:hint="eastAsia"/>
                <w:kern w:val="0"/>
                <w:sz w:val="24"/>
                <w:lang w:val="en-US" w:eastAsia="zh-CN"/>
              </w:rPr>
              <w:t>成桥后的动静载试验等</w:t>
            </w:r>
          </w:p>
        </w:tc>
        <w:tc>
          <w:tcPr>
            <w:tcW w:w="2042" w:type="dxa"/>
            <w:vMerge w:val="continue"/>
            <w:tcBorders>
              <w:left w:val="single" w:color="000000" w:sz="4" w:space="0"/>
              <w:bottom w:val="single" w:color="auto" w:sz="4" w:space="0"/>
              <w:right w:val="single" w:color="000000" w:sz="4" w:space="0"/>
            </w:tcBorders>
            <w:shd w:val="clear" w:color="auto" w:fill="auto"/>
            <w:vAlign w:val="center"/>
          </w:tcPr>
          <w:p w14:paraId="76B1515D">
            <w:pPr>
              <w:jc w:val="center"/>
              <w:rPr>
                <w:rFonts w:hint="eastAsia"/>
                <w:kern w:val="0"/>
                <w:sz w:val="24"/>
              </w:rPr>
            </w:pPr>
          </w:p>
        </w:tc>
      </w:tr>
      <w:tr w14:paraId="0CB08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8304"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88549">
            <w:pPr>
              <w:jc w:val="center"/>
              <w:rPr>
                <w:rFonts w:hint="eastAsia"/>
                <w:kern w:val="0"/>
                <w:sz w:val="24"/>
              </w:rPr>
            </w:pPr>
            <w:r>
              <w:rPr>
                <w:rFonts w:hint="eastAsia"/>
                <w:kern w:val="0"/>
                <w:sz w:val="24"/>
                <w:lang w:val="en-US" w:eastAsia="zh-CN"/>
              </w:rPr>
              <w:t>附表仅列出部分检测项目，包含但不限于以上检测项目，实际检测项目以主管部门要求、按照隐蔽验收，竣工等验收标准要求检测。</w:t>
            </w:r>
          </w:p>
        </w:tc>
      </w:tr>
    </w:tbl>
    <w:p w14:paraId="6E73A572">
      <w:pPr>
        <w:rPr>
          <w:kern w:val="0"/>
          <w:sz w:val="24"/>
        </w:rPr>
      </w:pPr>
    </w:p>
    <w:p w14:paraId="22E8F18C">
      <w:pPr>
        <w:rPr>
          <w:kern w:val="0"/>
          <w:sz w:val="24"/>
        </w:rPr>
      </w:pPr>
    </w:p>
    <w:p w14:paraId="1C295A23">
      <w:pPr>
        <w:rPr>
          <w:kern w:val="0"/>
          <w:sz w:val="24"/>
        </w:rPr>
      </w:pPr>
    </w:p>
    <w:p w14:paraId="1FD11851">
      <w:pPr>
        <w:rPr>
          <w:kern w:val="0"/>
          <w:sz w:val="24"/>
        </w:rPr>
      </w:pPr>
    </w:p>
    <w:p w14:paraId="43C00F0B">
      <w:pPr>
        <w:rPr>
          <w:kern w:val="0"/>
          <w:sz w:val="24"/>
        </w:rPr>
      </w:pPr>
    </w:p>
    <w:p w14:paraId="304AC779">
      <w:pPr>
        <w:rPr>
          <w:kern w:val="0"/>
          <w:sz w:val="24"/>
        </w:rPr>
      </w:pPr>
    </w:p>
    <w:p w14:paraId="6CB8A75B">
      <w:pPr>
        <w:rPr>
          <w:kern w:val="0"/>
          <w:sz w:val="24"/>
        </w:rPr>
      </w:pPr>
    </w:p>
    <w:p w14:paraId="0124D544">
      <w:pPr>
        <w:rPr>
          <w:kern w:val="0"/>
          <w:sz w:val="24"/>
        </w:rPr>
      </w:pPr>
    </w:p>
    <w:p w14:paraId="58C085E1">
      <w:pPr>
        <w:rPr>
          <w:kern w:val="0"/>
          <w:sz w:val="24"/>
        </w:rPr>
      </w:pPr>
    </w:p>
    <w:p w14:paraId="79501F20">
      <w:pPr>
        <w:rPr>
          <w:kern w:val="0"/>
          <w:sz w:val="24"/>
        </w:rPr>
      </w:pPr>
    </w:p>
    <w:p w14:paraId="2D1226DE">
      <w:pPr>
        <w:rPr>
          <w:kern w:val="0"/>
          <w:sz w:val="24"/>
        </w:rPr>
      </w:pPr>
    </w:p>
    <w:p w14:paraId="49BAE2D5">
      <w:pPr>
        <w:rPr>
          <w:kern w:val="0"/>
          <w:sz w:val="24"/>
        </w:rPr>
      </w:pPr>
    </w:p>
    <w:p w14:paraId="220E1987">
      <w:pPr>
        <w:rPr>
          <w:kern w:val="0"/>
          <w:sz w:val="24"/>
        </w:rPr>
      </w:pPr>
    </w:p>
    <w:p w14:paraId="01BBFAD3">
      <w:pPr>
        <w:rPr>
          <w:kern w:val="0"/>
          <w:sz w:val="24"/>
        </w:rPr>
      </w:pPr>
    </w:p>
    <w:p w14:paraId="4BBA8C15">
      <w:pPr>
        <w:rPr>
          <w:kern w:val="0"/>
          <w:sz w:val="24"/>
        </w:rPr>
      </w:pPr>
    </w:p>
    <w:p w14:paraId="32F1C607">
      <w:pPr>
        <w:rPr>
          <w:kern w:val="0"/>
          <w:sz w:val="24"/>
        </w:rPr>
      </w:pPr>
    </w:p>
    <w:p w14:paraId="755DD4A0">
      <w:pPr>
        <w:rPr>
          <w:kern w:val="0"/>
          <w:sz w:val="24"/>
        </w:rPr>
      </w:pPr>
    </w:p>
    <w:p w14:paraId="0BA03450">
      <w:pPr>
        <w:rPr>
          <w:kern w:val="0"/>
          <w:sz w:val="24"/>
        </w:rPr>
      </w:pPr>
    </w:p>
    <w:p w14:paraId="44D2718F">
      <w:pPr>
        <w:rPr>
          <w:kern w:val="0"/>
          <w:sz w:val="24"/>
        </w:rPr>
      </w:pPr>
    </w:p>
    <w:p w14:paraId="5224791C">
      <w:pPr>
        <w:rPr>
          <w:kern w:val="0"/>
          <w:sz w:val="24"/>
        </w:rPr>
      </w:pPr>
    </w:p>
    <w:p w14:paraId="5FADBDB7">
      <w:pPr>
        <w:rPr>
          <w:kern w:val="0"/>
          <w:sz w:val="24"/>
        </w:rPr>
      </w:pPr>
    </w:p>
    <w:p w14:paraId="04437BA0">
      <w:pPr>
        <w:rPr>
          <w:kern w:val="0"/>
          <w:sz w:val="24"/>
        </w:rPr>
      </w:pPr>
    </w:p>
    <w:p w14:paraId="579C8B79">
      <w:pPr>
        <w:rPr>
          <w:kern w:val="0"/>
          <w:sz w:val="24"/>
        </w:rPr>
      </w:pPr>
    </w:p>
    <w:p w14:paraId="7F9C91EC">
      <w:pPr>
        <w:rPr>
          <w:kern w:val="0"/>
          <w:sz w:val="24"/>
        </w:rPr>
      </w:pPr>
    </w:p>
    <w:p w14:paraId="724F2004">
      <w:pPr>
        <w:rPr>
          <w:kern w:val="0"/>
          <w:sz w:val="24"/>
        </w:rPr>
      </w:pPr>
    </w:p>
    <w:p w14:paraId="7D8AC448">
      <w:pPr>
        <w:rPr>
          <w:kern w:val="0"/>
          <w:sz w:val="24"/>
        </w:rPr>
      </w:pPr>
    </w:p>
    <w:p w14:paraId="634D91EF">
      <w:pPr>
        <w:rPr>
          <w:rFonts w:hint="eastAsia" w:asciiTheme="majorEastAsia" w:hAnsiTheme="majorEastAsia" w:eastAsiaTheme="majorEastAsia" w:cstheme="majorEastAsia"/>
          <w:b/>
          <w:bCs/>
          <w:sz w:val="32"/>
          <w:szCs w:val="32"/>
          <w:highlight w:val="none"/>
          <w:lang w:val="en-US" w:eastAsia="zh-CN"/>
        </w:rPr>
      </w:pPr>
    </w:p>
    <w:p w14:paraId="2168B1DB">
      <w:pPr>
        <w:rPr>
          <w:rFonts w:hint="eastAsia" w:asciiTheme="majorEastAsia" w:hAnsiTheme="majorEastAsia" w:eastAsiaTheme="majorEastAsia" w:cstheme="majorEastAsia"/>
          <w:b/>
          <w:bCs/>
          <w:sz w:val="32"/>
          <w:szCs w:val="32"/>
          <w:highlight w:val="none"/>
          <w:lang w:val="en-US" w:eastAsia="zh-CN"/>
        </w:rPr>
      </w:pP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5E8FB046">
      <w:pPr>
        <w:keepNext w:val="0"/>
        <w:keepLines w:val="0"/>
        <w:pageBreakBefore w:val="0"/>
        <w:widowControl w:val="0"/>
        <w:kinsoku/>
        <w:wordWrap w:val="0"/>
        <w:overflowPunct/>
        <w:topLinePunct w:val="0"/>
        <w:autoSpaceDE/>
        <w:autoSpaceDN/>
        <w:bidi w:val="0"/>
        <w:adjustRightInd/>
        <w:snapToGrid/>
        <w:spacing w:line="500" w:lineRule="exact"/>
        <w:ind w:firstLine="560" w:firstLineChars="200"/>
        <w:jc w:val="both"/>
        <w:textAlignment w:val="auto"/>
        <w:rPr>
          <w:rFonts w:hint="eastAsia" w:ascii="Times New Roman" w:hAnsi="Times New Roman" w:cs="Times New Roman"/>
          <w:kern w:val="0"/>
          <w:sz w:val="28"/>
          <w:szCs w:val="28"/>
          <w:highlight w:val="none"/>
          <w:lang w:val="en-US" w:eastAsia="zh-CN"/>
        </w:rPr>
      </w:pPr>
      <w:permStart w:id="70" w:edGrp="everyone"/>
      <w:r>
        <w:rPr>
          <w:rFonts w:hint="eastAsia" w:ascii="Times New Roman" w:hAnsi="Times New Roman" w:cs="Times New Roman"/>
          <w:kern w:val="0"/>
          <w:sz w:val="28"/>
          <w:szCs w:val="28"/>
          <w:highlight w:val="none"/>
          <w:lang w:val="en-US" w:eastAsia="zh-CN"/>
        </w:rPr>
        <w:t>1.项目概况：</w:t>
      </w:r>
      <w:r>
        <w:rPr>
          <w:rFonts w:hint="eastAsia" w:asciiTheme="minorEastAsia" w:hAnsiTheme="minorEastAsia" w:cstheme="minorEastAsia"/>
          <w:sz w:val="28"/>
          <w:szCs w:val="28"/>
          <w:highlight w:val="none"/>
          <w:lang w:val="en-US" w:eastAsia="zh-CN"/>
        </w:rPr>
        <w:t>亳州市城市重点区域交通补短板项目-三曹路（药都大道-薛阁路）道路等级为次干路，长度2900米，宽度24米；杜仲路(宋汤河桥-华佗大道，含宋汤河桥加宽)道路等级为主干路，长度1900米，宽度60米；更新改造工程两个项目，需要单独办理相关手续和资料，建设总投资约7600万。</w:t>
      </w:r>
    </w:p>
    <w:p w14:paraId="7293C049">
      <w:pPr>
        <w:keepNext w:val="0"/>
        <w:keepLines w:val="0"/>
        <w:pageBreakBefore w:val="0"/>
        <w:widowControl w:val="0"/>
        <w:kinsoku/>
        <w:wordWrap w:val="0"/>
        <w:overflowPunct/>
        <w:topLinePunct w:val="0"/>
        <w:autoSpaceDE/>
        <w:autoSpaceDN/>
        <w:bidi w:val="0"/>
        <w:adjustRightInd/>
        <w:snapToGrid/>
        <w:spacing w:line="50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imes New Roman" w:hAnsi="Times New Roman" w:cs="Times New Roman"/>
          <w:kern w:val="0"/>
          <w:sz w:val="28"/>
          <w:szCs w:val="28"/>
          <w:highlight w:val="none"/>
          <w:lang w:val="en-US" w:eastAsia="zh-CN"/>
        </w:rPr>
        <w:t>2.服务范围及内容：</w:t>
      </w:r>
      <w:r>
        <w:rPr>
          <w:rFonts w:hint="eastAsia" w:asciiTheme="minorEastAsia" w:hAnsiTheme="minorEastAsia" w:cstheme="minorEastAsia"/>
          <w:sz w:val="28"/>
          <w:szCs w:val="28"/>
          <w:highlight w:val="none"/>
          <w:lang w:val="en-US" w:eastAsia="zh-CN"/>
        </w:rPr>
        <w:t>质量检测包括不限于：负责本项目路基、路面、给排水、人行道、绿化、交通安全设施等工程施工准备阶段、施工阶段、缺陷责任期阶段的过程检测以及宋汤河桥加宽原材料（水泥、砂石、钢筋、混凝土等）、预应力构件、非常规的桥梁支座、桩基、新旧结构连接部位应力及变形检测、成桥后的动静载试验、桥面变形、平整度检测、附属设施（护栏、伸缩缝）功能性检测等，以及建设单位要求的检测；供应商按检测规范和询比文件要求的内容进行检测，具体要求详见附件采购需求表。</w:t>
      </w:r>
    </w:p>
    <w:p w14:paraId="125170CD">
      <w:pPr>
        <w:keepNext w:val="0"/>
        <w:keepLines w:val="0"/>
        <w:pageBreakBefore w:val="0"/>
        <w:widowControl w:val="0"/>
        <w:kinsoku/>
        <w:wordWrap w:val="0"/>
        <w:overflowPunct/>
        <w:topLinePunct w:val="0"/>
        <w:autoSpaceDE/>
        <w:autoSpaceDN/>
        <w:bidi w:val="0"/>
        <w:adjustRightInd/>
        <w:snapToGrid/>
        <w:spacing w:line="500" w:lineRule="exact"/>
        <w:ind w:firstLine="560" w:firstLineChars="200"/>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sz w:val="28"/>
          <w:szCs w:val="28"/>
          <w:highlight w:val="none"/>
          <w:lang w:val="en-US" w:eastAsia="zh-CN"/>
        </w:rPr>
        <w:t>3.</w:t>
      </w:r>
      <w:r>
        <w:rPr>
          <w:rFonts w:hint="default" w:asciiTheme="minorEastAsia" w:hAnsiTheme="minorEastAsia" w:eastAsiaTheme="minorEastAsia" w:cstheme="minorEastAsia"/>
          <w:color w:val="FF0000"/>
          <w:sz w:val="28"/>
          <w:szCs w:val="28"/>
          <w:highlight w:val="none"/>
          <w:lang w:val="en-US" w:eastAsia="zh-CN"/>
        </w:rPr>
        <w:t>其他主要人员要求：本项目配备人员应不少5人（不含项目负责人），均须具备检测人员证书或检测人员岗位资格证书。</w:t>
      </w:r>
    </w:p>
    <w:p w14:paraId="6740429D">
      <w:pPr>
        <w:keepNext w:val="0"/>
        <w:keepLines w:val="0"/>
        <w:pageBreakBefore w:val="0"/>
        <w:widowControl w:val="0"/>
        <w:kinsoku/>
        <w:wordWrap w:val="0"/>
        <w:overflowPunct/>
        <w:topLinePunct w:val="0"/>
        <w:autoSpaceDE/>
        <w:autoSpaceDN/>
        <w:bidi w:val="0"/>
        <w:adjustRightInd/>
        <w:snapToGrid/>
        <w:spacing w:line="500" w:lineRule="exact"/>
        <w:ind w:firstLine="560" w:firstLineChars="200"/>
        <w:jc w:val="both"/>
        <w:textAlignment w:val="auto"/>
        <w:rPr>
          <w:rFonts w:hint="default" w:ascii="Times New Roman" w:hAnsi="Times New Roman" w:cs="Times New Roman"/>
          <w:kern w:val="0"/>
          <w:sz w:val="28"/>
          <w:szCs w:val="28"/>
          <w:highlight w:val="none"/>
          <w:lang w:val="en-US" w:eastAsia="zh-CN"/>
        </w:rPr>
      </w:pPr>
      <w:r>
        <w:rPr>
          <w:rFonts w:hint="eastAsia" w:ascii="Times New Roman" w:hAnsi="Times New Roman" w:cs="Times New Roman"/>
          <w:color w:val="FF0000"/>
          <w:kern w:val="0"/>
          <w:sz w:val="28"/>
          <w:szCs w:val="28"/>
          <w:highlight w:val="none"/>
          <w:lang w:val="en-US" w:eastAsia="zh-CN"/>
        </w:rPr>
        <w:t>4检测项目及要求如下表</w:t>
      </w:r>
      <w:r>
        <w:rPr>
          <w:rFonts w:hint="eastAsia" w:ascii="Times New Roman" w:hAnsi="Times New Roman" w:cs="Times New Roman"/>
          <w:kern w:val="0"/>
          <w:sz w:val="28"/>
          <w:szCs w:val="28"/>
          <w:highlight w:val="none"/>
          <w:lang w:val="en-US" w:eastAsia="zh-CN"/>
        </w:rPr>
        <w:t>。</w:t>
      </w:r>
    </w:p>
    <w:permEnd w:id="70"/>
    <w:p w14:paraId="1CAB8067">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Times New Roman" w:hAnsi="Times New Roman" w:cs="Times New Roman"/>
          <w:sz w:val="28"/>
          <w:szCs w:val="28"/>
          <w:lang w:val="en-US" w:eastAsia="zh-CN"/>
        </w:rPr>
      </w:pPr>
    </w:p>
    <w:p w14:paraId="1D3E054D">
      <w:pPr>
        <w:keepNext w:val="0"/>
        <w:keepLines w:val="0"/>
        <w:pageBreakBefore w:val="0"/>
        <w:widowControl w:val="0"/>
        <w:kinsoku/>
        <w:wordWrap/>
        <w:overflowPunct/>
        <w:topLinePunct w:val="0"/>
        <w:autoSpaceDE/>
        <w:autoSpaceDN/>
        <w:bidi w:val="0"/>
        <w:adjustRightInd/>
        <w:snapToGrid/>
        <w:spacing w:line="520" w:lineRule="exact"/>
        <w:ind w:firstLine="0" w:firstLineChars="0"/>
        <w:jc w:val="both"/>
        <w:textAlignment w:val="auto"/>
        <w:rPr>
          <w:rFonts w:hint="eastAsia" w:ascii="Times New Roman" w:hAnsi="Times New Roman" w:cs="Times New Roman"/>
          <w:sz w:val="32"/>
          <w:szCs w:val="32"/>
          <w:lang w:val="en-US" w:eastAsia="zh-CN"/>
        </w:rPr>
      </w:pPr>
    </w:p>
    <w:p w14:paraId="6FCC6EEC">
      <w:pPr>
        <w:keepNext w:val="0"/>
        <w:keepLines w:val="0"/>
        <w:pageBreakBefore w:val="0"/>
        <w:widowControl w:val="0"/>
        <w:kinsoku/>
        <w:wordWrap/>
        <w:overflowPunct/>
        <w:topLinePunct w:val="0"/>
        <w:autoSpaceDE/>
        <w:autoSpaceDN/>
        <w:bidi w:val="0"/>
        <w:adjustRightInd/>
        <w:snapToGrid/>
        <w:spacing w:line="520" w:lineRule="exact"/>
        <w:ind w:firstLine="0" w:firstLineChars="0"/>
        <w:jc w:val="both"/>
        <w:textAlignment w:val="auto"/>
        <w:rPr>
          <w:rFonts w:hint="eastAsia" w:ascii="Times New Roman" w:hAnsi="Times New Roman" w:cs="Times New Roman"/>
          <w:sz w:val="32"/>
          <w:szCs w:val="32"/>
          <w:lang w:val="en-US" w:eastAsia="zh-CN"/>
        </w:rPr>
      </w:pPr>
    </w:p>
    <w:p w14:paraId="7E0A6BB1">
      <w:pPr>
        <w:keepNext w:val="0"/>
        <w:keepLines w:val="0"/>
        <w:pageBreakBefore w:val="0"/>
        <w:widowControl w:val="0"/>
        <w:kinsoku/>
        <w:wordWrap/>
        <w:overflowPunct/>
        <w:topLinePunct w:val="0"/>
        <w:autoSpaceDE/>
        <w:autoSpaceDN/>
        <w:bidi w:val="0"/>
        <w:adjustRightInd/>
        <w:snapToGrid/>
        <w:spacing w:line="520" w:lineRule="exact"/>
        <w:ind w:firstLine="0" w:firstLineChars="0"/>
        <w:jc w:val="both"/>
        <w:textAlignment w:val="auto"/>
        <w:rPr>
          <w:rFonts w:hint="eastAsia" w:ascii="Times New Roman" w:hAnsi="Times New Roman" w:cs="Times New Roman"/>
          <w:sz w:val="32"/>
          <w:szCs w:val="32"/>
          <w:lang w:val="en-US" w:eastAsia="zh-CN"/>
        </w:rPr>
      </w:pPr>
    </w:p>
    <w:p w14:paraId="169A8871">
      <w:pPr>
        <w:keepNext w:val="0"/>
        <w:keepLines w:val="0"/>
        <w:pageBreakBefore w:val="0"/>
        <w:widowControl w:val="0"/>
        <w:kinsoku/>
        <w:wordWrap/>
        <w:overflowPunct/>
        <w:topLinePunct w:val="0"/>
        <w:autoSpaceDE/>
        <w:autoSpaceDN/>
        <w:bidi w:val="0"/>
        <w:adjustRightInd/>
        <w:snapToGrid/>
        <w:spacing w:line="520" w:lineRule="exact"/>
        <w:ind w:firstLine="0" w:firstLineChars="0"/>
        <w:jc w:val="both"/>
        <w:textAlignment w:val="auto"/>
        <w:rPr>
          <w:rFonts w:hint="eastAsia" w:ascii="Times New Roman" w:hAnsi="Times New Roman" w:cs="Times New Roman"/>
          <w:sz w:val="32"/>
          <w:szCs w:val="32"/>
          <w:lang w:val="en-US" w:eastAsia="zh-CN"/>
        </w:rPr>
      </w:pPr>
    </w:p>
    <w:p w14:paraId="3447BD0D">
      <w:pPr>
        <w:keepNext w:val="0"/>
        <w:keepLines w:val="0"/>
        <w:pageBreakBefore w:val="0"/>
        <w:widowControl w:val="0"/>
        <w:kinsoku/>
        <w:wordWrap/>
        <w:overflowPunct/>
        <w:topLinePunct w:val="0"/>
        <w:autoSpaceDE/>
        <w:autoSpaceDN/>
        <w:bidi w:val="0"/>
        <w:adjustRightInd/>
        <w:snapToGrid/>
        <w:spacing w:line="520" w:lineRule="exact"/>
        <w:ind w:firstLine="0" w:firstLineChars="0"/>
        <w:jc w:val="both"/>
        <w:textAlignment w:val="auto"/>
        <w:rPr>
          <w:rFonts w:hint="eastAsia" w:ascii="Times New Roman" w:hAnsi="Times New Roman" w:cs="Times New Roman"/>
          <w:sz w:val="32"/>
          <w:szCs w:val="32"/>
          <w:lang w:val="en-US" w:eastAsia="zh-CN"/>
        </w:rPr>
      </w:pPr>
    </w:p>
    <w:p w14:paraId="1DF1D60C">
      <w:pPr>
        <w:keepNext w:val="0"/>
        <w:keepLines w:val="0"/>
        <w:pageBreakBefore w:val="0"/>
        <w:widowControl w:val="0"/>
        <w:kinsoku/>
        <w:wordWrap/>
        <w:overflowPunct/>
        <w:topLinePunct w:val="0"/>
        <w:autoSpaceDE/>
        <w:autoSpaceDN/>
        <w:bidi w:val="0"/>
        <w:adjustRightInd/>
        <w:snapToGrid/>
        <w:spacing w:line="520" w:lineRule="exact"/>
        <w:ind w:firstLine="0" w:firstLineChars="0"/>
        <w:jc w:val="both"/>
        <w:textAlignment w:val="auto"/>
        <w:rPr>
          <w:rFonts w:hint="eastAsia" w:ascii="Times New Roman" w:hAnsi="Times New Roman" w:cs="Times New Roman"/>
          <w:sz w:val="32"/>
          <w:szCs w:val="32"/>
          <w:lang w:val="en-US" w:eastAsia="zh-CN"/>
        </w:rPr>
      </w:pPr>
    </w:p>
    <w:tbl>
      <w:tblPr>
        <w:tblStyle w:val="16"/>
        <w:tblW w:w="830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9"/>
        <w:gridCol w:w="1481"/>
        <w:gridCol w:w="4002"/>
        <w:gridCol w:w="2042"/>
      </w:tblGrid>
      <w:tr w14:paraId="4D7F5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83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C343EF">
            <w:pPr>
              <w:jc w:val="center"/>
              <w:rPr>
                <w:rFonts w:hint="default"/>
                <w:kern w:val="0"/>
                <w:sz w:val="24"/>
                <w:lang w:val="en-US"/>
              </w:rPr>
            </w:pPr>
            <w:r>
              <w:rPr>
                <w:rFonts w:hint="eastAsia"/>
                <w:kern w:val="0"/>
                <w:sz w:val="24"/>
                <w:lang w:val="en-US" w:eastAsia="zh-CN"/>
              </w:rPr>
              <w:t>亳州市城市重点区域交通补短板项目-三曹路（药都大道-薛阁路）、杜仲路(宋汤河桥-华佗大道，含宋汤河桥加宽)更新改造工程质量检测采购需求表</w:t>
            </w:r>
          </w:p>
        </w:tc>
      </w:tr>
      <w:tr w14:paraId="0750F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04758">
            <w:pPr>
              <w:jc w:val="center"/>
              <w:rPr>
                <w:rFonts w:hint="eastAsia"/>
                <w:kern w:val="0"/>
                <w:sz w:val="24"/>
              </w:rPr>
            </w:pPr>
            <w:r>
              <w:rPr>
                <w:rFonts w:hint="eastAsia"/>
                <w:kern w:val="0"/>
                <w:sz w:val="24"/>
                <w:lang w:val="en-US" w:eastAsia="zh-CN"/>
              </w:rPr>
              <w:t>序号</w:t>
            </w:r>
          </w:p>
        </w:tc>
        <w:tc>
          <w:tcPr>
            <w:tcW w:w="54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553DF">
            <w:pPr>
              <w:jc w:val="center"/>
              <w:rPr>
                <w:rFonts w:hint="eastAsia"/>
                <w:kern w:val="0"/>
                <w:sz w:val="24"/>
              </w:rPr>
            </w:pPr>
            <w:r>
              <w:rPr>
                <w:rFonts w:hint="eastAsia"/>
                <w:kern w:val="0"/>
                <w:sz w:val="24"/>
                <w:lang w:val="en-US" w:eastAsia="zh-CN"/>
              </w:rPr>
              <w:t>检 测 项 目</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AD1EF">
            <w:pPr>
              <w:jc w:val="center"/>
              <w:rPr>
                <w:rFonts w:hint="eastAsia"/>
                <w:kern w:val="0"/>
                <w:sz w:val="24"/>
              </w:rPr>
            </w:pPr>
            <w:r>
              <w:rPr>
                <w:rFonts w:hint="eastAsia"/>
                <w:kern w:val="0"/>
                <w:sz w:val="24"/>
                <w:lang w:val="en-US" w:eastAsia="zh-CN"/>
              </w:rPr>
              <w:t>备注</w:t>
            </w:r>
          </w:p>
        </w:tc>
      </w:tr>
      <w:tr w14:paraId="02A56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1F6B0818">
            <w:pPr>
              <w:jc w:val="center"/>
              <w:rPr>
                <w:kern w:val="0"/>
                <w:sz w:val="24"/>
              </w:rPr>
            </w:pPr>
            <w:r>
              <w:rPr>
                <w:rFonts w:hint="eastAsia"/>
                <w:kern w:val="0"/>
                <w:sz w:val="24"/>
                <w:lang w:val="en-US" w:eastAsia="zh-CN"/>
              </w:rPr>
              <w:t>1</w:t>
            </w: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36E07C">
            <w:pPr>
              <w:jc w:val="center"/>
              <w:rPr>
                <w:rFonts w:hint="eastAsia"/>
                <w:kern w:val="0"/>
                <w:sz w:val="24"/>
              </w:rPr>
            </w:pPr>
            <w:r>
              <w:rPr>
                <w:rFonts w:hint="eastAsia"/>
                <w:kern w:val="0"/>
                <w:sz w:val="24"/>
                <w:lang w:val="en-US" w:eastAsia="zh-CN"/>
              </w:rPr>
              <w:t>原材料</w:t>
            </w:r>
            <w:r>
              <w:rPr>
                <w:rFonts w:hint="eastAsia"/>
                <w:kern w:val="0"/>
                <w:sz w:val="24"/>
                <w:lang w:val="en-US" w:eastAsia="zh-CN"/>
              </w:rPr>
              <w:br w:type="textWrapping"/>
            </w:r>
            <w:r>
              <w:rPr>
                <w:rFonts w:hint="eastAsia"/>
                <w:kern w:val="0"/>
                <w:sz w:val="24"/>
                <w:lang w:val="en-US" w:eastAsia="zh-CN"/>
              </w:rPr>
              <w:t>及配合比</w:t>
            </w: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53204">
            <w:pPr>
              <w:jc w:val="center"/>
              <w:rPr>
                <w:rFonts w:hint="eastAsia"/>
                <w:kern w:val="0"/>
                <w:sz w:val="24"/>
              </w:rPr>
            </w:pPr>
            <w:r>
              <w:rPr>
                <w:rFonts w:hint="eastAsia"/>
                <w:kern w:val="0"/>
                <w:sz w:val="24"/>
                <w:lang w:val="en-US" w:eastAsia="zh-CN"/>
              </w:rPr>
              <w:t>水泥</w:t>
            </w:r>
          </w:p>
        </w:tc>
        <w:tc>
          <w:tcPr>
            <w:tcW w:w="2042" w:type="dxa"/>
            <w:vMerge w:val="restart"/>
            <w:tcBorders>
              <w:top w:val="single" w:color="000000" w:sz="4" w:space="0"/>
              <w:left w:val="single" w:color="000000" w:sz="4" w:space="0"/>
              <w:right w:val="single" w:color="000000" w:sz="4" w:space="0"/>
            </w:tcBorders>
            <w:shd w:val="clear" w:color="auto" w:fill="auto"/>
            <w:vAlign w:val="center"/>
          </w:tcPr>
          <w:p w14:paraId="2C08918B">
            <w:pPr>
              <w:jc w:val="center"/>
              <w:rPr>
                <w:rFonts w:hint="eastAsia"/>
                <w:kern w:val="0"/>
                <w:sz w:val="24"/>
              </w:rPr>
            </w:pPr>
            <w:r>
              <w:rPr>
                <w:rFonts w:hint="eastAsia"/>
                <w:kern w:val="0"/>
                <w:sz w:val="24"/>
                <w:lang w:val="en-US" w:eastAsia="zh-CN"/>
              </w:rPr>
              <w:t>亳州市城市重点区域交通补短板项目-三曹路（药都大道-薛阁路）道路等级为次干路，长度2900米，宽度24米；杜仲路(宋汤河桥-华佗大道，含宋汤河桥加宽)道路等级为主干路，长度1900米，宽度60米更新改造工程两个项目，需要单独办理相关手续和资料。包含此表内容但不限于此表内容（负责本项目路基、路面、给排水、人行道、绿化、交通安全设施等工程施工准备阶段、施工阶段、缺陷责任期阶段的过程检测以及宋汤河桥加宽原材料（水泥、砂石、钢筋、混凝土等）、预应力构件、非常规的桥梁支座、桩基、新旧结构连接部位应力及变形检测、成桥后的动静载试验、桥面变形、平整度检测、附属设施（护栏、伸缩缝）功能性检测等，以及</w:t>
            </w:r>
            <w:r>
              <w:rPr>
                <w:rFonts w:hint="default"/>
                <w:kern w:val="0"/>
                <w:sz w:val="24"/>
                <w:lang w:val="en-US" w:eastAsia="zh-CN"/>
              </w:rPr>
              <w:t>建设单位要求</w:t>
            </w:r>
            <w:r>
              <w:rPr>
                <w:rFonts w:hint="eastAsia"/>
                <w:kern w:val="0"/>
                <w:sz w:val="24"/>
                <w:lang w:val="en-US" w:eastAsia="zh-CN"/>
              </w:rPr>
              <w:t>的检测）。</w:t>
            </w:r>
          </w:p>
        </w:tc>
      </w:tr>
      <w:tr w14:paraId="598B7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E7CFE">
            <w:pPr>
              <w:jc w:val="center"/>
              <w:rPr>
                <w:rFonts w:hint="eastAsia"/>
                <w:kern w:val="0"/>
                <w:sz w:val="24"/>
              </w:rPr>
            </w:pPr>
            <w:r>
              <w:rPr>
                <w:rFonts w:hint="eastAsia"/>
                <w:kern w:val="0"/>
                <w:sz w:val="24"/>
                <w:lang w:val="en-US" w:eastAsia="zh-CN"/>
              </w:rPr>
              <w:t>2</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9A0D7E">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3F139">
            <w:pPr>
              <w:jc w:val="center"/>
              <w:rPr>
                <w:rFonts w:hint="eastAsia"/>
                <w:kern w:val="0"/>
                <w:sz w:val="24"/>
              </w:rPr>
            </w:pPr>
            <w:r>
              <w:rPr>
                <w:rFonts w:hint="eastAsia"/>
                <w:kern w:val="0"/>
                <w:sz w:val="24"/>
                <w:lang w:val="en-US" w:eastAsia="zh-CN"/>
              </w:rPr>
              <w:t>水泥混凝土粗集料</w:t>
            </w:r>
          </w:p>
        </w:tc>
        <w:tc>
          <w:tcPr>
            <w:tcW w:w="2042" w:type="dxa"/>
            <w:vMerge w:val="continue"/>
            <w:tcBorders>
              <w:left w:val="single" w:color="000000" w:sz="4" w:space="0"/>
              <w:right w:val="single" w:color="000000" w:sz="4" w:space="0"/>
            </w:tcBorders>
            <w:shd w:val="clear" w:color="auto" w:fill="auto"/>
            <w:vAlign w:val="center"/>
          </w:tcPr>
          <w:p w14:paraId="22D6CFCB">
            <w:pPr>
              <w:jc w:val="center"/>
              <w:rPr>
                <w:rFonts w:hint="eastAsia"/>
                <w:kern w:val="0"/>
                <w:sz w:val="24"/>
              </w:rPr>
            </w:pPr>
          </w:p>
        </w:tc>
      </w:tr>
      <w:tr w14:paraId="75177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06F27C95">
            <w:pPr>
              <w:jc w:val="center"/>
              <w:rPr>
                <w:rFonts w:hint="eastAsia"/>
                <w:kern w:val="0"/>
                <w:sz w:val="24"/>
              </w:rPr>
            </w:pPr>
            <w:r>
              <w:rPr>
                <w:rFonts w:hint="eastAsia"/>
                <w:kern w:val="0"/>
                <w:sz w:val="24"/>
                <w:lang w:val="en-US" w:eastAsia="zh-CN"/>
              </w:rPr>
              <w:t>3</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142661">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76920">
            <w:pPr>
              <w:jc w:val="center"/>
              <w:rPr>
                <w:rFonts w:hint="eastAsia"/>
                <w:kern w:val="0"/>
                <w:sz w:val="24"/>
              </w:rPr>
            </w:pPr>
            <w:r>
              <w:rPr>
                <w:rFonts w:hint="eastAsia"/>
                <w:kern w:val="0"/>
                <w:sz w:val="24"/>
                <w:lang w:val="en-US" w:eastAsia="zh-CN"/>
              </w:rPr>
              <w:t>水泥混凝土细集料</w:t>
            </w:r>
          </w:p>
        </w:tc>
        <w:tc>
          <w:tcPr>
            <w:tcW w:w="2042" w:type="dxa"/>
            <w:vMerge w:val="continue"/>
            <w:tcBorders>
              <w:left w:val="single" w:color="000000" w:sz="4" w:space="0"/>
              <w:right w:val="single" w:color="000000" w:sz="4" w:space="0"/>
            </w:tcBorders>
            <w:shd w:val="clear" w:color="auto" w:fill="auto"/>
            <w:vAlign w:val="center"/>
          </w:tcPr>
          <w:p w14:paraId="0723458D">
            <w:pPr>
              <w:jc w:val="center"/>
              <w:rPr>
                <w:rFonts w:hint="eastAsia"/>
                <w:kern w:val="0"/>
                <w:sz w:val="24"/>
              </w:rPr>
            </w:pPr>
          </w:p>
        </w:tc>
      </w:tr>
      <w:tr w14:paraId="12305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4D8D404C">
            <w:pPr>
              <w:jc w:val="center"/>
              <w:rPr>
                <w:rFonts w:hint="eastAsia"/>
                <w:kern w:val="0"/>
                <w:sz w:val="24"/>
              </w:rPr>
            </w:pPr>
            <w:r>
              <w:rPr>
                <w:rFonts w:hint="eastAsia"/>
                <w:kern w:val="0"/>
                <w:sz w:val="24"/>
                <w:lang w:val="en-US" w:eastAsia="zh-CN"/>
              </w:rPr>
              <w:t>4</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81E7C6">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76A1C">
            <w:pPr>
              <w:jc w:val="center"/>
              <w:rPr>
                <w:rFonts w:hint="eastAsia"/>
                <w:kern w:val="0"/>
                <w:sz w:val="24"/>
              </w:rPr>
            </w:pPr>
            <w:r>
              <w:rPr>
                <w:rFonts w:hint="eastAsia"/>
                <w:kern w:val="0"/>
                <w:sz w:val="24"/>
                <w:lang w:val="en-US" w:eastAsia="zh-CN"/>
              </w:rPr>
              <w:t>钢筋</w:t>
            </w:r>
          </w:p>
        </w:tc>
        <w:tc>
          <w:tcPr>
            <w:tcW w:w="2042" w:type="dxa"/>
            <w:vMerge w:val="continue"/>
            <w:tcBorders>
              <w:left w:val="single" w:color="000000" w:sz="4" w:space="0"/>
              <w:right w:val="single" w:color="000000" w:sz="4" w:space="0"/>
            </w:tcBorders>
            <w:shd w:val="clear" w:color="auto" w:fill="auto"/>
            <w:vAlign w:val="center"/>
          </w:tcPr>
          <w:p w14:paraId="736F032A">
            <w:pPr>
              <w:jc w:val="center"/>
              <w:rPr>
                <w:rFonts w:hint="eastAsia"/>
                <w:kern w:val="0"/>
                <w:sz w:val="24"/>
              </w:rPr>
            </w:pPr>
          </w:p>
        </w:tc>
      </w:tr>
      <w:tr w14:paraId="6C029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01E15">
            <w:pPr>
              <w:jc w:val="center"/>
              <w:rPr>
                <w:rFonts w:hint="eastAsia"/>
                <w:kern w:val="0"/>
                <w:sz w:val="24"/>
              </w:rPr>
            </w:pPr>
            <w:r>
              <w:rPr>
                <w:rFonts w:hint="eastAsia"/>
                <w:kern w:val="0"/>
                <w:sz w:val="24"/>
                <w:lang w:val="en-US" w:eastAsia="zh-CN"/>
              </w:rPr>
              <w:t>5</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A1D737">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58F4E">
            <w:pPr>
              <w:jc w:val="center"/>
              <w:rPr>
                <w:rFonts w:hint="eastAsia"/>
                <w:kern w:val="0"/>
                <w:sz w:val="24"/>
              </w:rPr>
            </w:pPr>
            <w:r>
              <w:rPr>
                <w:rFonts w:hint="eastAsia"/>
                <w:kern w:val="0"/>
                <w:sz w:val="24"/>
                <w:lang w:val="en-US" w:eastAsia="zh-CN"/>
              </w:rPr>
              <w:t>沥青面层粗集料</w:t>
            </w:r>
          </w:p>
        </w:tc>
        <w:tc>
          <w:tcPr>
            <w:tcW w:w="2042" w:type="dxa"/>
            <w:vMerge w:val="continue"/>
            <w:tcBorders>
              <w:left w:val="single" w:color="000000" w:sz="4" w:space="0"/>
              <w:right w:val="single" w:color="000000" w:sz="4" w:space="0"/>
            </w:tcBorders>
            <w:shd w:val="clear" w:color="auto" w:fill="auto"/>
            <w:vAlign w:val="center"/>
          </w:tcPr>
          <w:p w14:paraId="657A6F35">
            <w:pPr>
              <w:jc w:val="center"/>
              <w:rPr>
                <w:rFonts w:hint="eastAsia"/>
                <w:kern w:val="0"/>
                <w:sz w:val="24"/>
              </w:rPr>
            </w:pPr>
          </w:p>
        </w:tc>
      </w:tr>
      <w:tr w14:paraId="56110E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51BB2ED5">
            <w:pPr>
              <w:jc w:val="center"/>
              <w:rPr>
                <w:rFonts w:hint="eastAsia"/>
                <w:kern w:val="0"/>
                <w:sz w:val="24"/>
              </w:rPr>
            </w:pPr>
            <w:r>
              <w:rPr>
                <w:rFonts w:hint="eastAsia"/>
                <w:kern w:val="0"/>
                <w:sz w:val="24"/>
                <w:lang w:val="en-US" w:eastAsia="zh-CN"/>
              </w:rPr>
              <w:t>6</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86214F">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0604C">
            <w:pPr>
              <w:jc w:val="center"/>
              <w:rPr>
                <w:rFonts w:hint="eastAsia"/>
                <w:kern w:val="0"/>
                <w:sz w:val="24"/>
              </w:rPr>
            </w:pPr>
            <w:r>
              <w:rPr>
                <w:rFonts w:hint="eastAsia"/>
                <w:kern w:val="0"/>
                <w:sz w:val="24"/>
                <w:lang w:val="en-US" w:eastAsia="zh-CN"/>
              </w:rPr>
              <w:t>沥青面层细集料</w:t>
            </w:r>
          </w:p>
        </w:tc>
        <w:tc>
          <w:tcPr>
            <w:tcW w:w="2042" w:type="dxa"/>
            <w:vMerge w:val="continue"/>
            <w:tcBorders>
              <w:left w:val="single" w:color="000000" w:sz="4" w:space="0"/>
              <w:right w:val="single" w:color="000000" w:sz="4" w:space="0"/>
            </w:tcBorders>
            <w:shd w:val="clear" w:color="auto" w:fill="auto"/>
            <w:vAlign w:val="center"/>
          </w:tcPr>
          <w:p w14:paraId="7FA7FB93">
            <w:pPr>
              <w:jc w:val="center"/>
              <w:rPr>
                <w:rFonts w:hint="eastAsia"/>
                <w:kern w:val="0"/>
                <w:sz w:val="24"/>
              </w:rPr>
            </w:pPr>
          </w:p>
        </w:tc>
      </w:tr>
      <w:tr w14:paraId="4FFEB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7C5940AD">
            <w:pPr>
              <w:jc w:val="center"/>
              <w:rPr>
                <w:rFonts w:hint="eastAsia"/>
                <w:kern w:val="0"/>
                <w:sz w:val="24"/>
              </w:rPr>
            </w:pPr>
            <w:r>
              <w:rPr>
                <w:rFonts w:hint="eastAsia"/>
                <w:kern w:val="0"/>
                <w:sz w:val="24"/>
                <w:lang w:val="en-US" w:eastAsia="zh-CN"/>
              </w:rPr>
              <w:t>7</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7A0BD0">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12698">
            <w:pPr>
              <w:jc w:val="center"/>
              <w:rPr>
                <w:rFonts w:hint="eastAsia"/>
                <w:kern w:val="0"/>
                <w:sz w:val="24"/>
              </w:rPr>
            </w:pPr>
            <w:r>
              <w:rPr>
                <w:rFonts w:hint="eastAsia"/>
                <w:kern w:val="0"/>
                <w:sz w:val="24"/>
                <w:lang w:val="en-US" w:eastAsia="zh-CN"/>
              </w:rPr>
              <w:t>沥青</w:t>
            </w:r>
          </w:p>
        </w:tc>
        <w:tc>
          <w:tcPr>
            <w:tcW w:w="2042" w:type="dxa"/>
            <w:vMerge w:val="continue"/>
            <w:tcBorders>
              <w:left w:val="single" w:color="000000" w:sz="4" w:space="0"/>
              <w:right w:val="single" w:color="000000" w:sz="4" w:space="0"/>
            </w:tcBorders>
            <w:shd w:val="clear" w:color="auto" w:fill="auto"/>
            <w:vAlign w:val="center"/>
          </w:tcPr>
          <w:p w14:paraId="21FC6E05">
            <w:pPr>
              <w:jc w:val="center"/>
              <w:rPr>
                <w:rFonts w:hint="eastAsia"/>
                <w:kern w:val="0"/>
                <w:sz w:val="24"/>
              </w:rPr>
            </w:pPr>
          </w:p>
        </w:tc>
      </w:tr>
      <w:tr w14:paraId="7D927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2C7CF">
            <w:pPr>
              <w:jc w:val="center"/>
              <w:rPr>
                <w:rFonts w:hint="eastAsia"/>
                <w:kern w:val="0"/>
                <w:sz w:val="24"/>
              </w:rPr>
            </w:pPr>
            <w:r>
              <w:rPr>
                <w:rFonts w:hint="eastAsia"/>
                <w:kern w:val="0"/>
                <w:sz w:val="24"/>
                <w:lang w:val="en-US" w:eastAsia="zh-CN"/>
              </w:rPr>
              <w:t>8</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F3A655">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7A35F">
            <w:pPr>
              <w:jc w:val="center"/>
              <w:rPr>
                <w:rFonts w:hint="eastAsia"/>
                <w:kern w:val="0"/>
                <w:sz w:val="24"/>
              </w:rPr>
            </w:pPr>
            <w:r>
              <w:rPr>
                <w:rFonts w:hint="eastAsia"/>
                <w:kern w:val="0"/>
                <w:sz w:val="24"/>
                <w:lang w:val="en-US" w:eastAsia="zh-CN"/>
              </w:rPr>
              <w:t>矿粉</w:t>
            </w:r>
          </w:p>
        </w:tc>
        <w:tc>
          <w:tcPr>
            <w:tcW w:w="2042" w:type="dxa"/>
            <w:vMerge w:val="continue"/>
            <w:tcBorders>
              <w:left w:val="single" w:color="000000" w:sz="4" w:space="0"/>
              <w:right w:val="single" w:color="000000" w:sz="4" w:space="0"/>
            </w:tcBorders>
            <w:shd w:val="clear" w:color="auto" w:fill="auto"/>
            <w:vAlign w:val="center"/>
          </w:tcPr>
          <w:p w14:paraId="7DBA89F2">
            <w:pPr>
              <w:jc w:val="center"/>
              <w:rPr>
                <w:rFonts w:hint="eastAsia"/>
                <w:kern w:val="0"/>
                <w:sz w:val="24"/>
              </w:rPr>
            </w:pPr>
          </w:p>
        </w:tc>
      </w:tr>
      <w:tr w14:paraId="697E2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65089AF6">
            <w:pPr>
              <w:jc w:val="center"/>
              <w:rPr>
                <w:rFonts w:hint="eastAsia"/>
                <w:kern w:val="0"/>
                <w:sz w:val="24"/>
              </w:rPr>
            </w:pPr>
            <w:r>
              <w:rPr>
                <w:rFonts w:hint="eastAsia"/>
                <w:kern w:val="0"/>
                <w:sz w:val="24"/>
                <w:lang w:val="en-US" w:eastAsia="zh-CN"/>
              </w:rPr>
              <w:t>9</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948FE7">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EFFEB">
            <w:pPr>
              <w:jc w:val="center"/>
              <w:rPr>
                <w:rFonts w:hint="eastAsia"/>
                <w:kern w:val="0"/>
                <w:sz w:val="24"/>
              </w:rPr>
            </w:pPr>
            <w:r>
              <w:rPr>
                <w:rFonts w:hint="eastAsia"/>
                <w:kern w:val="0"/>
                <w:sz w:val="24"/>
                <w:lang w:val="en-US" w:eastAsia="zh-CN"/>
              </w:rPr>
              <w:t>沥青混凝土配合比/验证</w:t>
            </w:r>
          </w:p>
        </w:tc>
        <w:tc>
          <w:tcPr>
            <w:tcW w:w="2042" w:type="dxa"/>
            <w:vMerge w:val="continue"/>
            <w:tcBorders>
              <w:left w:val="single" w:color="000000" w:sz="4" w:space="0"/>
              <w:right w:val="single" w:color="000000" w:sz="4" w:space="0"/>
            </w:tcBorders>
            <w:shd w:val="clear" w:color="auto" w:fill="auto"/>
            <w:vAlign w:val="center"/>
          </w:tcPr>
          <w:p w14:paraId="263E0C2B">
            <w:pPr>
              <w:jc w:val="center"/>
              <w:rPr>
                <w:rFonts w:hint="eastAsia"/>
                <w:kern w:val="0"/>
                <w:sz w:val="24"/>
              </w:rPr>
            </w:pPr>
          </w:p>
        </w:tc>
      </w:tr>
      <w:tr w14:paraId="003C9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6DBC1FFD">
            <w:pPr>
              <w:jc w:val="center"/>
              <w:rPr>
                <w:rFonts w:hint="eastAsia"/>
                <w:kern w:val="0"/>
                <w:sz w:val="24"/>
              </w:rPr>
            </w:pPr>
            <w:r>
              <w:rPr>
                <w:rFonts w:hint="eastAsia"/>
                <w:kern w:val="0"/>
                <w:sz w:val="24"/>
                <w:lang w:val="en-US" w:eastAsia="zh-CN"/>
              </w:rPr>
              <w:t>10</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4172AF">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644D0">
            <w:pPr>
              <w:jc w:val="center"/>
              <w:rPr>
                <w:rFonts w:hint="eastAsia"/>
                <w:kern w:val="0"/>
                <w:sz w:val="24"/>
              </w:rPr>
            </w:pPr>
            <w:r>
              <w:rPr>
                <w:rFonts w:hint="eastAsia"/>
                <w:kern w:val="0"/>
                <w:sz w:val="24"/>
                <w:lang w:val="en-US" w:eastAsia="zh-CN"/>
              </w:rPr>
              <w:t>级配碎石配合比</w:t>
            </w:r>
          </w:p>
        </w:tc>
        <w:tc>
          <w:tcPr>
            <w:tcW w:w="2042" w:type="dxa"/>
            <w:vMerge w:val="continue"/>
            <w:tcBorders>
              <w:left w:val="single" w:color="000000" w:sz="4" w:space="0"/>
              <w:right w:val="single" w:color="000000" w:sz="4" w:space="0"/>
            </w:tcBorders>
            <w:shd w:val="clear" w:color="auto" w:fill="auto"/>
            <w:vAlign w:val="center"/>
          </w:tcPr>
          <w:p w14:paraId="18B6E058">
            <w:pPr>
              <w:jc w:val="center"/>
              <w:rPr>
                <w:rFonts w:hint="eastAsia"/>
                <w:kern w:val="0"/>
                <w:sz w:val="24"/>
              </w:rPr>
            </w:pPr>
          </w:p>
        </w:tc>
      </w:tr>
      <w:tr w14:paraId="18B2F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A6DAA">
            <w:pPr>
              <w:jc w:val="center"/>
              <w:rPr>
                <w:rFonts w:hint="eastAsia"/>
                <w:kern w:val="0"/>
                <w:sz w:val="24"/>
              </w:rPr>
            </w:pPr>
            <w:r>
              <w:rPr>
                <w:rFonts w:hint="eastAsia"/>
                <w:kern w:val="0"/>
                <w:sz w:val="24"/>
                <w:lang w:val="en-US" w:eastAsia="zh-CN"/>
              </w:rPr>
              <w:t>11</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410C1B">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66AA8">
            <w:pPr>
              <w:jc w:val="center"/>
              <w:rPr>
                <w:rFonts w:hint="eastAsia"/>
                <w:kern w:val="0"/>
                <w:sz w:val="24"/>
              </w:rPr>
            </w:pPr>
            <w:r>
              <w:rPr>
                <w:rFonts w:hint="eastAsia"/>
                <w:kern w:val="0"/>
                <w:sz w:val="24"/>
                <w:lang w:val="en-US" w:eastAsia="zh-CN"/>
              </w:rPr>
              <w:t>路面混基层凝土配合比</w:t>
            </w:r>
          </w:p>
        </w:tc>
        <w:tc>
          <w:tcPr>
            <w:tcW w:w="2042" w:type="dxa"/>
            <w:vMerge w:val="continue"/>
            <w:tcBorders>
              <w:left w:val="single" w:color="000000" w:sz="4" w:space="0"/>
              <w:right w:val="single" w:color="000000" w:sz="4" w:space="0"/>
            </w:tcBorders>
            <w:shd w:val="clear" w:color="auto" w:fill="auto"/>
            <w:vAlign w:val="center"/>
          </w:tcPr>
          <w:p w14:paraId="1E11CE77">
            <w:pPr>
              <w:jc w:val="center"/>
              <w:rPr>
                <w:rFonts w:hint="eastAsia"/>
                <w:kern w:val="0"/>
                <w:sz w:val="24"/>
              </w:rPr>
            </w:pPr>
          </w:p>
        </w:tc>
      </w:tr>
      <w:tr w14:paraId="22767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0954C8C4">
            <w:pPr>
              <w:jc w:val="center"/>
              <w:rPr>
                <w:rFonts w:hint="eastAsia"/>
                <w:kern w:val="0"/>
                <w:sz w:val="24"/>
              </w:rPr>
            </w:pPr>
            <w:r>
              <w:rPr>
                <w:rFonts w:hint="eastAsia"/>
                <w:kern w:val="0"/>
                <w:sz w:val="24"/>
                <w:lang w:val="en-US" w:eastAsia="zh-CN"/>
              </w:rPr>
              <w:t>12</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EC4DB8">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84FD6">
            <w:pPr>
              <w:jc w:val="center"/>
              <w:rPr>
                <w:rFonts w:hint="eastAsia"/>
                <w:kern w:val="0"/>
                <w:sz w:val="24"/>
              </w:rPr>
            </w:pPr>
            <w:r>
              <w:rPr>
                <w:rFonts w:hint="eastAsia"/>
                <w:kern w:val="0"/>
                <w:sz w:val="24"/>
                <w:lang w:val="en-US" w:eastAsia="zh-CN"/>
              </w:rPr>
              <w:t>排水工程混凝土配合比</w:t>
            </w:r>
          </w:p>
        </w:tc>
        <w:tc>
          <w:tcPr>
            <w:tcW w:w="2042" w:type="dxa"/>
            <w:vMerge w:val="continue"/>
            <w:tcBorders>
              <w:left w:val="single" w:color="000000" w:sz="4" w:space="0"/>
              <w:right w:val="single" w:color="000000" w:sz="4" w:space="0"/>
            </w:tcBorders>
            <w:shd w:val="clear" w:color="auto" w:fill="auto"/>
            <w:vAlign w:val="center"/>
          </w:tcPr>
          <w:p w14:paraId="0DFCE93E">
            <w:pPr>
              <w:jc w:val="center"/>
              <w:rPr>
                <w:rFonts w:hint="eastAsia"/>
                <w:kern w:val="0"/>
                <w:sz w:val="24"/>
              </w:rPr>
            </w:pPr>
          </w:p>
        </w:tc>
      </w:tr>
      <w:tr w14:paraId="6EBE8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290BCD2E">
            <w:pPr>
              <w:jc w:val="center"/>
              <w:rPr>
                <w:rFonts w:hint="eastAsia"/>
                <w:kern w:val="0"/>
                <w:sz w:val="24"/>
              </w:rPr>
            </w:pPr>
            <w:r>
              <w:rPr>
                <w:rFonts w:hint="eastAsia"/>
                <w:kern w:val="0"/>
                <w:sz w:val="24"/>
                <w:lang w:val="en-US" w:eastAsia="zh-CN"/>
              </w:rPr>
              <w:t>13</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5CEDC6">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74BCA">
            <w:pPr>
              <w:jc w:val="center"/>
              <w:rPr>
                <w:rFonts w:hint="eastAsia"/>
                <w:kern w:val="0"/>
                <w:sz w:val="24"/>
              </w:rPr>
            </w:pPr>
            <w:r>
              <w:rPr>
                <w:rFonts w:hint="eastAsia"/>
                <w:kern w:val="0"/>
                <w:sz w:val="24"/>
                <w:lang w:val="en-US" w:eastAsia="zh-CN"/>
              </w:rPr>
              <w:t>孔道压浆混凝土配合比</w:t>
            </w:r>
          </w:p>
        </w:tc>
        <w:tc>
          <w:tcPr>
            <w:tcW w:w="2042" w:type="dxa"/>
            <w:vMerge w:val="continue"/>
            <w:tcBorders>
              <w:left w:val="single" w:color="000000" w:sz="4" w:space="0"/>
              <w:right w:val="single" w:color="000000" w:sz="4" w:space="0"/>
            </w:tcBorders>
            <w:shd w:val="clear" w:color="auto" w:fill="auto"/>
            <w:vAlign w:val="center"/>
          </w:tcPr>
          <w:p w14:paraId="5D13E0C0">
            <w:pPr>
              <w:jc w:val="center"/>
              <w:rPr>
                <w:rFonts w:hint="eastAsia"/>
                <w:kern w:val="0"/>
                <w:sz w:val="24"/>
              </w:rPr>
            </w:pPr>
          </w:p>
        </w:tc>
      </w:tr>
      <w:tr w14:paraId="093E5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73CD9">
            <w:pPr>
              <w:jc w:val="center"/>
              <w:rPr>
                <w:rFonts w:hint="eastAsia"/>
                <w:kern w:val="0"/>
                <w:sz w:val="24"/>
              </w:rPr>
            </w:pPr>
            <w:r>
              <w:rPr>
                <w:rFonts w:hint="eastAsia"/>
                <w:kern w:val="0"/>
                <w:sz w:val="24"/>
                <w:lang w:val="en-US" w:eastAsia="zh-CN"/>
              </w:rPr>
              <w:t>14</w:t>
            </w:r>
          </w:p>
        </w:tc>
        <w:tc>
          <w:tcPr>
            <w:tcW w:w="1481" w:type="dxa"/>
            <w:vMerge w:val="restart"/>
            <w:tcBorders>
              <w:top w:val="nil"/>
              <w:left w:val="single" w:color="000000" w:sz="4" w:space="0"/>
              <w:bottom w:val="nil"/>
              <w:right w:val="single" w:color="000000" w:sz="4" w:space="0"/>
            </w:tcBorders>
            <w:shd w:val="clear" w:color="auto" w:fill="auto"/>
            <w:vAlign w:val="center"/>
          </w:tcPr>
          <w:p w14:paraId="38AE2CA6">
            <w:pPr>
              <w:jc w:val="center"/>
              <w:rPr>
                <w:rFonts w:hint="eastAsia"/>
                <w:kern w:val="0"/>
                <w:sz w:val="24"/>
              </w:rPr>
            </w:pPr>
            <w:r>
              <w:rPr>
                <w:rFonts w:hint="eastAsia"/>
                <w:kern w:val="0"/>
                <w:sz w:val="24"/>
                <w:lang w:val="en-US" w:eastAsia="zh-CN"/>
              </w:rPr>
              <w:t>路面基层</w:t>
            </w: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DAA7A">
            <w:pPr>
              <w:jc w:val="center"/>
              <w:rPr>
                <w:rFonts w:hint="eastAsia"/>
                <w:kern w:val="0"/>
                <w:sz w:val="24"/>
              </w:rPr>
            </w:pPr>
            <w:r>
              <w:rPr>
                <w:rFonts w:hint="eastAsia"/>
                <w:kern w:val="0"/>
                <w:sz w:val="24"/>
                <w:lang w:val="en-US" w:eastAsia="zh-CN"/>
              </w:rPr>
              <w:t>水泥混凝土取芯强度、厚度</w:t>
            </w:r>
          </w:p>
        </w:tc>
        <w:tc>
          <w:tcPr>
            <w:tcW w:w="2042" w:type="dxa"/>
            <w:vMerge w:val="continue"/>
            <w:tcBorders>
              <w:left w:val="single" w:color="000000" w:sz="4" w:space="0"/>
              <w:right w:val="single" w:color="000000" w:sz="4" w:space="0"/>
            </w:tcBorders>
            <w:shd w:val="clear" w:color="auto" w:fill="auto"/>
            <w:vAlign w:val="center"/>
          </w:tcPr>
          <w:p w14:paraId="4C43AF34">
            <w:pPr>
              <w:jc w:val="center"/>
              <w:rPr>
                <w:rFonts w:hint="eastAsia"/>
                <w:kern w:val="0"/>
                <w:sz w:val="24"/>
              </w:rPr>
            </w:pPr>
          </w:p>
        </w:tc>
      </w:tr>
      <w:tr w14:paraId="07455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2E16B902">
            <w:pPr>
              <w:jc w:val="center"/>
              <w:rPr>
                <w:rFonts w:hint="eastAsia"/>
                <w:kern w:val="0"/>
                <w:sz w:val="24"/>
              </w:rPr>
            </w:pPr>
            <w:r>
              <w:rPr>
                <w:rFonts w:hint="eastAsia"/>
                <w:kern w:val="0"/>
                <w:sz w:val="24"/>
                <w:lang w:val="en-US" w:eastAsia="zh-CN"/>
              </w:rPr>
              <w:t>15</w:t>
            </w:r>
          </w:p>
        </w:tc>
        <w:tc>
          <w:tcPr>
            <w:tcW w:w="1481" w:type="dxa"/>
            <w:vMerge w:val="continue"/>
            <w:tcBorders>
              <w:top w:val="nil"/>
              <w:left w:val="single" w:color="000000" w:sz="4" w:space="0"/>
              <w:bottom w:val="nil"/>
              <w:right w:val="single" w:color="000000" w:sz="4" w:space="0"/>
            </w:tcBorders>
            <w:shd w:val="clear" w:color="auto" w:fill="auto"/>
            <w:vAlign w:val="center"/>
          </w:tcPr>
          <w:p w14:paraId="4804BEF5">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D71E6">
            <w:pPr>
              <w:jc w:val="center"/>
              <w:rPr>
                <w:rFonts w:hint="eastAsia"/>
                <w:kern w:val="0"/>
                <w:sz w:val="24"/>
              </w:rPr>
            </w:pPr>
            <w:r>
              <w:rPr>
                <w:rFonts w:hint="eastAsia"/>
                <w:kern w:val="0"/>
                <w:sz w:val="24"/>
                <w:lang w:val="en-US" w:eastAsia="zh-CN"/>
              </w:rPr>
              <w:t>混凝土路面板角弯沉和注浆后饱满度</w:t>
            </w:r>
          </w:p>
        </w:tc>
        <w:tc>
          <w:tcPr>
            <w:tcW w:w="2042" w:type="dxa"/>
            <w:vMerge w:val="continue"/>
            <w:tcBorders>
              <w:left w:val="single" w:color="000000" w:sz="4" w:space="0"/>
              <w:right w:val="single" w:color="000000" w:sz="4" w:space="0"/>
            </w:tcBorders>
            <w:shd w:val="clear" w:color="auto" w:fill="auto"/>
            <w:vAlign w:val="center"/>
          </w:tcPr>
          <w:p w14:paraId="30FE41D3">
            <w:pPr>
              <w:jc w:val="center"/>
              <w:rPr>
                <w:rFonts w:hint="eastAsia"/>
                <w:kern w:val="0"/>
                <w:sz w:val="24"/>
              </w:rPr>
            </w:pPr>
          </w:p>
        </w:tc>
      </w:tr>
      <w:tr w14:paraId="432DF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535F1752">
            <w:pPr>
              <w:jc w:val="center"/>
              <w:rPr>
                <w:rFonts w:hint="eastAsia"/>
                <w:kern w:val="0"/>
                <w:sz w:val="24"/>
              </w:rPr>
            </w:pPr>
            <w:r>
              <w:rPr>
                <w:rFonts w:hint="eastAsia"/>
                <w:kern w:val="0"/>
                <w:sz w:val="24"/>
                <w:lang w:val="en-US" w:eastAsia="zh-CN"/>
              </w:rPr>
              <w:t>16</w:t>
            </w:r>
          </w:p>
        </w:tc>
        <w:tc>
          <w:tcPr>
            <w:tcW w:w="1481" w:type="dxa"/>
            <w:vMerge w:val="continue"/>
            <w:tcBorders>
              <w:top w:val="nil"/>
              <w:left w:val="single" w:color="000000" w:sz="4" w:space="0"/>
              <w:bottom w:val="nil"/>
              <w:right w:val="single" w:color="000000" w:sz="4" w:space="0"/>
            </w:tcBorders>
            <w:shd w:val="clear" w:color="auto" w:fill="auto"/>
            <w:vAlign w:val="center"/>
          </w:tcPr>
          <w:p w14:paraId="6C06CB87">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4986C">
            <w:pPr>
              <w:jc w:val="center"/>
              <w:rPr>
                <w:rFonts w:hint="eastAsia"/>
                <w:kern w:val="0"/>
                <w:sz w:val="24"/>
              </w:rPr>
            </w:pPr>
            <w:r>
              <w:rPr>
                <w:rFonts w:hint="eastAsia"/>
                <w:kern w:val="0"/>
                <w:sz w:val="24"/>
                <w:lang w:val="en-US" w:eastAsia="zh-CN"/>
              </w:rPr>
              <w:t>孔道压浆/混凝土试块（抗压/抗弯拉）</w:t>
            </w:r>
          </w:p>
        </w:tc>
        <w:tc>
          <w:tcPr>
            <w:tcW w:w="2042" w:type="dxa"/>
            <w:vMerge w:val="continue"/>
            <w:tcBorders>
              <w:left w:val="single" w:color="000000" w:sz="4" w:space="0"/>
              <w:right w:val="single" w:color="000000" w:sz="4" w:space="0"/>
            </w:tcBorders>
            <w:shd w:val="clear" w:color="auto" w:fill="auto"/>
            <w:vAlign w:val="center"/>
          </w:tcPr>
          <w:p w14:paraId="230B0A81">
            <w:pPr>
              <w:jc w:val="center"/>
              <w:rPr>
                <w:rFonts w:hint="eastAsia"/>
                <w:kern w:val="0"/>
                <w:sz w:val="24"/>
              </w:rPr>
            </w:pPr>
          </w:p>
        </w:tc>
      </w:tr>
      <w:tr w14:paraId="3E6D8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26D71">
            <w:pPr>
              <w:jc w:val="center"/>
              <w:rPr>
                <w:rFonts w:hint="eastAsia"/>
                <w:kern w:val="0"/>
                <w:sz w:val="24"/>
              </w:rPr>
            </w:pPr>
            <w:r>
              <w:rPr>
                <w:rFonts w:hint="eastAsia"/>
                <w:kern w:val="0"/>
                <w:sz w:val="24"/>
                <w:lang w:val="en-US" w:eastAsia="zh-CN"/>
              </w:rPr>
              <w:t>17</w:t>
            </w:r>
          </w:p>
        </w:tc>
        <w:tc>
          <w:tcPr>
            <w:tcW w:w="1481" w:type="dxa"/>
            <w:vMerge w:val="continue"/>
            <w:tcBorders>
              <w:top w:val="nil"/>
              <w:left w:val="single" w:color="000000" w:sz="4" w:space="0"/>
              <w:bottom w:val="nil"/>
              <w:right w:val="single" w:color="000000" w:sz="4" w:space="0"/>
            </w:tcBorders>
            <w:shd w:val="clear" w:color="auto" w:fill="auto"/>
            <w:vAlign w:val="center"/>
          </w:tcPr>
          <w:p w14:paraId="0915EB59">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A7303">
            <w:pPr>
              <w:jc w:val="center"/>
              <w:rPr>
                <w:rFonts w:hint="eastAsia"/>
                <w:kern w:val="0"/>
                <w:sz w:val="24"/>
              </w:rPr>
            </w:pPr>
            <w:r>
              <w:rPr>
                <w:rFonts w:hint="eastAsia"/>
                <w:kern w:val="0"/>
                <w:sz w:val="24"/>
                <w:lang w:val="en-US" w:eastAsia="zh-CN"/>
              </w:rPr>
              <w:t>级配碎石层压实度、厚度</w:t>
            </w:r>
          </w:p>
        </w:tc>
        <w:tc>
          <w:tcPr>
            <w:tcW w:w="2042" w:type="dxa"/>
            <w:vMerge w:val="continue"/>
            <w:tcBorders>
              <w:left w:val="single" w:color="000000" w:sz="4" w:space="0"/>
              <w:right w:val="single" w:color="000000" w:sz="4" w:space="0"/>
            </w:tcBorders>
            <w:shd w:val="clear" w:color="auto" w:fill="auto"/>
            <w:vAlign w:val="center"/>
          </w:tcPr>
          <w:p w14:paraId="424492D7">
            <w:pPr>
              <w:jc w:val="center"/>
              <w:rPr>
                <w:rFonts w:hint="eastAsia"/>
                <w:kern w:val="0"/>
                <w:sz w:val="24"/>
              </w:rPr>
            </w:pPr>
          </w:p>
        </w:tc>
      </w:tr>
      <w:tr w14:paraId="10CF0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5BDCBF21">
            <w:pPr>
              <w:jc w:val="center"/>
              <w:rPr>
                <w:rFonts w:hint="eastAsia"/>
                <w:kern w:val="0"/>
                <w:sz w:val="24"/>
              </w:rPr>
            </w:pPr>
            <w:r>
              <w:rPr>
                <w:rFonts w:hint="eastAsia"/>
                <w:kern w:val="0"/>
                <w:sz w:val="24"/>
                <w:lang w:val="en-US" w:eastAsia="zh-CN"/>
              </w:rPr>
              <w:t>18</w:t>
            </w:r>
          </w:p>
        </w:tc>
        <w:tc>
          <w:tcPr>
            <w:tcW w:w="1481" w:type="dxa"/>
            <w:vMerge w:val="continue"/>
            <w:tcBorders>
              <w:top w:val="nil"/>
              <w:left w:val="single" w:color="000000" w:sz="4" w:space="0"/>
              <w:bottom w:val="nil"/>
              <w:right w:val="single" w:color="000000" w:sz="4" w:space="0"/>
            </w:tcBorders>
            <w:shd w:val="clear" w:color="auto" w:fill="auto"/>
            <w:vAlign w:val="center"/>
          </w:tcPr>
          <w:p w14:paraId="1A731E12">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F1BE7">
            <w:pPr>
              <w:jc w:val="center"/>
              <w:rPr>
                <w:rFonts w:hint="eastAsia"/>
                <w:kern w:val="0"/>
                <w:sz w:val="24"/>
              </w:rPr>
            </w:pPr>
            <w:r>
              <w:rPr>
                <w:rFonts w:hint="eastAsia"/>
                <w:kern w:val="0"/>
                <w:sz w:val="24"/>
                <w:lang w:val="en-US" w:eastAsia="zh-CN"/>
              </w:rPr>
              <w:t>土基压实度</w:t>
            </w:r>
          </w:p>
        </w:tc>
        <w:tc>
          <w:tcPr>
            <w:tcW w:w="2042" w:type="dxa"/>
            <w:vMerge w:val="continue"/>
            <w:tcBorders>
              <w:left w:val="single" w:color="000000" w:sz="4" w:space="0"/>
              <w:right w:val="single" w:color="000000" w:sz="4" w:space="0"/>
            </w:tcBorders>
            <w:shd w:val="clear" w:color="auto" w:fill="auto"/>
            <w:vAlign w:val="center"/>
          </w:tcPr>
          <w:p w14:paraId="6FE97A17">
            <w:pPr>
              <w:jc w:val="center"/>
              <w:rPr>
                <w:rFonts w:hint="eastAsia"/>
                <w:kern w:val="0"/>
                <w:sz w:val="24"/>
              </w:rPr>
            </w:pPr>
          </w:p>
        </w:tc>
      </w:tr>
      <w:tr w14:paraId="2EA81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5F6EAAD7">
            <w:pPr>
              <w:jc w:val="center"/>
              <w:rPr>
                <w:rFonts w:hint="eastAsia"/>
                <w:kern w:val="0"/>
                <w:sz w:val="24"/>
              </w:rPr>
            </w:pPr>
            <w:r>
              <w:rPr>
                <w:rFonts w:hint="eastAsia"/>
                <w:kern w:val="0"/>
                <w:sz w:val="24"/>
                <w:lang w:val="en-US" w:eastAsia="zh-CN"/>
              </w:rPr>
              <w:t>19</w:t>
            </w:r>
          </w:p>
        </w:tc>
        <w:tc>
          <w:tcPr>
            <w:tcW w:w="1481" w:type="dxa"/>
            <w:vMerge w:val="restart"/>
            <w:tcBorders>
              <w:top w:val="single" w:color="000000" w:sz="4" w:space="0"/>
              <w:left w:val="single" w:color="000000" w:sz="4" w:space="0"/>
              <w:bottom w:val="nil"/>
              <w:right w:val="single" w:color="000000" w:sz="4" w:space="0"/>
            </w:tcBorders>
            <w:shd w:val="clear" w:color="auto" w:fill="auto"/>
            <w:vAlign w:val="center"/>
          </w:tcPr>
          <w:p w14:paraId="1FDDA053">
            <w:pPr>
              <w:jc w:val="center"/>
              <w:rPr>
                <w:rFonts w:hint="eastAsia"/>
                <w:kern w:val="0"/>
                <w:sz w:val="24"/>
              </w:rPr>
            </w:pPr>
            <w:r>
              <w:rPr>
                <w:rFonts w:hint="eastAsia"/>
                <w:kern w:val="0"/>
                <w:sz w:val="24"/>
                <w:lang w:val="en-US" w:eastAsia="zh-CN"/>
              </w:rPr>
              <w:t>路面面层</w:t>
            </w: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D101B">
            <w:pPr>
              <w:jc w:val="center"/>
              <w:rPr>
                <w:rFonts w:hint="eastAsia"/>
                <w:kern w:val="0"/>
                <w:sz w:val="24"/>
              </w:rPr>
            </w:pPr>
            <w:r>
              <w:rPr>
                <w:rFonts w:hint="eastAsia"/>
                <w:kern w:val="0"/>
                <w:sz w:val="24"/>
                <w:lang w:val="en-US" w:eastAsia="zh-CN"/>
              </w:rPr>
              <w:t>压实度</w:t>
            </w:r>
          </w:p>
        </w:tc>
        <w:tc>
          <w:tcPr>
            <w:tcW w:w="2042" w:type="dxa"/>
            <w:vMerge w:val="continue"/>
            <w:tcBorders>
              <w:left w:val="single" w:color="000000" w:sz="4" w:space="0"/>
              <w:right w:val="single" w:color="000000" w:sz="4" w:space="0"/>
            </w:tcBorders>
            <w:shd w:val="clear" w:color="auto" w:fill="auto"/>
            <w:vAlign w:val="center"/>
          </w:tcPr>
          <w:p w14:paraId="1DF4284A">
            <w:pPr>
              <w:jc w:val="center"/>
              <w:rPr>
                <w:rFonts w:hint="eastAsia"/>
                <w:kern w:val="0"/>
                <w:sz w:val="24"/>
              </w:rPr>
            </w:pPr>
          </w:p>
        </w:tc>
      </w:tr>
      <w:tr w14:paraId="2F2308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E1D29">
            <w:pPr>
              <w:jc w:val="center"/>
              <w:rPr>
                <w:rFonts w:hint="eastAsia"/>
                <w:kern w:val="0"/>
                <w:sz w:val="24"/>
              </w:rPr>
            </w:pPr>
            <w:r>
              <w:rPr>
                <w:rFonts w:hint="eastAsia"/>
                <w:kern w:val="0"/>
                <w:sz w:val="24"/>
                <w:lang w:val="en-US" w:eastAsia="zh-CN"/>
              </w:rPr>
              <w:t>20</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65B2D91B">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F2964">
            <w:pPr>
              <w:jc w:val="center"/>
              <w:rPr>
                <w:rFonts w:hint="eastAsia"/>
                <w:kern w:val="0"/>
                <w:sz w:val="24"/>
              </w:rPr>
            </w:pPr>
            <w:r>
              <w:rPr>
                <w:rFonts w:hint="eastAsia"/>
                <w:kern w:val="0"/>
                <w:sz w:val="24"/>
                <w:lang w:val="en-US" w:eastAsia="zh-CN"/>
              </w:rPr>
              <w:t>厚度</w:t>
            </w:r>
          </w:p>
        </w:tc>
        <w:tc>
          <w:tcPr>
            <w:tcW w:w="2042" w:type="dxa"/>
            <w:vMerge w:val="continue"/>
            <w:tcBorders>
              <w:left w:val="single" w:color="000000" w:sz="4" w:space="0"/>
              <w:right w:val="single" w:color="000000" w:sz="4" w:space="0"/>
            </w:tcBorders>
            <w:shd w:val="clear" w:color="auto" w:fill="auto"/>
            <w:vAlign w:val="center"/>
          </w:tcPr>
          <w:p w14:paraId="261CB6CE">
            <w:pPr>
              <w:jc w:val="center"/>
              <w:rPr>
                <w:rFonts w:hint="eastAsia"/>
                <w:kern w:val="0"/>
                <w:sz w:val="24"/>
              </w:rPr>
            </w:pPr>
          </w:p>
        </w:tc>
      </w:tr>
      <w:tr w14:paraId="7A2BC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5FDD0DC8">
            <w:pPr>
              <w:jc w:val="center"/>
              <w:rPr>
                <w:rFonts w:hint="eastAsia"/>
                <w:kern w:val="0"/>
                <w:sz w:val="24"/>
              </w:rPr>
            </w:pPr>
            <w:r>
              <w:rPr>
                <w:rFonts w:hint="eastAsia"/>
                <w:kern w:val="0"/>
                <w:sz w:val="24"/>
                <w:lang w:val="en-US" w:eastAsia="zh-CN"/>
              </w:rPr>
              <w:t>21</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7E1ABFD1">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FF99F">
            <w:pPr>
              <w:jc w:val="center"/>
              <w:rPr>
                <w:rFonts w:hint="eastAsia"/>
                <w:kern w:val="0"/>
                <w:sz w:val="24"/>
              </w:rPr>
            </w:pPr>
            <w:r>
              <w:rPr>
                <w:rFonts w:hint="eastAsia"/>
                <w:kern w:val="0"/>
                <w:sz w:val="24"/>
                <w:lang w:val="en-US" w:eastAsia="zh-CN"/>
              </w:rPr>
              <w:t>马歇尔稳定度</w:t>
            </w:r>
          </w:p>
        </w:tc>
        <w:tc>
          <w:tcPr>
            <w:tcW w:w="2042" w:type="dxa"/>
            <w:vMerge w:val="continue"/>
            <w:tcBorders>
              <w:left w:val="single" w:color="000000" w:sz="4" w:space="0"/>
              <w:right w:val="single" w:color="000000" w:sz="4" w:space="0"/>
            </w:tcBorders>
            <w:shd w:val="clear" w:color="auto" w:fill="auto"/>
            <w:vAlign w:val="center"/>
          </w:tcPr>
          <w:p w14:paraId="46CED943">
            <w:pPr>
              <w:jc w:val="center"/>
              <w:rPr>
                <w:rFonts w:hint="eastAsia"/>
                <w:kern w:val="0"/>
                <w:sz w:val="24"/>
              </w:rPr>
            </w:pPr>
          </w:p>
        </w:tc>
      </w:tr>
      <w:tr w14:paraId="51D42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4F0CF295">
            <w:pPr>
              <w:jc w:val="center"/>
              <w:rPr>
                <w:rFonts w:hint="eastAsia"/>
                <w:kern w:val="0"/>
                <w:sz w:val="24"/>
              </w:rPr>
            </w:pPr>
            <w:r>
              <w:rPr>
                <w:rFonts w:hint="eastAsia"/>
                <w:kern w:val="0"/>
                <w:sz w:val="24"/>
                <w:lang w:val="en-US" w:eastAsia="zh-CN"/>
              </w:rPr>
              <w:t>22</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2C1EECA0">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6C633">
            <w:pPr>
              <w:jc w:val="center"/>
              <w:rPr>
                <w:rFonts w:hint="eastAsia"/>
                <w:kern w:val="0"/>
                <w:sz w:val="24"/>
              </w:rPr>
            </w:pPr>
            <w:r>
              <w:rPr>
                <w:rFonts w:hint="eastAsia"/>
                <w:kern w:val="0"/>
                <w:sz w:val="24"/>
                <w:lang w:val="en-US" w:eastAsia="zh-CN"/>
              </w:rPr>
              <w:t>马歇尔密度</w:t>
            </w:r>
          </w:p>
        </w:tc>
        <w:tc>
          <w:tcPr>
            <w:tcW w:w="2042" w:type="dxa"/>
            <w:vMerge w:val="continue"/>
            <w:tcBorders>
              <w:left w:val="single" w:color="000000" w:sz="4" w:space="0"/>
              <w:right w:val="single" w:color="000000" w:sz="4" w:space="0"/>
            </w:tcBorders>
            <w:shd w:val="clear" w:color="auto" w:fill="auto"/>
            <w:vAlign w:val="center"/>
          </w:tcPr>
          <w:p w14:paraId="35D3CCC7">
            <w:pPr>
              <w:jc w:val="center"/>
              <w:rPr>
                <w:rFonts w:hint="eastAsia"/>
                <w:kern w:val="0"/>
                <w:sz w:val="24"/>
              </w:rPr>
            </w:pPr>
          </w:p>
        </w:tc>
      </w:tr>
      <w:tr w14:paraId="21EE4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42DC5">
            <w:pPr>
              <w:jc w:val="center"/>
              <w:rPr>
                <w:rFonts w:hint="eastAsia"/>
                <w:kern w:val="0"/>
                <w:sz w:val="24"/>
              </w:rPr>
            </w:pPr>
            <w:r>
              <w:rPr>
                <w:rFonts w:hint="eastAsia"/>
                <w:kern w:val="0"/>
                <w:sz w:val="24"/>
                <w:lang w:val="en-US" w:eastAsia="zh-CN"/>
              </w:rPr>
              <w:t>23</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7B6AA480">
            <w:pPr>
              <w:jc w:val="center"/>
              <w:rPr>
                <w:rFonts w:hint="eastAsia"/>
                <w:kern w:val="0"/>
                <w:sz w:val="24"/>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8CD80">
            <w:pPr>
              <w:jc w:val="center"/>
              <w:rPr>
                <w:rFonts w:hint="eastAsia"/>
                <w:kern w:val="0"/>
                <w:sz w:val="24"/>
              </w:rPr>
            </w:pPr>
            <w:r>
              <w:rPr>
                <w:rFonts w:hint="eastAsia"/>
                <w:kern w:val="0"/>
                <w:sz w:val="24"/>
                <w:lang w:val="en-US" w:eastAsia="zh-CN"/>
              </w:rPr>
              <w:t>沥青含量、矿料级配、油石比、矿料级配、流值</w:t>
            </w:r>
          </w:p>
        </w:tc>
        <w:tc>
          <w:tcPr>
            <w:tcW w:w="2042" w:type="dxa"/>
            <w:vMerge w:val="continue"/>
            <w:tcBorders>
              <w:left w:val="single" w:color="000000" w:sz="4" w:space="0"/>
              <w:right w:val="single" w:color="000000" w:sz="4" w:space="0"/>
            </w:tcBorders>
            <w:shd w:val="clear" w:color="auto" w:fill="auto"/>
            <w:vAlign w:val="center"/>
          </w:tcPr>
          <w:p w14:paraId="705E4B27">
            <w:pPr>
              <w:jc w:val="center"/>
              <w:rPr>
                <w:rFonts w:hint="eastAsia"/>
                <w:kern w:val="0"/>
                <w:sz w:val="24"/>
              </w:rPr>
            </w:pPr>
          </w:p>
        </w:tc>
      </w:tr>
      <w:tr w14:paraId="0BEF3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2442B792">
            <w:pPr>
              <w:jc w:val="center"/>
              <w:rPr>
                <w:rFonts w:hint="eastAsia"/>
                <w:kern w:val="0"/>
                <w:sz w:val="24"/>
              </w:rPr>
            </w:pPr>
            <w:r>
              <w:rPr>
                <w:rFonts w:hint="eastAsia"/>
                <w:kern w:val="0"/>
                <w:sz w:val="24"/>
                <w:lang w:val="en-US" w:eastAsia="zh-CN"/>
              </w:rPr>
              <w:t>24</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3B975642">
            <w:pPr>
              <w:jc w:val="center"/>
              <w:rPr>
                <w:rFonts w:hint="eastAsia"/>
                <w:kern w:val="0"/>
                <w:sz w:val="24"/>
              </w:rPr>
            </w:pPr>
          </w:p>
        </w:tc>
        <w:tc>
          <w:tcPr>
            <w:tcW w:w="4002" w:type="dxa"/>
            <w:tcBorders>
              <w:top w:val="single" w:color="000000" w:sz="4" w:space="0"/>
              <w:left w:val="nil"/>
              <w:bottom w:val="single" w:color="000000" w:sz="4" w:space="0"/>
              <w:right w:val="single" w:color="000000" w:sz="4" w:space="0"/>
            </w:tcBorders>
            <w:shd w:val="clear" w:color="auto" w:fill="auto"/>
            <w:noWrap/>
            <w:vAlign w:val="center"/>
          </w:tcPr>
          <w:p w14:paraId="1562AD20">
            <w:pPr>
              <w:jc w:val="center"/>
              <w:rPr>
                <w:rFonts w:hint="eastAsia"/>
                <w:kern w:val="0"/>
                <w:sz w:val="24"/>
              </w:rPr>
            </w:pPr>
            <w:r>
              <w:rPr>
                <w:rFonts w:hint="eastAsia"/>
                <w:kern w:val="0"/>
                <w:sz w:val="24"/>
                <w:lang w:val="en-US" w:eastAsia="zh-CN"/>
              </w:rPr>
              <w:t>平整度/井框与路面高差</w:t>
            </w:r>
          </w:p>
        </w:tc>
        <w:tc>
          <w:tcPr>
            <w:tcW w:w="2042" w:type="dxa"/>
            <w:vMerge w:val="continue"/>
            <w:tcBorders>
              <w:left w:val="single" w:color="000000" w:sz="4" w:space="0"/>
              <w:right w:val="single" w:color="000000" w:sz="4" w:space="0"/>
            </w:tcBorders>
            <w:shd w:val="clear" w:color="auto" w:fill="auto"/>
            <w:vAlign w:val="center"/>
          </w:tcPr>
          <w:p w14:paraId="3CEE6CBA">
            <w:pPr>
              <w:jc w:val="center"/>
              <w:rPr>
                <w:rFonts w:hint="eastAsia"/>
                <w:kern w:val="0"/>
                <w:sz w:val="24"/>
              </w:rPr>
            </w:pPr>
          </w:p>
        </w:tc>
      </w:tr>
      <w:tr w14:paraId="40681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5F6E32DE">
            <w:pPr>
              <w:jc w:val="center"/>
              <w:rPr>
                <w:rFonts w:hint="eastAsia"/>
                <w:kern w:val="0"/>
                <w:sz w:val="24"/>
              </w:rPr>
            </w:pPr>
            <w:r>
              <w:rPr>
                <w:rFonts w:hint="eastAsia"/>
                <w:kern w:val="0"/>
                <w:sz w:val="24"/>
                <w:lang w:val="en-US" w:eastAsia="zh-CN"/>
              </w:rPr>
              <w:t>25</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21075028">
            <w:pPr>
              <w:jc w:val="center"/>
              <w:rPr>
                <w:rFonts w:hint="eastAsia"/>
                <w:kern w:val="0"/>
                <w:sz w:val="24"/>
              </w:rPr>
            </w:pPr>
          </w:p>
        </w:tc>
        <w:tc>
          <w:tcPr>
            <w:tcW w:w="4002" w:type="dxa"/>
            <w:tcBorders>
              <w:top w:val="single" w:color="000000" w:sz="4" w:space="0"/>
              <w:left w:val="nil"/>
              <w:bottom w:val="single" w:color="000000" w:sz="4" w:space="0"/>
              <w:right w:val="single" w:color="000000" w:sz="4" w:space="0"/>
            </w:tcBorders>
            <w:shd w:val="clear" w:color="auto" w:fill="auto"/>
            <w:vAlign w:val="center"/>
          </w:tcPr>
          <w:p w14:paraId="3D639B0E">
            <w:pPr>
              <w:jc w:val="center"/>
              <w:rPr>
                <w:rFonts w:hint="eastAsia"/>
                <w:kern w:val="0"/>
                <w:sz w:val="24"/>
              </w:rPr>
            </w:pPr>
            <w:r>
              <w:rPr>
                <w:rFonts w:hint="eastAsia"/>
                <w:kern w:val="0"/>
                <w:sz w:val="24"/>
                <w:lang w:val="en-US" w:eastAsia="zh-CN"/>
              </w:rPr>
              <w:t>弯沉</w:t>
            </w:r>
          </w:p>
        </w:tc>
        <w:tc>
          <w:tcPr>
            <w:tcW w:w="2042" w:type="dxa"/>
            <w:vMerge w:val="continue"/>
            <w:tcBorders>
              <w:left w:val="single" w:color="000000" w:sz="4" w:space="0"/>
              <w:right w:val="single" w:color="000000" w:sz="4" w:space="0"/>
            </w:tcBorders>
            <w:shd w:val="clear" w:color="auto" w:fill="auto"/>
            <w:vAlign w:val="center"/>
          </w:tcPr>
          <w:p w14:paraId="459AF93F">
            <w:pPr>
              <w:jc w:val="center"/>
              <w:rPr>
                <w:rFonts w:hint="eastAsia"/>
                <w:kern w:val="0"/>
                <w:sz w:val="24"/>
              </w:rPr>
            </w:pPr>
          </w:p>
        </w:tc>
      </w:tr>
      <w:tr w14:paraId="740E6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1C5C4">
            <w:pPr>
              <w:jc w:val="center"/>
              <w:rPr>
                <w:rFonts w:hint="eastAsia"/>
                <w:kern w:val="0"/>
                <w:sz w:val="24"/>
              </w:rPr>
            </w:pPr>
            <w:r>
              <w:rPr>
                <w:rFonts w:hint="eastAsia"/>
                <w:kern w:val="0"/>
                <w:sz w:val="24"/>
                <w:lang w:val="en-US" w:eastAsia="zh-CN"/>
              </w:rPr>
              <w:t>26</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3115D893">
            <w:pPr>
              <w:jc w:val="center"/>
              <w:rPr>
                <w:rFonts w:hint="eastAsia"/>
                <w:kern w:val="0"/>
                <w:sz w:val="24"/>
              </w:rPr>
            </w:pPr>
          </w:p>
        </w:tc>
        <w:tc>
          <w:tcPr>
            <w:tcW w:w="4002" w:type="dxa"/>
            <w:tcBorders>
              <w:top w:val="single" w:color="000000" w:sz="4" w:space="0"/>
              <w:left w:val="nil"/>
              <w:bottom w:val="single" w:color="000000" w:sz="4" w:space="0"/>
              <w:right w:val="single" w:color="000000" w:sz="4" w:space="0"/>
            </w:tcBorders>
            <w:shd w:val="clear" w:color="auto" w:fill="auto"/>
            <w:vAlign w:val="center"/>
          </w:tcPr>
          <w:p w14:paraId="15551C61">
            <w:pPr>
              <w:jc w:val="center"/>
              <w:rPr>
                <w:rFonts w:hint="eastAsia"/>
                <w:kern w:val="0"/>
                <w:sz w:val="24"/>
              </w:rPr>
            </w:pPr>
            <w:r>
              <w:rPr>
                <w:rFonts w:hint="eastAsia"/>
                <w:kern w:val="0"/>
                <w:sz w:val="24"/>
                <w:lang w:val="en-US" w:eastAsia="zh-CN"/>
              </w:rPr>
              <w:t>抗车辙、渗水系数、摩擦系数等</w:t>
            </w:r>
          </w:p>
        </w:tc>
        <w:tc>
          <w:tcPr>
            <w:tcW w:w="2042" w:type="dxa"/>
            <w:vMerge w:val="continue"/>
            <w:tcBorders>
              <w:left w:val="single" w:color="000000" w:sz="4" w:space="0"/>
              <w:right w:val="single" w:color="000000" w:sz="4" w:space="0"/>
            </w:tcBorders>
            <w:shd w:val="clear" w:color="auto" w:fill="auto"/>
            <w:vAlign w:val="center"/>
          </w:tcPr>
          <w:p w14:paraId="378E6B02">
            <w:pPr>
              <w:jc w:val="center"/>
              <w:rPr>
                <w:rFonts w:hint="eastAsia"/>
                <w:kern w:val="0"/>
                <w:sz w:val="24"/>
              </w:rPr>
            </w:pPr>
          </w:p>
        </w:tc>
      </w:tr>
      <w:tr w14:paraId="6589F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7A54C8E2">
            <w:pPr>
              <w:jc w:val="center"/>
              <w:rPr>
                <w:rFonts w:hint="eastAsia"/>
                <w:kern w:val="0"/>
                <w:sz w:val="24"/>
              </w:rPr>
            </w:pPr>
            <w:r>
              <w:rPr>
                <w:rFonts w:hint="eastAsia"/>
                <w:kern w:val="0"/>
                <w:sz w:val="24"/>
                <w:lang w:val="en-US" w:eastAsia="zh-CN"/>
              </w:rPr>
              <w:t>27</w:t>
            </w:r>
          </w:p>
        </w:tc>
        <w:tc>
          <w:tcPr>
            <w:tcW w:w="1481" w:type="dxa"/>
            <w:vMerge w:val="continue"/>
            <w:tcBorders>
              <w:top w:val="single" w:color="000000" w:sz="4" w:space="0"/>
              <w:left w:val="single" w:color="000000" w:sz="4" w:space="0"/>
              <w:bottom w:val="nil"/>
              <w:right w:val="single" w:color="000000" w:sz="4" w:space="0"/>
            </w:tcBorders>
            <w:shd w:val="clear" w:color="auto" w:fill="auto"/>
            <w:vAlign w:val="center"/>
          </w:tcPr>
          <w:p w14:paraId="112659FC">
            <w:pPr>
              <w:jc w:val="center"/>
              <w:rPr>
                <w:rFonts w:hint="eastAsia"/>
                <w:kern w:val="0"/>
                <w:sz w:val="24"/>
              </w:rPr>
            </w:pPr>
          </w:p>
        </w:tc>
        <w:tc>
          <w:tcPr>
            <w:tcW w:w="4002" w:type="dxa"/>
            <w:tcBorders>
              <w:top w:val="single" w:color="000000" w:sz="4" w:space="0"/>
              <w:left w:val="nil"/>
              <w:bottom w:val="single" w:color="000000" w:sz="4" w:space="0"/>
              <w:right w:val="single" w:color="000000" w:sz="4" w:space="0"/>
            </w:tcBorders>
            <w:shd w:val="clear" w:color="auto" w:fill="auto"/>
            <w:vAlign w:val="center"/>
          </w:tcPr>
          <w:p w14:paraId="56DCD735">
            <w:pPr>
              <w:jc w:val="center"/>
              <w:rPr>
                <w:rFonts w:hint="eastAsia"/>
                <w:kern w:val="0"/>
                <w:sz w:val="24"/>
              </w:rPr>
            </w:pPr>
            <w:r>
              <w:rPr>
                <w:rFonts w:hint="eastAsia"/>
                <w:kern w:val="0"/>
                <w:sz w:val="24"/>
                <w:lang w:val="en-US" w:eastAsia="zh-CN"/>
              </w:rPr>
              <w:t>横坡</w:t>
            </w:r>
          </w:p>
        </w:tc>
        <w:tc>
          <w:tcPr>
            <w:tcW w:w="2042" w:type="dxa"/>
            <w:vMerge w:val="continue"/>
            <w:tcBorders>
              <w:left w:val="single" w:color="000000" w:sz="4" w:space="0"/>
              <w:right w:val="single" w:color="000000" w:sz="4" w:space="0"/>
            </w:tcBorders>
            <w:shd w:val="clear" w:color="auto" w:fill="auto"/>
            <w:vAlign w:val="center"/>
          </w:tcPr>
          <w:p w14:paraId="4A064250">
            <w:pPr>
              <w:jc w:val="center"/>
              <w:rPr>
                <w:rFonts w:hint="eastAsia"/>
                <w:kern w:val="0"/>
                <w:sz w:val="24"/>
              </w:rPr>
            </w:pPr>
          </w:p>
        </w:tc>
      </w:tr>
      <w:tr w14:paraId="3C5AB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215FB261">
            <w:pPr>
              <w:jc w:val="center"/>
              <w:rPr>
                <w:rFonts w:hint="eastAsia"/>
                <w:kern w:val="0"/>
                <w:sz w:val="24"/>
              </w:rPr>
            </w:pPr>
            <w:r>
              <w:rPr>
                <w:rFonts w:hint="eastAsia"/>
                <w:kern w:val="0"/>
                <w:sz w:val="24"/>
                <w:lang w:val="en-US" w:eastAsia="zh-CN"/>
              </w:rPr>
              <w:t>28</w:t>
            </w:r>
          </w:p>
        </w:tc>
        <w:tc>
          <w:tcPr>
            <w:tcW w:w="1481" w:type="dxa"/>
            <w:vMerge w:val="restart"/>
            <w:tcBorders>
              <w:top w:val="single" w:color="000000" w:sz="4" w:space="0"/>
              <w:left w:val="single" w:color="000000" w:sz="4" w:space="0"/>
              <w:bottom w:val="nil"/>
              <w:right w:val="single" w:color="000000" w:sz="4" w:space="0"/>
            </w:tcBorders>
            <w:shd w:val="clear" w:color="auto" w:fill="auto"/>
            <w:vAlign w:val="center"/>
          </w:tcPr>
          <w:p w14:paraId="6F0C7268">
            <w:pPr>
              <w:jc w:val="center"/>
              <w:rPr>
                <w:rFonts w:hint="eastAsia"/>
                <w:kern w:val="0"/>
                <w:sz w:val="24"/>
              </w:rPr>
            </w:pPr>
            <w:r>
              <w:rPr>
                <w:rFonts w:hint="eastAsia"/>
                <w:kern w:val="0"/>
                <w:sz w:val="24"/>
                <w:lang w:val="en-US" w:eastAsia="zh-CN"/>
              </w:rPr>
              <w:t>排水工程</w:t>
            </w:r>
          </w:p>
        </w:tc>
        <w:tc>
          <w:tcPr>
            <w:tcW w:w="4002" w:type="dxa"/>
            <w:tcBorders>
              <w:top w:val="single" w:color="000000" w:sz="4" w:space="0"/>
              <w:left w:val="nil"/>
              <w:bottom w:val="single" w:color="000000" w:sz="4" w:space="0"/>
              <w:right w:val="single" w:color="000000" w:sz="4" w:space="0"/>
            </w:tcBorders>
            <w:shd w:val="clear" w:color="auto" w:fill="auto"/>
            <w:vAlign w:val="center"/>
          </w:tcPr>
          <w:p w14:paraId="3C71006E">
            <w:pPr>
              <w:jc w:val="center"/>
              <w:rPr>
                <w:rFonts w:hint="eastAsia"/>
                <w:kern w:val="0"/>
                <w:sz w:val="24"/>
              </w:rPr>
            </w:pPr>
            <w:r>
              <w:rPr>
                <w:rFonts w:hint="eastAsia"/>
                <w:kern w:val="0"/>
                <w:sz w:val="24"/>
                <w:lang w:val="en-US" w:eastAsia="zh-CN"/>
              </w:rPr>
              <w:t>砼强度（试块）</w:t>
            </w:r>
          </w:p>
        </w:tc>
        <w:tc>
          <w:tcPr>
            <w:tcW w:w="2042" w:type="dxa"/>
            <w:vMerge w:val="continue"/>
            <w:tcBorders>
              <w:left w:val="single" w:color="000000" w:sz="4" w:space="0"/>
              <w:right w:val="single" w:color="000000" w:sz="4" w:space="0"/>
            </w:tcBorders>
            <w:shd w:val="clear" w:color="auto" w:fill="auto"/>
            <w:vAlign w:val="center"/>
          </w:tcPr>
          <w:p w14:paraId="60510BA7">
            <w:pPr>
              <w:jc w:val="center"/>
              <w:rPr>
                <w:rFonts w:hint="eastAsia"/>
                <w:kern w:val="0"/>
                <w:sz w:val="24"/>
              </w:rPr>
            </w:pPr>
          </w:p>
        </w:tc>
      </w:tr>
      <w:tr w14:paraId="7DF13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0C6D5852">
            <w:pPr>
              <w:jc w:val="center"/>
              <w:rPr>
                <w:rFonts w:hint="eastAsia"/>
                <w:kern w:val="0"/>
                <w:sz w:val="24"/>
              </w:rPr>
            </w:pPr>
            <w:r>
              <w:rPr>
                <w:rFonts w:hint="eastAsia"/>
                <w:kern w:val="0"/>
                <w:sz w:val="24"/>
                <w:lang w:val="en-US" w:eastAsia="zh-CN"/>
              </w:rPr>
              <w:t>29</w:t>
            </w:r>
          </w:p>
        </w:tc>
        <w:tc>
          <w:tcPr>
            <w:tcW w:w="1481"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53E0FBDD">
            <w:pPr>
              <w:jc w:val="center"/>
              <w:rPr>
                <w:rFonts w:hint="eastAsia"/>
                <w:kern w:val="0"/>
                <w:sz w:val="24"/>
              </w:rPr>
            </w:pPr>
          </w:p>
        </w:tc>
        <w:tc>
          <w:tcPr>
            <w:tcW w:w="4002" w:type="dxa"/>
            <w:tcBorders>
              <w:top w:val="nil"/>
              <w:left w:val="nil"/>
              <w:bottom w:val="single" w:color="auto" w:sz="4" w:space="0"/>
              <w:right w:val="single" w:color="000000" w:sz="4" w:space="0"/>
            </w:tcBorders>
            <w:shd w:val="clear" w:color="auto" w:fill="auto"/>
            <w:vAlign w:val="center"/>
          </w:tcPr>
          <w:p w14:paraId="7DD4234E">
            <w:pPr>
              <w:jc w:val="center"/>
              <w:rPr>
                <w:rFonts w:hint="eastAsia"/>
                <w:kern w:val="0"/>
                <w:sz w:val="24"/>
              </w:rPr>
            </w:pPr>
            <w:r>
              <w:rPr>
                <w:rFonts w:hint="eastAsia"/>
                <w:kern w:val="0"/>
                <w:sz w:val="24"/>
                <w:lang w:val="en-US" w:eastAsia="zh-CN"/>
              </w:rPr>
              <w:t>给排水管材</w:t>
            </w:r>
          </w:p>
        </w:tc>
        <w:tc>
          <w:tcPr>
            <w:tcW w:w="2042" w:type="dxa"/>
            <w:vMerge w:val="continue"/>
            <w:tcBorders>
              <w:left w:val="single" w:color="000000" w:sz="4" w:space="0"/>
              <w:bottom w:val="single" w:color="auto" w:sz="4" w:space="0"/>
              <w:right w:val="single" w:color="000000" w:sz="4" w:space="0"/>
            </w:tcBorders>
            <w:shd w:val="clear" w:color="auto" w:fill="auto"/>
            <w:vAlign w:val="center"/>
          </w:tcPr>
          <w:p w14:paraId="05A1C331">
            <w:pPr>
              <w:jc w:val="center"/>
              <w:rPr>
                <w:rFonts w:hint="eastAsia"/>
                <w:kern w:val="0"/>
                <w:sz w:val="24"/>
              </w:rPr>
            </w:pPr>
          </w:p>
        </w:tc>
      </w:tr>
      <w:tr w14:paraId="0D982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auto" w:sz="4" w:space="0"/>
              <w:left w:val="single" w:color="000000" w:sz="4" w:space="0"/>
              <w:bottom w:val="single" w:color="auto" w:sz="4" w:space="0"/>
              <w:right w:val="single" w:color="000000" w:sz="4" w:space="0"/>
            </w:tcBorders>
            <w:shd w:val="clear" w:color="auto" w:fill="auto"/>
            <w:noWrap/>
            <w:vAlign w:val="center"/>
          </w:tcPr>
          <w:p w14:paraId="31C2D01B">
            <w:pPr>
              <w:jc w:val="center"/>
              <w:rPr>
                <w:rFonts w:hint="eastAsia"/>
                <w:kern w:val="0"/>
                <w:sz w:val="24"/>
              </w:rPr>
            </w:pPr>
            <w:r>
              <w:rPr>
                <w:rFonts w:hint="eastAsia"/>
                <w:kern w:val="0"/>
                <w:sz w:val="24"/>
                <w:lang w:val="en-US" w:eastAsia="zh-CN"/>
              </w:rPr>
              <w:t>30</w:t>
            </w:r>
          </w:p>
        </w:tc>
        <w:tc>
          <w:tcPr>
            <w:tcW w:w="1481"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5B639EA">
            <w:pPr>
              <w:jc w:val="center"/>
              <w:rPr>
                <w:rFonts w:hint="eastAsia"/>
                <w:kern w:val="0"/>
                <w:sz w:val="24"/>
              </w:rPr>
            </w:pPr>
          </w:p>
        </w:tc>
        <w:tc>
          <w:tcPr>
            <w:tcW w:w="4002" w:type="dxa"/>
            <w:tcBorders>
              <w:top w:val="single" w:color="auto" w:sz="4" w:space="0"/>
              <w:left w:val="nil"/>
              <w:bottom w:val="single" w:color="auto" w:sz="4" w:space="0"/>
              <w:right w:val="single" w:color="000000" w:sz="4" w:space="0"/>
            </w:tcBorders>
            <w:shd w:val="clear" w:color="auto" w:fill="auto"/>
            <w:vAlign w:val="center"/>
          </w:tcPr>
          <w:p w14:paraId="00214E28">
            <w:pPr>
              <w:jc w:val="center"/>
              <w:rPr>
                <w:rFonts w:hint="eastAsia"/>
                <w:kern w:val="0"/>
                <w:sz w:val="24"/>
              </w:rPr>
            </w:pPr>
            <w:r>
              <w:rPr>
                <w:rFonts w:hint="eastAsia"/>
                <w:kern w:val="0"/>
                <w:sz w:val="24"/>
                <w:lang w:val="en-US" w:eastAsia="zh-CN"/>
              </w:rPr>
              <w:t>井盖/雨水箅</w:t>
            </w:r>
          </w:p>
        </w:tc>
        <w:tc>
          <w:tcPr>
            <w:tcW w:w="2042"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F1B838C">
            <w:pPr>
              <w:jc w:val="center"/>
              <w:rPr>
                <w:rFonts w:hint="eastAsia"/>
                <w:kern w:val="0"/>
                <w:sz w:val="24"/>
              </w:rPr>
            </w:pPr>
          </w:p>
        </w:tc>
      </w:tr>
      <w:tr w14:paraId="63E86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1E2B8A0D">
            <w:pPr>
              <w:jc w:val="center"/>
              <w:rPr>
                <w:rFonts w:hint="eastAsia"/>
                <w:kern w:val="0"/>
                <w:sz w:val="24"/>
              </w:rPr>
            </w:pPr>
            <w:r>
              <w:rPr>
                <w:rFonts w:hint="eastAsia"/>
                <w:kern w:val="0"/>
                <w:sz w:val="24"/>
                <w:lang w:val="en-US" w:eastAsia="zh-CN"/>
              </w:rPr>
              <w:t>31</w:t>
            </w:r>
          </w:p>
        </w:tc>
        <w:tc>
          <w:tcPr>
            <w:tcW w:w="1481"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67DC46B9">
            <w:pPr>
              <w:jc w:val="center"/>
              <w:rPr>
                <w:rFonts w:hint="eastAsia"/>
                <w:kern w:val="0"/>
                <w:sz w:val="24"/>
              </w:rPr>
            </w:pPr>
            <w:r>
              <w:rPr>
                <w:rFonts w:hint="eastAsia"/>
                <w:kern w:val="0"/>
                <w:sz w:val="24"/>
                <w:lang w:val="en-US" w:eastAsia="zh-CN"/>
              </w:rPr>
              <w:t>交通工程</w:t>
            </w:r>
          </w:p>
        </w:tc>
        <w:tc>
          <w:tcPr>
            <w:tcW w:w="4002"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39350024">
            <w:pPr>
              <w:jc w:val="center"/>
              <w:rPr>
                <w:rFonts w:hint="eastAsia"/>
                <w:kern w:val="0"/>
                <w:sz w:val="24"/>
              </w:rPr>
            </w:pPr>
            <w:r>
              <w:rPr>
                <w:rFonts w:hint="eastAsia"/>
                <w:kern w:val="0"/>
                <w:sz w:val="24"/>
                <w:lang w:val="en-US" w:eastAsia="zh-CN"/>
              </w:rPr>
              <w:t>立柱竖直度/标志板净空</w:t>
            </w:r>
          </w:p>
        </w:tc>
        <w:tc>
          <w:tcPr>
            <w:tcW w:w="2042" w:type="dxa"/>
            <w:vMerge w:val="continue"/>
            <w:tcBorders>
              <w:top w:val="single" w:color="auto" w:sz="4" w:space="0"/>
              <w:left w:val="single" w:color="000000" w:sz="4" w:space="0"/>
              <w:right w:val="single" w:color="000000" w:sz="4" w:space="0"/>
            </w:tcBorders>
            <w:shd w:val="clear" w:color="auto" w:fill="auto"/>
            <w:vAlign w:val="center"/>
          </w:tcPr>
          <w:p w14:paraId="77F415BC">
            <w:pPr>
              <w:jc w:val="center"/>
              <w:rPr>
                <w:rFonts w:hint="eastAsia"/>
                <w:kern w:val="0"/>
                <w:sz w:val="24"/>
              </w:rPr>
            </w:pPr>
          </w:p>
        </w:tc>
      </w:tr>
      <w:tr w14:paraId="11890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5B16E">
            <w:pPr>
              <w:jc w:val="center"/>
              <w:rPr>
                <w:rFonts w:hint="eastAsia"/>
                <w:kern w:val="0"/>
                <w:sz w:val="24"/>
              </w:rPr>
            </w:pPr>
            <w:r>
              <w:rPr>
                <w:rFonts w:hint="eastAsia"/>
                <w:kern w:val="0"/>
                <w:sz w:val="24"/>
                <w:lang w:val="en-US" w:eastAsia="zh-CN"/>
              </w:rPr>
              <w:t>32</w:t>
            </w:r>
          </w:p>
        </w:tc>
        <w:tc>
          <w:tcPr>
            <w:tcW w:w="1481"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5395E957">
            <w:pPr>
              <w:jc w:val="center"/>
              <w:rPr>
                <w:rFonts w:hint="eastAsia"/>
                <w:kern w:val="0"/>
                <w:sz w:val="24"/>
              </w:rPr>
            </w:pP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14:paraId="231CE82C">
            <w:pPr>
              <w:jc w:val="center"/>
              <w:rPr>
                <w:rFonts w:hint="eastAsia"/>
                <w:kern w:val="0"/>
                <w:sz w:val="24"/>
              </w:rPr>
            </w:pPr>
            <w:r>
              <w:rPr>
                <w:rFonts w:hint="eastAsia"/>
                <w:kern w:val="0"/>
                <w:sz w:val="24"/>
                <w:lang w:val="en-US" w:eastAsia="zh-CN"/>
              </w:rPr>
              <w:t>标志板（几何尺寸）</w:t>
            </w:r>
          </w:p>
        </w:tc>
        <w:tc>
          <w:tcPr>
            <w:tcW w:w="2042" w:type="dxa"/>
            <w:vMerge w:val="continue"/>
            <w:tcBorders>
              <w:left w:val="single" w:color="000000" w:sz="4" w:space="0"/>
              <w:right w:val="single" w:color="000000" w:sz="4" w:space="0"/>
            </w:tcBorders>
            <w:shd w:val="clear" w:color="auto" w:fill="auto"/>
            <w:vAlign w:val="center"/>
          </w:tcPr>
          <w:p w14:paraId="48941596">
            <w:pPr>
              <w:jc w:val="center"/>
              <w:rPr>
                <w:rFonts w:hint="eastAsia"/>
                <w:kern w:val="0"/>
                <w:sz w:val="24"/>
              </w:rPr>
            </w:pPr>
          </w:p>
        </w:tc>
      </w:tr>
      <w:tr w14:paraId="5F215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53E1BE79">
            <w:pPr>
              <w:jc w:val="center"/>
              <w:rPr>
                <w:rFonts w:hint="eastAsia"/>
                <w:kern w:val="0"/>
                <w:sz w:val="24"/>
              </w:rPr>
            </w:pPr>
            <w:r>
              <w:rPr>
                <w:rFonts w:hint="eastAsia"/>
                <w:kern w:val="0"/>
                <w:sz w:val="24"/>
                <w:lang w:val="en-US" w:eastAsia="zh-CN"/>
              </w:rPr>
              <w:t>33</w:t>
            </w:r>
          </w:p>
        </w:tc>
        <w:tc>
          <w:tcPr>
            <w:tcW w:w="1481"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47757E8">
            <w:pPr>
              <w:jc w:val="center"/>
              <w:rPr>
                <w:rFonts w:hint="eastAsia"/>
                <w:kern w:val="0"/>
                <w:sz w:val="24"/>
              </w:rPr>
            </w:pP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14:paraId="389AF56D">
            <w:pPr>
              <w:jc w:val="center"/>
              <w:rPr>
                <w:rFonts w:hint="eastAsia"/>
                <w:kern w:val="0"/>
                <w:sz w:val="24"/>
              </w:rPr>
            </w:pPr>
            <w:r>
              <w:rPr>
                <w:rFonts w:hint="eastAsia"/>
                <w:kern w:val="0"/>
                <w:sz w:val="24"/>
                <w:lang w:val="en-US" w:eastAsia="zh-CN"/>
              </w:rPr>
              <w:t>标志板反光膜逆反射系数</w:t>
            </w:r>
          </w:p>
        </w:tc>
        <w:tc>
          <w:tcPr>
            <w:tcW w:w="2042" w:type="dxa"/>
            <w:vMerge w:val="continue"/>
            <w:tcBorders>
              <w:left w:val="single" w:color="000000" w:sz="4" w:space="0"/>
              <w:right w:val="single" w:color="000000" w:sz="4" w:space="0"/>
            </w:tcBorders>
            <w:shd w:val="clear" w:color="auto" w:fill="auto"/>
            <w:vAlign w:val="center"/>
          </w:tcPr>
          <w:p w14:paraId="1569A095">
            <w:pPr>
              <w:jc w:val="center"/>
              <w:rPr>
                <w:rFonts w:hint="eastAsia"/>
                <w:kern w:val="0"/>
                <w:sz w:val="24"/>
              </w:rPr>
            </w:pPr>
          </w:p>
        </w:tc>
      </w:tr>
      <w:tr w14:paraId="0E48C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nil"/>
              <w:left w:val="single" w:color="000000" w:sz="4" w:space="0"/>
              <w:bottom w:val="single" w:color="000000" w:sz="4" w:space="0"/>
              <w:right w:val="single" w:color="000000" w:sz="4" w:space="0"/>
            </w:tcBorders>
            <w:shd w:val="clear" w:color="auto" w:fill="auto"/>
            <w:noWrap/>
            <w:vAlign w:val="center"/>
          </w:tcPr>
          <w:p w14:paraId="2D50F8F5">
            <w:pPr>
              <w:jc w:val="center"/>
              <w:rPr>
                <w:rFonts w:hint="eastAsia"/>
                <w:kern w:val="0"/>
                <w:sz w:val="24"/>
              </w:rPr>
            </w:pPr>
            <w:r>
              <w:rPr>
                <w:rFonts w:hint="eastAsia"/>
                <w:kern w:val="0"/>
                <w:sz w:val="24"/>
                <w:lang w:val="en-US" w:eastAsia="zh-CN"/>
              </w:rPr>
              <w:t>34</w:t>
            </w:r>
          </w:p>
        </w:tc>
        <w:tc>
          <w:tcPr>
            <w:tcW w:w="1481"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056A373">
            <w:pPr>
              <w:jc w:val="center"/>
              <w:rPr>
                <w:rFonts w:hint="eastAsia"/>
                <w:kern w:val="0"/>
                <w:sz w:val="24"/>
              </w:rPr>
            </w:pPr>
          </w:p>
        </w:tc>
        <w:tc>
          <w:tcPr>
            <w:tcW w:w="4002" w:type="dxa"/>
            <w:tcBorders>
              <w:top w:val="nil"/>
              <w:left w:val="single" w:color="000000" w:sz="4" w:space="0"/>
              <w:bottom w:val="single" w:color="000000" w:sz="4" w:space="0"/>
              <w:right w:val="single" w:color="000000" w:sz="4" w:space="0"/>
            </w:tcBorders>
            <w:shd w:val="clear" w:color="auto" w:fill="auto"/>
            <w:noWrap/>
            <w:vAlign w:val="center"/>
          </w:tcPr>
          <w:p w14:paraId="47C8FFF0">
            <w:pPr>
              <w:jc w:val="center"/>
              <w:rPr>
                <w:rFonts w:hint="eastAsia"/>
                <w:kern w:val="0"/>
                <w:sz w:val="24"/>
              </w:rPr>
            </w:pPr>
            <w:r>
              <w:rPr>
                <w:rFonts w:hint="eastAsia"/>
                <w:kern w:val="0"/>
                <w:sz w:val="24"/>
                <w:lang w:val="en-US" w:eastAsia="zh-CN"/>
              </w:rPr>
              <w:t>反光标线逆反色系数</w:t>
            </w:r>
          </w:p>
        </w:tc>
        <w:tc>
          <w:tcPr>
            <w:tcW w:w="2042" w:type="dxa"/>
            <w:vMerge w:val="continue"/>
            <w:tcBorders>
              <w:left w:val="single" w:color="000000" w:sz="4" w:space="0"/>
              <w:right w:val="single" w:color="000000" w:sz="4" w:space="0"/>
            </w:tcBorders>
            <w:shd w:val="clear" w:color="auto" w:fill="auto"/>
            <w:vAlign w:val="center"/>
          </w:tcPr>
          <w:p w14:paraId="141B4905">
            <w:pPr>
              <w:jc w:val="center"/>
              <w:rPr>
                <w:rFonts w:hint="eastAsia"/>
                <w:kern w:val="0"/>
                <w:sz w:val="24"/>
              </w:rPr>
            </w:pPr>
          </w:p>
        </w:tc>
      </w:tr>
      <w:tr w14:paraId="13979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4CC0A">
            <w:pPr>
              <w:jc w:val="center"/>
              <w:rPr>
                <w:rFonts w:hint="eastAsia"/>
                <w:kern w:val="0"/>
                <w:sz w:val="24"/>
              </w:rPr>
            </w:pPr>
            <w:r>
              <w:rPr>
                <w:rFonts w:hint="eastAsia"/>
                <w:kern w:val="0"/>
                <w:sz w:val="24"/>
                <w:lang w:val="en-US" w:eastAsia="zh-CN"/>
              </w:rPr>
              <w:t>35</w:t>
            </w:r>
          </w:p>
        </w:tc>
        <w:tc>
          <w:tcPr>
            <w:tcW w:w="1481"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D248C3E">
            <w:pPr>
              <w:jc w:val="center"/>
              <w:rPr>
                <w:rFonts w:hint="eastAsia"/>
                <w:kern w:val="0"/>
                <w:sz w:val="24"/>
              </w:rPr>
            </w:pPr>
          </w:p>
        </w:tc>
        <w:tc>
          <w:tcPr>
            <w:tcW w:w="4002" w:type="dxa"/>
            <w:tcBorders>
              <w:top w:val="nil"/>
              <w:left w:val="single" w:color="000000" w:sz="4" w:space="0"/>
              <w:bottom w:val="single" w:color="auto" w:sz="4" w:space="0"/>
              <w:right w:val="single" w:color="000000" w:sz="4" w:space="0"/>
            </w:tcBorders>
            <w:shd w:val="clear" w:color="auto" w:fill="auto"/>
            <w:noWrap/>
            <w:vAlign w:val="center"/>
          </w:tcPr>
          <w:p w14:paraId="6AAFF6AE">
            <w:pPr>
              <w:jc w:val="center"/>
              <w:rPr>
                <w:rFonts w:hint="eastAsia"/>
                <w:kern w:val="0"/>
                <w:sz w:val="24"/>
              </w:rPr>
            </w:pPr>
            <w:r>
              <w:rPr>
                <w:rFonts w:hint="eastAsia"/>
                <w:kern w:val="0"/>
                <w:sz w:val="24"/>
                <w:lang w:val="en-US" w:eastAsia="zh-CN"/>
              </w:rPr>
              <w:t>标线几何尺寸（宽度、厚度等）</w:t>
            </w:r>
          </w:p>
        </w:tc>
        <w:tc>
          <w:tcPr>
            <w:tcW w:w="2042" w:type="dxa"/>
            <w:vMerge w:val="continue"/>
            <w:tcBorders>
              <w:left w:val="single" w:color="000000" w:sz="4" w:space="0"/>
              <w:right w:val="single" w:color="000000" w:sz="4" w:space="0"/>
            </w:tcBorders>
            <w:shd w:val="clear" w:color="auto" w:fill="auto"/>
            <w:vAlign w:val="center"/>
          </w:tcPr>
          <w:p w14:paraId="516A22E1">
            <w:pPr>
              <w:jc w:val="center"/>
              <w:rPr>
                <w:rFonts w:hint="eastAsia"/>
                <w:kern w:val="0"/>
                <w:sz w:val="24"/>
              </w:rPr>
            </w:pPr>
          </w:p>
        </w:tc>
      </w:tr>
      <w:tr w14:paraId="76A6F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B4E51">
            <w:pPr>
              <w:jc w:val="center"/>
              <w:rPr>
                <w:rFonts w:hint="default"/>
                <w:kern w:val="0"/>
                <w:sz w:val="24"/>
                <w:lang w:val="en-US" w:eastAsia="zh-CN"/>
              </w:rPr>
            </w:pPr>
            <w:r>
              <w:rPr>
                <w:rFonts w:hint="eastAsia"/>
                <w:kern w:val="0"/>
                <w:sz w:val="24"/>
                <w:lang w:val="en-US" w:eastAsia="zh-CN"/>
              </w:rPr>
              <w:t>36</w:t>
            </w:r>
          </w:p>
        </w:tc>
        <w:tc>
          <w:tcPr>
            <w:tcW w:w="1481" w:type="dxa"/>
            <w:vMerge w:val="restart"/>
            <w:tcBorders>
              <w:top w:val="single" w:color="auto" w:sz="4" w:space="0"/>
              <w:left w:val="single" w:color="000000" w:sz="4" w:space="0"/>
              <w:bottom w:val="single" w:color="auto" w:sz="4" w:space="0"/>
              <w:right w:val="single" w:color="auto" w:sz="4" w:space="0"/>
            </w:tcBorders>
            <w:shd w:val="clear" w:color="auto" w:fill="auto"/>
            <w:vAlign w:val="center"/>
          </w:tcPr>
          <w:p w14:paraId="5EAABB28">
            <w:pPr>
              <w:jc w:val="center"/>
              <w:rPr>
                <w:rFonts w:hint="eastAsia"/>
                <w:kern w:val="0"/>
                <w:sz w:val="24"/>
                <w:lang w:val="en-US" w:eastAsia="zh-CN"/>
              </w:rPr>
            </w:pPr>
            <w:r>
              <w:rPr>
                <w:rFonts w:hint="eastAsia"/>
                <w:kern w:val="0"/>
                <w:sz w:val="24"/>
                <w:lang w:val="en-US" w:eastAsia="zh-CN"/>
              </w:rPr>
              <w:t>桥梁工程</w:t>
            </w:r>
          </w:p>
        </w:tc>
        <w:tc>
          <w:tcPr>
            <w:tcW w:w="40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B8F467">
            <w:pPr>
              <w:jc w:val="center"/>
              <w:rPr>
                <w:rFonts w:hint="default"/>
                <w:kern w:val="0"/>
                <w:sz w:val="24"/>
                <w:lang w:val="en-US" w:eastAsia="zh-CN"/>
              </w:rPr>
            </w:pPr>
            <w:r>
              <w:rPr>
                <w:rFonts w:hint="eastAsia"/>
                <w:kern w:val="0"/>
                <w:sz w:val="24"/>
                <w:lang w:val="en-US" w:eastAsia="zh-CN"/>
              </w:rPr>
              <w:t>原材料（水泥、砂石、钢筋、混凝土）</w:t>
            </w:r>
          </w:p>
        </w:tc>
        <w:tc>
          <w:tcPr>
            <w:tcW w:w="2042" w:type="dxa"/>
            <w:vMerge w:val="continue"/>
            <w:tcBorders>
              <w:left w:val="single" w:color="000000" w:sz="4" w:space="0"/>
              <w:right w:val="single" w:color="000000" w:sz="4" w:space="0"/>
            </w:tcBorders>
            <w:shd w:val="clear" w:color="auto" w:fill="auto"/>
            <w:vAlign w:val="center"/>
          </w:tcPr>
          <w:p w14:paraId="52BB48B4">
            <w:pPr>
              <w:jc w:val="center"/>
              <w:rPr>
                <w:rFonts w:hint="eastAsia"/>
                <w:kern w:val="0"/>
                <w:sz w:val="24"/>
              </w:rPr>
            </w:pPr>
          </w:p>
        </w:tc>
      </w:tr>
      <w:tr w14:paraId="2A4F7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23D85">
            <w:pPr>
              <w:jc w:val="center"/>
              <w:rPr>
                <w:rFonts w:hint="default"/>
                <w:kern w:val="0"/>
                <w:sz w:val="24"/>
                <w:lang w:val="en-US" w:eastAsia="zh-CN"/>
              </w:rPr>
            </w:pPr>
            <w:r>
              <w:rPr>
                <w:rFonts w:hint="eastAsia"/>
                <w:kern w:val="0"/>
                <w:sz w:val="24"/>
                <w:lang w:val="en-US" w:eastAsia="zh-CN"/>
              </w:rPr>
              <w:t>37</w:t>
            </w:r>
          </w:p>
        </w:tc>
        <w:tc>
          <w:tcPr>
            <w:tcW w:w="1481" w:type="dxa"/>
            <w:vMerge w:val="continue"/>
            <w:tcBorders>
              <w:top w:val="single" w:color="auto" w:sz="4" w:space="0"/>
              <w:left w:val="single" w:color="000000" w:sz="4" w:space="0"/>
              <w:bottom w:val="single" w:color="auto" w:sz="4" w:space="0"/>
              <w:right w:val="single" w:color="auto" w:sz="4" w:space="0"/>
            </w:tcBorders>
            <w:shd w:val="clear" w:color="auto" w:fill="auto"/>
            <w:vAlign w:val="center"/>
          </w:tcPr>
          <w:p w14:paraId="251E7CCC">
            <w:pPr>
              <w:jc w:val="center"/>
              <w:rPr>
                <w:rFonts w:hint="eastAsia"/>
                <w:kern w:val="0"/>
                <w:sz w:val="24"/>
                <w:lang w:val="en-US" w:eastAsia="zh-CN"/>
              </w:rPr>
            </w:pPr>
          </w:p>
        </w:tc>
        <w:tc>
          <w:tcPr>
            <w:tcW w:w="40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5C329A">
            <w:pPr>
              <w:jc w:val="center"/>
              <w:rPr>
                <w:rFonts w:hint="eastAsia"/>
                <w:kern w:val="0"/>
                <w:sz w:val="24"/>
                <w:lang w:val="en-US" w:eastAsia="zh-CN"/>
              </w:rPr>
            </w:pPr>
            <w:r>
              <w:rPr>
                <w:rFonts w:hint="eastAsia"/>
                <w:kern w:val="0"/>
                <w:sz w:val="24"/>
                <w:lang w:val="en-US" w:eastAsia="zh-CN"/>
              </w:rPr>
              <w:t>预应力构件</w:t>
            </w:r>
          </w:p>
        </w:tc>
        <w:tc>
          <w:tcPr>
            <w:tcW w:w="2042" w:type="dxa"/>
            <w:vMerge w:val="continue"/>
            <w:tcBorders>
              <w:left w:val="single" w:color="000000" w:sz="4" w:space="0"/>
              <w:right w:val="single" w:color="000000" w:sz="4" w:space="0"/>
            </w:tcBorders>
            <w:shd w:val="clear" w:color="auto" w:fill="auto"/>
            <w:vAlign w:val="center"/>
          </w:tcPr>
          <w:p w14:paraId="01FFB99E">
            <w:pPr>
              <w:jc w:val="center"/>
              <w:rPr>
                <w:rFonts w:hint="eastAsia"/>
                <w:kern w:val="0"/>
                <w:sz w:val="24"/>
              </w:rPr>
            </w:pPr>
          </w:p>
        </w:tc>
      </w:tr>
      <w:tr w14:paraId="2F44D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E288F">
            <w:pPr>
              <w:jc w:val="center"/>
              <w:rPr>
                <w:rFonts w:hint="default"/>
                <w:kern w:val="0"/>
                <w:sz w:val="24"/>
                <w:lang w:val="en-US" w:eastAsia="zh-CN"/>
              </w:rPr>
            </w:pPr>
            <w:r>
              <w:rPr>
                <w:rFonts w:hint="eastAsia"/>
                <w:kern w:val="0"/>
                <w:sz w:val="24"/>
                <w:lang w:val="en-US" w:eastAsia="zh-CN"/>
              </w:rPr>
              <w:t>38</w:t>
            </w:r>
          </w:p>
        </w:tc>
        <w:tc>
          <w:tcPr>
            <w:tcW w:w="1481" w:type="dxa"/>
            <w:vMerge w:val="continue"/>
            <w:tcBorders>
              <w:top w:val="single" w:color="auto" w:sz="4" w:space="0"/>
              <w:left w:val="single" w:color="000000" w:sz="4" w:space="0"/>
              <w:bottom w:val="single" w:color="auto" w:sz="4" w:space="0"/>
              <w:right w:val="single" w:color="auto" w:sz="4" w:space="0"/>
            </w:tcBorders>
            <w:shd w:val="clear" w:color="auto" w:fill="auto"/>
            <w:vAlign w:val="center"/>
          </w:tcPr>
          <w:p w14:paraId="3DF76CE7">
            <w:pPr>
              <w:jc w:val="center"/>
              <w:rPr>
                <w:rFonts w:hint="eastAsia"/>
                <w:kern w:val="0"/>
                <w:sz w:val="24"/>
              </w:rPr>
            </w:pPr>
          </w:p>
        </w:tc>
        <w:tc>
          <w:tcPr>
            <w:tcW w:w="40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4C42B7">
            <w:pPr>
              <w:jc w:val="center"/>
              <w:rPr>
                <w:rFonts w:hint="eastAsia"/>
                <w:kern w:val="0"/>
                <w:sz w:val="24"/>
                <w:lang w:val="en-US" w:eastAsia="zh-CN"/>
              </w:rPr>
            </w:pPr>
            <w:r>
              <w:rPr>
                <w:rFonts w:hint="eastAsia"/>
                <w:kern w:val="0"/>
                <w:sz w:val="24"/>
                <w:lang w:val="en-US" w:eastAsia="zh-CN"/>
              </w:rPr>
              <w:t>非常规的桥梁支座、桩基</w:t>
            </w:r>
          </w:p>
        </w:tc>
        <w:tc>
          <w:tcPr>
            <w:tcW w:w="2042" w:type="dxa"/>
            <w:vMerge w:val="continue"/>
            <w:tcBorders>
              <w:left w:val="single" w:color="000000" w:sz="4" w:space="0"/>
              <w:right w:val="single" w:color="000000" w:sz="4" w:space="0"/>
            </w:tcBorders>
            <w:shd w:val="clear" w:color="auto" w:fill="auto"/>
            <w:vAlign w:val="center"/>
          </w:tcPr>
          <w:p w14:paraId="5446ADE7">
            <w:pPr>
              <w:jc w:val="center"/>
              <w:rPr>
                <w:rFonts w:hint="eastAsia"/>
                <w:kern w:val="0"/>
                <w:sz w:val="24"/>
              </w:rPr>
            </w:pPr>
          </w:p>
        </w:tc>
      </w:tr>
      <w:tr w14:paraId="43520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E7854">
            <w:pPr>
              <w:jc w:val="center"/>
              <w:rPr>
                <w:rFonts w:hint="default"/>
                <w:kern w:val="0"/>
                <w:sz w:val="24"/>
                <w:lang w:val="en-US" w:eastAsia="zh-CN"/>
              </w:rPr>
            </w:pPr>
            <w:r>
              <w:rPr>
                <w:rFonts w:hint="eastAsia"/>
                <w:kern w:val="0"/>
                <w:sz w:val="24"/>
                <w:lang w:val="en-US" w:eastAsia="zh-CN"/>
              </w:rPr>
              <w:t>39</w:t>
            </w:r>
          </w:p>
        </w:tc>
        <w:tc>
          <w:tcPr>
            <w:tcW w:w="1481" w:type="dxa"/>
            <w:vMerge w:val="continue"/>
            <w:tcBorders>
              <w:top w:val="single" w:color="auto" w:sz="4" w:space="0"/>
              <w:left w:val="single" w:color="000000" w:sz="4" w:space="0"/>
              <w:bottom w:val="single" w:color="auto" w:sz="4" w:space="0"/>
              <w:right w:val="single" w:color="auto" w:sz="4" w:space="0"/>
            </w:tcBorders>
            <w:shd w:val="clear" w:color="auto" w:fill="auto"/>
            <w:vAlign w:val="center"/>
          </w:tcPr>
          <w:p w14:paraId="379CD217">
            <w:pPr>
              <w:jc w:val="center"/>
              <w:rPr>
                <w:rFonts w:hint="eastAsia"/>
                <w:kern w:val="0"/>
                <w:sz w:val="24"/>
              </w:rPr>
            </w:pPr>
          </w:p>
        </w:tc>
        <w:tc>
          <w:tcPr>
            <w:tcW w:w="40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FD88E7">
            <w:pPr>
              <w:jc w:val="center"/>
              <w:rPr>
                <w:rFonts w:hint="eastAsia"/>
                <w:kern w:val="0"/>
                <w:sz w:val="24"/>
                <w:lang w:val="en-US" w:eastAsia="zh-CN"/>
              </w:rPr>
            </w:pPr>
            <w:r>
              <w:rPr>
                <w:rFonts w:hint="eastAsia"/>
                <w:kern w:val="0"/>
                <w:sz w:val="24"/>
                <w:lang w:val="en-US" w:eastAsia="zh-CN"/>
              </w:rPr>
              <w:t>桥面变形、平整度检测、附属设施（护栏、伸缩缝）功能性检测</w:t>
            </w:r>
          </w:p>
        </w:tc>
        <w:tc>
          <w:tcPr>
            <w:tcW w:w="2042" w:type="dxa"/>
            <w:vMerge w:val="continue"/>
            <w:tcBorders>
              <w:left w:val="single" w:color="000000" w:sz="4" w:space="0"/>
              <w:right w:val="single" w:color="000000" w:sz="4" w:space="0"/>
            </w:tcBorders>
            <w:shd w:val="clear" w:color="auto" w:fill="auto"/>
            <w:vAlign w:val="center"/>
          </w:tcPr>
          <w:p w14:paraId="46614077">
            <w:pPr>
              <w:jc w:val="center"/>
              <w:rPr>
                <w:rFonts w:hint="eastAsia"/>
                <w:kern w:val="0"/>
                <w:sz w:val="24"/>
              </w:rPr>
            </w:pPr>
          </w:p>
        </w:tc>
      </w:tr>
      <w:tr w14:paraId="2E257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22D495CA">
            <w:pPr>
              <w:jc w:val="center"/>
              <w:rPr>
                <w:rFonts w:hint="default"/>
                <w:kern w:val="0"/>
                <w:sz w:val="24"/>
                <w:lang w:val="en-US" w:eastAsia="zh-CN"/>
              </w:rPr>
            </w:pPr>
            <w:r>
              <w:rPr>
                <w:rFonts w:hint="eastAsia"/>
                <w:kern w:val="0"/>
                <w:sz w:val="24"/>
                <w:lang w:val="en-US" w:eastAsia="zh-CN"/>
              </w:rPr>
              <w:t>40</w:t>
            </w:r>
          </w:p>
        </w:tc>
        <w:tc>
          <w:tcPr>
            <w:tcW w:w="1481" w:type="dxa"/>
            <w:vMerge w:val="continue"/>
            <w:tcBorders>
              <w:top w:val="single" w:color="auto" w:sz="4" w:space="0"/>
              <w:left w:val="single" w:color="000000" w:sz="4" w:space="0"/>
              <w:bottom w:val="single" w:color="auto" w:sz="4" w:space="0"/>
              <w:right w:val="single" w:color="auto" w:sz="4" w:space="0"/>
            </w:tcBorders>
            <w:shd w:val="clear" w:color="auto" w:fill="auto"/>
            <w:vAlign w:val="center"/>
          </w:tcPr>
          <w:p w14:paraId="21DE154A">
            <w:pPr>
              <w:jc w:val="center"/>
              <w:rPr>
                <w:rFonts w:hint="eastAsia"/>
                <w:kern w:val="0"/>
                <w:sz w:val="24"/>
              </w:rPr>
            </w:pPr>
          </w:p>
        </w:tc>
        <w:tc>
          <w:tcPr>
            <w:tcW w:w="40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802E5C">
            <w:pPr>
              <w:jc w:val="center"/>
              <w:rPr>
                <w:rFonts w:hint="default"/>
                <w:kern w:val="0"/>
                <w:sz w:val="24"/>
                <w:lang w:val="en-US" w:eastAsia="zh-CN"/>
              </w:rPr>
            </w:pPr>
            <w:r>
              <w:rPr>
                <w:rFonts w:hint="eastAsia"/>
                <w:kern w:val="0"/>
                <w:sz w:val="24"/>
                <w:lang w:val="en-US" w:eastAsia="zh-CN"/>
              </w:rPr>
              <w:t>成桥后的动静载试验等</w:t>
            </w:r>
          </w:p>
        </w:tc>
        <w:tc>
          <w:tcPr>
            <w:tcW w:w="2042" w:type="dxa"/>
            <w:vMerge w:val="continue"/>
            <w:tcBorders>
              <w:left w:val="single" w:color="000000" w:sz="4" w:space="0"/>
              <w:bottom w:val="single" w:color="auto" w:sz="4" w:space="0"/>
              <w:right w:val="single" w:color="000000" w:sz="4" w:space="0"/>
            </w:tcBorders>
            <w:shd w:val="clear" w:color="auto" w:fill="auto"/>
            <w:vAlign w:val="center"/>
          </w:tcPr>
          <w:p w14:paraId="064F8AC7">
            <w:pPr>
              <w:jc w:val="center"/>
              <w:rPr>
                <w:rFonts w:hint="eastAsia"/>
                <w:kern w:val="0"/>
                <w:sz w:val="24"/>
              </w:rPr>
            </w:pPr>
          </w:p>
        </w:tc>
      </w:tr>
      <w:tr w14:paraId="3B58F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8304" w:type="dxa"/>
            <w:gridSpan w:val="4"/>
            <w:tcBorders>
              <w:top w:val="single" w:color="auto" w:sz="4" w:space="0"/>
              <w:left w:val="single" w:color="000000" w:sz="4" w:space="0"/>
              <w:bottom w:val="single" w:color="000000" w:sz="4" w:space="0"/>
              <w:right w:val="single" w:color="000000" w:sz="4" w:space="0"/>
            </w:tcBorders>
            <w:shd w:val="clear" w:color="auto" w:fill="auto"/>
            <w:noWrap/>
            <w:vAlign w:val="center"/>
          </w:tcPr>
          <w:p w14:paraId="0545993A">
            <w:pPr>
              <w:jc w:val="center"/>
              <w:rPr>
                <w:rFonts w:hint="eastAsia"/>
                <w:kern w:val="0"/>
                <w:sz w:val="24"/>
              </w:rPr>
            </w:pPr>
            <w:r>
              <w:rPr>
                <w:rFonts w:hint="eastAsia"/>
                <w:kern w:val="0"/>
                <w:sz w:val="24"/>
                <w:lang w:val="en-US" w:eastAsia="zh-CN"/>
              </w:rPr>
              <w:t>附表仅列出部分检测项目，包含但不限于以上检测项目，实际检测项目以主管部门要求、按照隐蔽验收，竣工等验收标准要求检测。</w:t>
            </w:r>
          </w:p>
        </w:tc>
      </w:tr>
    </w:tbl>
    <w:p w14:paraId="264A2B0E">
      <w:pPr>
        <w:numPr>
          <w:ilvl w:val="0"/>
          <w:numId w:val="0"/>
        </w:numPr>
        <w:rPr>
          <w:rFonts w:hint="eastAsia" w:ascii="Times New Roman" w:hAnsi="Times New Roman" w:cs="Times New Roman"/>
          <w:sz w:val="28"/>
          <w:szCs w:val="28"/>
          <w:lang w:val="en-US" w:eastAsia="zh-CN"/>
        </w:rPr>
      </w:pPr>
    </w:p>
    <w:p w14:paraId="762DFFCD">
      <w:pPr>
        <w:numPr>
          <w:ilvl w:val="0"/>
          <w:numId w:val="0"/>
        </w:numPr>
        <w:ind w:firstLine="560" w:firstLineChars="200"/>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sz w:val="28"/>
          <w:szCs w:val="28"/>
          <w:lang w:val="en-US" w:eastAsia="zh-CN"/>
        </w:rPr>
        <w:t>5.</w:t>
      </w:r>
      <w:r>
        <w:rPr>
          <w:rFonts w:hint="default" w:ascii="Times New Roman" w:hAnsi="Times New Roman" w:cs="Times New Roman"/>
          <w:sz w:val="28"/>
          <w:szCs w:val="28"/>
          <w:lang w:val="en-US" w:eastAsia="zh-CN"/>
        </w:rPr>
        <w:t>技术标准</w:t>
      </w:r>
      <w:r>
        <w:rPr>
          <w:rFonts w:hint="eastAsia" w:ascii="Times New Roman" w:hAnsi="Times New Roman" w:cs="Times New Roman"/>
          <w:sz w:val="28"/>
          <w:szCs w:val="28"/>
          <w:lang w:val="en-US" w:eastAsia="zh-CN"/>
        </w:rPr>
        <w:t>：符合国家、地方、行业现行相关规范合格标准；符合有关试验检测规范、操作规程，并对试验结果承担责任；满足亳州市质量主管部门要求，并检测报告得到亳州市质量主管认可。</w:t>
      </w: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Arial Unicode MS" w:cs="Times New Roman"/>
          <w:kern w:val="0"/>
          <w:sz w:val="84"/>
          <w:szCs w:val="84"/>
          <w:highlight w:val="none"/>
          <w:lang w:val="en-US" w:eastAsia="zh-CN"/>
        </w:rPr>
      </w:pPr>
      <w:r>
        <w:rPr>
          <w:rFonts w:hint="eastAsia" w:ascii="Times New Roman" w:hAnsi="Times New Roman" w:eastAsia="Arial Unicode MS"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kern w:val="0"/>
          <w:sz w:val="84"/>
          <w:szCs w:val="84"/>
          <w:highlight w:val="none"/>
          <w:lang w:val="en-US" w:eastAsia="zh-CN"/>
        </w:rPr>
      </w:pPr>
      <w:r>
        <w:rPr>
          <w:rFonts w:hint="eastAsia" w:ascii="Times New Roman" w:hAnsi="Times New Roman" w:eastAsia="Arial Unicode MS"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kern w:val="0"/>
          <w:sz w:val="84"/>
          <w:szCs w:val="84"/>
          <w:highlight w:val="none"/>
          <w:lang w:val="en-US" w:eastAsia="zh-CN"/>
        </w:rPr>
      </w:pPr>
      <w:r>
        <w:rPr>
          <w:rFonts w:hint="default" w:ascii="Times New Roman" w:hAnsi="Times New Roman" w:eastAsia="Arial Unicode MS"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kern w:val="0"/>
          <w:sz w:val="84"/>
          <w:szCs w:val="84"/>
          <w:highlight w:val="none"/>
          <w:lang w:val="en-US" w:eastAsia="zh-CN"/>
        </w:rPr>
      </w:pPr>
      <w:r>
        <w:rPr>
          <w:rFonts w:hint="default" w:ascii="Times New Roman" w:hAnsi="Times New Roman" w:eastAsia="Arial Unicode MS"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247514246"/>
      <w:bookmarkStart w:id="258" w:name="_Toc144974856"/>
      <w:bookmarkStart w:id="259" w:name="_Toc152042576"/>
      <w:bookmarkStart w:id="260" w:name="_Toc300835209"/>
      <w:bookmarkStart w:id="261" w:name="_Toc152045787"/>
      <w:bookmarkStart w:id="262" w:name="_Toc247527827"/>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144974857"/>
      <w:bookmarkStart w:id="264" w:name="_Toc300835210"/>
      <w:bookmarkStart w:id="265" w:name="_Toc247527828"/>
      <w:bookmarkStart w:id="266" w:name="_Toc247514247"/>
      <w:bookmarkStart w:id="267" w:name="_Toc152045788"/>
      <w:bookmarkStart w:id="268"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247527830"/>
      <w:bookmarkStart w:id="270" w:name="_Toc152045790"/>
      <w:bookmarkStart w:id="271" w:name="_Toc300835212"/>
      <w:bookmarkStart w:id="272" w:name="_Toc144974859"/>
      <w:bookmarkStart w:id="273" w:name="_Toc152042579"/>
      <w:bookmarkStart w:id="274" w:name="_Toc24751424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71" w:edGrp="everyone"/>
      <w:r>
        <w:rPr>
          <w:rFonts w:hint="eastAsia" w:ascii="Times New Roman" w:hAnsi="Times New Roman" w:cs="Times New Roman"/>
          <w:szCs w:val="21"/>
          <w:lang w:val="en-US" w:eastAsia="zh-CN"/>
        </w:rPr>
        <w:t>收费标准的</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（费率）（其中，增值税税率为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71"/>
      <w:r>
        <w:rPr>
          <w:rFonts w:hint="eastAsia" w:ascii="Times New Roman" w:hAnsi="Times New Roman" w:cs="Times New Roman"/>
          <w:szCs w:val="21"/>
          <w:lang w:val="en-US" w:eastAsia="zh-CN"/>
        </w:rPr>
        <w:t>，服务期限：</w:t>
      </w:r>
      <w:permStart w:id="72" w:edGrp="everyone"/>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自合同签订之日起910日历天（含施工期和缺陷责任期），具体以实际完成项目检测及竣工验收等工作为准；分为两条道路和宋汤河桥加宽工程分别进行质量检测，具体检测时间以采购人根据现场实际情况要求供应商进场检测</w:t>
      </w:r>
      <w:r>
        <w:rPr>
          <w:rFonts w:hint="eastAsia" w:ascii="Times New Roman" w:hAnsi="Times New Roman" w:cs="Times New Roman"/>
          <w:szCs w:val="21"/>
          <w:u w:val="single"/>
          <w:lang w:val="en-US" w:eastAsia="zh-CN"/>
        </w:rPr>
        <w:t>，</w:t>
      </w:r>
      <w:permEnd w:id="72"/>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144974860"/>
      <w:bookmarkStart w:id="276" w:name="_Toc247527831"/>
      <w:bookmarkStart w:id="277" w:name="_Toc152042580"/>
      <w:bookmarkStart w:id="278" w:name="_Toc247514283"/>
      <w:bookmarkStart w:id="279" w:name="_Toc300835213"/>
      <w:bookmarkStart w:id="280" w:name="_Toc15204579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300835214"/>
      <w:bookmarkStart w:id="282" w:name="_Toc247514284"/>
      <w:bookmarkStart w:id="283" w:name="_Toc152045792"/>
      <w:bookmarkStart w:id="284" w:name="_Toc247527832"/>
      <w:bookmarkStart w:id="285" w:name="_Toc152042581"/>
      <w:bookmarkStart w:id="286"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87" w:name="_Toc152042583"/>
      <w:bookmarkStart w:id="288" w:name="_Toc247527834"/>
      <w:bookmarkStart w:id="289" w:name="_Toc300835216"/>
      <w:bookmarkStart w:id="290" w:name="_Toc144974862"/>
      <w:bookmarkStart w:id="291" w:name="_Toc152045794"/>
      <w:bookmarkStart w:id="292" w:name="_Toc247514286"/>
      <w:r>
        <w:rPr>
          <w:rFonts w:hint="eastAsia" w:ascii="Times New Roman" w:hAnsi="Times New Roman" w:cs="Times New Roman"/>
          <w:szCs w:val="21"/>
          <w:lang w:val="en-US" w:eastAsia="zh-CN"/>
        </w:rPr>
        <w:t>（适用于供应商组成联合体的情况）</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300835218"/>
      <w:bookmarkStart w:id="295" w:name="_Toc152042584"/>
      <w:bookmarkStart w:id="296" w:name="_Toc144974863"/>
      <w:bookmarkStart w:id="297" w:name="_Toc247514287"/>
      <w:bookmarkStart w:id="298" w:name="_Toc247527835"/>
      <w:bookmarkStart w:id="299" w:name="_Toc152045795"/>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pP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1144A248">
      <w:pPr>
        <w:pStyle w:val="3"/>
        <w:jc w:val="center"/>
        <w:rPr>
          <w:rFonts w:hint="default" w:ascii="Times New Roman" w:hAnsi="Times New Roman" w:cs="Times New Roman"/>
        </w:rPr>
      </w:pPr>
      <w:r>
        <w:rPr>
          <w:rFonts w:hint="eastAsia" w:ascii="Times New Roman" w:hAnsi="Times New Roman" w:cs="Times New Roman"/>
          <w:lang w:val="en-US" w:eastAsia="zh-CN"/>
        </w:rPr>
        <w:t>七</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bookmarkStart w:id="300" w:name="_Toc300835221"/>
      <w:bookmarkStart w:id="301" w:name="_Toc247527836"/>
      <w:bookmarkStart w:id="302" w:name="_Toc152045796"/>
      <w:bookmarkStart w:id="303" w:name="_Toc247514288"/>
      <w:bookmarkStart w:id="304" w:name="_Toc152042585"/>
      <w:bookmarkStart w:id="305" w:name="_Toc144974864"/>
    </w:p>
    <w:p w14:paraId="64F40842">
      <w:pPr>
        <w:ind w:firstLine="1260" w:firstLineChars="600"/>
        <w:rPr>
          <w:rFonts w:hint="default" w:ascii="Times New Roman" w:hAnsi="Times New Roman" w:cs="Times New Roman"/>
        </w:rPr>
      </w:pPr>
      <w:r>
        <w:rPr>
          <w:rFonts w:hint="default" w:ascii="Times New Roman" w:hAnsi="Times New Roman" w:cs="Times New Roman"/>
        </w:rPr>
        <w:t>本项目此项无需填写，以报价函报价为准。</w:t>
      </w: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3DAB7550">
      <w:pPr>
        <w:pStyle w:val="4"/>
        <w:jc w:val="both"/>
        <w:rPr>
          <w:rFonts w:hint="eastAsia"/>
        </w:rPr>
      </w:pPr>
      <w:bookmarkStart w:id="307" w:name="_Toc246996373"/>
      <w:bookmarkStart w:id="308" w:name="_Toc179632828"/>
      <w:bookmarkStart w:id="309" w:name="_Toc296602618"/>
      <w:bookmarkStart w:id="310" w:name="_Toc246997116"/>
      <w:bookmarkStart w:id="311" w:name="_Toc247085891"/>
      <w:r>
        <w:t>（一）</w:t>
      </w:r>
      <w:r>
        <w:rPr>
          <w:rFonts w:hint="eastAsia"/>
          <w:lang w:eastAsia="zh-CN"/>
        </w:rPr>
        <w:t>供应商</w:t>
      </w:r>
      <w:r>
        <w:t>基本情况表</w:t>
      </w:r>
      <w:bookmarkEnd w:id="307"/>
      <w:bookmarkEnd w:id="308"/>
      <w:bookmarkEnd w:id="309"/>
      <w:bookmarkEnd w:id="310"/>
      <w:bookmarkEnd w:id="311"/>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312" w:name="_Toc296602615"/>
      <w:bookmarkStart w:id="313" w:name="_Toc247085888"/>
      <w:bookmarkStart w:id="314" w:name="_Toc246997113"/>
      <w:bookmarkStart w:id="315" w:name="_Toc246996370"/>
      <w:bookmarkStart w:id="316" w:name="_Toc152045810"/>
      <w:bookmarkStart w:id="317" w:name="_Toc247514302"/>
      <w:bookmarkStart w:id="318" w:name="_Toc144974878"/>
      <w:bookmarkStart w:id="319" w:name="_Toc247527850"/>
      <w:bookmarkStart w:id="320" w:name="_Toc300835226"/>
      <w:bookmarkStart w:id="321" w:name="_Toc152042599"/>
      <w:r>
        <w:t>（</w:t>
      </w:r>
      <w:r>
        <w:rPr>
          <w:rFonts w:hint="eastAsia"/>
          <w:lang w:val="en-US" w:eastAsia="zh-CN"/>
        </w:rPr>
        <w:t>二</w:t>
      </w:r>
      <w:r>
        <w:t>）项目管理机构组成表</w:t>
      </w:r>
      <w:bookmarkEnd w:id="312"/>
      <w:bookmarkEnd w:id="313"/>
      <w:bookmarkEnd w:id="314"/>
      <w:bookmarkEnd w:id="315"/>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22" w:name="_Toc247085889"/>
      <w:bookmarkStart w:id="323" w:name="_Toc296602616"/>
      <w:bookmarkStart w:id="324" w:name="_Toc246996371"/>
      <w:bookmarkStart w:id="325" w:name="_Toc246997114"/>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6" w:name="_Toc152045811"/>
      <w:bookmarkStart w:id="327" w:name="_Toc152042600"/>
      <w:bookmarkStart w:id="328" w:name="_Toc247514303"/>
      <w:bookmarkStart w:id="329" w:name="_Toc247527851"/>
      <w:bookmarkStart w:id="330" w:name="_Toc144974879"/>
    </w:p>
    <w:p w14:paraId="7C055E10">
      <w:pPr>
        <w:spacing w:line="440" w:lineRule="exact"/>
        <w:rPr>
          <w:rFonts w:hint="default" w:ascii="Times New Roman" w:hAnsi="Times New Roman" w:cs="Times New Roman"/>
        </w:rPr>
      </w:pPr>
    </w:p>
    <w:bookmarkEnd w:id="326"/>
    <w:bookmarkEnd w:id="327"/>
    <w:bookmarkEnd w:id="328"/>
    <w:bookmarkEnd w:id="329"/>
    <w:bookmarkEnd w:id="330"/>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549F311A">
      <w:pPr>
        <w:pStyle w:val="4"/>
        <w:jc w:val="center"/>
        <w:rPr>
          <w:rFonts w:hint="eastAsia" w:ascii="Times New Roman" w:hAnsi="Times New Roman" w:cs="Times New Roman"/>
          <w:lang w:val="en-US" w:eastAsia="zh-CN"/>
        </w:rPr>
      </w:pPr>
      <w:bookmarkStart w:id="331" w:name="_Toc152045808"/>
      <w:bookmarkStart w:id="332" w:name="_Toc246997115"/>
      <w:bookmarkStart w:id="333" w:name="_Toc144974876"/>
      <w:bookmarkStart w:id="334" w:name="_Toc247514300"/>
      <w:bookmarkStart w:id="335" w:name="_Toc300835224"/>
      <w:bookmarkStart w:id="336" w:name="_Toc247085890"/>
      <w:bookmarkStart w:id="337" w:name="_Toc152042596"/>
      <w:bookmarkStart w:id="338" w:name="_Toc152042597"/>
      <w:bookmarkStart w:id="339" w:name="_Toc152045807"/>
      <w:bookmarkStart w:id="340" w:name="_Toc246996372"/>
      <w:bookmarkStart w:id="341" w:name="_Toc144974875"/>
      <w:bookmarkStart w:id="342" w:name="_Toc247527848"/>
      <w:bookmarkStart w:id="343" w:name="_Toc296602617"/>
      <w:bookmarkStart w:id="344" w:name="_Toc179632827"/>
      <w:r>
        <w:rPr>
          <w:rFonts w:hint="eastAsia" w:ascii="Times New Roman" w:hAnsi="Times New Roman" w:cs="Times New Roman"/>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lang w:val="en-US" w:eastAsia="zh-CN"/>
        </w:rPr>
        <w:t>响应方案</w:t>
      </w:r>
    </w:p>
    <w:p w14:paraId="433781BC">
      <w:pPr>
        <w:pStyle w:val="4"/>
        <w:jc w:val="center"/>
        <w:rPr>
          <w:rFonts w:hint="eastAsia" w:asciiTheme="minorEastAsia" w:hAnsi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cstheme="minorEastAsia"/>
          <w:color w:val="000000" w:themeColor="text1"/>
          <w:sz w:val="21"/>
          <w:szCs w:val="21"/>
          <w:lang w:val="en-US" w:eastAsia="zh-CN"/>
          <w14:textFill>
            <w14:solidFill>
              <w14:schemeClr w14:val="tx1"/>
            </w14:solidFill>
          </w14:textFill>
        </w:rPr>
        <w:t xml:space="preserve">响应方案（服务方案）格式及内容由供应商自拟 </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45" w:name="_Toc247514305"/>
      <w:bookmarkStart w:id="346" w:name="_Toc152042602"/>
      <w:bookmarkStart w:id="347" w:name="_Toc247527853"/>
      <w:bookmarkStart w:id="348" w:name="_Toc152045813"/>
      <w:bookmarkStart w:id="349" w:name="_Toc144974881"/>
      <w:bookmarkStart w:id="350" w:name="_Toc247530162"/>
    </w:p>
    <w:bookmarkEnd w:id="345"/>
    <w:bookmarkEnd w:id="346"/>
    <w:bookmarkEnd w:id="347"/>
    <w:bookmarkEnd w:id="348"/>
    <w:bookmarkEnd w:id="349"/>
    <w:bookmarkEnd w:id="350"/>
    <w:p w14:paraId="1E5B7EEB">
      <w:pPr>
        <w:pStyle w:val="3"/>
        <w:jc w:val="center"/>
        <w:rPr>
          <w:rFonts w:hint="default" w:ascii="Times New Roman" w:hAnsi="Times New Roman" w:cs="Times New Roman"/>
        </w:rPr>
      </w:pPr>
      <w:bookmarkStart w:id="351" w:name="_Toc300835233"/>
      <w:bookmarkStart w:id="35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51"/>
      <w:bookmarkEnd w:id="35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7" w:type="default"/>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6F5D3B2-B0DB-4C50-AFC5-9E9F8F9905A2}"/>
  </w:font>
  <w:font w:name="Arial">
    <w:panose1 w:val="020B0604020202020204"/>
    <w:charset w:val="01"/>
    <w:family w:val="swiss"/>
    <w:pitch w:val="default"/>
    <w:sig w:usb0="E0002EFF" w:usb1="C000785B" w:usb2="00000009" w:usb3="00000000" w:csb0="400001FF" w:csb1="FFFF0000"/>
    <w:embedRegular r:id="rId2" w:fontKey="{01B315DA-4967-4A41-BFBD-7CBCF43B5745}"/>
  </w:font>
  <w:font w:name="黑体">
    <w:panose1 w:val="02010609060101010101"/>
    <w:charset w:val="86"/>
    <w:family w:val="auto"/>
    <w:pitch w:val="default"/>
    <w:sig w:usb0="800002BF" w:usb1="38CF7CFA" w:usb2="00000016" w:usb3="00000000" w:csb0="00040001" w:csb1="00000000"/>
    <w:embedRegular r:id="rId3" w:fontKey="{AAA45D72-E429-44C9-8D10-F3286A671A2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BE93B601-2ABF-42B3-A971-58C51D3A6745}"/>
  </w:font>
  <w:font w:name="仿宋_GB2312">
    <w:panose1 w:val="02010609030101010101"/>
    <w:charset w:val="86"/>
    <w:family w:val="modern"/>
    <w:pitch w:val="default"/>
    <w:sig w:usb0="00000001" w:usb1="080E0000" w:usb2="00000000" w:usb3="00000000" w:csb0="00040000" w:csb1="00000000"/>
    <w:embedRegular r:id="rId5" w:fontKey="{4D67203E-1142-4017-963F-1A46C6BD69E7}"/>
  </w:font>
  <w:font w:name="方正小标宋简体">
    <w:panose1 w:val="02010600010101010101"/>
    <w:charset w:val="86"/>
    <w:family w:val="auto"/>
    <w:pitch w:val="default"/>
    <w:sig w:usb0="00000001" w:usb1="080E0000" w:usb2="00000000" w:usb3="00000000" w:csb0="00040000" w:csb1="00000000"/>
    <w:embedRegular r:id="rId6" w:fontKey="{FECF348E-60B5-4038-9379-9E7AEB440B43}"/>
  </w:font>
  <w:font w:name="楷体">
    <w:panose1 w:val="02010609060101010101"/>
    <w:charset w:val="86"/>
    <w:family w:val="auto"/>
    <w:pitch w:val="default"/>
    <w:sig w:usb0="800002BF" w:usb1="38CF7CFA" w:usb2="00000016" w:usb3="00000000" w:csb0="00040001" w:csb1="00000000"/>
    <w:embedRegular r:id="rId7" w:fontKey="{1A9987C1-917D-4DE9-A966-E0E85D2E3A10}"/>
  </w:font>
  <w:font w:name="Wingdings 2">
    <w:panose1 w:val="05020102010507070707"/>
    <w:charset w:val="00"/>
    <w:family w:val="auto"/>
    <w:pitch w:val="default"/>
    <w:sig w:usb0="00000000" w:usb1="00000000" w:usb2="00000000" w:usb3="00000000" w:csb0="80000000" w:csb1="00000000"/>
    <w:embedRegular r:id="rId8" w:fontKey="{5008E3BF-A031-4251-B4CE-90B8E2D336B8}"/>
  </w:font>
  <w:font w:name="方正仿宋_GB2312">
    <w:panose1 w:val="02000000000000000000"/>
    <w:charset w:val="86"/>
    <w:family w:val="auto"/>
    <w:pitch w:val="default"/>
    <w:sig w:usb0="A00002BF" w:usb1="184F6CFA" w:usb2="00000012" w:usb3="00000000" w:csb0="00040001" w:csb1="00000000"/>
    <w:embedRegular r:id="rId9" w:fontKey="{25D4DCD2-73C6-455D-BFA0-3FE184390414}"/>
  </w:font>
  <w:font w:name="仿宋">
    <w:panose1 w:val="02010609060101010101"/>
    <w:charset w:val="86"/>
    <w:family w:val="modern"/>
    <w:pitch w:val="default"/>
    <w:sig w:usb0="800002BF" w:usb1="38CF7CFA" w:usb2="00000016" w:usb3="00000000" w:csb0="00040001" w:csb1="00000000"/>
    <w:embedRegular r:id="rId10" w:fontKey="{4C3E8729-65CE-4235-9F0E-84E24418F2D1}"/>
  </w:font>
  <w:font w:name="Arial Unicode MS">
    <w:panose1 w:val="020B0604020202020204"/>
    <w:charset w:val="86"/>
    <w:family w:val="auto"/>
    <w:pitch w:val="default"/>
    <w:sig w:usb0="FFFFFFFF" w:usb1="E9FFFFFF" w:usb2="0000003F" w:usb3="00000000" w:csb0="603F01FF" w:csb1="FFFF0000"/>
    <w:embedRegular r:id="rId11" w:fontKey="{54D04DE0-8ED4-4713-ABE6-4243FFF637B3}"/>
  </w:font>
  <w:font w:name="WPSEMBED1">
    <w:panose1 w:val="05020102010507070707"/>
    <w:charset w:val="00"/>
    <w:family w:val="auto"/>
    <w:pitch w:val="default"/>
    <w:sig w:usb0="00000000" w:usb1="00000000" w:usb2="00000000" w:usb3="00000000" w:csb0="80000000" w:csb1="00000000"/>
  </w:font>
  <w:font w:name="WPSEMBED2">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eastAsia="宋体" w:cs="Times New Roman"/>
        <w:kern w:val="2"/>
        <w:sz w:val="21"/>
        <w:szCs w:val="24"/>
        <w:lang w:val="en-US" w:eastAsia="zh-CN" w:bidi="ar-SA"/>
      </w:rPr>
      <w:id w:val="207149807"/>
      <w:docPartObj>
        <w:docPartGallery w:val="autotext"/>
      </w:docPartObj>
    </w:sdtPr>
    <w:sdtEndPr>
      <w:rPr>
        <w:rFonts w:ascii="Times New Roman" w:hAnsi="Times New Roman" w:eastAsia="宋体" w:cs="Times New Roman"/>
        <w:kern w:val="2"/>
        <w:sz w:val="18"/>
        <w:szCs w:val="18"/>
        <w:lang w:val="en-US" w:eastAsia="zh-CN" w:bidi="ar-SA"/>
      </w:rPr>
    </w:sdtEndPr>
    <w:sdtContent>
      <w:sdt>
        <w:sdtPr>
          <w:rPr>
            <w:rFonts w:ascii="Times New Roman" w:hAnsi="Times New Roman" w:eastAsia="宋体" w:cs="Times New Roman"/>
            <w:kern w:val="2"/>
            <w:sz w:val="21"/>
            <w:szCs w:val="24"/>
            <w:lang w:val="en-US" w:eastAsia="zh-CN" w:bidi="ar-SA"/>
          </w:rPr>
          <w:id w:val="-1669238322"/>
          <w:docPartObj>
            <w:docPartGallery w:val="autotext"/>
          </w:docPartObj>
        </w:sdtPr>
        <w:sdtEndPr>
          <w:rPr>
            <w:rFonts w:ascii="Times New Roman" w:hAnsi="Times New Roman" w:eastAsia="宋体" w:cs="Times New Roman"/>
            <w:kern w:val="2"/>
            <w:sz w:val="18"/>
            <w:szCs w:val="18"/>
            <w:lang w:val="en-US" w:eastAsia="zh-CN" w:bidi="ar-SA"/>
          </w:rPr>
        </w:sdtEndPr>
        <w:sdtContent>
          <w:p w14:paraId="1F3E9F88">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zh-CN" w:eastAsia="zh-CN" w:bidi="ar-SA"/>
              </w:rPr>
              <w:t xml:space="preserve"> </w:t>
            </w:r>
            <w:r>
              <w:rPr>
                <w:rFonts w:ascii="Times New Roman" w:hAnsi="Times New Roman" w:eastAsia="宋体" w:cs="Times New Roman"/>
                <w:b/>
                <w:bCs/>
                <w:kern w:val="2"/>
                <w:sz w:val="24"/>
                <w:szCs w:val="24"/>
                <w:lang w:val="en-US" w:eastAsia="zh-CN" w:bidi="ar-SA"/>
              </w:rPr>
              <w:fldChar w:fldCharType="begin"/>
            </w:r>
            <w:r>
              <w:rPr>
                <w:rFonts w:ascii="Times New Roman" w:hAnsi="Times New Roman" w:eastAsia="宋体" w:cs="Times New Roman"/>
                <w:b/>
                <w:bCs/>
                <w:kern w:val="2"/>
                <w:sz w:val="18"/>
                <w:szCs w:val="18"/>
                <w:lang w:val="en-US" w:eastAsia="zh-CN" w:bidi="ar-SA"/>
              </w:rPr>
              <w:instrText xml:space="preserve">PAGE</w:instrText>
            </w:r>
            <w:r>
              <w:rPr>
                <w:rFonts w:ascii="Times New Roman" w:hAnsi="Times New Roman" w:eastAsia="宋体" w:cs="Times New Roman"/>
                <w:b/>
                <w:bCs/>
                <w:kern w:val="2"/>
                <w:sz w:val="24"/>
                <w:szCs w:val="24"/>
                <w:lang w:val="en-US" w:eastAsia="zh-CN" w:bidi="ar-SA"/>
              </w:rPr>
              <w:fldChar w:fldCharType="separate"/>
            </w:r>
            <w:r>
              <w:rPr>
                <w:rFonts w:ascii="Times New Roman" w:hAnsi="Times New Roman" w:eastAsia="宋体" w:cs="Times New Roman"/>
                <w:b/>
                <w:bCs/>
                <w:kern w:val="2"/>
                <w:sz w:val="18"/>
                <w:szCs w:val="18"/>
                <w:lang w:val="en-US" w:eastAsia="zh-CN" w:bidi="ar-SA"/>
              </w:rPr>
              <w:t>6</w:t>
            </w:r>
            <w:r>
              <w:rPr>
                <w:rFonts w:ascii="Times New Roman" w:hAnsi="Times New Roman" w:eastAsia="宋体" w:cs="Times New Roman"/>
                <w:b/>
                <w:bCs/>
                <w:kern w:val="2"/>
                <w:sz w:val="24"/>
                <w:szCs w:val="24"/>
                <w:lang w:val="en-US" w:eastAsia="zh-CN" w:bidi="ar-SA"/>
              </w:rPr>
              <w:fldChar w:fldCharType="end"/>
            </w:r>
            <w:r>
              <w:rPr>
                <w:rFonts w:ascii="Times New Roman" w:hAnsi="Times New Roman" w:eastAsia="宋体" w:cs="Times New Roman"/>
                <w:kern w:val="2"/>
                <w:sz w:val="18"/>
                <w:szCs w:val="18"/>
                <w:lang w:val="zh-CN" w:eastAsia="zh-CN" w:bidi="ar-SA"/>
              </w:rPr>
              <w:t xml:space="preserve"> / </w:t>
            </w:r>
            <w:r>
              <w:rPr>
                <w:rFonts w:ascii="Times New Roman" w:hAnsi="Times New Roman" w:eastAsia="宋体" w:cs="Times New Roman"/>
                <w:b/>
                <w:bCs/>
                <w:kern w:val="2"/>
                <w:sz w:val="24"/>
                <w:szCs w:val="24"/>
                <w:lang w:val="en-US" w:eastAsia="zh-CN" w:bidi="ar-SA"/>
              </w:rPr>
              <w:fldChar w:fldCharType="begin"/>
            </w:r>
            <w:r>
              <w:rPr>
                <w:rFonts w:ascii="Times New Roman" w:hAnsi="Times New Roman" w:eastAsia="宋体" w:cs="Times New Roman"/>
                <w:b/>
                <w:bCs/>
                <w:kern w:val="2"/>
                <w:sz w:val="18"/>
                <w:szCs w:val="18"/>
                <w:lang w:val="en-US" w:eastAsia="zh-CN" w:bidi="ar-SA"/>
              </w:rPr>
              <w:instrText xml:space="preserve">NUMPAGES</w:instrText>
            </w:r>
            <w:r>
              <w:rPr>
                <w:rFonts w:ascii="Times New Roman" w:hAnsi="Times New Roman" w:eastAsia="宋体" w:cs="Times New Roman"/>
                <w:b/>
                <w:bCs/>
                <w:kern w:val="2"/>
                <w:sz w:val="24"/>
                <w:szCs w:val="24"/>
                <w:lang w:val="en-US" w:eastAsia="zh-CN" w:bidi="ar-SA"/>
              </w:rPr>
              <w:fldChar w:fldCharType="separate"/>
            </w:r>
            <w:r>
              <w:rPr>
                <w:rFonts w:ascii="Times New Roman" w:hAnsi="Times New Roman" w:eastAsia="宋体" w:cs="Times New Roman"/>
                <w:b/>
                <w:bCs/>
                <w:kern w:val="2"/>
                <w:sz w:val="18"/>
                <w:szCs w:val="18"/>
                <w:lang w:val="en-US" w:eastAsia="zh-CN" w:bidi="ar-SA"/>
              </w:rPr>
              <w:t>10</w:t>
            </w:r>
            <w:r>
              <w:rPr>
                <w:rFonts w:ascii="Times New Roman" w:hAnsi="Times New Roman" w:eastAsia="宋体" w:cs="Times New Roman"/>
                <w:b/>
                <w:bCs/>
                <w:kern w:val="2"/>
                <w:sz w:val="24"/>
                <w:szCs w:val="24"/>
                <w:lang w:val="en-US" w:eastAsia="zh-CN" w:bidi="ar-SA"/>
              </w:rPr>
              <w:fldChar w:fldCharType="end"/>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F9D4C">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1312A7">
                          <w:pPr>
                            <w:pStyle w:val="11"/>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01312A7">
                    <w:pPr>
                      <w:pStyle w:val="11"/>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A1C86">
    <w:pPr>
      <w:widowControl w:val="0"/>
      <w:pBdr>
        <w:bottom w:val="none" w:color="auto" w:sz="0" w:space="0"/>
      </w:pBdr>
      <w:tabs>
        <w:tab w:val="center" w:pos="4153"/>
        <w:tab w:val="right" w:pos="8306"/>
      </w:tabs>
      <w:snapToGrid w:val="0"/>
      <w:jc w:val="center"/>
      <w:rPr>
        <w:rFonts w:ascii="Times New Roman" w:hAnsi="Times New Roman" w:eastAsia="宋体" w:cs="Times New Roman"/>
        <w:kern w:val="2"/>
        <w:sz w:val="18"/>
        <w:szCs w:val="18"/>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6601E"/>
    <w:rsid w:val="019846E3"/>
    <w:rsid w:val="01B6046E"/>
    <w:rsid w:val="01B666C0"/>
    <w:rsid w:val="01BC7971"/>
    <w:rsid w:val="01CB0CDF"/>
    <w:rsid w:val="01CD2334"/>
    <w:rsid w:val="01E140D3"/>
    <w:rsid w:val="01EE4D0C"/>
    <w:rsid w:val="01F16263"/>
    <w:rsid w:val="02016132"/>
    <w:rsid w:val="0212370C"/>
    <w:rsid w:val="021D348F"/>
    <w:rsid w:val="022A6766"/>
    <w:rsid w:val="025657AD"/>
    <w:rsid w:val="026E5FAB"/>
    <w:rsid w:val="02983D41"/>
    <w:rsid w:val="029E162E"/>
    <w:rsid w:val="029F2BC9"/>
    <w:rsid w:val="02A31129"/>
    <w:rsid w:val="02A46690"/>
    <w:rsid w:val="02AC508C"/>
    <w:rsid w:val="02BE075F"/>
    <w:rsid w:val="02BE15ED"/>
    <w:rsid w:val="02CF7A3A"/>
    <w:rsid w:val="02F254D6"/>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6C3066"/>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6FA4AF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C136C9"/>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A76D63"/>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476E94"/>
    <w:rsid w:val="0A500304"/>
    <w:rsid w:val="0A5234C1"/>
    <w:rsid w:val="0A6F2477"/>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C92C53"/>
    <w:rsid w:val="0CD3448B"/>
    <w:rsid w:val="0CF072F3"/>
    <w:rsid w:val="0D0271E7"/>
    <w:rsid w:val="0D1336AF"/>
    <w:rsid w:val="0D2466BD"/>
    <w:rsid w:val="0D3A1668"/>
    <w:rsid w:val="0D4E28CF"/>
    <w:rsid w:val="0D5A43A4"/>
    <w:rsid w:val="0D5C2246"/>
    <w:rsid w:val="0D5E3DDF"/>
    <w:rsid w:val="0D5F27A6"/>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269A8"/>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917E25"/>
    <w:rsid w:val="0FA4706B"/>
    <w:rsid w:val="0FA67D74"/>
    <w:rsid w:val="0FA819A2"/>
    <w:rsid w:val="0FCA08C0"/>
    <w:rsid w:val="0FCA14B6"/>
    <w:rsid w:val="0FCE0971"/>
    <w:rsid w:val="0FD022B3"/>
    <w:rsid w:val="0FE05A9A"/>
    <w:rsid w:val="0FE3306C"/>
    <w:rsid w:val="0FE42DE8"/>
    <w:rsid w:val="0FF94348"/>
    <w:rsid w:val="0FFA6EBC"/>
    <w:rsid w:val="100C552D"/>
    <w:rsid w:val="101038A7"/>
    <w:rsid w:val="101E2D38"/>
    <w:rsid w:val="10446D2F"/>
    <w:rsid w:val="104957CA"/>
    <w:rsid w:val="104D6EF3"/>
    <w:rsid w:val="105C0433"/>
    <w:rsid w:val="1069417C"/>
    <w:rsid w:val="106C1E4B"/>
    <w:rsid w:val="10772B1E"/>
    <w:rsid w:val="108A23D3"/>
    <w:rsid w:val="108A24B6"/>
    <w:rsid w:val="108D506C"/>
    <w:rsid w:val="1095135B"/>
    <w:rsid w:val="10C72751"/>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9025A"/>
    <w:rsid w:val="11EA4DE7"/>
    <w:rsid w:val="11EE77B0"/>
    <w:rsid w:val="11F052D6"/>
    <w:rsid w:val="11F058CE"/>
    <w:rsid w:val="11F12DFD"/>
    <w:rsid w:val="11F30DF9"/>
    <w:rsid w:val="11FC3F3B"/>
    <w:rsid w:val="12110B1B"/>
    <w:rsid w:val="123A69E4"/>
    <w:rsid w:val="12445622"/>
    <w:rsid w:val="124D3BAD"/>
    <w:rsid w:val="1250061C"/>
    <w:rsid w:val="12577104"/>
    <w:rsid w:val="125A52C4"/>
    <w:rsid w:val="12655D96"/>
    <w:rsid w:val="127557DC"/>
    <w:rsid w:val="127A564B"/>
    <w:rsid w:val="128E3C38"/>
    <w:rsid w:val="129B676B"/>
    <w:rsid w:val="12BF2922"/>
    <w:rsid w:val="12C30C3D"/>
    <w:rsid w:val="12C942C8"/>
    <w:rsid w:val="12D06EB6"/>
    <w:rsid w:val="12DC5F5E"/>
    <w:rsid w:val="12DC7F8C"/>
    <w:rsid w:val="12E82A0B"/>
    <w:rsid w:val="12E84200"/>
    <w:rsid w:val="131873D2"/>
    <w:rsid w:val="131D498C"/>
    <w:rsid w:val="132533D6"/>
    <w:rsid w:val="13274F9C"/>
    <w:rsid w:val="13392CAD"/>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92D22"/>
    <w:rsid w:val="142B5FE2"/>
    <w:rsid w:val="14542872"/>
    <w:rsid w:val="14773A8D"/>
    <w:rsid w:val="147E2423"/>
    <w:rsid w:val="1487273A"/>
    <w:rsid w:val="148C28CB"/>
    <w:rsid w:val="14922675"/>
    <w:rsid w:val="14944440"/>
    <w:rsid w:val="14A059A0"/>
    <w:rsid w:val="14A800EA"/>
    <w:rsid w:val="14AD3953"/>
    <w:rsid w:val="14B97B05"/>
    <w:rsid w:val="14CD31B9"/>
    <w:rsid w:val="14DA6BBE"/>
    <w:rsid w:val="14DB226E"/>
    <w:rsid w:val="14DE5E10"/>
    <w:rsid w:val="14E153AA"/>
    <w:rsid w:val="14E67563"/>
    <w:rsid w:val="14F926F4"/>
    <w:rsid w:val="15021B62"/>
    <w:rsid w:val="150A21BA"/>
    <w:rsid w:val="151779D1"/>
    <w:rsid w:val="151C17D3"/>
    <w:rsid w:val="1522437E"/>
    <w:rsid w:val="15283931"/>
    <w:rsid w:val="15382F40"/>
    <w:rsid w:val="154B07D3"/>
    <w:rsid w:val="155362A8"/>
    <w:rsid w:val="155A7AD3"/>
    <w:rsid w:val="157D394F"/>
    <w:rsid w:val="158374C1"/>
    <w:rsid w:val="15A62ECC"/>
    <w:rsid w:val="15B14179"/>
    <w:rsid w:val="15C516BD"/>
    <w:rsid w:val="15C90318"/>
    <w:rsid w:val="15CC3B64"/>
    <w:rsid w:val="15CF6FE1"/>
    <w:rsid w:val="15D469C1"/>
    <w:rsid w:val="160055BA"/>
    <w:rsid w:val="160475A2"/>
    <w:rsid w:val="160F71A0"/>
    <w:rsid w:val="162304BC"/>
    <w:rsid w:val="16260CA4"/>
    <w:rsid w:val="164D0F49"/>
    <w:rsid w:val="165014D1"/>
    <w:rsid w:val="166266B1"/>
    <w:rsid w:val="16932BF5"/>
    <w:rsid w:val="169528F0"/>
    <w:rsid w:val="169D0879"/>
    <w:rsid w:val="16C724D4"/>
    <w:rsid w:val="16D411E7"/>
    <w:rsid w:val="16ED0036"/>
    <w:rsid w:val="17032E1B"/>
    <w:rsid w:val="170756D4"/>
    <w:rsid w:val="170F4587"/>
    <w:rsid w:val="173043C7"/>
    <w:rsid w:val="17591B70"/>
    <w:rsid w:val="17600C81"/>
    <w:rsid w:val="176115DC"/>
    <w:rsid w:val="176D7525"/>
    <w:rsid w:val="17740758"/>
    <w:rsid w:val="17824660"/>
    <w:rsid w:val="178F2FF8"/>
    <w:rsid w:val="179121FE"/>
    <w:rsid w:val="17915931"/>
    <w:rsid w:val="17C41ABF"/>
    <w:rsid w:val="17C4465B"/>
    <w:rsid w:val="17CF257F"/>
    <w:rsid w:val="17E02C2C"/>
    <w:rsid w:val="17E92EF4"/>
    <w:rsid w:val="18057602"/>
    <w:rsid w:val="18175D56"/>
    <w:rsid w:val="18276B10"/>
    <w:rsid w:val="18627B26"/>
    <w:rsid w:val="18695DE3"/>
    <w:rsid w:val="18930C59"/>
    <w:rsid w:val="189B5F22"/>
    <w:rsid w:val="18A70256"/>
    <w:rsid w:val="18A70F0E"/>
    <w:rsid w:val="18A944F8"/>
    <w:rsid w:val="18B73074"/>
    <w:rsid w:val="18CC0A2E"/>
    <w:rsid w:val="18DA76F1"/>
    <w:rsid w:val="18E57F8F"/>
    <w:rsid w:val="18E86D07"/>
    <w:rsid w:val="18EC2236"/>
    <w:rsid w:val="18EE47F3"/>
    <w:rsid w:val="18F5267A"/>
    <w:rsid w:val="19034C2D"/>
    <w:rsid w:val="1916127C"/>
    <w:rsid w:val="19166340"/>
    <w:rsid w:val="191B662F"/>
    <w:rsid w:val="192E299C"/>
    <w:rsid w:val="192F13FC"/>
    <w:rsid w:val="193D465D"/>
    <w:rsid w:val="193D4E12"/>
    <w:rsid w:val="19483C4A"/>
    <w:rsid w:val="194F322A"/>
    <w:rsid w:val="196C6238"/>
    <w:rsid w:val="198A59D6"/>
    <w:rsid w:val="19A73D74"/>
    <w:rsid w:val="19AA5416"/>
    <w:rsid w:val="19CD1CDB"/>
    <w:rsid w:val="19CE7FF6"/>
    <w:rsid w:val="19D11E91"/>
    <w:rsid w:val="19D70C6D"/>
    <w:rsid w:val="19E2271F"/>
    <w:rsid w:val="1A02523A"/>
    <w:rsid w:val="1A075570"/>
    <w:rsid w:val="1A1C623A"/>
    <w:rsid w:val="1A265143"/>
    <w:rsid w:val="1A270D5F"/>
    <w:rsid w:val="1A442027"/>
    <w:rsid w:val="1A4C65B4"/>
    <w:rsid w:val="1A4D4CED"/>
    <w:rsid w:val="1A6861C1"/>
    <w:rsid w:val="1A6E148E"/>
    <w:rsid w:val="1A797469"/>
    <w:rsid w:val="1A8850B8"/>
    <w:rsid w:val="1A9138C2"/>
    <w:rsid w:val="1A9B5FFB"/>
    <w:rsid w:val="1AA066C8"/>
    <w:rsid w:val="1ABF2F84"/>
    <w:rsid w:val="1AC11F06"/>
    <w:rsid w:val="1ADB0B95"/>
    <w:rsid w:val="1AE31E7C"/>
    <w:rsid w:val="1AF80851"/>
    <w:rsid w:val="1B0361BC"/>
    <w:rsid w:val="1B097409"/>
    <w:rsid w:val="1B116412"/>
    <w:rsid w:val="1B262D26"/>
    <w:rsid w:val="1B2670F4"/>
    <w:rsid w:val="1B2D1E19"/>
    <w:rsid w:val="1B2D7FD6"/>
    <w:rsid w:val="1B3165F8"/>
    <w:rsid w:val="1B3A5220"/>
    <w:rsid w:val="1B3B258E"/>
    <w:rsid w:val="1B3E7000"/>
    <w:rsid w:val="1B652C95"/>
    <w:rsid w:val="1B70155F"/>
    <w:rsid w:val="1B723039"/>
    <w:rsid w:val="1B7700FA"/>
    <w:rsid w:val="1B894EBC"/>
    <w:rsid w:val="1B8C1172"/>
    <w:rsid w:val="1B9269B7"/>
    <w:rsid w:val="1BA57132"/>
    <w:rsid w:val="1BB12BB2"/>
    <w:rsid w:val="1BB50563"/>
    <w:rsid w:val="1BCB46BE"/>
    <w:rsid w:val="1BCE49E9"/>
    <w:rsid w:val="1BD12722"/>
    <w:rsid w:val="1BD15865"/>
    <w:rsid w:val="1BDC68CC"/>
    <w:rsid w:val="1BF55316"/>
    <w:rsid w:val="1BF73705"/>
    <w:rsid w:val="1BFD0D1C"/>
    <w:rsid w:val="1BFE7E24"/>
    <w:rsid w:val="1C100B6A"/>
    <w:rsid w:val="1C2075D6"/>
    <w:rsid w:val="1C2B6CB4"/>
    <w:rsid w:val="1C3774BA"/>
    <w:rsid w:val="1C3D55BC"/>
    <w:rsid w:val="1C4859F3"/>
    <w:rsid w:val="1C4E114E"/>
    <w:rsid w:val="1C5D5F8B"/>
    <w:rsid w:val="1C630441"/>
    <w:rsid w:val="1C6934B1"/>
    <w:rsid w:val="1C6C5EA1"/>
    <w:rsid w:val="1C6E241C"/>
    <w:rsid w:val="1CAF0413"/>
    <w:rsid w:val="1CB07DF9"/>
    <w:rsid w:val="1CB612AF"/>
    <w:rsid w:val="1CC3681B"/>
    <w:rsid w:val="1CF251D3"/>
    <w:rsid w:val="1CFF3217"/>
    <w:rsid w:val="1D01483C"/>
    <w:rsid w:val="1D0460DA"/>
    <w:rsid w:val="1D0C3E62"/>
    <w:rsid w:val="1D1D0D81"/>
    <w:rsid w:val="1D35436C"/>
    <w:rsid w:val="1D3A1AFC"/>
    <w:rsid w:val="1D464944"/>
    <w:rsid w:val="1D4B5AB7"/>
    <w:rsid w:val="1D546098"/>
    <w:rsid w:val="1D5801D4"/>
    <w:rsid w:val="1D5835F0"/>
    <w:rsid w:val="1D594678"/>
    <w:rsid w:val="1D8C5045"/>
    <w:rsid w:val="1D9244F8"/>
    <w:rsid w:val="1D931CEA"/>
    <w:rsid w:val="1D9C4E32"/>
    <w:rsid w:val="1DC177D9"/>
    <w:rsid w:val="1DDB508D"/>
    <w:rsid w:val="1DE81558"/>
    <w:rsid w:val="1E015E7F"/>
    <w:rsid w:val="1E0A3BC4"/>
    <w:rsid w:val="1E1A236E"/>
    <w:rsid w:val="1E225BB3"/>
    <w:rsid w:val="1E2A6113"/>
    <w:rsid w:val="1E2D212B"/>
    <w:rsid w:val="1E2E6E13"/>
    <w:rsid w:val="1E2F53D8"/>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A5578"/>
    <w:rsid w:val="1F2C3C4B"/>
    <w:rsid w:val="1F36160E"/>
    <w:rsid w:val="1F3F33F9"/>
    <w:rsid w:val="1F5D00BF"/>
    <w:rsid w:val="1F640255"/>
    <w:rsid w:val="1F642950"/>
    <w:rsid w:val="1F671677"/>
    <w:rsid w:val="1F722047"/>
    <w:rsid w:val="1F8B3432"/>
    <w:rsid w:val="1F8E1163"/>
    <w:rsid w:val="1F904945"/>
    <w:rsid w:val="1FA7625B"/>
    <w:rsid w:val="1FAA6A2E"/>
    <w:rsid w:val="1FB97650"/>
    <w:rsid w:val="1FBE07C2"/>
    <w:rsid w:val="1FC11059"/>
    <w:rsid w:val="1FD53D5E"/>
    <w:rsid w:val="1FDC7161"/>
    <w:rsid w:val="1FE570E2"/>
    <w:rsid w:val="1FE72013"/>
    <w:rsid w:val="1FE7673E"/>
    <w:rsid w:val="1FEA2A6F"/>
    <w:rsid w:val="200E38F2"/>
    <w:rsid w:val="201E585F"/>
    <w:rsid w:val="2049266D"/>
    <w:rsid w:val="204F1D62"/>
    <w:rsid w:val="20534B67"/>
    <w:rsid w:val="20557DC5"/>
    <w:rsid w:val="205A5C16"/>
    <w:rsid w:val="205B7D6A"/>
    <w:rsid w:val="2061066F"/>
    <w:rsid w:val="207C33EE"/>
    <w:rsid w:val="207E5B72"/>
    <w:rsid w:val="207E6748"/>
    <w:rsid w:val="2081342E"/>
    <w:rsid w:val="20823EE5"/>
    <w:rsid w:val="209740BF"/>
    <w:rsid w:val="2099242E"/>
    <w:rsid w:val="20B0411F"/>
    <w:rsid w:val="20B41BC5"/>
    <w:rsid w:val="20D658C9"/>
    <w:rsid w:val="20D95B5B"/>
    <w:rsid w:val="20DC2416"/>
    <w:rsid w:val="20DE6C42"/>
    <w:rsid w:val="20ED7FD0"/>
    <w:rsid w:val="20F22231"/>
    <w:rsid w:val="20FC3C98"/>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1C3D7D"/>
    <w:rsid w:val="22270787"/>
    <w:rsid w:val="224D73DD"/>
    <w:rsid w:val="22592601"/>
    <w:rsid w:val="2259286B"/>
    <w:rsid w:val="22603DB2"/>
    <w:rsid w:val="226D7B83"/>
    <w:rsid w:val="2293123C"/>
    <w:rsid w:val="229E633A"/>
    <w:rsid w:val="22A570EC"/>
    <w:rsid w:val="22D569A0"/>
    <w:rsid w:val="230F1167"/>
    <w:rsid w:val="232D6E37"/>
    <w:rsid w:val="232E56FD"/>
    <w:rsid w:val="233F5F96"/>
    <w:rsid w:val="235A4CA6"/>
    <w:rsid w:val="235F4D23"/>
    <w:rsid w:val="236D4028"/>
    <w:rsid w:val="238A4DFC"/>
    <w:rsid w:val="23955CDE"/>
    <w:rsid w:val="23BD5235"/>
    <w:rsid w:val="23FA7D8F"/>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1B2213"/>
    <w:rsid w:val="25237A22"/>
    <w:rsid w:val="252E0774"/>
    <w:rsid w:val="25464730"/>
    <w:rsid w:val="25481BCE"/>
    <w:rsid w:val="254C2D14"/>
    <w:rsid w:val="255F65A3"/>
    <w:rsid w:val="256E1E26"/>
    <w:rsid w:val="25787665"/>
    <w:rsid w:val="25812F8D"/>
    <w:rsid w:val="25814DB7"/>
    <w:rsid w:val="25824959"/>
    <w:rsid w:val="258E7C7F"/>
    <w:rsid w:val="25902676"/>
    <w:rsid w:val="25987A23"/>
    <w:rsid w:val="25BA1A2C"/>
    <w:rsid w:val="25BC160E"/>
    <w:rsid w:val="25BC46FF"/>
    <w:rsid w:val="25C517A2"/>
    <w:rsid w:val="25EF41EA"/>
    <w:rsid w:val="25F5789E"/>
    <w:rsid w:val="25FD6A72"/>
    <w:rsid w:val="2608561B"/>
    <w:rsid w:val="26196938"/>
    <w:rsid w:val="261B3491"/>
    <w:rsid w:val="26261861"/>
    <w:rsid w:val="26301CEE"/>
    <w:rsid w:val="263316E0"/>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003139"/>
    <w:rsid w:val="27135B8A"/>
    <w:rsid w:val="27301EDB"/>
    <w:rsid w:val="27453115"/>
    <w:rsid w:val="276500BD"/>
    <w:rsid w:val="276C029F"/>
    <w:rsid w:val="277B168E"/>
    <w:rsid w:val="27867E0A"/>
    <w:rsid w:val="27871DE1"/>
    <w:rsid w:val="278E4F1E"/>
    <w:rsid w:val="27982DD4"/>
    <w:rsid w:val="27C84853"/>
    <w:rsid w:val="27CA2623"/>
    <w:rsid w:val="27D8315B"/>
    <w:rsid w:val="27DD09CE"/>
    <w:rsid w:val="27E965F8"/>
    <w:rsid w:val="27EC553C"/>
    <w:rsid w:val="27FD02F5"/>
    <w:rsid w:val="280C4BFC"/>
    <w:rsid w:val="2813394B"/>
    <w:rsid w:val="2815563F"/>
    <w:rsid w:val="281C1F63"/>
    <w:rsid w:val="281C54D8"/>
    <w:rsid w:val="283610D5"/>
    <w:rsid w:val="283A2E44"/>
    <w:rsid w:val="28523AB6"/>
    <w:rsid w:val="285F5293"/>
    <w:rsid w:val="28622D71"/>
    <w:rsid w:val="286A3DDE"/>
    <w:rsid w:val="286E69FD"/>
    <w:rsid w:val="28740524"/>
    <w:rsid w:val="28A10C81"/>
    <w:rsid w:val="28B83236"/>
    <w:rsid w:val="28BC12D3"/>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CA7A73"/>
    <w:rsid w:val="29D85278"/>
    <w:rsid w:val="29E1380C"/>
    <w:rsid w:val="29E277A3"/>
    <w:rsid w:val="29E85046"/>
    <w:rsid w:val="2A017BFD"/>
    <w:rsid w:val="2A0A71F8"/>
    <w:rsid w:val="2A4913A2"/>
    <w:rsid w:val="2A6E6670"/>
    <w:rsid w:val="2A7A1DC4"/>
    <w:rsid w:val="2A8D1AFD"/>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DE3F9A"/>
    <w:rsid w:val="2BE152C7"/>
    <w:rsid w:val="2BEB6DE3"/>
    <w:rsid w:val="2BF4029C"/>
    <w:rsid w:val="2C13380B"/>
    <w:rsid w:val="2C1C6937"/>
    <w:rsid w:val="2C1E3C6A"/>
    <w:rsid w:val="2C202757"/>
    <w:rsid w:val="2C270D43"/>
    <w:rsid w:val="2C3B319A"/>
    <w:rsid w:val="2C5028B1"/>
    <w:rsid w:val="2C6436A6"/>
    <w:rsid w:val="2C7A2A8F"/>
    <w:rsid w:val="2C8903AA"/>
    <w:rsid w:val="2C8C13C3"/>
    <w:rsid w:val="2C8F6502"/>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E64648"/>
    <w:rsid w:val="2DF17D73"/>
    <w:rsid w:val="2E165C6D"/>
    <w:rsid w:val="2E183793"/>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083AA5"/>
    <w:rsid w:val="2F3565C7"/>
    <w:rsid w:val="2F3E191F"/>
    <w:rsid w:val="2F436846"/>
    <w:rsid w:val="2F4556CE"/>
    <w:rsid w:val="2F6F3C93"/>
    <w:rsid w:val="2F754A27"/>
    <w:rsid w:val="2F8135BA"/>
    <w:rsid w:val="2FB1448A"/>
    <w:rsid w:val="2FC35981"/>
    <w:rsid w:val="2FC802AE"/>
    <w:rsid w:val="2FCC29AF"/>
    <w:rsid w:val="2FCC2A87"/>
    <w:rsid w:val="30030473"/>
    <w:rsid w:val="301601A6"/>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3D55"/>
    <w:rsid w:val="32C8549C"/>
    <w:rsid w:val="32CA16D9"/>
    <w:rsid w:val="32DA54BB"/>
    <w:rsid w:val="32E83928"/>
    <w:rsid w:val="32F45590"/>
    <w:rsid w:val="331C19F3"/>
    <w:rsid w:val="331F55C4"/>
    <w:rsid w:val="33240E2C"/>
    <w:rsid w:val="33307EBA"/>
    <w:rsid w:val="33380434"/>
    <w:rsid w:val="334C6C58"/>
    <w:rsid w:val="33577373"/>
    <w:rsid w:val="335C6818"/>
    <w:rsid w:val="336A419B"/>
    <w:rsid w:val="336A59CC"/>
    <w:rsid w:val="336D61B2"/>
    <w:rsid w:val="33773188"/>
    <w:rsid w:val="337E77C9"/>
    <w:rsid w:val="338F53C2"/>
    <w:rsid w:val="33925662"/>
    <w:rsid w:val="339B7AA1"/>
    <w:rsid w:val="33B71CA0"/>
    <w:rsid w:val="33B7637D"/>
    <w:rsid w:val="33CF2056"/>
    <w:rsid w:val="33D4661F"/>
    <w:rsid w:val="33D8534E"/>
    <w:rsid w:val="33ED39C2"/>
    <w:rsid w:val="3402309A"/>
    <w:rsid w:val="340F56DE"/>
    <w:rsid w:val="342235BE"/>
    <w:rsid w:val="3425597D"/>
    <w:rsid w:val="342804A8"/>
    <w:rsid w:val="342A5DF5"/>
    <w:rsid w:val="34331D5F"/>
    <w:rsid w:val="3434509F"/>
    <w:rsid w:val="343819DA"/>
    <w:rsid w:val="344851FD"/>
    <w:rsid w:val="346A0AC1"/>
    <w:rsid w:val="34833DD7"/>
    <w:rsid w:val="34993CA2"/>
    <w:rsid w:val="349B5E0E"/>
    <w:rsid w:val="34A432B6"/>
    <w:rsid w:val="34AA020B"/>
    <w:rsid w:val="34B451A4"/>
    <w:rsid w:val="34B5782A"/>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7F5723"/>
    <w:rsid w:val="35803742"/>
    <w:rsid w:val="35894506"/>
    <w:rsid w:val="35973B37"/>
    <w:rsid w:val="35A377DB"/>
    <w:rsid w:val="35DA3A24"/>
    <w:rsid w:val="35E1407C"/>
    <w:rsid w:val="35E7387F"/>
    <w:rsid w:val="35E81F7A"/>
    <w:rsid w:val="35EF4AF5"/>
    <w:rsid w:val="35F52BF3"/>
    <w:rsid w:val="35F5713F"/>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CE160A"/>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65E3F"/>
    <w:rsid w:val="38A94911"/>
    <w:rsid w:val="38AE496C"/>
    <w:rsid w:val="38B54D45"/>
    <w:rsid w:val="38C74734"/>
    <w:rsid w:val="38D242CD"/>
    <w:rsid w:val="38D961FA"/>
    <w:rsid w:val="38DE5455"/>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BD262D"/>
    <w:rsid w:val="39CB3B9A"/>
    <w:rsid w:val="39E17621"/>
    <w:rsid w:val="39E44E71"/>
    <w:rsid w:val="39F227B1"/>
    <w:rsid w:val="3A002A5F"/>
    <w:rsid w:val="3A0D261A"/>
    <w:rsid w:val="3A151290"/>
    <w:rsid w:val="3A201663"/>
    <w:rsid w:val="3A257964"/>
    <w:rsid w:val="3A292038"/>
    <w:rsid w:val="3A3712E8"/>
    <w:rsid w:val="3A3A2CE3"/>
    <w:rsid w:val="3A410516"/>
    <w:rsid w:val="3A4A1178"/>
    <w:rsid w:val="3A4D181F"/>
    <w:rsid w:val="3A524E6B"/>
    <w:rsid w:val="3A5C70FE"/>
    <w:rsid w:val="3A695377"/>
    <w:rsid w:val="3A762A49"/>
    <w:rsid w:val="3A7C154E"/>
    <w:rsid w:val="3A826354"/>
    <w:rsid w:val="3A8522B8"/>
    <w:rsid w:val="3A914FF9"/>
    <w:rsid w:val="3A9D28F5"/>
    <w:rsid w:val="3AAA60BB"/>
    <w:rsid w:val="3AAB25D8"/>
    <w:rsid w:val="3AC54CA3"/>
    <w:rsid w:val="3ACD43C9"/>
    <w:rsid w:val="3AEE2C6F"/>
    <w:rsid w:val="3AF47336"/>
    <w:rsid w:val="3AFF2C64"/>
    <w:rsid w:val="3B010619"/>
    <w:rsid w:val="3B135A0E"/>
    <w:rsid w:val="3B2F69DB"/>
    <w:rsid w:val="3B37164A"/>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05003"/>
    <w:rsid w:val="3C37637A"/>
    <w:rsid w:val="3C4A12AD"/>
    <w:rsid w:val="3C5125FC"/>
    <w:rsid w:val="3C666012"/>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7B3D3F"/>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D768E8"/>
    <w:rsid w:val="3FE03B95"/>
    <w:rsid w:val="3FED63B1"/>
    <w:rsid w:val="40031733"/>
    <w:rsid w:val="40076D3D"/>
    <w:rsid w:val="400B13AA"/>
    <w:rsid w:val="400C6ED0"/>
    <w:rsid w:val="400F3658"/>
    <w:rsid w:val="40112738"/>
    <w:rsid w:val="401F65F0"/>
    <w:rsid w:val="402B37FA"/>
    <w:rsid w:val="4033445D"/>
    <w:rsid w:val="404228F2"/>
    <w:rsid w:val="404470DB"/>
    <w:rsid w:val="40464190"/>
    <w:rsid w:val="40477F08"/>
    <w:rsid w:val="404C2292"/>
    <w:rsid w:val="405D572D"/>
    <w:rsid w:val="406B52E0"/>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9E0C50"/>
    <w:rsid w:val="44A72CB4"/>
    <w:rsid w:val="44DC0CFE"/>
    <w:rsid w:val="44DC4FCA"/>
    <w:rsid w:val="44FC7513"/>
    <w:rsid w:val="44FD1C6D"/>
    <w:rsid w:val="45245377"/>
    <w:rsid w:val="453F207E"/>
    <w:rsid w:val="454276A8"/>
    <w:rsid w:val="454513E5"/>
    <w:rsid w:val="45465AD9"/>
    <w:rsid w:val="45552589"/>
    <w:rsid w:val="455D7601"/>
    <w:rsid w:val="45637F73"/>
    <w:rsid w:val="457C4AF8"/>
    <w:rsid w:val="458759CA"/>
    <w:rsid w:val="45A100BA"/>
    <w:rsid w:val="45A31600"/>
    <w:rsid w:val="45A51959"/>
    <w:rsid w:val="45E526C2"/>
    <w:rsid w:val="45E81B6F"/>
    <w:rsid w:val="45EC57D9"/>
    <w:rsid w:val="45EF5694"/>
    <w:rsid w:val="45F32D75"/>
    <w:rsid w:val="45FE4441"/>
    <w:rsid w:val="460934CE"/>
    <w:rsid w:val="460C5E7C"/>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B2426"/>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3A4AAE"/>
    <w:rsid w:val="49441489"/>
    <w:rsid w:val="49470D20"/>
    <w:rsid w:val="4948117F"/>
    <w:rsid w:val="494B0B0D"/>
    <w:rsid w:val="49503E42"/>
    <w:rsid w:val="49553696"/>
    <w:rsid w:val="49690EEF"/>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80DFB"/>
    <w:rsid w:val="4A2D1B99"/>
    <w:rsid w:val="4A343D11"/>
    <w:rsid w:val="4A413C1A"/>
    <w:rsid w:val="4A4551BE"/>
    <w:rsid w:val="4A497D35"/>
    <w:rsid w:val="4A531EB2"/>
    <w:rsid w:val="4A657908"/>
    <w:rsid w:val="4A696D93"/>
    <w:rsid w:val="4A8A37D8"/>
    <w:rsid w:val="4A8B4AB2"/>
    <w:rsid w:val="4AB16FF2"/>
    <w:rsid w:val="4AD7435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259F"/>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813526"/>
    <w:rsid w:val="4DA943B0"/>
    <w:rsid w:val="4DC515BB"/>
    <w:rsid w:val="4DCB5984"/>
    <w:rsid w:val="4DD64458"/>
    <w:rsid w:val="4DDD4E1A"/>
    <w:rsid w:val="4DE00A28"/>
    <w:rsid w:val="4DE84AD8"/>
    <w:rsid w:val="4DF548FC"/>
    <w:rsid w:val="4DF55A74"/>
    <w:rsid w:val="4E0D09E3"/>
    <w:rsid w:val="4E135BFA"/>
    <w:rsid w:val="4E1B2DDB"/>
    <w:rsid w:val="4E1F15EB"/>
    <w:rsid w:val="4E250E8C"/>
    <w:rsid w:val="4E347D1E"/>
    <w:rsid w:val="4E355E12"/>
    <w:rsid w:val="4E50159D"/>
    <w:rsid w:val="4E5A7AD3"/>
    <w:rsid w:val="4E5D7C3A"/>
    <w:rsid w:val="4E8D762E"/>
    <w:rsid w:val="4E9B1112"/>
    <w:rsid w:val="4EA06365"/>
    <w:rsid w:val="4EA8347A"/>
    <w:rsid w:val="4EBD3915"/>
    <w:rsid w:val="4ECD54B1"/>
    <w:rsid w:val="4ED1099E"/>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975776"/>
    <w:rsid w:val="4FB21842"/>
    <w:rsid w:val="4FB75BBE"/>
    <w:rsid w:val="4FB8211B"/>
    <w:rsid w:val="4FCA5221"/>
    <w:rsid w:val="4FDE2637"/>
    <w:rsid w:val="4FED0FB9"/>
    <w:rsid w:val="4FF01E38"/>
    <w:rsid w:val="500A342C"/>
    <w:rsid w:val="502F5BB5"/>
    <w:rsid w:val="502F7384"/>
    <w:rsid w:val="50324731"/>
    <w:rsid w:val="50551F6B"/>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34805"/>
    <w:rsid w:val="5325057D"/>
    <w:rsid w:val="532B1547"/>
    <w:rsid w:val="532C2C22"/>
    <w:rsid w:val="533E6E17"/>
    <w:rsid w:val="5343182D"/>
    <w:rsid w:val="53552E21"/>
    <w:rsid w:val="53585F18"/>
    <w:rsid w:val="535D3886"/>
    <w:rsid w:val="536621CA"/>
    <w:rsid w:val="53692CAC"/>
    <w:rsid w:val="536C4A63"/>
    <w:rsid w:val="5370275D"/>
    <w:rsid w:val="539B26A9"/>
    <w:rsid w:val="53A201DA"/>
    <w:rsid w:val="53B22D34"/>
    <w:rsid w:val="53B6236C"/>
    <w:rsid w:val="53BC2C8F"/>
    <w:rsid w:val="53BD6F30"/>
    <w:rsid w:val="53FD5056"/>
    <w:rsid w:val="540208BE"/>
    <w:rsid w:val="540540F5"/>
    <w:rsid w:val="540B32CF"/>
    <w:rsid w:val="540C7047"/>
    <w:rsid w:val="541A5C08"/>
    <w:rsid w:val="54231D7C"/>
    <w:rsid w:val="54256C07"/>
    <w:rsid w:val="542913B3"/>
    <w:rsid w:val="543A39C2"/>
    <w:rsid w:val="543F18BA"/>
    <w:rsid w:val="545F2D48"/>
    <w:rsid w:val="54606BAB"/>
    <w:rsid w:val="54883400"/>
    <w:rsid w:val="54932F58"/>
    <w:rsid w:val="54A243B8"/>
    <w:rsid w:val="54A81CB5"/>
    <w:rsid w:val="54AF4262"/>
    <w:rsid w:val="54C41B11"/>
    <w:rsid w:val="54C92123"/>
    <w:rsid w:val="54D45DB6"/>
    <w:rsid w:val="55050666"/>
    <w:rsid w:val="55094F55"/>
    <w:rsid w:val="550E49C6"/>
    <w:rsid w:val="55124B31"/>
    <w:rsid w:val="55160C9A"/>
    <w:rsid w:val="55346855"/>
    <w:rsid w:val="556679A7"/>
    <w:rsid w:val="559E0172"/>
    <w:rsid w:val="55A256E3"/>
    <w:rsid w:val="55A47D96"/>
    <w:rsid w:val="55A732F5"/>
    <w:rsid w:val="55C94049"/>
    <w:rsid w:val="55DA287E"/>
    <w:rsid w:val="55DC05B3"/>
    <w:rsid w:val="55DD1819"/>
    <w:rsid w:val="55EE6DAD"/>
    <w:rsid w:val="55F34962"/>
    <w:rsid w:val="56073162"/>
    <w:rsid w:val="5609127C"/>
    <w:rsid w:val="561843C9"/>
    <w:rsid w:val="56243B92"/>
    <w:rsid w:val="562E1EDA"/>
    <w:rsid w:val="56336B0D"/>
    <w:rsid w:val="563D619D"/>
    <w:rsid w:val="56413F2B"/>
    <w:rsid w:val="564C7BCE"/>
    <w:rsid w:val="56537C47"/>
    <w:rsid w:val="565E627F"/>
    <w:rsid w:val="56625644"/>
    <w:rsid w:val="56A010C0"/>
    <w:rsid w:val="56B96B8E"/>
    <w:rsid w:val="56C747B5"/>
    <w:rsid w:val="56CC3A96"/>
    <w:rsid w:val="56D42684"/>
    <w:rsid w:val="56DD2471"/>
    <w:rsid w:val="56E01510"/>
    <w:rsid w:val="56F444EE"/>
    <w:rsid w:val="571974A0"/>
    <w:rsid w:val="57210A6D"/>
    <w:rsid w:val="57387588"/>
    <w:rsid w:val="5744214A"/>
    <w:rsid w:val="574B480A"/>
    <w:rsid w:val="57543081"/>
    <w:rsid w:val="575925A3"/>
    <w:rsid w:val="5789649C"/>
    <w:rsid w:val="57A373F0"/>
    <w:rsid w:val="57AF09B6"/>
    <w:rsid w:val="57C83C57"/>
    <w:rsid w:val="57FB2FB4"/>
    <w:rsid w:val="581A61D6"/>
    <w:rsid w:val="582028C2"/>
    <w:rsid w:val="582908A2"/>
    <w:rsid w:val="58382B00"/>
    <w:rsid w:val="583D07DD"/>
    <w:rsid w:val="58490869"/>
    <w:rsid w:val="5858657E"/>
    <w:rsid w:val="585A2A77"/>
    <w:rsid w:val="585D2567"/>
    <w:rsid w:val="585F1862"/>
    <w:rsid w:val="58620D26"/>
    <w:rsid w:val="58694A68"/>
    <w:rsid w:val="586B07E0"/>
    <w:rsid w:val="586D00C3"/>
    <w:rsid w:val="58706FB1"/>
    <w:rsid w:val="587C5983"/>
    <w:rsid w:val="588F3D7B"/>
    <w:rsid w:val="58C223CA"/>
    <w:rsid w:val="58E8415E"/>
    <w:rsid w:val="58ED1995"/>
    <w:rsid w:val="58ED4BF9"/>
    <w:rsid w:val="58FB7E18"/>
    <w:rsid w:val="58FF1A45"/>
    <w:rsid w:val="59083F15"/>
    <w:rsid w:val="591578E8"/>
    <w:rsid w:val="591C41D0"/>
    <w:rsid w:val="591C580B"/>
    <w:rsid w:val="5926497A"/>
    <w:rsid w:val="592941F7"/>
    <w:rsid w:val="592A1893"/>
    <w:rsid w:val="593A27C1"/>
    <w:rsid w:val="593F3A1A"/>
    <w:rsid w:val="595D3E12"/>
    <w:rsid w:val="598D4177"/>
    <w:rsid w:val="59961EFB"/>
    <w:rsid w:val="59964B0E"/>
    <w:rsid w:val="59A11353"/>
    <w:rsid w:val="59A815C0"/>
    <w:rsid w:val="59AE3965"/>
    <w:rsid w:val="59B40569"/>
    <w:rsid w:val="59BB5428"/>
    <w:rsid w:val="59CD7278"/>
    <w:rsid w:val="59D16D68"/>
    <w:rsid w:val="59D80DBD"/>
    <w:rsid w:val="59EF3692"/>
    <w:rsid w:val="5A0336C4"/>
    <w:rsid w:val="5A1D0D82"/>
    <w:rsid w:val="5A1F7AD4"/>
    <w:rsid w:val="5A20315B"/>
    <w:rsid w:val="5A3B2D8E"/>
    <w:rsid w:val="5A4C2893"/>
    <w:rsid w:val="5A5009C7"/>
    <w:rsid w:val="5A51593C"/>
    <w:rsid w:val="5A5229A5"/>
    <w:rsid w:val="5A5827FE"/>
    <w:rsid w:val="5A6951F3"/>
    <w:rsid w:val="5A70211C"/>
    <w:rsid w:val="5A9164F8"/>
    <w:rsid w:val="5AA147E3"/>
    <w:rsid w:val="5AA47FD9"/>
    <w:rsid w:val="5AAB2A29"/>
    <w:rsid w:val="5AAB3211"/>
    <w:rsid w:val="5AAC7307"/>
    <w:rsid w:val="5AB86388"/>
    <w:rsid w:val="5ABF41C0"/>
    <w:rsid w:val="5ACA577B"/>
    <w:rsid w:val="5ACE5056"/>
    <w:rsid w:val="5AD07CB2"/>
    <w:rsid w:val="5ADE1CCB"/>
    <w:rsid w:val="5AE37CAA"/>
    <w:rsid w:val="5AEC372E"/>
    <w:rsid w:val="5AEF1DC1"/>
    <w:rsid w:val="5AFB78A6"/>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00249"/>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96BA8"/>
    <w:rsid w:val="5D7C5A81"/>
    <w:rsid w:val="5DAD18E5"/>
    <w:rsid w:val="5DB46388"/>
    <w:rsid w:val="5DD31E8F"/>
    <w:rsid w:val="5DDF2196"/>
    <w:rsid w:val="5DF34DCF"/>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7D46AF"/>
    <w:rsid w:val="5E8819C0"/>
    <w:rsid w:val="5E891521"/>
    <w:rsid w:val="5E937CCC"/>
    <w:rsid w:val="5E9C6226"/>
    <w:rsid w:val="5EBA601D"/>
    <w:rsid w:val="5EF83794"/>
    <w:rsid w:val="5F0173CC"/>
    <w:rsid w:val="5F1A1A93"/>
    <w:rsid w:val="5F1D3030"/>
    <w:rsid w:val="5F287F7E"/>
    <w:rsid w:val="5F374C3D"/>
    <w:rsid w:val="5F3833E6"/>
    <w:rsid w:val="5F4315DF"/>
    <w:rsid w:val="5F465B03"/>
    <w:rsid w:val="5F475677"/>
    <w:rsid w:val="5F484198"/>
    <w:rsid w:val="5F567498"/>
    <w:rsid w:val="5F6E0BB6"/>
    <w:rsid w:val="5F7D71F9"/>
    <w:rsid w:val="5F8420E2"/>
    <w:rsid w:val="5F8623A3"/>
    <w:rsid w:val="5F887220"/>
    <w:rsid w:val="5F9022AB"/>
    <w:rsid w:val="5FAA3356"/>
    <w:rsid w:val="5FB213EA"/>
    <w:rsid w:val="5FB81E56"/>
    <w:rsid w:val="5FC209CF"/>
    <w:rsid w:val="5FCB1BCC"/>
    <w:rsid w:val="5FD85FDC"/>
    <w:rsid w:val="5FDB068E"/>
    <w:rsid w:val="5FE33352"/>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2C2FD4"/>
    <w:rsid w:val="613170F5"/>
    <w:rsid w:val="61432D9E"/>
    <w:rsid w:val="614623F7"/>
    <w:rsid w:val="615D3929"/>
    <w:rsid w:val="61683AEB"/>
    <w:rsid w:val="618A70BC"/>
    <w:rsid w:val="618D5E50"/>
    <w:rsid w:val="618F442A"/>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9C5FF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24191"/>
    <w:rsid w:val="632A3D0D"/>
    <w:rsid w:val="633443AB"/>
    <w:rsid w:val="63414C0F"/>
    <w:rsid w:val="63424F7E"/>
    <w:rsid w:val="63510A38"/>
    <w:rsid w:val="6353750E"/>
    <w:rsid w:val="637569B7"/>
    <w:rsid w:val="637F5A87"/>
    <w:rsid w:val="638857E1"/>
    <w:rsid w:val="63977DC5"/>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3E5275"/>
    <w:rsid w:val="64524F4A"/>
    <w:rsid w:val="64591E34"/>
    <w:rsid w:val="647527CB"/>
    <w:rsid w:val="647C3D75"/>
    <w:rsid w:val="648A0F84"/>
    <w:rsid w:val="648E4974"/>
    <w:rsid w:val="648F4377"/>
    <w:rsid w:val="64994927"/>
    <w:rsid w:val="649E65A7"/>
    <w:rsid w:val="64B47494"/>
    <w:rsid w:val="64B70C4D"/>
    <w:rsid w:val="64CE386A"/>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80DDC"/>
    <w:rsid w:val="65BD55BD"/>
    <w:rsid w:val="65C53449"/>
    <w:rsid w:val="65D2305C"/>
    <w:rsid w:val="65F27286"/>
    <w:rsid w:val="65FE2E65"/>
    <w:rsid w:val="6602655A"/>
    <w:rsid w:val="66037BA1"/>
    <w:rsid w:val="660D45C7"/>
    <w:rsid w:val="661D5E7A"/>
    <w:rsid w:val="66280ABB"/>
    <w:rsid w:val="662B0FC4"/>
    <w:rsid w:val="6660394E"/>
    <w:rsid w:val="666717B3"/>
    <w:rsid w:val="6668032B"/>
    <w:rsid w:val="666E3F1F"/>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700BB"/>
    <w:rsid w:val="677D4B8A"/>
    <w:rsid w:val="67802ACE"/>
    <w:rsid w:val="67804B33"/>
    <w:rsid w:val="67A755AC"/>
    <w:rsid w:val="67BE4CCD"/>
    <w:rsid w:val="67C40A09"/>
    <w:rsid w:val="67D020A7"/>
    <w:rsid w:val="67D600B8"/>
    <w:rsid w:val="67E4087E"/>
    <w:rsid w:val="67EC2FBF"/>
    <w:rsid w:val="68060D49"/>
    <w:rsid w:val="680B1B92"/>
    <w:rsid w:val="6821192D"/>
    <w:rsid w:val="682732A7"/>
    <w:rsid w:val="68337E89"/>
    <w:rsid w:val="68337EE8"/>
    <w:rsid w:val="683A6C76"/>
    <w:rsid w:val="683C3F47"/>
    <w:rsid w:val="683E6A34"/>
    <w:rsid w:val="685C5B46"/>
    <w:rsid w:val="685E6B05"/>
    <w:rsid w:val="68633281"/>
    <w:rsid w:val="686F1486"/>
    <w:rsid w:val="687C4343"/>
    <w:rsid w:val="6888718C"/>
    <w:rsid w:val="688C0656"/>
    <w:rsid w:val="68953657"/>
    <w:rsid w:val="68AE1735"/>
    <w:rsid w:val="68B72950"/>
    <w:rsid w:val="68D60630"/>
    <w:rsid w:val="68E00D76"/>
    <w:rsid w:val="68ED6FEF"/>
    <w:rsid w:val="68F00432"/>
    <w:rsid w:val="68F8555D"/>
    <w:rsid w:val="691D712E"/>
    <w:rsid w:val="6931512E"/>
    <w:rsid w:val="693D7F76"/>
    <w:rsid w:val="694A4441"/>
    <w:rsid w:val="69562DE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1E7934"/>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C404DB"/>
    <w:rsid w:val="6BF37DF1"/>
    <w:rsid w:val="6BF863D7"/>
    <w:rsid w:val="6C2076DB"/>
    <w:rsid w:val="6C272818"/>
    <w:rsid w:val="6C343972"/>
    <w:rsid w:val="6C5555D7"/>
    <w:rsid w:val="6C630CE9"/>
    <w:rsid w:val="6C727F37"/>
    <w:rsid w:val="6C914CAA"/>
    <w:rsid w:val="6C9E1278"/>
    <w:rsid w:val="6CB46277"/>
    <w:rsid w:val="6CB56076"/>
    <w:rsid w:val="6CB57E24"/>
    <w:rsid w:val="6CC22541"/>
    <w:rsid w:val="6CCC3665"/>
    <w:rsid w:val="6CD34AAD"/>
    <w:rsid w:val="6CEC0F34"/>
    <w:rsid w:val="6CF73CA4"/>
    <w:rsid w:val="6D005FF7"/>
    <w:rsid w:val="6D021C57"/>
    <w:rsid w:val="6D05105B"/>
    <w:rsid w:val="6D207FCD"/>
    <w:rsid w:val="6D280C36"/>
    <w:rsid w:val="6D286C4C"/>
    <w:rsid w:val="6D2B5B01"/>
    <w:rsid w:val="6D350F65"/>
    <w:rsid w:val="6D36363D"/>
    <w:rsid w:val="6D381497"/>
    <w:rsid w:val="6D392803"/>
    <w:rsid w:val="6D6103FD"/>
    <w:rsid w:val="6D632F47"/>
    <w:rsid w:val="6D6811E3"/>
    <w:rsid w:val="6D6A2DB3"/>
    <w:rsid w:val="6D6A69AA"/>
    <w:rsid w:val="6D79127B"/>
    <w:rsid w:val="6D832281"/>
    <w:rsid w:val="6D87693B"/>
    <w:rsid w:val="6D9F0094"/>
    <w:rsid w:val="6DAA1659"/>
    <w:rsid w:val="6DAF51BB"/>
    <w:rsid w:val="6DC237AE"/>
    <w:rsid w:val="6DD218A4"/>
    <w:rsid w:val="6DE07298"/>
    <w:rsid w:val="6DEB5586"/>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CB392F"/>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50A20"/>
    <w:rsid w:val="6FEB7EFB"/>
    <w:rsid w:val="6FED0208"/>
    <w:rsid w:val="700148B1"/>
    <w:rsid w:val="700708F2"/>
    <w:rsid w:val="70262445"/>
    <w:rsid w:val="702F49B2"/>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4C4258"/>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336A7"/>
    <w:rsid w:val="727442DD"/>
    <w:rsid w:val="727560F9"/>
    <w:rsid w:val="728E7595"/>
    <w:rsid w:val="72A70177"/>
    <w:rsid w:val="72CD2240"/>
    <w:rsid w:val="72D148D9"/>
    <w:rsid w:val="72D440E1"/>
    <w:rsid w:val="72D75819"/>
    <w:rsid w:val="72DC19E2"/>
    <w:rsid w:val="72E871A5"/>
    <w:rsid w:val="72EC4E12"/>
    <w:rsid w:val="72F6484A"/>
    <w:rsid w:val="732B7092"/>
    <w:rsid w:val="73373DED"/>
    <w:rsid w:val="733817AF"/>
    <w:rsid w:val="73391B68"/>
    <w:rsid w:val="733F7A24"/>
    <w:rsid w:val="735C44F0"/>
    <w:rsid w:val="736675BE"/>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93846"/>
    <w:rsid w:val="741D2E7E"/>
    <w:rsid w:val="741E1A0A"/>
    <w:rsid w:val="74257F85"/>
    <w:rsid w:val="742A10F7"/>
    <w:rsid w:val="74321330"/>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03EAC"/>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D457BF"/>
    <w:rsid w:val="75E27D49"/>
    <w:rsid w:val="75E76AA3"/>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416E84"/>
    <w:rsid w:val="775F421B"/>
    <w:rsid w:val="77626DFA"/>
    <w:rsid w:val="776668EA"/>
    <w:rsid w:val="777C1603"/>
    <w:rsid w:val="777D1E86"/>
    <w:rsid w:val="77814A03"/>
    <w:rsid w:val="77A14CDE"/>
    <w:rsid w:val="77AA2F7D"/>
    <w:rsid w:val="77BE04D4"/>
    <w:rsid w:val="77C96BD3"/>
    <w:rsid w:val="77D17C4B"/>
    <w:rsid w:val="77E616E5"/>
    <w:rsid w:val="77F263D0"/>
    <w:rsid w:val="77F75794"/>
    <w:rsid w:val="78266CE5"/>
    <w:rsid w:val="7827421F"/>
    <w:rsid w:val="782B4A23"/>
    <w:rsid w:val="78302F8F"/>
    <w:rsid w:val="783D6892"/>
    <w:rsid w:val="784117AB"/>
    <w:rsid w:val="78510397"/>
    <w:rsid w:val="78552936"/>
    <w:rsid w:val="78731F0E"/>
    <w:rsid w:val="78754CBA"/>
    <w:rsid w:val="78822E32"/>
    <w:rsid w:val="78922723"/>
    <w:rsid w:val="789456D9"/>
    <w:rsid w:val="78962FA5"/>
    <w:rsid w:val="78AA0A59"/>
    <w:rsid w:val="78C148AC"/>
    <w:rsid w:val="78C53AE4"/>
    <w:rsid w:val="78CA1FEE"/>
    <w:rsid w:val="78CB3FEB"/>
    <w:rsid w:val="78CE219D"/>
    <w:rsid w:val="78CF04BF"/>
    <w:rsid w:val="79002D6F"/>
    <w:rsid w:val="79053EE1"/>
    <w:rsid w:val="793B5CE2"/>
    <w:rsid w:val="794762A8"/>
    <w:rsid w:val="794C1437"/>
    <w:rsid w:val="794C1B10"/>
    <w:rsid w:val="79584959"/>
    <w:rsid w:val="795C411F"/>
    <w:rsid w:val="795D1F6F"/>
    <w:rsid w:val="796834B3"/>
    <w:rsid w:val="797B3C8A"/>
    <w:rsid w:val="797F45FC"/>
    <w:rsid w:val="79970647"/>
    <w:rsid w:val="79A81CC2"/>
    <w:rsid w:val="79C97604"/>
    <w:rsid w:val="79CE2AA1"/>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096151"/>
    <w:rsid w:val="7B2014A6"/>
    <w:rsid w:val="7B2D1921"/>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7A60F1"/>
    <w:rsid w:val="7CA33449"/>
    <w:rsid w:val="7CB93F8B"/>
    <w:rsid w:val="7CBF7B20"/>
    <w:rsid w:val="7CC876FF"/>
    <w:rsid w:val="7CCE4D69"/>
    <w:rsid w:val="7D050953"/>
    <w:rsid w:val="7D0A0BA4"/>
    <w:rsid w:val="7D1017D5"/>
    <w:rsid w:val="7D107AF3"/>
    <w:rsid w:val="7D24527D"/>
    <w:rsid w:val="7D3E3E65"/>
    <w:rsid w:val="7D4253C7"/>
    <w:rsid w:val="7D492008"/>
    <w:rsid w:val="7D4C5341"/>
    <w:rsid w:val="7D4E5EE6"/>
    <w:rsid w:val="7D541428"/>
    <w:rsid w:val="7D5A0C9F"/>
    <w:rsid w:val="7D5F62B6"/>
    <w:rsid w:val="7D87580C"/>
    <w:rsid w:val="7D8901AD"/>
    <w:rsid w:val="7D8E577D"/>
    <w:rsid w:val="7D9A426A"/>
    <w:rsid w:val="7DC2229A"/>
    <w:rsid w:val="7DD00A7F"/>
    <w:rsid w:val="7DED3C92"/>
    <w:rsid w:val="7DF82FD6"/>
    <w:rsid w:val="7E006F08"/>
    <w:rsid w:val="7E01736D"/>
    <w:rsid w:val="7E333E03"/>
    <w:rsid w:val="7E391FE6"/>
    <w:rsid w:val="7E591F2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DD1D1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7776</Words>
  <Characters>8586</Characters>
  <Lines>0</Lines>
  <Paragraphs>0</Paragraphs>
  <TotalTime>5</TotalTime>
  <ScaleCrop>false</ScaleCrop>
  <LinksUpToDate>false</LinksUpToDate>
  <CharactersWithSpaces>8794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2025-07-04T08:43:00Z</cp:lastPrinted>
  <dcterms:modified xsi:type="dcterms:W3CDTF">2025-12-29T04:00:32Z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597C8DD1076E47B98D7D0DFD04097F0E_13</vt:lpwstr>
  </property>
  <property fmtid="{D5CDD505-2E9C-101B-9397-08002B2CF9AE}" pid="4" name="KSOTemplateDocerSaveRecord">
    <vt:lpwstr>eyJoZGlkIjoiODQ5NjkzN2ZlZjQxZjYzMzcyZDI3NmZhNzYzYWFlNDAiLCJ1c2VySWQiOiI0MjMyNDI2MzkifQ==</vt:lpwstr>
  </property>
</Properties>
</file>