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亳州逸合府一期施工总承包项目坡道装饰工程专业分包</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103号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2025年12</w:t>
      </w:r>
      <w:r>
        <w:rPr>
          <w:rFonts w:hint="eastAsia" w:ascii="Times New Roman" w:hAnsi="Times New Roman" w:eastAsia="楷体" w:cs="Times New Roman"/>
          <w:kern w:val="0"/>
          <w:sz w:val="32"/>
          <w:szCs w:val="32"/>
          <w:highlight w:val="none"/>
          <w:u w:val="none"/>
          <w:shd w:val="clear" w:color="auto" w:fill="auto"/>
          <w:lang w:val="en-US" w:eastAsia="zh-CN"/>
        </w:rPr>
        <w:t>月11日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u w:val="single"/>
          <w:lang w:val="en-US" w:eastAsia="zh-CN"/>
        </w:rPr>
        <w:t>亳州逸合府一期施工总承包项目坡道装饰工程专业分包</w:t>
      </w:r>
      <w:r>
        <w:rPr>
          <w:rFonts w:hint="eastAsia" w:asciiTheme="minorEastAsia" w:hAnsiTheme="minorEastAsia" w:eastAsiaTheme="minorEastAsia" w:cstheme="minorEastAsia"/>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cstheme="minorEastAsia"/>
          <w:sz w:val="28"/>
          <w:szCs w:val="28"/>
          <w:highlight w:val="none"/>
          <w:u w:val="none"/>
          <w:lang w:val="en-US" w:eastAsia="zh-CN"/>
        </w:rPr>
        <w:t>亳州逸合府一期施工总承包项目坡道装饰工程专业分包</w:t>
      </w:r>
    </w:p>
    <w:permEnd w:id="4"/>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AHTKJS-2025-</w:t>
      </w:r>
      <w:r>
        <w:rPr>
          <w:rFonts w:hint="eastAsia" w:asciiTheme="minorEastAsia" w:hAnsiTheme="minorEastAsia" w:cstheme="minorEastAsia"/>
          <w:sz w:val="28"/>
          <w:szCs w:val="28"/>
          <w:highlight w:val="none"/>
          <w:lang w:val="en-US" w:eastAsia="zh-CN"/>
        </w:rPr>
        <w:t>103号</w:t>
      </w:r>
      <w:r>
        <w:rPr>
          <w:rFonts w:hint="eastAsia" w:asciiTheme="minorEastAsia" w:hAnsiTheme="minorEastAsia" w:eastAsiaTheme="minorEastAsia" w:cstheme="minorEastAsia"/>
          <w:sz w:val="28"/>
          <w:szCs w:val="28"/>
          <w:highlight w:val="none"/>
          <w:lang w:val="en-US" w:eastAsia="zh-CN"/>
        </w:rPr>
        <w:t xml:space="preserve"> </w:t>
      </w:r>
      <w:permEnd w:id="5"/>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6"/>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7"/>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8" w:edGrp="everyone"/>
      <w:r>
        <w:rPr>
          <w:rFonts w:hint="eastAsia" w:asciiTheme="minorEastAsia" w:hAnsiTheme="minorEastAsia" w:cstheme="minorEastAsia"/>
          <w:color w:val="FF0000"/>
          <w:sz w:val="28"/>
          <w:szCs w:val="28"/>
          <w:highlight w:val="none"/>
          <w:lang w:val="en-US" w:eastAsia="zh-CN"/>
        </w:rPr>
        <w:t>（含税，9%）</w:t>
      </w:r>
      <w:permEnd w:id="8"/>
      <w:r>
        <w:rPr>
          <w:rFonts w:hint="eastAsia" w:asciiTheme="minorEastAsia" w:hAnsiTheme="minorEastAsia" w:eastAsiaTheme="minorEastAsia" w:cstheme="minorEastAsia"/>
          <w:sz w:val="28"/>
          <w:szCs w:val="28"/>
          <w:highlight w:val="none"/>
          <w:lang w:val="en-US" w:eastAsia="zh-CN"/>
        </w:rPr>
        <w:t>：</w:t>
      </w:r>
      <w:r>
        <w:rPr>
          <w:rFonts w:hint="eastAsia" w:ascii="宋体" w:hAnsi="宋体" w:cs="宋体"/>
          <w:color w:val="FF0000"/>
          <w:kern w:val="2"/>
          <w:sz w:val="28"/>
          <w:szCs w:val="28"/>
          <w:highlight w:val="none"/>
          <w:u w:val="single"/>
          <w:lang w:val="en-US" w:eastAsia="zh-CN"/>
        </w:rPr>
        <w:t>16万元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color w:val="auto"/>
          <w:kern w:val="2"/>
          <w:sz w:val="28"/>
          <w:szCs w:val="28"/>
          <w:highlight w:val="none"/>
          <w:lang w:val="en-US" w:eastAsia="zh-CN"/>
        </w:rPr>
        <w:t>供应商根据工程量清单按</w:t>
      </w:r>
      <w:permStart w:id="9" w:edGrp="everyone"/>
      <w:r>
        <w:rPr>
          <w:rFonts w:hint="eastAsia" w:asciiTheme="minorEastAsia" w:hAnsiTheme="minorEastAsia" w:eastAsiaTheme="minorEastAsia" w:cstheme="minorEastAsia"/>
          <w:color w:val="FF0000"/>
          <w:kern w:val="2"/>
          <w:sz w:val="28"/>
          <w:szCs w:val="28"/>
          <w:highlight w:val="none"/>
          <w:lang w:val="en-US" w:eastAsia="zh-CN"/>
        </w:rPr>
        <w:t>含税固定单价</w:t>
      </w:r>
      <w:permEnd w:id="9"/>
      <w:r>
        <w:rPr>
          <w:rFonts w:hint="eastAsia" w:asciiTheme="minorEastAsia" w:hAnsiTheme="minorEastAsia" w:eastAsiaTheme="minorEastAsia" w:cstheme="minorEastAsia"/>
          <w:kern w:val="2"/>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。报价超出</w:t>
      </w:r>
      <w:r>
        <w:rPr>
          <w:rFonts w:hint="eastAsia" w:asciiTheme="minorEastAsia" w:hAnsiTheme="minorEastAsia" w:cstheme="minorEastAsia"/>
          <w:color w:val="FF0000"/>
          <w:sz w:val="28"/>
          <w:szCs w:val="28"/>
          <w:highlight w:val="none"/>
          <w:lang w:val="en-US" w:eastAsia="zh-CN"/>
        </w:rPr>
        <w:t>单项最高</w:t>
      </w:r>
      <w:r>
        <w:rPr>
          <w:rFonts w:hint="eastAsia" w:asciiTheme="minorEastAsia" w:hAnsiTheme="minorEastAsia" w:eastAsiaTheme="minorEastAsia" w:cstheme="minorEastAsia"/>
          <w:color w:val="FF0000"/>
          <w:sz w:val="28"/>
          <w:szCs w:val="28"/>
          <w:highlight w:val="none"/>
          <w:lang w:val="en-US" w:eastAsia="zh-CN"/>
        </w:rPr>
        <w:t>限价</w:t>
      </w:r>
      <w:r>
        <w:rPr>
          <w:rFonts w:hint="eastAsia" w:asciiTheme="minorEastAsia" w:hAnsiTheme="minorEastAsia" w:eastAsiaTheme="minorEastAsia" w:cstheme="minorEastAsia"/>
          <w:sz w:val="28"/>
          <w:szCs w:val="28"/>
          <w:highlight w:val="none"/>
          <w:lang w:val="en-US" w:eastAsia="zh-CN"/>
        </w:rPr>
        <w:t>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宋体" w:hAnsi="宋体" w:eastAsia="宋体" w:cs="宋体"/>
          <w:color w:val="auto"/>
          <w:kern w:val="2"/>
          <w:sz w:val="28"/>
          <w:szCs w:val="28"/>
          <w:highlight w:val="none"/>
          <w:lang w:val="en-US" w:eastAsia="zh-CN"/>
        </w:rPr>
        <w:t>本次采购的范围是亳州逸合府一期施工总承包项目的汽车坡道装饰施工。供应商需按照设计图纸要求，完成汽车坡道的顶棚、墙面装饰工作，包括但不限于完成清单内容所需的主材、辅材、脚手架、垂直运输等所需的所有附件，具体工作内容详见图纸及清单。具体工程量以供应商实际完成合格工程量为准，清单数量为暂定，采购人据实按含税单价结算。供应商响应前请认真查阅清单及要求、并现场勘察了解情况，响应时我方认为供应商已充分了解工程概况及工作范围</w:t>
      </w:r>
      <w:r>
        <w:rPr>
          <w:rFonts w:hint="eastAsia" w:asciiTheme="minorEastAsia" w:hAnsiTheme="minorEastAsia" w:eastAsiaTheme="minorEastAsia" w:cstheme="minorEastAsia"/>
          <w:sz w:val="28"/>
          <w:szCs w:val="28"/>
          <w:highlight w:val="none"/>
          <w:lang w:val="en-US" w:eastAsia="zh-CN"/>
        </w:rPr>
        <w:t>。</w:t>
      </w:r>
    </w:p>
    <w:permEnd w:id="10"/>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宋体" w:hAnsi="宋体" w:eastAsia="宋体" w:cs="宋体"/>
          <w:color w:val="auto"/>
          <w:kern w:val="2"/>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1" w:edGrp="everyone"/>
      <w:r>
        <w:rPr>
          <w:rFonts w:hint="eastAsia" w:ascii="宋体" w:hAnsi="宋体" w:eastAsia="宋体" w:cs="宋体"/>
          <w:color w:val="auto"/>
          <w:kern w:val="2"/>
          <w:sz w:val="28"/>
          <w:szCs w:val="28"/>
          <w:highlight w:val="none"/>
          <w:lang w:val="en-US" w:eastAsia="zh-CN"/>
        </w:rPr>
        <w:t>计划工期：自采购人下达开工指令之日起30日历天。</w:t>
      </w:r>
      <w:permEnd w:id="11"/>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（三）施工地点</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eastAsiaTheme="minorEastAsia" w:cstheme="minorEastAsia"/>
          <w:sz w:val="28"/>
          <w:szCs w:val="28"/>
          <w:highlight w:val="none"/>
          <w:lang w:val="en-US" w:eastAsia="zh-CN"/>
        </w:rPr>
        <w:t>亳州逸合府一期施工项目位于亳州市谯城区利辛路北侧、庄周路东侧、和平西路南侧、华佗大道西侧</w:t>
      </w:r>
      <w:r>
        <w:rPr>
          <w:rFonts w:hint="eastAsia" w:asciiTheme="minorEastAsia" w:hAnsi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 xml:space="preserve"> </w:t>
      </w:r>
      <w:permEnd w:id="12"/>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）质量标准：</w:t>
      </w:r>
      <w:permStart w:id="13"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3"/>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12750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（一）供应商须具有独立法人资格，并在人员、设备、资金等方面具有承担本</w:t>
      </w:r>
      <w:r>
        <w:rPr>
          <w:rFonts w:hint="eastAsia" w:asciiTheme="minorEastAsia" w:hAnsiTheme="minorEastAsia" w:cstheme="minorEastAsia"/>
          <w:sz w:val="28"/>
          <w:szCs w:val="28"/>
          <w:highlight w:val="none"/>
          <w:lang w:val="en-US" w:eastAsia="zh-CN"/>
        </w:rPr>
        <w:t>项目施工</w:t>
      </w:r>
      <w:r>
        <w:rPr>
          <w:rFonts w:hint="default" w:asciiTheme="minorEastAsia" w:hAnsiTheme="minorEastAsia" w:eastAsiaTheme="minorEastAsia" w:cstheme="minorEastAsia"/>
          <w:sz w:val="28"/>
          <w:szCs w:val="28"/>
          <w:highlight w:val="none"/>
          <w:lang w:val="en-US" w:eastAsia="zh-CN"/>
        </w:rPr>
        <w:t>的能力</w:t>
      </w:r>
      <w:r>
        <w:rPr>
          <w:rFonts w:hint="eastAsia" w:asciiTheme="minorEastAsia" w:hAnsiTheme="minorEastAsia" w:eastAsiaTheme="minorEastAsia" w:cstheme="minorEastAsia"/>
          <w:sz w:val="28"/>
          <w:szCs w:val="28"/>
          <w:highlight w:val="none"/>
          <w:lang w:val="en-US" w:eastAsia="zh-CN"/>
        </w:rPr>
        <w:t>；</w:t>
      </w:r>
    </w:p>
    <w:p w14:paraId="0543ED3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（二）供应商须具有建筑装修装饰工程专业承包二级及以上资质，具有有效的安全生产许可证。</w:t>
      </w:r>
    </w:p>
    <w:p w14:paraId="05EB332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permStart w:id="14" w:edGrp="everyone"/>
      <w:r>
        <w:rPr>
          <w:rFonts w:hint="eastAsia" w:asciiTheme="minorEastAsia" w:hAnsiTheme="minorEastAsia" w:eastAsiaTheme="minorEastAsia" w:cstheme="minorEastAsia"/>
          <w:sz w:val="28"/>
          <w:szCs w:val="28"/>
          <w:highlight w:val="none"/>
          <w:lang w:val="en-US" w:eastAsia="zh-CN"/>
        </w:rPr>
        <w:t>信用要求：供应商（含分公司，不含子公司）不得存在下列情形之一。</w:t>
      </w:r>
    </w:p>
    <w:p w14:paraId="6324A7F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（1）供应商被人民法院列入失信被执行人的；</w:t>
      </w:r>
    </w:p>
    <w:p w14:paraId="3610839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（2）供应商被市场监督管理部门列入企业经营异常名录的；</w:t>
      </w:r>
    </w:p>
    <w:p w14:paraId="3BB2E82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（3）供应商被税务部门列入重大税收违法案件当事人名单的；</w:t>
      </w:r>
    </w:p>
    <w:p w14:paraId="185E81A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（4）供应商在以往承接亳州交通投资控股集团有限公司及下属企业项目过程中被记入“黑名单”的</w:t>
      </w:r>
      <w:permEnd w:id="14"/>
      <w:r>
        <w:rPr>
          <w:rFonts w:hint="eastAsia" w:asciiTheme="minorEastAsia" w:hAnsiTheme="minorEastAsia" w:cstheme="minorEastAsia"/>
          <w:sz w:val="28"/>
          <w:szCs w:val="28"/>
          <w:highlight w:val="none"/>
          <w:lang w:val="en-US" w:eastAsia="zh-CN"/>
        </w:rPr>
        <w:t>。</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5"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5"/>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color w:val="FF0000"/>
          <w:sz w:val="28"/>
          <w:szCs w:val="28"/>
          <w:highlight w:val="none"/>
          <w:u w:val="single"/>
          <w:lang w:val="en-US" w:eastAsia="zh-CN"/>
        </w:rPr>
      </w:pPr>
      <w:r>
        <w:rPr>
          <w:rFonts w:hint="eastAsia" w:asciiTheme="minorEastAsia" w:hAnsiTheme="minorEastAsia" w:cstheme="minorEastAsia"/>
          <w:i w:val="0"/>
          <w:iCs w:val="0"/>
          <w:color w:val="auto"/>
          <w:sz w:val="28"/>
          <w:szCs w:val="28"/>
          <w:highlight w:val="none"/>
          <w:u w:val="none"/>
          <w:lang w:val="en-US" w:eastAsia="zh-CN"/>
        </w:rPr>
        <w:t>（一）开启时间（响应文件递交的截止时间）：</w:t>
      </w:r>
      <w:permStart w:id="16" w:edGrp="everyone"/>
      <w:r>
        <w:rPr>
          <w:rFonts w:hint="eastAsia" w:asciiTheme="minorEastAsia" w:hAnsiTheme="minorEastAsia" w:cstheme="minorEastAsia"/>
          <w:i/>
          <w:iCs/>
          <w:color w:val="FF0000"/>
          <w:sz w:val="28"/>
          <w:szCs w:val="28"/>
          <w:highlight w:val="none"/>
          <w:u w:val="single"/>
          <w:lang w:val="en-US" w:eastAsia="zh-CN"/>
        </w:rPr>
        <w:t xml:space="preserve"> 2025 </w:t>
      </w:r>
      <w:r>
        <w:rPr>
          <w:rFonts w:hint="eastAsia" w:asciiTheme="minorEastAsia" w:hAnsiTheme="minorEastAsia" w:cstheme="minorEastAsia"/>
          <w:i w:val="0"/>
          <w:iCs w:val="0"/>
          <w:color w:val="auto"/>
          <w:sz w:val="28"/>
          <w:szCs w:val="28"/>
          <w:highlight w:val="none"/>
          <w:u w:val="none"/>
          <w:lang w:val="en-US" w:eastAsia="zh-CN"/>
        </w:rPr>
        <w:t>年</w:t>
      </w:r>
      <w:r>
        <w:rPr>
          <w:rFonts w:hint="eastAsia" w:asciiTheme="minorEastAsia" w:hAnsiTheme="minorEastAsia" w:cstheme="minorEastAsia"/>
          <w:i/>
          <w:iCs/>
          <w:color w:val="FF0000"/>
          <w:sz w:val="28"/>
          <w:szCs w:val="28"/>
          <w:highlight w:val="none"/>
          <w:u w:val="single"/>
          <w:lang w:val="en-US" w:eastAsia="zh-CN"/>
        </w:rPr>
        <w:t>12</w:t>
      </w:r>
      <w:r>
        <w:rPr>
          <w:rFonts w:hint="eastAsia" w:asciiTheme="minorEastAsia" w:hAnsiTheme="minorEastAsia" w:cstheme="minorEastAsia"/>
          <w:i w:val="0"/>
          <w:iCs w:val="0"/>
          <w:color w:val="auto"/>
          <w:sz w:val="28"/>
          <w:szCs w:val="28"/>
          <w:highlight w:val="none"/>
          <w:u w:val="none"/>
          <w:lang w:val="en-US" w:eastAsia="zh-CN"/>
        </w:rPr>
        <w:t>月</w:t>
      </w:r>
      <w:r>
        <w:rPr>
          <w:rFonts w:hint="eastAsia" w:asciiTheme="minorEastAsia" w:hAnsiTheme="minorEastAsia" w:cstheme="minorEastAsia"/>
          <w:i/>
          <w:iCs/>
          <w:color w:val="FF0000"/>
          <w:sz w:val="28"/>
          <w:szCs w:val="28"/>
          <w:highlight w:val="none"/>
          <w:u w:val="single"/>
          <w:lang w:val="en-US" w:eastAsia="zh-CN"/>
        </w:rPr>
        <w:t>18</w:t>
      </w:r>
      <w:r>
        <w:rPr>
          <w:rFonts w:hint="eastAsia" w:asciiTheme="minorEastAsia" w:hAnsiTheme="minorEastAsia" w:cstheme="minorEastAsia"/>
          <w:i w:val="0"/>
          <w:iCs w:val="0"/>
          <w:color w:val="auto"/>
          <w:sz w:val="28"/>
          <w:szCs w:val="28"/>
          <w:highlight w:val="none"/>
          <w:u w:val="none"/>
          <w:lang w:val="en-US" w:eastAsia="zh-CN"/>
        </w:rPr>
        <w:t>日</w:t>
      </w:r>
      <w:r>
        <w:rPr>
          <w:rFonts w:hint="eastAsia" w:asciiTheme="minorEastAsia" w:hAnsiTheme="minorEastAsia" w:cstheme="minorEastAsia"/>
          <w:i/>
          <w:iCs/>
          <w:color w:val="FF0000"/>
          <w:sz w:val="28"/>
          <w:szCs w:val="28"/>
          <w:highlight w:val="none"/>
          <w:u w:val="single"/>
          <w:lang w:val="en-US" w:eastAsia="zh-CN"/>
        </w:rPr>
        <w:t>9</w:t>
      </w:r>
      <w:r>
        <w:rPr>
          <w:rFonts w:hint="eastAsia" w:asciiTheme="minorEastAsia" w:hAnsiTheme="minorEastAsia" w:cstheme="minorEastAsia"/>
          <w:i w:val="0"/>
          <w:iCs w:val="0"/>
          <w:color w:val="auto"/>
          <w:sz w:val="28"/>
          <w:szCs w:val="28"/>
          <w:highlight w:val="none"/>
          <w:u w:val="none"/>
          <w:lang w:val="en-US" w:eastAsia="zh-CN"/>
        </w:rPr>
        <w:t>时</w:t>
      </w:r>
      <w:r>
        <w:rPr>
          <w:rFonts w:hint="eastAsia" w:asciiTheme="minorEastAsia" w:hAnsiTheme="minorEastAsia" w:cstheme="minorEastAsia"/>
          <w:i/>
          <w:iCs/>
          <w:color w:val="FF0000"/>
          <w:sz w:val="28"/>
          <w:szCs w:val="28"/>
          <w:highlight w:val="none"/>
          <w:u w:val="single"/>
          <w:lang w:val="en-US" w:eastAsia="zh-CN"/>
        </w:rPr>
        <w:t>00</w:t>
      </w:r>
      <w:r>
        <w:rPr>
          <w:rFonts w:hint="eastAsia" w:asciiTheme="minorEastAsia" w:hAnsiTheme="minorEastAsia" w:cstheme="minorEastAsia"/>
          <w:i w:val="0"/>
          <w:iCs w:val="0"/>
          <w:color w:val="auto"/>
          <w:sz w:val="28"/>
          <w:szCs w:val="28"/>
          <w:highlight w:val="none"/>
          <w:u w:val="none"/>
          <w:lang w:val="en-US" w:eastAsia="zh-CN"/>
        </w:rPr>
        <w:t>分（北京时间）；</w:t>
      </w:r>
      <w:permEnd w:id="16"/>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7"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17"/>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8"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电话：18906343943</w:t>
            </w:r>
            <w:r>
              <w:rPr>
                <w:rFonts w:hint="eastAsia" w:asciiTheme="minorEastAsia" w:hAnsiTheme="minorEastAsia" w:cstheme="minorEastAsia"/>
                <w:color w:val="FF0000"/>
                <w:sz w:val="28"/>
                <w:szCs w:val="28"/>
                <w:highlight w:val="none"/>
                <w:u w:val="single"/>
                <w:lang w:val="en-US" w:eastAsia="zh-CN"/>
              </w:rPr>
              <w:t>。</w:t>
            </w:r>
          </w:p>
        </w:tc>
      </w:tr>
      <w:permEnd w:id="18"/>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9" w:edGrp="everyone"/>
      <w:r>
        <w:rPr>
          <w:rFonts w:hint="eastAsia" w:asciiTheme="minorEastAsia" w:hAnsiTheme="minorEastAsia" w:cstheme="minorEastAsia"/>
          <w:color w:val="FF0000"/>
          <w:sz w:val="28"/>
          <w:szCs w:val="28"/>
          <w:highlight w:val="none"/>
          <w:u w:val="single"/>
          <w:lang w:val="en-US" w:eastAsia="zh-CN"/>
        </w:rPr>
        <w:t>3200元</w:t>
      </w:r>
      <w:r>
        <w:rPr>
          <w:rFonts w:hint="default" w:asciiTheme="minorEastAsia" w:hAnsiTheme="minorEastAsia" w:eastAsiaTheme="minorEastAsia" w:cstheme="minorEastAsia"/>
          <w:color w:val="FF0000"/>
          <w:sz w:val="28"/>
          <w:szCs w:val="28"/>
          <w:highlight w:val="none"/>
          <w:lang w:val="en-US" w:eastAsia="zh-CN"/>
        </w:rPr>
        <w:t>（人民币）</w:t>
      </w:r>
      <w:permEnd w:id="19"/>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0"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0"/>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1" w:edGrp="everyone"/>
      <w:r>
        <w:rPr>
          <w:rFonts w:hint="eastAsia" w:asciiTheme="minorEastAsia" w:hAnsiTheme="minorEastAsia" w:cstheme="minorEastAsia"/>
          <w:sz w:val="28"/>
          <w:szCs w:val="28"/>
          <w:highlight w:val="none"/>
          <w:lang w:val="en-US" w:eastAsia="zh-CN"/>
        </w:rPr>
        <w:t xml:space="preserve">李经理 </w:t>
      </w:r>
      <w:permEnd w:id="21"/>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：15955497321</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2"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007AF3BE">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12</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11</w:t>
      </w:r>
      <w:r>
        <w:rPr>
          <w:rFonts w:hint="eastAsia" w:asciiTheme="minorEastAsia" w:hAnsiTheme="minorEastAsia" w:eastAsiaTheme="minorEastAsia" w:cstheme="minorEastAsia"/>
          <w:color w:val="FF0000"/>
          <w:sz w:val="28"/>
          <w:szCs w:val="28"/>
          <w:highlight w:val="none"/>
          <w:lang w:val="en-US" w:eastAsia="zh-CN"/>
        </w:rPr>
        <w:t>日</w:t>
      </w:r>
    </w:p>
    <w:permEnd w:id="22"/>
    <w:p w14:paraId="066A0CD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3"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3"/>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4"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4"/>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5"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12</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17</w:t>
            </w:r>
            <w:r>
              <w:rPr>
                <w:rFonts w:hint="eastAsia" w:ascii="Times New Roman" w:hAnsi="Times New Roman" w:cs="Times New Roman"/>
                <w:b/>
                <w:bCs/>
                <w:color w:val="FF0000"/>
                <w:szCs w:val="21"/>
                <w:highlight w:val="none"/>
                <w:u w:val="none"/>
                <w:lang w:val="en-US" w:eastAsia="zh-CN"/>
              </w:rPr>
              <w:t>日前</w:t>
            </w:r>
            <w:permEnd w:id="25"/>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6"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6"/>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7"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7"/>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8"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8"/>
            <w:r>
              <w:rPr>
                <w:rFonts w:hint="default" w:ascii="Times New Roman" w:hAnsi="Times New Roman" w:cs="Times New Roman"/>
                <w:szCs w:val="21"/>
                <w:highlight w:val="none"/>
              </w:rPr>
              <w:t>的形式：</w:t>
            </w:r>
            <w:permStart w:id="29" w:edGrp="everyone"/>
            <w:r>
              <w:rPr>
                <w:rFonts w:hint="default" w:ascii="Times New Roman" w:hAnsi="Times New Roman" w:cs="Times New Roman"/>
                <w:b/>
                <w:bCs/>
                <w:color w:val="FF0000"/>
                <w:szCs w:val="21"/>
                <w:highlight w:val="none"/>
              </w:rPr>
              <w:t>银行汇款或转账</w:t>
            </w:r>
            <w:permEnd w:id="29"/>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0" w:edGrp="everyone"/>
            <w:r>
              <w:rPr>
                <w:rFonts w:hint="eastAsia" w:ascii="Times New Roman" w:hAnsi="Times New Roman" w:cs="Times New Roman"/>
                <w:b/>
                <w:bCs/>
                <w:color w:val="FF0000"/>
                <w:szCs w:val="21"/>
                <w:highlight w:val="none"/>
                <w:u w:val="single"/>
                <w:lang w:val="en-US" w:eastAsia="zh-CN"/>
              </w:rPr>
              <w:t xml:space="preserve"> 3200元  </w:t>
            </w:r>
            <w:permEnd w:id="30"/>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1" w:edGrp="everyone"/>
            <w:r>
              <w:rPr>
                <w:rFonts w:hint="eastAsia" w:ascii="Times New Roman" w:hAnsi="Times New Roman" w:cs="Times New Roman"/>
                <w:b/>
                <w:bCs/>
                <w:color w:val="FF0000"/>
                <w:szCs w:val="21"/>
                <w:highlight w:val="none"/>
                <w:lang w:val="en-US" w:eastAsia="zh-CN"/>
              </w:rPr>
              <w:t>AHTKJS-2025-103号保证金</w:t>
            </w:r>
            <w:permEnd w:id="31"/>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2"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2"/>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3"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亳州逸合府一期施工总承包项目坡道装饰工程专业分包</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w:t>
            </w:r>
            <w:r>
              <w:rPr>
                <w:rFonts w:hint="eastAsia" w:ascii="Times New Roman" w:hAnsi="Times New Roman" w:cs="Times New Roman"/>
                <w:color w:val="FF0000"/>
                <w:szCs w:val="21"/>
                <w:highlight w:val="none"/>
                <w:u w:val="single"/>
                <w:lang w:val="en-US" w:eastAsia="zh-CN"/>
              </w:rPr>
              <w:t>103号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12</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18</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3"/>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w:t>
            </w:r>
            <w:bookmarkStart w:id="317" w:name="_GoBack"/>
            <w:bookmarkEnd w:id="317"/>
            <w:r>
              <w:rPr>
                <w:rFonts w:hint="eastAsia" w:ascii="Times New Roman" w:hAnsi="Times New Roman" w:cs="Times New Roman"/>
                <w:szCs w:val="21"/>
                <w:highlight w:val="none"/>
                <w:lang w:val="en-US" w:eastAsia="zh-CN"/>
              </w:rPr>
              <w:t>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4"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permEnd w:id="34"/>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5"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5"/>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6"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6"/>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55D1070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szCs w:val="21"/>
                <w:highlight w:val="none"/>
              </w:rPr>
              <w:t>履约担保的形式：</w:t>
            </w:r>
            <w:permStart w:id="37"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w:t>
            </w:r>
            <w:r>
              <w:rPr>
                <w:rFonts w:hint="eastAsia" w:ascii="Times New Roman" w:hAnsi="Times New Roman" w:cs="Times New Roman"/>
                <w:color w:val="FF0000"/>
                <w:szCs w:val="21"/>
                <w:highlight w:val="none"/>
                <w:lang w:val="en-US" w:eastAsia="zh-CN"/>
              </w:rPr>
              <w:t>转账或</w:t>
            </w:r>
            <w:r>
              <w:rPr>
                <w:rFonts w:hint="default" w:ascii="Times New Roman" w:hAnsi="Times New Roman" w:cs="Times New Roman"/>
                <w:color w:val="FF0000"/>
                <w:szCs w:val="21"/>
                <w:highlight w:val="none"/>
              </w:rPr>
              <w:t>汇款。</w:t>
            </w:r>
          </w:p>
          <w:permEnd w:id="37"/>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8"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同响应保证金 </w:t>
            </w:r>
            <w:permEnd w:id="38"/>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9" w:edGrp="everyone"/>
            <w:r>
              <w:rPr>
                <w:rFonts w:hint="default" w:ascii="Times New Roman" w:hAnsi="Times New Roman" w:cs="Times New Roman"/>
                <w:color w:val="FF0000"/>
                <w:szCs w:val="21"/>
                <w:highlight w:val="none"/>
              </w:rPr>
              <w:t>无违约行为发生或违约行为已处理的情况下</w:t>
            </w:r>
            <w:r>
              <w:rPr>
                <w:rFonts w:hint="eastAsia" w:ascii="Times New Roman" w:hAnsi="Times New Roman" w:cs="Times New Roman"/>
                <w:color w:val="FF0000"/>
                <w:szCs w:val="21"/>
                <w:highlight w:val="none"/>
                <w:lang w:eastAsia="zh-CN"/>
              </w:rPr>
              <w:t>，</w:t>
            </w:r>
            <w:r>
              <w:rPr>
                <w:rFonts w:hint="eastAsia" w:ascii="Times New Roman" w:hAnsi="Times New Roman" w:cs="Times New Roman"/>
                <w:color w:val="FF0000"/>
                <w:szCs w:val="21"/>
                <w:highlight w:val="none"/>
                <w:lang w:val="en-US" w:eastAsia="zh-CN"/>
              </w:rPr>
              <w:t>计划工期满且工程无质量问题（或质量问题已解决）后退</w:t>
            </w:r>
            <w:r>
              <w:rPr>
                <w:rFonts w:hint="default" w:ascii="Times New Roman" w:hAnsi="Times New Roman" w:cs="Times New Roman"/>
                <w:color w:val="FF0000"/>
                <w:szCs w:val="21"/>
                <w:highlight w:val="none"/>
              </w:rPr>
              <w:t>还</w:t>
            </w:r>
            <w:r>
              <w:rPr>
                <w:rFonts w:hint="eastAsia" w:ascii="Times New Roman" w:hAnsi="Times New Roman" w:cs="Times New Roman"/>
                <w:color w:val="FF0000"/>
                <w:szCs w:val="21"/>
                <w:highlight w:val="none"/>
                <w:lang w:val="en-US" w:eastAsia="zh-CN"/>
              </w:rPr>
              <w:t>全部</w:t>
            </w:r>
            <w:r>
              <w:rPr>
                <w:rFonts w:hint="default" w:ascii="Times New Roman" w:hAnsi="Times New Roman" w:cs="Times New Roman"/>
                <w:color w:val="FF0000"/>
                <w:szCs w:val="21"/>
                <w:highlight w:val="none"/>
              </w:rPr>
              <w:t>履约保证金（本金</w:t>
            </w:r>
            <w:r>
              <w:rPr>
                <w:rFonts w:hint="eastAsia" w:ascii="Times New Roman" w:hAnsi="Times New Roman" w:cs="Times New Roman"/>
                <w:color w:val="FF0000"/>
                <w:szCs w:val="21"/>
                <w:highlight w:val="none"/>
                <w:lang w:val="en-US" w:eastAsia="zh-CN"/>
              </w:rPr>
              <w:t>无息</w:t>
            </w:r>
            <w:r>
              <w:rPr>
                <w:rFonts w:hint="default" w:ascii="Times New Roman" w:hAnsi="Times New Roman" w:cs="Times New Roman"/>
                <w:color w:val="FF0000"/>
                <w:szCs w:val="21"/>
                <w:highlight w:val="none"/>
              </w:rPr>
              <w:t>）</w:t>
            </w:r>
            <w:r>
              <w:rPr>
                <w:rFonts w:hint="default" w:ascii="Times New Roman" w:hAnsi="Times New Roman" w:cs="Times New Roman"/>
                <w:szCs w:val="21"/>
                <w:highlight w:val="none"/>
              </w:rPr>
              <w:t>。</w:t>
            </w:r>
            <w:permEnd w:id="39"/>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296602423"/>
      <w:bookmarkStart w:id="1" w:name="_Toc152045532"/>
      <w:bookmarkStart w:id="2" w:name="_Toc179632549"/>
      <w:bookmarkStart w:id="3" w:name="_Toc152042308"/>
      <w:bookmarkStart w:id="4" w:name="_Toc247085692"/>
      <w:bookmarkStart w:id="5" w:name="_Toc144974500"/>
      <w:bookmarkStart w:id="6" w:name="_Toc246996178"/>
      <w:bookmarkStart w:id="7" w:name="_Toc246996921"/>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144974504"/>
      <w:bookmarkStart w:id="9" w:name="_Toc179632553"/>
      <w:bookmarkStart w:id="10" w:name="_Toc247085695"/>
      <w:bookmarkStart w:id="11" w:name="_Toc296602426"/>
      <w:bookmarkStart w:id="12" w:name="_Toc246996181"/>
      <w:bookmarkStart w:id="13" w:name="_Toc246996924"/>
      <w:bookmarkStart w:id="14" w:name="_Toc152042312"/>
      <w:bookmarkStart w:id="15" w:name="_Toc152045536"/>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246996182"/>
      <w:bookmarkStart w:id="18" w:name="_Toc152045537"/>
      <w:bookmarkStart w:id="19" w:name="_Toc152042313"/>
      <w:bookmarkStart w:id="20" w:name="_Toc179632554"/>
      <w:bookmarkStart w:id="21" w:name="_Toc246996925"/>
      <w:bookmarkStart w:id="22" w:name="_Toc296602427"/>
      <w:bookmarkStart w:id="23" w:name="_Toc247085696"/>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246996926"/>
      <w:bookmarkStart w:id="25" w:name="_Toc246996183"/>
      <w:bookmarkStart w:id="26" w:name="_Toc152042314"/>
      <w:bookmarkStart w:id="27" w:name="_Toc144974506"/>
      <w:bookmarkStart w:id="28" w:name="_Toc179632555"/>
      <w:bookmarkStart w:id="29" w:name="_Toc247085697"/>
      <w:bookmarkStart w:id="30" w:name="_Toc152045538"/>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152042318"/>
      <w:bookmarkStart w:id="32" w:name="_Toc152045542"/>
      <w:bookmarkStart w:id="33" w:name="_Toc247085701"/>
      <w:bookmarkStart w:id="34" w:name="_Toc246996187"/>
      <w:bookmarkStart w:id="35" w:name="_Toc144974510"/>
      <w:bookmarkStart w:id="36" w:name="_Toc179632560"/>
      <w:bookmarkStart w:id="37" w:name="_Toc296602432"/>
      <w:bookmarkStart w:id="38" w:name="_Toc246996930"/>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246996931"/>
      <w:bookmarkStart w:id="40" w:name="_Toc179632561"/>
      <w:bookmarkStart w:id="41" w:name="_Toc247085702"/>
      <w:bookmarkStart w:id="42" w:name="_Toc144974511"/>
      <w:bookmarkStart w:id="43" w:name="_Toc152045543"/>
      <w:bookmarkStart w:id="44" w:name="_Toc296602433"/>
      <w:bookmarkStart w:id="45" w:name="_Toc152042319"/>
      <w:bookmarkStart w:id="46" w:name="_Toc246996188"/>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7085703"/>
      <w:bookmarkStart w:id="48" w:name="_Toc246996189"/>
      <w:bookmarkStart w:id="49" w:name="_Toc246996932"/>
      <w:bookmarkStart w:id="50" w:name="_Toc144974512"/>
      <w:bookmarkStart w:id="51" w:name="_Toc152042320"/>
      <w:bookmarkStart w:id="52" w:name="_Toc179632562"/>
      <w:bookmarkStart w:id="53" w:name="_Toc296602434"/>
      <w:bookmarkStart w:id="54" w:name="_Toc152045544"/>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52042321"/>
      <w:bookmarkStart w:id="56" w:name="_Toc247085704"/>
      <w:bookmarkStart w:id="57" w:name="_Toc246996933"/>
      <w:bookmarkStart w:id="58" w:name="_Toc179632563"/>
      <w:bookmarkStart w:id="59" w:name="_Toc152045545"/>
      <w:bookmarkStart w:id="60" w:name="_Toc144974513"/>
      <w:bookmarkStart w:id="61" w:name="_Toc296602435"/>
      <w:bookmarkStart w:id="62" w:name="_Toc246996190"/>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246996191"/>
      <w:bookmarkStart w:id="64" w:name="_Toc152045546"/>
      <w:bookmarkStart w:id="65" w:name="_Toc144974514"/>
      <w:bookmarkStart w:id="66" w:name="_Toc246996934"/>
      <w:bookmarkStart w:id="67" w:name="_Toc179632564"/>
      <w:bookmarkStart w:id="68" w:name="_Toc296602436"/>
      <w:bookmarkStart w:id="69" w:name="_Toc247085705"/>
      <w:bookmarkStart w:id="70" w:name="_Toc152042322"/>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152045547"/>
      <w:bookmarkStart w:id="72" w:name="_Toc296602437"/>
      <w:bookmarkStart w:id="73" w:name="_Toc152042323"/>
      <w:bookmarkStart w:id="74" w:name="_Toc144974515"/>
      <w:bookmarkStart w:id="75" w:name="_Toc247085706"/>
      <w:bookmarkStart w:id="76" w:name="_Toc179632565"/>
      <w:bookmarkStart w:id="77" w:name="_Toc246996192"/>
      <w:bookmarkStart w:id="78" w:name="_Toc24699693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152042324"/>
      <w:bookmarkStart w:id="80" w:name="_Toc247085707"/>
      <w:bookmarkStart w:id="81" w:name="_Toc246996193"/>
      <w:bookmarkStart w:id="82" w:name="_Toc246996936"/>
      <w:bookmarkStart w:id="83" w:name="_Toc296602438"/>
      <w:bookmarkStart w:id="84" w:name="_Toc144974516"/>
      <w:bookmarkStart w:id="85" w:name="_Toc152045548"/>
      <w:bookmarkStart w:id="86" w:name="_Toc179632566"/>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44974517"/>
      <w:bookmarkStart w:id="88" w:name="_Toc152045549"/>
      <w:bookmarkStart w:id="89" w:name="_Toc152042325"/>
      <w:bookmarkStart w:id="90" w:name="_Toc17963256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6996194"/>
      <w:bookmarkStart w:id="92" w:name="_Toc247085708"/>
      <w:bookmarkStart w:id="93" w:name="_Toc296602439"/>
      <w:bookmarkStart w:id="94" w:name="_Toc246996937"/>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7085713"/>
      <w:bookmarkStart w:id="96" w:name="_Toc296602443"/>
      <w:bookmarkStart w:id="97" w:name="_Toc144974523"/>
      <w:bookmarkStart w:id="98" w:name="_Toc246996942"/>
      <w:bookmarkStart w:id="99" w:name="_Toc152045555"/>
      <w:bookmarkStart w:id="100" w:name="_Toc152042331"/>
      <w:bookmarkStart w:id="101" w:name="_Toc246996199"/>
      <w:bookmarkStart w:id="102" w:name="_Toc179632573"/>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52042332"/>
      <w:bookmarkStart w:id="104" w:name="_Toc247085714"/>
      <w:bookmarkStart w:id="105" w:name="_Toc144974524"/>
      <w:bookmarkStart w:id="106" w:name="_Toc152045556"/>
      <w:bookmarkStart w:id="107" w:name="_Toc179632574"/>
      <w:bookmarkStart w:id="108" w:name="_Toc246996200"/>
      <w:bookmarkStart w:id="109" w:name="_Toc246996943"/>
      <w:bookmarkStart w:id="110" w:name="_Toc296602444"/>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44974525"/>
      <w:bookmarkStart w:id="112" w:name="_Toc246996944"/>
      <w:bookmarkStart w:id="113" w:name="_Toc246996201"/>
      <w:bookmarkStart w:id="114" w:name="_Toc179632575"/>
      <w:bookmarkStart w:id="115" w:name="_Toc152042333"/>
      <w:bookmarkStart w:id="116" w:name="_Toc247085715"/>
      <w:bookmarkStart w:id="117" w:name="_Toc152045557"/>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152042334"/>
      <w:bookmarkStart w:id="119" w:name="_Toc179632576"/>
      <w:bookmarkStart w:id="120" w:name="_Toc152045558"/>
      <w:bookmarkStart w:id="121" w:name="_Toc246996945"/>
      <w:bookmarkStart w:id="122" w:name="_Toc144974526"/>
      <w:bookmarkStart w:id="123" w:name="_Toc247085716"/>
      <w:bookmarkStart w:id="124" w:name="_Toc296602446"/>
      <w:bookmarkStart w:id="125" w:name="_Toc246996202"/>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152042335"/>
      <w:bookmarkStart w:id="127" w:name="_Toc296602447"/>
      <w:bookmarkStart w:id="128" w:name="_Toc246996946"/>
      <w:bookmarkStart w:id="129" w:name="_Toc144974527"/>
      <w:bookmarkStart w:id="130" w:name="_Toc247085717"/>
      <w:bookmarkStart w:id="131" w:name="_Toc246996203"/>
      <w:bookmarkStart w:id="132" w:name="_Toc152045559"/>
      <w:bookmarkStart w:id="133" w:name="_Toc179632577"/>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44974528"/>
      <w:bookmarkStart w:id="135" w:name="_Toc296602448"/>
      <w:bookmarkStart w:id="136" w:name="_Toc247085718"/>
      <w:bookmarkStart w:id="137" w:name="_Toc246996204"/>
      <w:bookmarkStart w:id="138" w:name="_Toc152045560"/>
      <w:bookmarkStart w:id="139" w:name="_Toc152042336"/>
      <w:bookmarkStart w:id="140" w:name="_Toc246996947"/>
      <w:bookmarkStart w:id="141" w:name="_Toc17963257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44974529"/>
      <w:bookmarkStart w:id="143" w:name="_Toc246996205"/>
      <w:bookmarkStart w:id="144" w:name="_Toc152045561"/>
      <w:bookmarkStart w:id="145" w:name="_Toc152042337"/>
      <w:bookmarkStart w:id="146" w:name="_Toc296602449"/>
      <w:bookmarkStart w:id="147" w:name="_Toc246996948"/>
      <w:bookmarkStart w:id="148" w:name="_Toc179632579"/>
      <w:bookmarkStart w:id="149" w:name="_Toc24708571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6996207"/>
      <w:bookmarkStart w:id="151" w:name="_Toc247085721"/>
      <w:bookmarkStart w:id="152" w:name="_Toc144974531"/>
      <w:bookmarkStart w:id="153" w:name="_Toc296602452"/>
      <w:bookmarkStart w:id="154" w:name="_Toc179632581"/>
      <w:bookmarkStart w:id="155" w:name="_Toc152045563"/>
      <w:bookmarkStart w:id="156" w:name="_Toc152042339"/>
      <w:bookmarkStart w:id="157" w:name="_Toc246996950"/>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246996953"/>
      <w:bookmarkStart w:id="159" w:name="_Toc247085724"/>
      <w:bookmarkStart w:id="160" w:name="_Toc246996210"/>
      <w:bookmarkStart w:id="161" w:name="_Toc144974534"/>
      <w:bookmarkStart w:id="162" w:name="_Toc296602455"/>
      <w:bookmarkStart w:id="163" w:name="_Toc179632584"/>
      <w:bookmarkStart w:id="164" w:name="_Toc152042342"/>
      <w:bookmarkStart w:id="165" w:name="_Toc152045566"/>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7085725"/>
      <w:bookmarkStart w:id="167" w:name="_Toc246996954"/>
      <w:bookmarkStart w:id="168" w:name="_Toc296602456"/>
      <w:bookmarkStart w:id="169" w:name="_Toc152042343"/>
      <w:bookmarkStart w:id="170" w:name="_Toc152045567"/>
      <w:bookmarkStart w:id="171" w:name="_Toc179632585"/>
      <w:bookmarkStart w:id="172" w:name="_Toc144974535"/>
      <w:bookmarkStart w:id="173" w:name="_Toc246996211"/>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144974536"/>
      <w:bookmarkStart w:id="176" w:name="_Toc152042344"/>
      <w:bookmarkStart w:id="177" w:name="_Toc152045568"/>
      <w:bookmarkStart w:id="178" w:name="_Toc246996955"/>
      <w:bookmarkStart w:id="179" w:name="_Toc247085726"/>
      <w:bookmarkStart w:id="180" w:name="_Toc296602458"/>
      <w:bookmarkStart w:id="181" w:name="_Toc246996212"/>
      <w:bookmarkStart w:id="182" w:name="_Toc179632586"/>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47085727"/>
      <w:bookmarkStart w:id="184" w:name="_Toc296602459"/>
      <w:bookmarkStart w:id="185" w:name="_Toc246996213"/>
      <w:bookmarkStart w:id="186" w:name="_Toc152045569"/>
      <w:bookmarkStart w:id="187" w:name="_Toc179632587"/>
      <w:bookmarkStart w:id="188" w:name="_Toc246996956"/>
      <w:bookmarkStart w:id="189" w:name="_Toc144974537"/>
      <w:bookmarkStart w:id="190" w:name="_Toc152042345"/>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246996219"/>
      <w:bookmarkStart w:id="193" w:name="_Toc296590983"/>
      <w:bookmarkStart w:id="194" w:name="_Toc179632593"/>
      <w:bookmarkStart w:id="195" w:name="_Toc247085733"/>
      <w:bookmarkStart w:id="196" w:name="_Toc296602462"/>
      <w:bookmarkStart w:id="197" w:name="_Toc152042351"/>
      <w:bookmarkStart w:id="198" w:name="_Toc246996962"/>
      <w:bookmarkStart w:id="199" w:name="_Toc144974543"/>
      <w:bookmarkStart w:id="200" w:name="_Toc152045575"/>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01" w:name="_Toc152045576"/>
      <w:bookmarkStart w:id="202" w:name="_Toc296602463"/>
      <w:bookmarkStart w:id="203" w:name="_Toc247085734"/>
      <w:bookmarkStart w:id="204" w:name="_Toc246996963"/>
      <w:bookmarkStart w:id="205" w:name="_Toc152042352"/>
      <w:bookmarkStart w:id="206" w:name="_Toc179632594"/>
      <w:bookmarkStart w:id="207" w:name="_Toc144974544"/>
      <w:bookmarkStart w:id="208" w:name="_Toc246996220"/>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152045577"/>
      <w:bookmarkStart w:id="210" w:name="_Toc179632595"/>
      <w:bookmarkStart w:id="211" w:name="_Toc246996964"/>
      <w:bookmarkStart w:id="212" w:name="_Toc247085735"/>
      <w:bookmarkStart w:id="213" w:name="_Toc296602464"/>
      <w:bookmarkStart w:id="214" w:name="_Toc144974545"/>
      <w:bookmarkStart w:id="215" w:name="_Toc152042353"/>
      <w:bookmarkStart w:id="216" w:name="_Toc246996221"/>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0" w:edGrp="everyone"/>
      <w:r>
        <w:rPr>
          <w:rFonts w:hint="eastAsia" w:ascii="宋体" w:hAnsi="宋体"/>
          <w:color w:val="FF0000"/>
          <w:sz w:val="24"/>
          <w:lang w:val="en-US" w:eastAsia="zh-CN"/>
        </w:rPr>
        <w:t>最低评审价法</w:t>
      </w:r>
      <w:permEnd w:id="40"/>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152045589"/>
            <w:bookmarkStart w:id="218" w:name="_Toc246996232"/>
            <w:bookmarkStart w:id="219" w:name="_Toc179632607"/>
            <w:bookmarkStart w:id="220" w:name="_Toc296602477"/>
            <w:bookmarkStart w:id="221" w:name="_Toc144974556"/>
            <w:bookmarkStart w:id="222" w:name="_Toc247085747"/>
            <w:bookmarkStart w:id="223" w:name="_Toc246996975"/>
            <w:bookmarkStart w:id="224" w:name="_Toc152042366"/>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4FAA0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1F017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1C0FC0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297AFAF">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247085751"/>
      <w:bookmarkStart w:id="226" w:name="_Toc296602481"/>
      <w:bookmarkStart w:id="227" w:name="_Toc152045593"/>
      <w:bookmarkStart w:id="228" w:name="_Toc152042370"/>
      <w:bookmarkStart w:id="229" w:name="_Toc246996979"/>
      <w:bookmarkStart w:id="230" w:name="_Toc179632611"/>
      <w:bookmarkStart w:id="231" w:name="_Toc246996236"/>
      <w:bookmarkStart w:id="232" w:name="_Toc144974560"/>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52045596"/>
      <w:bookmarkStart w:id="235" w:name="_Toc152042373"/>
      <w:bookmarkStart w:id="236" w:name="_Toc246996239"/>
      <w:bookmarkStart w:id="237" w:name="_Toc247085754"/>
      <w:bookmarkStart w:id="238" w:name="_Toc296602484"/>
      <w:bookmarkStart w:id="239" w:name="_Toc246996982"/>
      <w:bookmarkStart w:id="240" w:name="_Toc17963261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1"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1"/>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56BA94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无预付款，工程完工后付至已完成合格工程量的价款的70%，经采购人验收合格后付至已完成合格工程量的价款的97%,余款3%待竣工验收满1年且工程无质量问题（或质量问题已解决）后无息付清。</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14:paraId="5F5A5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0B11A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73EB2E2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主要合同</w:t>
            </w:r>
            <w:r>
              <w:rPr>
                <w:rFonts w:hint="default" w:ascii="Times New Roman" w:hAnsi="Times New Roman" w:cs="Times New Roman"/>
                <w:kern w:val="0"/>
                <w:sz w:val="24"/>
                <w:szCs w:val="24"/>
                <w:highlight w:val="none"/>
                <w:shd w:val="clear" w:color="auto" w:fill="auto"/>
                <w:vertAlign w:val="baseline"/>
                <w:lang w:val="en-US" w:eastAsia="zh-CN"/>
              </w:rPr>
              <w:br w:type="textWrapping"/>
            </w:r>
            <w:r>
              <w:rPr>
                <w:rFonts w:hint="default" w:ascii="Times New Roman" w:hAnsi="Times New Roman" w:cs="Times New Roman"/>
                <w:kern w:val="0"/>
                <w:sz w:val="24"/>
                <w:szCs w:val="24"/>
                <w:highlight w:val="none"/>
                <w:shd w:val="clear" w:color="auto" w:fill="auto"/>
                <w:vertAlign w:val="baseline"/>
                <w:lang w:val="en-US" w:eastAsia="zh-CN"/>
              </w:rPr>
              <w:t>条款</w:t>
            </w:r>
          </w:p>
        </w:tc>
        <w:tc>
          <w:tcPr>
            <w:tcW w:w="6253" w:type="dxa"/>
            <w:vAlign w:val="center"/>
          </w:tcPr>
          <w:p w14:paraId="798F0D6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1、成交人提供的材料，应符合国家、地方或行业现行标准及采购人要求，并随货提供出厂合格证、检测报告单、产品质量保证书、货运清单等相关资料。</w:t>
            </w:r>
          </w:p>
          <w:p w14:paraId="24BD8A2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2、合同生效后，成交人拒不履行本合同义务时，需向采购人支付成交价款的10％作为违约金，并赔偿采购人因此遭受的实际损失，且履约保证金不予退还，不足部分，采购人可另行主张，且采购人有权终止合同。</w:t>
            </w:r>
          </w:p>
          <w:p w14:paraId="1C12A67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3、由于建设单位未支付工程款等原因导致工程款未及时发放，成交人不得擅自采取停工、上访等措施，否则由此造成的采购人工期延误、名誉受损、增加管理人员等一切经济损失、法律责任由成交人承担。如采购人出现资金困难或业主未及时支付工程款，成交人同意给予1个月的付款宽限期，在此宽限期间内不视为采购人违约，且成交人不得以此为由中断本项目的货物供应。</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p w14:paraId="6D4B9E9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本项目采用包工、包料、包相关材料检测、包工具、包工期、包质量、包安全、包文明施工、包税金、包风险、包通过相关部门验收并出具验收合格意见书等一切工程内容及相关工作内容，准备工作包括相关资料的准备，包括人员、主材、机械准备等。</w:t>
      </w:r>
    </w:p>
    <w:p w14:paraId="49BB684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成交人必须按相关规定为进场施工人员、管理人员办理人身意外伤害险，办理本款保险的一切费用均由成交人承担，不单独计量；供应商进场后一个月内需将该保险保单提交采购人核查与备案，否则采购人将为其代为办理保险，发生费用直接从成交人应得工程款中扣除。</w:t>
      </w:r>
    </w:p>
    <w:p w14:paraId="416C282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成交人必须负责所在施工区域的文明施工及安全保护措施（施工范围内日常清理及各种检查的文明清理，场内场外运输，所在施工区域内的文明施工及安全保护措施等都在采购范围之内，直至工程竣工验收移交前的所有文明施工）。</w:t>
      </w:r>
    </w:p>
    <w:p w14:paraId="3A5F9B3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项目在实施过程中采购人会不定期对项目安全文明施工进行评审、验收，供应商对施工过程中存在问题进行整改，拒不整改的，由采购人委派人员进行整改，由此产生的费用从供应商应得工程款中扣除（若建设单位提高创优标准，则按照建设单位要求执行）。</w:t>
      </w:r>
    </w:p>
    <w:p w14:paraId="5846349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5、出现下列情形之一的，采购人对此均不承担任何责任：</w:t>
      </w:r>
    </w:p>
    <w:p w14:paraId="2432058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1）具体工程量以实际完成合格工程量为准，据实结算，采购人有权对部分工程量进行增减，成交人需无条件服从；</w:t>
      </w:r>
    </w:p>
    <w:p w14:paraId="6592849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2）因建设单位原因出现停工、停建、变更等情况造成承包范围增减。</w:t>
      </w:r>
    </w:p>
    <w:p w14:paraId="740F25A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3D47B96F">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lang w:val="en-US" w:eastAsia="zh-CN" w:bidi="ar-SA"/>
        </w:rPr>
        <w:t>6</w:t>
      </w:r>
      <w:r>
        <w:rPr>
          <w:rFonts w:hint="eastAsia" w:ascii="Times New Roman" w:hAnsi="Times New Roman" w:cs="Times New Roman" w:eastAsiaTheme="minorEastAsia"/>
          <w:kern w:val="0"/>
          <w:sz w:val="24"/>
          <w:szCs w:val="24"/>
          <w:lang w:val="en-US" w:eastAsia="zh-CN" w:bidi="ar-SA"/>
        </w:rPr>
        <w:t>)</w:t>
      </w:r>
      <w:r>
        <w:rPr>
          <w:rFonts w:hint="eastAsia" w:ascii="Times New Roman" w:hAnsi="Times New Roman" w:cs="Times New Roman"/>
          <w:kern w:val="0"/>
          <w:sz w:val="24"/>
          <w:szCs w:val="24"/>
          <w:highlight w:val="none"/>
          <w:lang w:val="en-US" w:eastAsia="zh-CN"/>
        </w:rPr>
        <w:t>工程量清单</w:t>
      </w:r>
    </w:p>
    <w:tbl>
      <w:tblPr>
        <w:tblStyle w:val="16"/>
        <w:tblW w:w="10374" w:type="dxa"/>
        <w:tblInd w:w="-6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722"/>
        <w:gridCol w:w="923"/>
        <w:gridCol w:w="3076"/>
        <w:gridCol w:w="1038"/>
        <w:gridCol w:w="798"/>
        <w:gridCol w:w="797"/>
        <w:gridCol w:w="1659"/>
        <w:gridCol w:w="1361"/>
      </w:tblGrid>
      <w:tr w14:paraId="57A70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0" w:hRule="atLeast"/>
        </w:trPr>
        <w:tc>
          <w:tcPr>
            <w:tcW w:w="722" w:type="dxa"/>
            <w:shd w:val="clear" w:color="auto" w:fill="auto"/>
            <w:noWrap/>
            <w:vAlign w:val="center"/>
          </w:tcPr>
          <w:p w14:paraId="5960983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923" w:type="dxa"/>
            <w:shd w:val="clear" w:color="auto" w:fill="auto"/>
            <w:noWrap/>
            <w:vAlign w:val="center"/>
          </w:tcPr>
          <w:p w14:paraId="2D8C451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项目名称</w:t>
            </w:r>
          </w:p>
        </w:tc>
        <w:tc>
          <w:tcPr>
            <w:tcW w:w="3076" w:type="dxa"/>
            <w:shd w:val="clear" w:color="auto" w:fill="auto"/>
            <w:noWrap/>
            <w:vAlign w:val="center"/>
          </w:tcPr>
          <w:p w14:paraId="2589B63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项目特征描述</w:t>
            </w:r>
          </w:p>
        </w:tc>
        <w:tc>
          <w:tcPr>
            <w:tcW w:w="1038" w:type="dxa"/>
            <w:shd w:val="clear" w:color="auto" w:fill="auto"/>
            <w:noWrap/>
            <w:vAlign w:val="center"/>
          </w:tcPr>
          <w:p w14:paraId="16CA4F4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工程量</w:t>
            </w:r>
          </w:p>
        </w:tc>
        <w:tc>
          <w:tcPr>
            <w:tcW w:w="798" w:type="dxa"/>
            <w:shd w:val="clear" w:color="auto" w:fill="auto"/>
            <w:vAlign w:val="center"/>
          </w:tcPr>
          <w:p w14:paraId="4791625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计量</w:t>
            </w:r>
            <w:r>
              <w:rPr>
                <w:rFonts w:hint="eastAsia" w:ascii="宋体" w:hAnsi="宋体" w:eastAsia="宋体" w:cs="宋体"/>
                <w:b/>
                <w:bCs/>
                <w:i w:val="0"/>
                <w:iCs w:val="0"/>
                <w:color w:val="000000"/>
                <w:kern w:val="0"/>
                <w:sz w:val="22"/>
                <w:szCs w:val="22"/>
                <w:u w:val="none"/>
                <w:lang w:val="en-US" w:eastAsia="zh-CN" w:bidi="ar"/>
              </w:rPr>
              <w:br w:type="textWrapping"/>
            </w:r>
            <w:r>
              <w:rPr>
                <w:rFonts w:hint="eastAsia" w:ascii="宋体" w:hAnsi="宋体" w:eastAsia="宋体" w:cs="宋体"/>
                <w:b/>
                <w:bCs/>
                <w:i w:val="0"/>
                <w:iCs w:val="0"/>
                <w:color w:val="000000"/>
                <w:kern w:val="0"/>
                <w:sz w:val="22"/>
                <w:szCs w:val="22"/>
                <w:u w:val="none"/>
                <w:lang w:val="en-US" w:eastAsia="zh-CN" w:bidi="ar"/>
              </w:rPr>
              <w:t>单位</w:t>
            </w:r>
          </w:p>
        </w:tc>
        <w:tc>
          <w:tcPr>
            <w:tcW w:w="797" w:type="dxa"/>
            <w:shd w:val="clear" w:color="auto" w:fill="auto"/>
            <w:vAlign w:val="center"/>
          </w:tcPr>
          <w:p w14:paraId="64D6133D">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税率</w:t>
            </w:r>
          </w:p>
        </w:tc>
        <w:tc>
          <w:tcPr>
            <w:tcW w:w="1659" w:type="dxa"/>
            <w:shd w:val="clear" w:color="auto" w:fill="auto"/>
            <w:vAlign w:val="center"/>
          </w:tcPr>
          <w:p w14:paraId="28C4FC4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最高含税</w:t>
            </w:r>
          </w:p>
          <w:p w14:paraId="64A4ACD7">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单项限价（元）</w:t>
            </w:r>
          </w:p>
        </w:tc>
        <w:tc>
          <w:tcPr>
            <w:tcW w:w="1361" w:type="dxa"/>
            <w:shd w:val="clear" w:color="auto" w:fill="auto"/>
            <w:vAlign w:val="center"/>
          </w:tcPr>
          <w:p w14:paraId="28CCBE4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最高含税</w:t>
            </w:r>
          </w:p>
          <w:p w14:paraId="15EBEC7F">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合价（元）</w:t>
            </w:r>
          </w:p>
        </w:tc>
      </w:tr>
      <w:tr w14:paraId="3CBEC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56" w:hRule="atLeast"/>
        </w:trPr>
        <w:tc>
          <w:tcPr>
            <w:tcW w:w="722" w:type="dxa"/>
            <w:shd w:val="clear" w:color="auto" w:fill="auto"/>
            <w:noWrap/>
            <w:vAlign w:val="center"/>
          </w:tcPr>
          <w:p w14:paraId="65D094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23" w:type="dxa"/>
            <w:shd w:val="clear" w:color="auto" w:fill="auto"/>
            <w:vAlign w:val="center"/>
          </w:tcPr>
          <w:p w14:paraId="51903E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铝单板吊顶</w:t>
            </w:r>
          </w:p>
        </w:tc>
        <w:tc>
          <w:tcPr>
            <w:tcW w:w="3076" w:type="dxa"/>
            <w:shd w:val="clear" w:color="auto" w:fill="auto"/>
            <w:vAlign w:val="center"/>
          </w:tcPr>
          <w:p w14:paraId="21EA6F7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1、Φ8 钢筋吊杆@900mm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2、20*40*2镀锌方管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3、面层材料：2mm厚古铜色铝单板 </w:t>
            </w:r>
          </w:p>
        </w:tc>
        <w:tc>
          <w:tcPr>
            <w:tcW w:w="1038" w:type="dxa"/>
            <w:shd w:val="clear" w:color="auto" w:fill="auto"/>
            <w:noWrap/>
            <w:vAlign w:val="center"/>
          </w:tcPr>
          <w:p w14:paraId="4C211A53">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259.72</w:t>
            </w:r>
          </w:p>
        </w:tc>
        <w:tc>
          <w:tcPr>
            <w:tcW w:w="798" w:type="dxa"/>
            <w:shd w:val="clear" w:color="auto" w:fill="auto"/>
            <w:noWrap/>
            <w:vAlign w:val="center"/>
          </w:tcPr>
          <w:p w14:paraId="194382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797" w:type="dxa"/>
            <w:shd w:val="clear" w:color="auto" w:fill="auto"/>
            <w:noWrap/>
            <w:vAlign w:val="center"/>
          </w:tcPr>
          <w:p w14:paraId="1A605345">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659" w:type="dxa"/>
            <w:shd w:val="clear" w:color="auto" w:fill="auto"/>
            <w:noWrap/>
            <w:vAlign w:val="center"/>
          </w:tcPr>
          <w:p w14:paraId="2F1E624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308</w:t>
            </w:r>
          </w:p>
        </w:tc>
        <w:tc>
          <w:tcPr>
            <w:tcW w:w="1361" w:type="dxa"/>
            <w:shd w:val="clear" w:color="auto" w:fill="auto"/>
            <w:noWrap/>
            <w:vAlign w:val="center"/>
          </w:tcPr>
          <w:p w14:paraId="5951FF1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79993.76 </w:t>
            </w:r>
          </w:p>
        </w:tc>
      </w:tr>
      <w:tr w14:paraId="1412E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0" w:hRule="atLeast"/>
        </w:trPr>
        <w:tc>
          <w:tcPr>
            <w:tcW w:w="722" w:type="dxa"/>
            <w:shd w:val="clear" w:color="auto" w:fill="auto"/>
            <w:noWrap/>
            <w:vAlign w:val="center"/>
          </w:tcPr>
          <w:p w14:paraId="487C25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23" w:type="dxa"/>
            <w:shd w:val="clear" w:color="auto" w:fill="auto"/>
            <w:vAlign w:val="center"/>
          </w:tcPr>
          <w:p w14:paraId="1913F0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龙门牌</w:t>
            </w:r>
          </w:p>
        </w:tc>
        <w:tc>
          <w:tcPr>
            <w:tcW w:w="3076" w:type="dxa"/>
            <w:shd w:val="clear" w:color="auto" w:fill="auto"/>
            <w:vAlign w:val="center"/>
          </w:tcPr>
          <w:p w14:paraId="446FE23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1、20*40*2镀锌方管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2、面层材料：2.5mm厚古铜色铝单板</w:t>
            </w:r>
          </w:p>
        </w:tc>
        <w:tc>
          <w:tcPr>
            <w:tcW w:w="1038" w:type="dxa"/>
            <w:shd w:val="clear" w:color="auto" w:fill="auto"/>
            <w:noWrap/>
            <w:vAlign w:val="center"/>
          </w:tcPr>
          <w:p w14:paraId="600B9C49">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17.47</w:t>
            </w:r>
          </w:p>
        </w:tc>
        <w:tc>
          <w:tcPr>
            <w:tcW w:w="798" w:type="dxa"/>
            <w:shd w:val="clear" w:color="auto" w:fill="auto"/>
            <w:noWrap/>
            <w:vAlign w:val="center"/>
          </w:tcPr>
          <w:p w14:paraId="477426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797" w:type="dxa"/>
            <w:shd w:val="clear" w:color="auto" w:fill="auto"/>
            <w:noWrap/>
            <w:vAlign w:val="center"/>
          </w:tcPr>
          <w:p w14:paraId="5585F0B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659" w:type="dxa"/>
            <w:shd w:val="clear" w:color="auto" w:fill="auto"/>
            <w:noWrap/>
            <w:vAlign w:val="center"/>
          </w:tcPr>
          <w:p w14:paraId="42E5065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556.99</w:t>
            </w:r>
          </w:p>
        </w:tc>
        <w:tc>
          <w:tcPr>
            <w:tcW w:w="1361" w:type="dxa"/>
            <w:shd w:val="clear" w:color="auto" w:fill="auto"/>
            <w:noWrap/>
            <w:vAlign w:val="center"/>
          </w:tcPr>
          <w:p w14:paraId="5B6D07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9730.62 </w:t>
            </w:r>
          </w:p>
        </w:tc>
      </w:tr>
      <w:tr w14:paraId="58D219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96" w:hRule="atLeast"/>
        </w:trPr>
        <w:tc>
          <w:tcPr>
            <w:tcW w:w="722" w:type="dxa"/>
            <w:shd w:val="clear" w:color="auto" w:fill="auto"/>
            <w:noWrap/>
            <w:vAlign w:val="center"/>
          </w:tcPr>
          <w:p w14:paraId="37BC76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23" w:type="dxa"/>
            <w:shd w:val="clear" w:color="auto" w:fill="auto"/>
            <w:vAlign w:val="center"/>
          </w:tcPr>
          <w:p w14:paraId="5E4F23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不锈钢踢脚线</w:t>
            </w:r>
          </w:p>
        </w:tc>
        <w:tc>
          <w:tcPr>
            <w:tcW w:w="3076" w:type="dxa"/>
            <w:shd w:val="clear" w:color="auto" w:fill="auto"/>
            <w:vAlign w:val="center"/>
          </w:tcPr>
          <w:p w14:paraId="5B7E8B4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1、踢脚线高度：100mm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2、基层材料种类、规格：9mm厚硅酸钙板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3、面层材料品种、规格、颜色：1.2mm古铜色不锈钢踢脚线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4、包含铝合金专用收边条</w:t>
            </w:r>
          </w:p>
        </w:tc>
        <w:tc>
          <w:tcPr>
            <w:tcW w:w="1038" w:type="dxa"/>
            <w:shd w:val="clear" w:color="auto" w:fill="auto"/>
            <w:noWrap/>
            <w:vAlign w:val="center"/>
          </w:tcPr>
          <w:p w14:paraId="641ECC5D">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137.36</w:t>
            </w:r>
          </w:p>
        </w:tc>
        <w:tc>
          <w:tcPr>
            <w:tcW w:w="798" w:type="dxa"/>
            <w:shd w:val="clear" w:color="auto" w:fill="auto"/>
            <w:noWrap/>
            <w:vAlign w:val="center"/>
          </w:tcPr>
          <w:p w14:paraId="48EB61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797" w:type="dxa"/>
            <w:shd w:val="clear" w:color="auto" w:fill="auto"/>
            <w:noWrap/>
            <w:vAlign w:val="center"/>
          </w:tcPr>
          <w:p w14:paraId="2377515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659" w:type="dxa"/>
            <w:shd w:val="clear" w:color="auto" w:fill="auto"/>
            <w:noWrap/>
            <w:vAlign w:val="center"/>
          </w:tcPr>
          <w:p w14:paraId="67E1AAA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34.99</w:t>
            </w:r>
          </w:p>
        </w:tc>
        <w:tc>
          <w:tcPr>
            <w:tcW w:w="1361" w:type="dxa"/>
            <w:shd w:val="clear" w:color="auto" w:fill="auto"/>
            <w:noWrap/>
            <w:vAlign w:val="center"/>
          </w:tcPr>
          <w:p w14:paraId="1DF1DE9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4806.22 </w:t>
            </w:r>
          </w:p>
        </w:tc>
      </w:tr>
      <w:tr w14:paraId="51B2E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49" w:hRule="atLeast"/>
        </w:trPr>
        <w:tc>
          <w:tcPr>
            <w:tcW w:w="722" w:type="dxa"/>
            <w:shd w:val="clear" w:color="auto" w:fill="auto"/>
            <w:noWrap/>
            <w:vAlign w:val="center"/>
          </w:tcPr>
          <w:p w14:paraId="3D0998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923" w:type="dxa"/>
            <w:shd w:val="clear" w:color="auto" w:fill="auto"/>
            <w:vAlign w:val="center"/>
          </w:tcPr>
          <w:p w14:paraId="4A2EC0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金属装饰条</w:t>
            </w:r>
          </w:p>
        </w:tc>
        <w:tc>
          <w:tcPr>
            <w:tcW w:w="3076" w:type="dxa"/>
            <w:shd w:val="clear" w:color="auto" w:fill="auto"/>
            <w:vAlign w:val="center"/>
          </w:tcPr>
          <w:p w14:paraId="2E6D80A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1、安装部位：墙面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2、线条材料品种、规格、颜色：1.2mm古铜色不锈钢装饰线条20mm宽</w:t>
            </w:r>
          </w:p>
        </w:tc>
        <w:tc>
          <w:tcPr>
            <w:tcW w:w="1038" w:type="dxa"/>
            <w:shd w:val="clear" w:color="auto" w:fill="auto"/>
            <w:noWrap/>
            <w:vAlign w:val="center"/>
          </w:tcPr>
          <w:p w14:paraId="597F1CD0">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71.5</w:t>
            </w:r>
          </w:p>
        </w:tc>
        <w:tc>
          <w:tcPr>
            <w:tcW w:w="798" w:type="dxa"/>
            <w:shd w:val="clear" w:color="auto" w:fill="auto"/>
            <w:noWrap/>
            <w:vAlign w:val="center"/>
          </w:tcPr>
          <w:p w14:paraId="32E429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797" w:type="dxa"/>
            <w:shd w:val="clear" w:color="auto" w:fill="auto"/>
            <w:noWrap/>
            <w:vAlign w:val="center"/>
          </w:tcPr>
          <w:p w14:paraId="685E25D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659" w:type="dxa"/>
            <w:shd w:val="clear" w:color="auto" w:fill="auto"/>
            <w:noWrap/>
            <w:vAlign w:val="center"/>
          </w:tcPr>
          <w:p w14:paraId="04E926D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17.02</w:t>
            </w:r>
          </w:p>
        </w:tc>
        <w:tc>
          <w:tcPr>
            <w:tcW w:w="1361" w:type="dxa"/>
            <w:shd w:val="clear" w:color="auto" w:fill="auto"/>
            <w:noWrap/>
            <w:vAlign w:val="center"/>
          </w:tcPr>
          <w:p w14:paraId="03C89E4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1216.93 </w:t>
            </w:r>
          </w:p>
        </w:tc>
      </w:tr>
      <w:tr w14:paraId="6A547A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722" w:type="dxa"/>
            <w:shd w:val="clear" w:color="auto" w:fill="auto"/>
            <w:noWrap/>
            <w:vAlign w:val="center"/>
          </w:tcPr>
          <w:p w14:paraId="657FDC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23" w:type="dxa"/>
            <w:shd w:val="clear" w:color="auto" w:fill="auto"/>
            <w:vAlign w:val="center"/>
          </w:tcPr>
          <w:p w14:paraId="1484BD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柱面装饰</w:t>
            </w:r>
          </w:p>
        </w:tc>
        <w:tc>
          <w:tcPr>
            <w:tcW w:w="3076" w:type="dxa"/>
            <w:shd w:val="clear" w:color="auto" w:fill="auto"/>
            <w:vAlign w:val="center"/>
          </w:tcPr>
          <w:p w14:paraId="4C6566E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1、L50X5镀锌角钢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2、面层材料品种、规格、品牌、颜色：2.5mm厚古铜色铝单板</w:t>
            </w:r>
          </w:p>
        </w:tc>
        <w:tc>
          <w:tcPr>
            <w:tcW w:w="1038" w:type="dxa"/>
            <w:shd w:val="clear" w:color="auto" w:fill="auto"/>
            <w:noWrap/>
            <w:vAlign w:val="center"/>
          </w:tcPr>
          <w:p w14:paraId="4F7CB5E6">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90.38</w:t>
            </w:r>
          </w:p>
        </w:tc>
        <w:tc>
          <w:tcPr>
            <w:tcW w:w="798" w:type="dxa"/>
            <w:shd w:val="clear" w:color="auto" w:fill="auto"/>
            <w:noWrap/>
            <w:vAlign w:val="center"/>
          </w:tcPr>
          <w:p w14:paraId="156488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797" w:type="dxa"/>
            <w:shd w:val="clear" w:color="auto" w:fill="auto"/>
            <w:noWrap/>
            <w:vAlign w:val="center"/>
          </w:tcPr>
          <w:p w14:paraId="6AB8D94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659" w:type="dxa"/>
            <w:shd w:val="clear" w:color="auto" w:fill="auto"/>
            <w:noWrap/>
            <w:vAlign w:val="center"/>
          </w:tcPr>
          <w:p w14:paraId="0E0BAAB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447.08</w:t>
            </w:r>
          </w:p>
        </w:tc>
        <w:tc>
          <w:tcPr>
            <w:tcW w:w="1361" w:type="dxa"/>
            <w:shd w:val="clear" w:color="auto" w:fill="auto"/>
            <w:noWrap/>
            <w:vAlign w:val="center"/>
          </w:tcPr>
          <w:p w14:paraId="5B44562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40407.09 </w:t>
            </w:r>
          </w:p>
        </w:tc>
      </w:tr>
      <w:tr w14:paraId="3DD30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5" w:hRule="atLeast"/>
        </w:trPr>
        <w:tc>
          <w:tcPr>
            <w:tcW w:w="722" w:type="dxa"/>
            <w:shd w:val="clear" w:color="auto" w:fill="auto"/>
            <w:noWrap/>
            <w:vAlign w:val="center"/>
          </w:tcPr>
          <w:p w14:paraId="63F01A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923" w:type="dxa"/>
            <w:shd w:val="clear" w:color="auto" w:fill="auto"/>
            <w:vAlign w:val="center"/>
          </w:tcPr>
          <w:p w14:paraId="4C91DA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铝方通吊顶</w:t>
            </w:r>
          </w:p>
        </w:tc>
        <w:tc>
          <w:tcPr>
            <w:tcW w:w="3076" w:type="dxa"/>
            <w:shd w:val="clear" w:color="auto" w:fill="auto"/>
            <w:vAlign w:val="center"/>
          </w:tcPr>
          <w:p w14:paraId="389167A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1、吊顶形式、吊杆规格、高度：Φ8 钢筋吊杆@900mm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2、龙骨材料种类、规格、中距：0.8厚3000*25MM黑色烤漆轻钢卡扣龙骨@600mm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3、面层材料品种、规格、：50*100*1@100mm仿木纹铝方通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4、压条材料种类、规格：50*100*1mm仿木纹铝方通U型收边6*40膨胀自攻螺丝固定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5、防护材料种类：防锈处理</w:t>
            </w:r>
          </w:p>
        </w:tc>
        <w:tc>
          <w:tcPr>
            <w:tcW w:w="1038" w:type="dxa"/>
            <w:shd w:val="clear" w:color="auto" w:fill="auto"/>
            <w:noWrap/>
            <w:vAlign w:val="center"/>
          </w:tcPr>
          <w:p w14:paraId="01AE5CB8">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85.56</w:t>
            </w:r>
          </w:p>
        </w:tc>
        <w:tc>
          <w:tcPr>
            <w:tcW w:w="798" w:type="dxa"/>
            <w:shd w:val="clear" w:color="auto" w:fill="auto"/>
            <w:noWrap/>
            <w:vAlign w:val="center"/>
          </w:tcPr>
          <w:p w14:paraId="15E94F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797" w:type="dxa"/>
            <w:shd w:val="clear" w:color="auto" w:fill="auto"/>
            <w:noWrap/>
            <w:vAlign w:val="center"/>
          </w:tcPr>
          <w:p w14:paraId="02AFE6B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659" w:type="dxa"/>
            <w:shd w:val="clear" w:color="auto" w:fill="auto"/>
            <w:noWrap/>
            <w:vAlign w:val="center"/>
          </w:tcPr>
          <w:p w14:paraId="1379F83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230.91</w:t>
            </w:r>
          </w:p>
        </w:tc>
        <w:tc>
          <w:tcPr>
            <w:tcW w:w="1361" w:type="dxa"/>
            <w:shd w:val="clear" w:color="auto" w:fill="auto"/>
            <w:noWrap/>
            <w:vAlign w:val="center"/>
          </w:tcPr>
          <w:p w14:paraId="3791456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19756.66 </w:t>
            </w:r>
          </w:p>
        </w:tc>
      </w:tr>
      <w:tr w14:paraId="08AD4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72" w:hRule="atLeast"/>
        </w:trPr>
        <w:tc>
          <w:tcPr>
            <w:tcW w:w="722" w:type="dxa"/>
            <w:shd w:val="clear" w:color="auto" w:fill="auto"/>
            <w:noWrap/>
            <w:vAlign w:val="center"/>
          </w:tcPr>
          <w:p w14:paraId="5F2C05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923" w:type="dxa"/>
            <w:shd w:val="clear" w:color="auto" w:fill="auto"/>
            <w:vAlign w:val="center"/>
          </w:tcPr>
          <w:p w14:paraId="3075C2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幕墙封边</w:t>
            </w:r>
          </w:p>
        </w:tc>
        <w:tc>
          <w:tcPr>
            <w:tcW w:w="3076" w:type="dxa"/>
            <w:shd w:val="clear" w:color="auto" w:fill="auto"/>
            <w:vAlign w:val="center"/>
          </w:tcPr>
          <w:p w14:paraId="59D7D4F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1、材料种类：2.5mm厚咖色铝单板</w:t>
            </w:r>
          </w:p>
        </w:tc>
        <w:tc>
          <w:tcPr>
            <w:tcW w:w="1038" w:type="dxa"/>
            <w:shd w:val="clear" w:color="auto" w:fill="auto"/>
            <w:noWrap/>
            <w:vAlign w:val="center"/>
          </w:tcPr>
          <w:p w14:paraId="4ED0352F">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31.6</w:t>
            </w:r>
          </w:p>
        </w:tc>
        <w:tc>
          <w:tcPr>
            <w:tcW w:w="798" w:type="dxa"/>
            <w:shd w:val="clear" w:color="auto" w:fill="auto"/>
            <w:noWrap/>
            <w:vAlign w:val="center"/>
          </w:tcPr>
          <w:p w14:paraId="55C00A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797" w:type="dxa"/>
            <w:shd w:val="clear" w:color="auto" w:fill="auto"/>
            <w:noWrap/>
            <w:vAlign w:val="center"/>
          </w:tcPr>
          <w:p w14:paraId="07F83DC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659" w:type="dxa"/>
            <w:shd w:val="clear" w:color="auto" w:fill="auto"/>
            <w:noWrap/>
            <w:vAlign w:val="center"/>
          </w:tcPr>
          <w:p w14:paraId="1BE7543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129.39</w:t>
            </w:r>
          </w:p>
        </w:tc>
        <w:tc>
          <w:tcPr>
            <w:tcW w:w="1361" w:type="dxa"/>
            <w:shd w:val="clear" w:color="auto" w:fill="auto"/>
            <w:noWrap/>
            <w:vAlign w:val="center"/>
          </w:tcPr>
          <w:p w14:paraId="76345B3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4088.72 </w:t>
            </w:r>
          </w:p>
        </w:tc>
      </w:tr>
      <w:tr w14:paraId="237AD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7354" w:type="dxa"/>
            <w:gridSpan w:val="6"/>
            <w:shd w:val="clear" w:color="auto" w:fill="auto"/>
            <w:noWrap/>
            <w:vAlign w:val="center"/>
          </w:tcPr>
          <w:p w14:paraId="05CA871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659" w:type="dxa"/>
            <w:shd w:val="clear" w:color="auto" w:fill="auto"/>
            <w:noWrap/>
            <w:vAlign w:val="center"/>
          </w:tcPr>
          <w:p w14:paraId="5E2F735F">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合计</w:t>
            </w:r>
          </w:p>
        </w:tc>
        <w:tc>
          <w:tcPr>
            <w:tcW w:w="1361" w:type="dxa"/>
            <w:shd w:val="clear" w:color="auto" w:fill="auto"/>
            <w:noWrap/>
            <w:vAlign w:val="center"/>
          </w:tcPr>
          <w:p w14:paraId="7B42755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160000.00</w:t>
            </w:r>
          </w:p>
        </w:tc>
      </w:tr>
      <w:tr w14:paraId="66931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0374" w:type="dxa"/>
            <w:gridSpan w:val="8"/>
            <w:shd w:val="clear" w:color="auto" w:fill="auto"/>
            <w:noWrap/>
            <w:vAlign w:val="center"/>
          </w:tcPr>
          <w:p w14:paraId="71ED5708">
            <w:pPr>
              <w:jc w:val="left"/>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sz w:val="21"/>
                <w:szCs w:val="21"/>
                <w:u w:val="none"/>
                <w:lang w:val="en-US" w:eastAsia="zh-CN"/>
              </w:rPr>
              <w:t>注：1、</w:t>
            </w:r>
            <w:r>
              <w:rPr>
                <w:rFonts w:hint="eastAsia" w:ascii="宋体" w:hAnsi="宋体" w:eastAsia="宋体" w:cs="宋体"/>
                <w:i w:val="0"/>
                <w:iCs w:val="0"/>
                <w:color w:val="000000"/>
                <w:kern w:val="0"/>
                <w:sz w:val="21"/>
                <w:szCs w:val="21"/>
                <w:u w:val="none"/>
                <w:lang w:val="en-US" w:eastAsia="zh-CN" w:bidi="ar"/>
              </w:rPr>
              <w:t>未尽事宜详见设计图纸、图集、答疑、采购文件、清单、政府相关文件、规范等其他资料，满足验收要求；</w:t>
            </w:r>
          </w:p>
          <w:p w14:paraId="4D2CE69E">
            <w:pPr>
              <w:keepNext w:val="0"/>
              <w:keepLines w:val="0"/>
              <w:widowControl/>
              <w:suppressLineNumbers w:val="0"/>
              <w:ind w:firstLine="420" w:firstLineChars="200"/>
              <w:jc w:val="both"/>
              <w:textAlignment w:val="center"/>
              <w:rPr>
                <w:rFonts w:hint="eastAsia" w:ascii="宋体" w:hAnsi="宋体" w:eastAsia="宋体" w:cs="宋体"/>
                <w:i w:val="0"/>
                <w:iCs w:val="0"/>
                <w:color w:val="000000"/>
                <w:kern w:val="0"/>
                <w:sz w:val="21"/>
                <w:szCs w:val="21"/>
                <w:lang w:val="en-US" w:eastAsia="zh-CN" w:bidi="ar"/>
              </w:rPr>
            </w:pPr>
            <w:r>
              <w:rPr>
                <w:rFonts w:hint="eastAsia" w:ascii="宋体" w:hAnsi="宋体" w:eastAsia="宋体" w:cs="宋体"/>
                <w:i w:val="0"/>
                <w:iCs w:val="0"/>
                <w:color w:val="000000"/>
                <w:kern w:val="0"/>
                <w:sz w:val="21"/>
                <w:szCs w:val="21"/>
                <w:lang w:val="en-US" w:eastAsia="zh-CN" w:bidi="ar"/>
              </w:rPr>
              <w:t>2、</w:t>
            </w:r>
            <w:r>
              <w:rPr>
                <w:rFonts w:hint="eastAsia" w:ascii="宋体" w:hAnsi="宋体" w:eastAsia="宋体" w:cs="宋体"/>
                <w:i w:val="0"/>
                <w:iCs w:val="0"/>
                <w:color w:val="000000"/>
                <w:kern w:val="0"/>
                <w:sz w:val="21"/>
                <w:szCs w:val="21"/>
                <w:u w:val="none"/>
                <w:lang w:val="en-US" w:eastAsia="zh-CN" w:bidi="ar"/>
              </w:rPr>
              <w:t>以上工程量为暂定量，以最终结算为准，据实结算。</w:t>
            </w:r>
          </w:p>
        </w:tc>
      </w:tr>
    </w:tbl>
    <w:p w14:paraId="60D1934D">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p>
    <w:p w14:paraId="45B428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亳州逸合府一期施工总承包项目坡道装饰工程专业分包</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42"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103号</w:t>
      </w:r>
      <w:permEnd w:id="42"/>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41" w:name="_Toc300835209"/>
      <w:bookmarkStart w:id="242" w:name="_Toc247527827"/>
      <w:bookmarkStart w:id="243" w:name="_Toc152045787"/>
      <w:bookmarkStart w:id="244" w:name="_Toc247514246"/>
      <w:bookmarkStart w:id="245" w:name="_Toc144974856"/>
      <w:bookmarkStart w:id="246" w:name="_Toc152042576"/>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47" w:name="_Toc247527828"/>
      <w:bookmarkStart w:id="248" w:name="_Toc247514247"/>
      <w:bookmarkStart w:id="249" w:name="_Toc152042577"/>
      <w:bookmarkStart w:id="250" w:name="_Toc152045788"/>
      <w:bookmarkStart w:id="251" w:name="_Toc144974857"/>
      <w:bookmarkStart w:id="252" w:name="_Toc300835210"/>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152045790"/>
      <w:bookmarkStart w:id="254" w:name="_Toc152042579"/>
      <w:bookmarkStart w:id="255" w:name="_Toc144974859"/>
      <w:bookmarkStart w:id="256" w:name="_Toc300835212"/>
      <w:bookmarkStart w:id="257" w:name="_Toc247527830"/>
      <w:bookmarkStart w:id="258" w:name="_Toc247514249"/>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color w:val="FF0000"/>
          <w:szCs w:val="21"/>
          <w:u w:val="single"/>
          <w:lang w:val="en-US" w:eastAsia="zh-CN"/>
        </w:rPr>
        <w:t>亳州逸合府一期施工总承包项目坡道装饰工程专业分包</w:t>
      </w:r>
      <w:r>
        <w:rPr>
          <w:rFonts w:hint="eastAsia" w:ascii="Times New Roman" w:hAnsi="Times New Roman" w:cs="Times New Roman"/>
          <w:color w:val="FF0000"/>
          <w:szCs w:val="21"/>
          <w:u w:val="none"/>
          <w:lang w:eastAsia="zh-CN"/>
        </w:rPr>
        <w:t>（</w:t>
      </w:r>
      <w:r>
        <w:rPr>
          <w:rFonts w:hint="eastAsia" w:ascii="Times New Roman" w:hAnsi="Times New Roman" w:cs="Times New Roman"/>
          <w:color w:val="FF0000"/>
          <w:szCs w:val="21"/>
          <w:u w:val="none"/>
          <w:lang w:val="en-US" w:eastAsia="zh-CN"/>
        </w:rPr>
        <w:t>项目编号：</w:t>
      </w:r>
      <w:permStart w:id="43" w:edGrp="everyone"/>
      <w:r>
        <w:rPr>
          <w:rFonts w:hint="eastAsia" w:ascii="Times New Roman" w:hAnsi="Times New Roman" w:cs="Times New Roman"/>
          <w:color w:val="FF0000"/>
          <w:szCs w:val="21"/>
          <w:u w:val="single"/>
          <w:lang w:val="en-US" w:eastAsia="zh-CN"/>
        </w:rPr>
        <w:t>AHTKJS-2025-103号</w:t>
      </w:r>
      <w:permEnd w:id="43"/>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4" w:edGrp="everyone"/>
      <w:r>
        <w:rPr>
          <w:rFonts w:hint="eastAsia" w:ascii="Times New Roman" w:hAnsi="Times New Roman" w:cs="Times New Roman"/>
          <w:color w:val="FF0000"/>
          <w:szCs w:val="21"/>
          <w:lang w:val="en-US" w:eastAsia="zh-CN"/>
        </w:rPr>
        <w:t>含税人民币（大写）</w:t>
      </w:r>
      <w:r>
        <w:rPr>
          <w:rFonts w:hint="eastAsia" w:ascii="Times New Roman" w:hAnsi="Times New Roman" w:cs="Times New Roman"/>
          <w:color w:val="FF0000"/>
          <w:szCs w:val="21"/>
          <w:u w:val="single"/>
          <w:lang w:val="en-US" w:eastAsia="zh-CN"/>
        </w:rPr>
        <w:t xml:space="preserve"> </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 xml:space="preserve">   元</w:t>
      </w:r>
      <w:r>
        <w:rPr>
          <w:rFonts w:hint="default" w:ascii="Times New Roman" w:hAnsi="Times New Roman" w:cs="Times New Roman"/>
          <w:color w:val="FF0000"/>
          <w:szCs w:val="21"/>
        </w:rPr>
        <w:t>（¥</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的响应报价（</w:t>
      </w:r>
      <w:r>
        <w:rPr>
          <w:rFonts w:hint="eastAsia" w:ascii="Times New Roman" w:hAnsi="Times New Roman" w:cs="Times New Roman"/>
          <w:color w:val="FF0000"/>
          <w:szCs w:val="21"/>
          <w:lang w:val="en-US" w:eastAsia="zh-CN"/>
        </w:rPr>
        <w:t>其中，增值税税率为</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w:t>
      </w:r>
      <w:r>
        <w:rPr>
          <w:rFonts w:hint="eastAsia" w:ascii="Times New Roman" w:hAnsi="Times New Roman" w:cs="Times New Roman"/>
          <w:szCs w:val="21"/>
          <w:lang w:val="en-US" w:eastAsia="zh-CN"/>
        </w:rPr>
        <w:t>）</w:t>
      </w:r>
      <w:permEnd w:id="44"/>
      <w:r>
        <w:rPr>
          <w:rFonts w:hint="eastAsia" w:ascii="Times New Roman" w:hAnsi="Times New Roman" w:cs="Times New Roman"/>
          <w:szCs w:val="21"/>
          <w:lang w:val="en-US" w:eastAsia="zh-CN"/>
        </w:rPr>
        <w:t>，计划工期：自采购人下达开工指令之日起</w:t>
      </w:r>
      <w:r>
        <w:rPr>
          <w:rFonts w:hint="eastAsia" w:ascii="Times New Roman" w:hAnsi="Times New Roman" w:cs="Times New Roman"/>
          <w:color w:val="FF0000"/>
          <w:szCs w:val="21"/>
          <w:u w:val="single"/>
          <w:lang w:val="en-US" w:eastAsia="zh-CN"/>
        </w:rPr>
        <w:t>30</w:t>
      </w:r>
      <w:r>
        <w:rPr>
          <w:rFonts w:hint="eastAsia" w:ascii="Times New Roman" w:hAnsi="Times New Roman" w:cs="Times New Roman"/>
          <w:szCs w:val="21"/>
          <w:lang w:val="en-US" w:eastAsia="zh-CN"/>
        </w:rPr>
        <w:t>日历天</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3"/>
        <w:jc w:val="both"/>
        <w:rPr>
          <w:rFonts w:hint="default" w:ascii="Times New Roman" w:hAnsi="Times New Roman" w:cs="Times New Roman"/>
        </w:rPr>
      </w:pPr>
      <w:bookmarkStart w:id="259" w:name="_Toc144974860"/>
      <w:bookmarkStart w:id="260" w:name="_Toc247514283"/>
      <w:bookmarkStart w:id="261" w:name="_Toc300835213"/>
      <w:bookmarkStart w:id="262" w:name="_Toc152042580"/>
      <w:bookmarkStart w:id="263" w:name="_Toc247527831"/>
      <w:bookmarkStart w:id="264" w:name="_Toc152045791"/>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152042581"/>
      <w:bookmarkStart w:id="266" w:name="_Toc152045792"/>
      <w:bookmarkStart w:id="267" w:name="_Toc247527832"/>
      <w:bookmarkStart w:id="268" w:name="_Toc247514284"/>
      <w:bookmarkStart w:id="269" w:name="_Toc300835214"/>
      <w:bookmarkStart w:id="270" w:name="_Toc144974861"/>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144974862"/>
      <w:bookmarkStart w:id="272" w:name="_Toc300835216"/>
      <w:bookmarkStart w:id="273" w:name="_Toc152042583"/>
      <w:bookmarkStart w:id="274" w:name="_Toc152045794"/>
      <w:bookmarkStart w:id="275" w:name="_Toc247527834"/>
      <w:bookmarkStart w:id="276" w:name="_Toc247514286"/>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152042584"/>
      <w:bookmarkStart w:id="279" w:name="_Toc144974863"/>
      <w:bookmarkStart w:id="280" w:name="_Toc247514287"/>
      <w:bookmarkStart w:id="281" w:name="_Toc247527835"/>
      <w:bookmarkStart w:id="282" w:name="_Toc152045795"/>
      <w:bookmarkStart w:id="283" w:name="_Toc300835218"/>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0"/>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29"/>
              <w:spacing w:before="174" w:line="221" w:lineRule="auto"/>
              <w:ind w:left="344"/>
              <w:rPr>
                <w:sz w:val="21"/>
                <w:szCs w:val="21"/>
              </w:rPr>
            </w:pPr>
            <w:r>
              <w:rPr>
                <w:spacing w:val="6"/>
                <w:sz w:val="21"/>
                <w:szCs w:val="21"/>
              </w:rPr>
              <w:t>序号</w:t>
            </w:r>
          </w:p>
        </w:tc>
        <w:tc>
          <w:tcPr>
            <w:tcW w:w="3106" w:type="dxa"/>
            <w:vAlign w:val="top"/>
          </w:tcPr>
          <w:p w14:paraId="41B11741">
            <w:pPr>
              <w:pStyle w:val="29"/>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29"/>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29"/>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29"/>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29"/>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29"/>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29"/>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29"/>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29"/>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773B18A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default" w:ascii="Times New Roman" w:hAnsi="Times New Roman" w:eastAsia="仿宋"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仿宋" w:hAnsi="仿宋" w:eastAsia="仿宋"/>
          <w:sz w:val="28"/>
          <w:szCs w:val="28"/>
        </w:rPr>
        <w:t xml:space="preserve">日期：     年   </w:t>
      </w:r>
      <w:r>
        <w:rPr>
          <w:rFonts w:hint="eastAsia" w:ascii="仿宋" w:hAnsi="仿宋" w:eastAsia="仿宋"/>
          <w:sz w:val="28"/>
          <w:szCs w:val="28"/>
          <w:lang w:val="en-US" w:eastAsia="zh-CN"/>
        </w:rPr>
        <w:t>月   日</w:t>
      </w:r>
    </w:p>
    <w:p w14:paraId="3455522E">
      <w:pPr>
        <w:pStyle w:val="3"/>
        <w:numPr>
          <w:ilvl w:val="0"/>
          <w:numId w:val="0"/>
        </w:numPr>
        <w:jc w:val="center"/>
        <w:rPr>
          <w:rFonts w:hint="eastAsia" w:ascii="Times New Roman" w:hAnsi="Times New Roman" w:cs="Times New Roman"/>
          <w:lang w:val="en-US" w:eastAsia="zh-CN"/>
        </w:rPr>
      </w:pPr>
      <w:r>
        <w:rPr>
          <w:rFonts w:hint="eastAsia" w:ascii="Times New Roman" w:hAnsi="Times New Roman" w:eastAsia="黑体" w:cs="Times New Roman"/>
          <w:b/>
          <w:bCs/>
          <w:kern w:val="2"/>
          <w:sz w:val="32"/>
          <w:szCs w:val="32"/>
          <w:lang w:val="en-US" w:eastAsia="zh-CN" w:bidi="ar-SA"/>
        </w:rPr>
        <w:t>七、</w:t>
      </w:r>
      <w:r>
        <w:rPr>
          <w:rFonts w:hint="eastAsia" w:ascii="Times New Roman" w:hAnsi="Times New Roman" w:cs="Times New Roman"/>
          <w:lang w:val="en-US" w:eastAsia="zh-CN"/>
        </w:rPr>
        <w:t>报价表</w:t>
      </w:r>
    </w:p>
    <w:tbl>
      <w:tblPr>
        <w:tblStyle w:val="16"/>
        <w:tblW w:w="9304" w:type="dxa"/>
        <w:tblInd w:w="-5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734"/>
        <w:gridCol w:w="1494"/>
        <w:gridCol w:w="1278"/>
        <w:gridCol w:w="1101"/>
        <w:gridCol w:w="899"/>
        <w:gridCol w:w="1506"/>
        <w:gridCol w:w="1507"/>
        <w:gridCol w:w="785"/>
      </w:tblGrid>
      <w:tr w14:paraId="7AFF3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0" w:hRule="atLeast"/>
        </w:trPr>
        <w:tc>
          <w:tcPr>
            <w:tcW w:w="734" w:type="dxa"/>
            <w:shd w:val="clear" w:color="auto" w:fill="auto"/>
            <w:noWrap/>
            <w:vAlign w:val="center"/>
          </w:tcPr>
          <w:p w14:paraId="6323763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494" w:type="dxa"/>
            <w:shd w:val="clear" w:color="auto" w:fill="auto"/>
            <w:noWrap/>
            <w:vAlign w:val="center"/>
          </w:tcPr>
          <w:p w14:paraId="1562E9D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项目名称</w:t>
            </w:r>
          </w:p>
        </w:tc>
        <w:tc>
          <w:tcPr>
            <w:tcW w:w="1278" w:type="dxa"/>
            <w:shd w:val="clear" w:color="auto" w:fill="auto"/>
            <w:noWrap/>
            <w:vAlign w:val="center"/>
          </w:tcPr>
          <w:p w14:paraId="141500E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工程量</w:t>
            </w:r>
          </w:p>
        </w:tc>
        <w:tc>
          <w:tcPr>
            <w:tcW w:w="1101" w:type="dxa"/>
            <w:shd w:val="clear" w:color="auto" w:fill="auto"/>
            <w:vAlign w:val="center"/>
          </w:tcPr>
          <w:p w14:paraId="0706B30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计量单位</w:t>
            </w:r>
          </w:p>
        </w:tc>
        <w:tc>
          <w:tcPr>
            <w:tcW w:w="899" w:type="dxa"/>
            <w:shd w:val="clear" w:color="auto" w:fill="auto"/>
            <w:vAlign w:val="center"/>
          </w:tcPr>
          <w:p w14:paraId="301B7670">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税率</w:t>
            </w:r>
          </w:p>
        </w:tc>
        <w:tc>
          <w:tcPr>
            <w:tcW w:w="1506" w:type="dxa"/>
            <w:shd w:val="clear" w:color="auto" w:fill="auto"/>
            <w:vAlign w:val="center"/>
          </w:tcPr>
          <w:p w14:paraId="583F7A1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含税单价（元）</w:t>
            </w:r>
          </w:p>
        </w:tc>
        <w:tc>
          <w:tcPr>
            <w:tcW w:w="1507" w:type="dxa"/>
            <w:shd w:val="clear" w:color="auto" w:fill="auto"/>
            <w:vAlign w:val="center"/>
          </w:tcPr>
          <w:p w14:paraId="319A7ED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含税合价（元）</w:t>
            </w:r>
          </w:p>
        </w:tc>
        <w:tc>
          <w:tcPr>
            <w:tcW w:w="785" w:type="dxa"/>
            <w:shd w:val="clear" w:color="auto" w:fill="auto"/>
            <w:vAlign w:val="center"/>
          </w:tcPr>
          <w:p w14:paraId="3AA65660">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备注</w:t>
            </w:r>
          </w:p>
        </w:tc>
      </w:tr>
      <w:tr w14:paraId="313C9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34" w:hRule="exact"/>
        </w:trPr>
        <w:tc>
          <w:tcPr>
            <w:tcW w:w="734" w:type="dxa"/>
            <w:shd w:val="clear" w:color="auto" w:fill="auto"/>
            <w:noWrap/>
            <w:vAlign w:val="center"/>
          </w:tcPr>
          <w:p w14:paraId="6B07B9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494" w:type="dxa"/>
            <w:shd w:val="clear" w:color="auto" w:fill="auto"/>
            <w:vAlign w:val="center"/>
          </w:tcPr>
          <w:p w14:paraId="2DBBD7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铝单板吊顶</w:t>
            </w:r>
          </w:p>
        </w:tc>
        <w:tc>
          <w:tcPr>
            <w:tcW w:w="1278" w:type="dxa"/>
            <w:shd w:val="clear" w:color="auto" w:fill="auto"/>
            <w:noWrap/>
            <w:vAlign w:val="center"/>
          </w:tcPr>
          <w:p w14:paraId="40AD1C3F">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259.72</w:t>
            </w:r>
          </w:p>
        </w:tc>
        <w:tc>
          <w:tcPr>
            <w:tcW w:w="1101" w:type="dxa"/>
            <w:shd w:val="clear" w:color="auto" w:fill="auto"/>
            <w:noWrap/>
            <w:vAlign w:val="center"/>
          </w:tcPr>
          <w:p w14:paraId="7F4870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899" w:type="dxa"/>
            <w:shd w:val="clear" w:color="auto" w:fill="auto"/>
            <w:noWrap/>
            <w:vAlign w:val="center"/>
          </w:tcPr>
          <w:p w14:paraId="19A54B4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506" w:type="dxa"/>
            <w:shd w:val="clear" w:color="auto" w:fill="auto"/>
            <w:noWrap/>
            <w:vAlign w:val="center"/>
          </w:tcPr>
          <w:p w14:paraId="6B46428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507" w:type="dxa"/>
            <w:shd w:val="clear" w:color="auto" w:fill="auto"/>
            <w:noWrap/>
            <w:vAlign w:val="center"/>
          </w:tcPr>
          <w:p w14:paraId="0E0A4BB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785" w:type="dxa"/>
            <w:shd w:val="clear" w:color="auto" w:fill="auto"/>
            <w:noWrap/>
            <w:vAlign w:val="center"/>
          </w:tcPr>
          <w:p w14:paraId="29C604D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759A6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34" w:hRule="exact"/>
        </w:trPr>
        <w:tc>
          <w:tcPr>
            <w:tcW w:w="734" w:type="dxa"/>
            <w:shd w:val="clear" w:color="auto" w:fill="auto"/>
            <w:noWrap/>
            <w:vAlign w:val="center"/>
          </w:tcPr>
          <w:p w14:paraId="519B10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94" w:type="dxa"/>
            <w:shd w:val="clear" w:color="auto" w:fill="auto"/>
            <w:vAlign w:val="center"/>
          </w:tcPr>
          <w:p w14:paraId="11D0C0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龙门牌</w:t>
            </w:r>
          </w:p>
        </w:tc>
        <w:tc>
          <w:tcPr>
            <w:tcW w:w="1278" w:type="dxa"/>
            <w:shd w:val="clear" w:color="auto" w:fill="auto"/>
            <w:noWrap/>
            <w:vAlign w:val="center"/>
          </w:tcPr>
          <w:p w14:paraId="45CEC9A7">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17.47</w:t>
            </w:r>
          </w:p>
        </w:tc>
        <w:tc>
          <w:tcPr>
            <w:tcW w:w="1101" w:type="dxa"/>
            <w:shd w:val="clear" w:color="auto" w:fill="auto"/>
            <w:noWrap/>
            <w:vAlign w:val="center"/>
          </w:tcPr>
          <w:p w14:paraId="4FAA12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899" w:type="dxa"/>
            <w:shd w:val="clear" w:color="auto" w:fill="auto"/>
            <w:noWrap/>
            <w:vAlign w:val="center"/>
          </w:tcPr>
          <w:p w14:paraId="0C6F73C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506" w:type="dxa"/>
            <w:shd w:val="clear" w:color="auto" w:fill="auto"/>
            <w:noWrap/>
            <w:vAlign w:val="center"/>
          </w:tcPr>
          <w:p w14:paraId="14380DC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507" w:type="dxa"/>
            <w:shd w:val="clear" w:color="auto" w:fill="auto"/>
            <w:noWrap/>
            <w:vAlign w:val="center"/>
          </w:tcPr>
          <w:p w14:paraId="60A73C1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785" w:type="dxa"/>
            <w:shd w:val="clear" w:color="auto" w:fill="auto"/>
            <w:noWrap/>
            <w:vAlign w:val="center"/>
          </w:tcPr>
          <w:p w14:paraId="25584DD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7E8AE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34" w:hRule="exact"/>
        </w:trPr>
        <w:tc>
          <w:tcPr>
            <w:tcW w:w="734" w:type="dxa"/>
            <w:shd w:val="clear" w:color="auto" w:fill="auto"/>
            <w:noWrap/>
            <w:vAlign w:val="center"/>
          </w:tcPr>
          <w:p w14:paraId="3D49CC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494" w:type="dxa"/>
            <w:shd w:val="clear" w:color="auto" w:fill="auto"/>
            <w:vAlign w:val="center"/>
          </w:tcPr>
          <w:p w14:paraId="64D806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不锈钢踢脚线</w:t>
            </w:r>
          </w:p>
        </w:tc>
        <w:tc>
          <w:tcPr>
            <w:tcW w:w="1278" w:type="dxa"/>
            <w:shd w:val="clear" w:color="auto" w:fill="auto"/>
            <w:noWrap/>
            <w:vAlign w:val="center"/>
          </w:tcPr>
          <w:p w14:paraId="31FDA710">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137.36</w:t>
            </w:r>
          </w:p>
        </w:tc>
        <w:tc>
          <w:tcPr>
            <w:tcW w:w="1101" w:type="dxa"/>
            <w:shd w:val="clear" w:color="auto" w:fill="auto"/>
            <w:noWrap/>
            <w:vAlign w:val="center"/>
          </w:tcPr>
          <w:p w14:paraId="59B24D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899" w:type="dxa"/>
            <w:shd w:val="clear" w:color="auto" w:fill="auto"/>
            <w:noWrap/>
            <w:vAlign w:val="center"/>
          </w:tcPr>
          <w:p w14:paraId="0F1B51F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506" w:type="dxa"/>
            <w:shd w:val="clear" w:color="auto" w:fill="auto"/>
            <w:noWrap/>
            <w:vAlign w:val="center"/>
          </w:tcPr>
          <w:p w14:paraId="434E4DE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507" w:type="dxa"/>
            <w:shd w:val="clear" w:color="auto" w:fill="auto"/>
            <w:noWrap/>
            <w:vAlign w:val="center"/>
          </w:tcPr>
          <w:p w14:paraId="2E40C3D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785" w:type="dxa"/>
            <w:shd w:val="clear" w:color="auto" w:fill="auto"/>
            <w:noWrap/>
            <w:vAlign w:val="center"/>
          </w:tcPr>
          <w:p w14:paraId="467D88F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133E8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34" w:hRule="exact"/>
        </w:trPr>
        <w:tc>
          <w:tcPr>
            <w:tcW w:w="734" w:type="dxa"/>
            <w:shd w:val="clear" w:color="auto" w:fill="auto"/>
            <w:noWrap/>
            <w:vAlign w:val="center"/>
          </w:tcPr>
          <w:p w14:paraId="6B970E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94" w:type="dxa"/>
            <w:shd w:val="clear" w:color="auto" w:fill="auto"/>
            <w:vAlign w:val="center"/>
          </w:tcPr>
          <w:p w14:paraId="72A8E9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金属装饰条</w:t>
            </w:r>
          </w:p>
        </w:tc>
        <w:tc>
          <w:tcPr>
            <w:tcW w:w="1278" w:type="dxa"/>
            <w:shd w:val="clear" w:color="auto" w:fill="auto"/>
            <w:noWrap/>
            <w:vAlign w:val="center"/>
          </w:tcPr>
          <w:p w14:paraId="58187AB3">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71.5</w:t>
            </w:r>
          </w:p>
        </w:tc>
        <w:tc>
          <w:tcPr>
            <w:tcW w:w="1101" w:type="dxa"/>
            <w:shd w:val="clear" w:color="auto" w:fill="auto"/>
            <w:noWrap/>
            <w:vAlign w:val="center"/>
          </w:tcPr>
          <w:p w14:paraId="4FEB7E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899" w:type="dxa"/>
            <w:shd w:val="clear" w:color="auto" w:fill="auto"/>
            <w:noWrap/>
            <w:vAlign w:val="center"/>
          </w:tcPr>
          <w:p w14:paraId="10E3066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506" w:type="dxa"/>
            <w:shd w:val="clear" w:color="auto" w:fill="auto"/>
            <w:noWrap/>
            <w:vAlign w:val="center"/>
          </w:tcPr>
          <w:p w14:paraId="67BE5DB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507" w:type="dxa"/>
            <w:shd w:val="clear" w:color="auto" w:fill="auto"/>
            <w:noWrap/>
            <w:vAlign w:val="center"/>
          </w:tcPr>
          <w:p w14:paraId="4A3500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785" w:type="dxa"/>
            <w:shd w:val="clear" w:color="auto" w:fill="auto"/>
            <w:noWrap/>
            <w:vAlign w:val="center"/>
          </w:tcPr>
          <w:p w14:paraId="18626A2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27566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34" w:hRule="exact"/>
        </w:trPr>
        <w:tc>
          <w:tcPr>
            <w:tcW w:w="734" w:type="dxa"/>
            <w:shd w:val="clear" w:color="auto" w:fill="auto"/>
            <w:noWrap/>
            <w:vAlign w:val="center"/>
          </w:tcPr>
          <w:p w14:paraId="2445E8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494" w:type="dxa"/>
            <w:shd w:val="clear" w:color="auto" w:fill="auto"/>
            <w:vAlign w:val="center"/>
          </w:tcPr>
          <w:p w14:paraId="352F90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柱面装饰</w:t>
            </w:r>
          </w:p>
        </w:tc>
        <w:tc>
          <w:tcPr>
            <w:tcW w:w="1278" w:type="dxa"/>
            <w:shd w:val="clear" w:color="auto" w:fill="auto"/>
            <w:noWrap/>
            <w:vAlign w:val="center"/>
          </w:tcPr>
          <w:p w14:paraId="48807986">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90.38</w:t>
            </w:r>
          </w:p>
        </w:tc>
        <w:tc>
          <w:tcPr>
            <w:tcW w:w="1101" w:type="dxa"/>
            <w:shd w:val="clear" w:color="auto" w:fill="auto"/>
            <w:noWrap/>
            <w:vAlign w:val="center"/>
          </w:tcPr>
          <w:p w14:paraId="15C4F2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899" w:type="dxa"/>
            <w:shd w:val="clear" w:color="auto" w:fill="auto"/>
            <w:noWrap/>
            <w:vAlign w:val="center"/>
          </w:tcPr>
          <w:p w14:paraId="11C9FFC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506" w:type="dxa"/>
            <w:shd w:val="clear" w:color="auto" w:fill="auto"/>
            <w:noWrap/>
            <w:vAlign w:val="center"/>
          </w:tcPr>
          <w:p w14:paraId="0AD070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507" w:type="dxa"/>
            <w:shd w:val="clear" w:color="auto" w:fill="auto"/>
            <w:noWrap/>
            <w:vAlign w:val="center"/>
          </w:tcPr>
          <w:p w14:paraId="6791FA7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785" w:type="dxa"/>
            <w:shd w:val="clear" w:color="auto" w:fill="auto"/>
            <w:noWrap/>
            <w:vAlign w:val="center"/>
          </w:tcPr>
          <w:p w14:paraId="3380F94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0D517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34" w:hRule="exact"/>
        </w:trPr>
        <w:tc>
          <w:tcPr>
            <w:tcW w:w="734" w:type="dxa"/>
            <w:shd w:val="clear" w:color="auto" w:fill="auto"/>
            <w:noWrap/>
            <w:vAlign w:val="center"/>
          </w:tcPr>
          <w:p w14:paraId="66DFBE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494" w:type="dxa"/>
            <w:shd w:val="clear" w:color="auto" w:fill="auto"/>
            <w:vAlign w:val="center"/>
          </w:tcPr>
          <w:p w14:paraId="253D36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铝方通吊顶</w:t>
            </w:r>
          </w:p>
        </w:tc>
        <w:tc>
          <w:tcPr>
            <w:tcW w:w="1278" w:type="dxa"/>
            <w:shd w:val="clear" w:color="auto" w:fill="auto"/>
            <w:noWrap/>
            <w:vAlign w:val="center"/>
          </w:tcPr>
          <w:p w14:paraId="3C57BC48">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85.56</w:t>
            </w:r>
          </w:p>
        </w:tc>
        <w:tc>
          <w:tcPr>
            <w:tcW w:w="1101" w:type="dxa"/>
            <w:shd w:val="clear" w:color="auto" w:fill="auto"/>
            <w:noWrap/>
            <w:vAlign w:val="center"/>
          </w:tcPr>
          <w:p w14:paraId="4BCEB9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899" w:type="dxa"/>
            <w:shd w:val="clear" w:color="auto" w:fill="auto"/>
            <w:noWrap/>
            <w:vAlign w:val="center"/>
          </w:tcPr>
          <w:p w14:paraId="6D90E57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506" w:type="dxa"/>
            <w:shd w:val="clear" w:color="auto" w:fill="auto"/>
            <w:noWrap/>
            <w:vAlign w:val="center"/>
          </w:tcPr>
          <w:p w14:paraId="1B32237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507" w:type="dxa"/>
            <w:shd w:val="clear" w:color="auto" w:fill="auto"/>
            <w:noWrap/>
            <w:vAlign w:val="center"/>
          </w:tcPr>
          <w:p w14:paraId="3456745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785" w:type="dxa"/>
            <w:shd w:val="clear" w:color="auto" w:fill="auto"/>
            <w:noWrap/>
            <w:vAlign w:val="center"/>
          </w:tcPr>
          <w:p w14:paraId="162F495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68DE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34" w:hRule="exact"/>
        </w:trPr>
        <w:tc>
          <w:tcPr>
            <w:tcW w:w="734" w:type="dxa"/>
            <w:shd w:val="clear" w:color="auto" w:fill="auto"/>
            <w:noWrap/>
            <w:vAlign w:val="center"/>
          </w:tcPr>
          <w:p w14:paraId="223C8D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494" w:type="dxa"/>
            <w:shd w:val="clear" w:color="auto" w:fill="auto"/>
            <w:vAlign w:val="center"/>
          </w:tcPr>
          <w:p w14:paraId="671447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幕墙封边</w:t>
            </w:r>
          </w:p>
        </w:tc>
        <w:tc>
          <w:tcPr>
            <w:tcW w:w="1278" w:type="dxa"/>
            <w:shd w:val="clear" w:color="auto" w:fill="auto"/>
            <w:noWrap/>
            <w:vAlign w:val="center"/>
          </w:tcPr>
          <w:p w14:paraId="1F6438A6">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31.6</w:t>
            </w:r>
          </w:p>
        </w:tc>
        <w:tc>
          <w:tcPr>
            <w:tcW w:w="1101" w:type="dxa"/>
            <w:shd w:val="clear" w:color="auto" w:fill="auto"/>
            <w:noWrap/>
            <w:vAlign w:val="center"/>
          </w:tcPr>
          <w:p w14:paraId="711AD9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899" w:type="dxa"/>
            <w:shd w:val="clear" w:color="auto" w:fill="auto"/>
            <w:noWrap/>
            <w:vAlign w:val="center"/>
          </w:tcPr>
          <w:p w14:paraId="31114CE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506" w:type="dxa"/>
            <w:shd w:val="clear" w:color="auto" w:fill="auto"/>
            <w:noWrap/>
            <w:vAlign w:val="center"/>
          </w:tcPr>
          <w:p w14:paraId="196FBC9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507" w:type="dxa"/>
            <w:shd w:val="clear" w:color="auto" w:fill="auto"/>
            <w:noWrap/>
            <w:vAlign w:val="center"/>
          </w:tcPr>
          <w:p w14:paraId="32F18A6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785" w:type="dxa"/>
            <w:shd w:val="clear" w:color="auto" w:fill="auto"/>
            <w:noWrap/>
            <w:vAlign w:val="center"/>
          </w:tcPr>
          <w:p w14:paraId="7C4968D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0A44A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34" w:hRule="exact"/>
        </w:trPr>
        <w:tc>
          <w:tcPr>
            <w:tcW w:w="5506" w:type="dxa"/>
            <w:gridSpan w:val="5"/>
            <w:shd w:val="clear" w:color="auto" w:fill="auto"/>
            <w:noWrap/>
            <w:vAlign w:val="center"/>
          </w:tcPr>
          <w:p w14:paraId="11483E7F">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506" w:type="dxa"/>
            <w:shd w:val="clear" w:color="auto" w:fill="auto"/>
            <w:noWrap/>
            <w:vAlign w:val="center"/>
          </w:tcPr>
          <w:p w14:paraId="017FC4D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合计</w:t>
            </w:r>
          </w:p>
        </w:tc>
        <w:tc>
          <w:tcPr>
            <w:tcW w:w="1507" w:type="dxa"/>
            <w:shd w:val="clear" w:color="auto" w:fill="auto"/>
            <w:noWrap/>
            <w:vAlign w:val="center"/>
          </w:tcPr>
          <w:p w14:paraId="4994E4C0">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p>
        </w:tc>
        <w:tc>
          <w:tcPr>
            <w:tcW w:w="785" w:type="dxa"/>
            <w:shd w:val="clear" w:color="auto" w:fill="auto"/>
            <w:noWrap/>
            <w:vAlign w:val="center"/>
          </w:tcPr>
          <w:p w14:paraId="210B2BF7">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r>
      <w:tr w14:paraId="6A708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9304" w:type="dxa"/>
            <w:gridSpan w:val="8"/>
            <w:shd w:val="clear" w:color="auto" w:fill="auto"/>
            <w:noWrap/>
            <w:vAlign w:val="center"/>
          </w:tcPr>
          <w:p w14:paraId="24F90C51">
            <w:pPr>
              <w:jc w:val="left"/>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sz w:val="21"/>
                <w:szCs w:val="21"/>
                <w:u w:val="none"/>
                <w:lang w:val="en-US" w:eastAsia="zh-CN"/>
              </w:rPr>
              <w:t>注：1、</w:t>
            </w:r>
            <w:r>
              <w:rPr>
                <w:rFonts w:hint="eastAsia" w:ascii="宋体" w:hAnsi="宋体" w:eastAsia="宋体" w:cs="宋体"/>
                <w:i w:val="0"/>
                <w:iCs w:val="0"/>
                <w:color w:val="000000"/>
                <w:kern w:val="0"/>
                <w:sz w:val="21"/>
                <w:szCs w:val="21"/>
                <w:u w:val="none"/>
                <w:lang w:val="en-US" w:eastAsia="zh-CN" w:bidi="ar"/>
              </w:rPr>
              <w:t>未尽事宜详见设计图纸、图集、答疑、采购文件、清单、政府相关文件、规范等其他资料，满足验收要求；</w:t>
            </w:r>
            <w:r>
              <w:rPr>
                <w:rFonts w:hint="eastAsia" w:ascii="宋体" w:hAnsi="宋体" w:eastAsia="宋体" w:cs="宋体"/>
                <w:b/>
                <w:bCs/>
                <w:i w:val="0"/>
                <w:iCs w:val="0"/>
                <w:color w:val="FF0000"/>
                <w:kern w:val="0"/>
                <w:sz w:val="21"/>
                <w:szCs w:val="21"/>
                <w:u w:val="none"/>
                <w:lang w:val="en-US" w:eastAsia="zh-CN" w:bidi="ar"/>
              </w:rPr>
              <w:t>单项限价及项目特征描述详见采购需求</w:t>
            </w:r>
            <w:r>
              <w:rPr>
                <w:rFonts w:hint="eastAsia" w:ascii="宋体" w:hAnsi="宋体" w:eastAsia="宋体" w:cs="宋体"/>
                <w:i w:val="0"/>
                <w:iCs w:val="0"/>
                <w:color w:val="000000"/>
                <w:kern w:val="0"/>
                <w:sz w:val="21"/>
                <w:szCs w:val="21"/>
                <w:u w:val="none"/>
                <w:lang w:val="en-US" w:eastAsia="zh-CN" w:bidi="ar"/>
              </w:rPr>
              <w:t>；</w:t>
            </w:r>
          </w:p>
          <w:p w14:paraId="0BD404FF">
            <w:pPr>
              <w:keepNext w:val="0"/>
              <w:keepLines w:val="0"/>
              <w:widowControl/>
              <w:suppressLineNumbers w:val="0"/>
              <w:ind w:firstLine="420" w:firstLineChars="200"/>
              <w:jc w:val="both"/>
              <w:textAlignment w:val="center"/>
              <w:rPr>
                <w:rFonts w:hint="eastAsia" w:ascii="宋体" w:hAnsi="宋体" w:eastAsia="宋体" w:cs="宋体"/>
                <w:i w:val="0"/>
                <w:iCs w:val="0"/>
                <w:color w:val="000000"/>
                <w:kern w:val="0"/>
                <w:sz w:val="21"/>
                <w:szCs w:val="21"/>
                <w:lang w:val="en-US" w:eastAsia="zh-CN" w:bidi="ar"/>
              </w:rPr>
            </w:pPr>
            <w:r>
              <w:rPr>
                <w:rFonts w:hint="eastAsia" w:ascii="宋体" w:hAnsi="宋体" w:eastAsia="宋体" w:cs="宋体"/>
                <w:i w:val="0"/>
                <w:iCs w:val="0"/>
                <w:color w:val="000000"/>
                <w:kern w:val="0"/>
                <w:sz w:val="21"/>
                <w:szCs w:val="21"/>
                <w:lang w:val="en-US" w:eastAsia="zh-CN" w:bidi="ar"/>
              </w:rPr>
              <w:t>2、</w:t>
            </w:r>
            <w:r>
              <w:rPr>
                <w:rFonts w:hint="eastAsia" w:ascii="宋体" w:hAnsi="宋体" w:eastAsia="宋体" w:cs="宋体"/>
                <w:i w:val="0"/>
                <w:iCs w:val="0"/>
                <w:color w:val="000000"/>
                <w:kern w:val="0"/>
                <w:sz w:val="21"/>
                <w:szCs w:val="21"/>
                <w:u w:val="none"/>
                <w:lang w:val="en-US" w:eastAsia="zh-CN" w:bidi="ar"/>
              </w:rPr>
              <w:t>以上工程量为暂定量，以最终结算为准，据实结算。</w:t>
            </w:r>
          </w:p>
        </w:tc>
      </w:tr>
      <w:bookmarkEnd w:id="278"/>
      <w:bookmarkEnd w:id="279"/>
      <w:bookmarkEnd w:id="280"/>
      <w:bookmarkEnd w:id="281"/>
      <w:bookmarkEnd w:id="282"/>
      <w:bookmarkEnd w:id="283"/>
    </w:tbl>
    <w:p w14:paraId="6BCBA394">
      <w:pPr>
        <w:rPr>
          <w:rFonts w:hint="eastAsia" w:ascii="Times New Roman" w:hAnsi="Times New Roman" w:cs="Times New Roman"/>
          <w:highlight w:val="none"/>
          <w:lang w:val="en-US" w:eastAsia="zh-CN"/>
        </w:rPr>
      </w:pPr>
      <w:bookmarkStart w:id="284" w:name="_Toc247527836"/>
      <w:bookmarkStart w:id="285" w:name="_Toc247514288"/>
      <w:bookmarkStart w:id="286" w:name="_Toc152042585"/>
      <w:bookmarkStart w:id="287" w:name="_Toc144974864"/>
      <w:bookmarkStart w:id="288" w:name="_Toc300835221"/>
      <w:bookmarkStart w:id="289" w:name="_Toc152045796"/>
      <w:r>
        <w:rPr>
          <w:rFonts w:hint="eastAsia" w:ascii="Times New Roman" w:hAnsi="Times New Roman" w:cs="Times New Roman"/>
          <w:highlight w:val="none"/>
          <w:lang w:val="en-US" w:eastAsia="zh-CN"/>
        </w:rPr>
        <w:br w:type="page"/>
      </w:r>
    </w:p>
    <w:p w14:paraId="577D3DDA">
      <w:pPr>
        <w:pStyle w:val="3"/>
        <w:jc w:val="center"/>
        <w:rPr>
          <w:rFonts w:hint="eastAsia"/>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46997116"/>
      <w:bookmarkStart w:id="292" w:name="_Toc296602618"/>
      <w:bookmarkStart w:id="293" w:name="_Toc179632828"/>
      <w:bookmarkStart w:id="294" w:name="_Toc247085891"/>
      <w:bookmarkStart w:id="295" w:name="_Toc246996373"/>
      <w:r>
        <w:rPr>
          <w:rFonts w:hint="eastAsia"/>
          <w:b/>
          <w:bCs/>
          <w:color w:val="FF0000"/>
          <w:lang w:val="en-US" w:eastAsia="zh-CN"/>
        </w:rPr>
        <w:t>（注：供应商根据询比公告/邀请书要求按需填写，如无要求，可不填写。）</w:t>
      </w:r>
    </w:p>
    <w:p w14:paraId="3DAB7550">
      <w:pPr>
        <w:pStyle w:val="4"/>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296" w:name="_Toc247085888"/>
      <w:bookmarkStart w:id="297" w:name="_Toc246997113"/>
      <w:bookmarkStart w:id="298" w:name="_Toc246996370"/>
      <w:bookmarkStart w:id="299" w:name="_Toc296602615"/>
      <w:bookmarkStart w:id="300" w:name="_Toc152045810"/>
      <w:bookmarkStart w:id="301" w:name="_Toc247527850"/>
      <w:bookmarkStart w:id="302" w:name="_Toc144974878"/>
      <w:bookmarkStart w:id="303" w:name="_Toc152042599"/>
      <w:bookmarkStart w:id="304" w:name="_Toc300835226"/>
      <w:bookmarkStart w:id="305" w:name="_Toc247514302"/>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06" w:name="_Toc246996371"/>
      <w:bookmarkStart w:id="307" w:name="_Toc247085889"/>
      <w:bookmarkStart w:id="308" w:name="_Toc296602616"/>
      <w:bookmarkStart w:id="309" w:name="_Toc246997114"/>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152042600"/>
      <w:bookmarkStart w:id="311" w:name="_Toc152045811"/>
      <w:bookmarkStart w:id="312" w:name="_Toc144974879"/>
      <w:bookmarkStart w:id="313" w:name="_Toc247514303"/>
      <w:bookmarkStart w:id="314" w:name="_Toc247527851"/>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注：1、提供供应商的营业执照的复印件或扫描件，加盖供应商单位公章；</w:t>
      </w:r>
    </w:p>
    <w:p w14:paraId="5D8127FC">
      <w:pPr>
        <w:numPr>
          <w:ilvl w:val="0"/>
          <w:numId w:val="0"/>
        </w:numPr>
        <w:tabs>
          <w:tab w:val="left" w:pos="720"/>
        </w:tabs>
        <w:spacing w:line="440" w:lineRule="exact"/>
        <w:ind w:firstLine="422" w:firstLineChars="200"/>
        <w:jc w:val="left"/>
        <w:rPr>
          <w:rFonts w:hint="eastAsia" w:ascii="Times New Roman" w:hAnsi="Times New Roman"/>
          <w:b/>
          <w:bCs/>
          <w:color w:val="FF0000"/>
          <w:lang w:val="en-US" w:eastAsia="zh-CN"/>
        </w:rPr>
      </w:pPr>
      <w:r>
        <w:rPr>
          <w:rFonts w:hint="eastAsia" w:ascii="Times New Roman" w:hAnsi="Times New Roman" w:eastAsiaTheme="minorEastAsia" w:cstheme="minorBidi"/>
          <w:b/>
          <w:bCs/>
          <w:color w:val="FF0000"/>
          <w:kern w:val="2"/>
          <w:sz w:val="21"/>
          <w:szCs w:val="24"/>
          <w:lang w:val="en-US" w:eastAsia="zh-CN" w:bidi="ar-SA"/>
        </w:rPr>
        <w:t>2、</w:t>
      </w:r>
      <w:r>
        <w:rPr>
          <w:rFonts w:hint="eastAsia" w:ascii="Times New Roman" w:hAnsi="Times New Roman"/>
          <w:b/>
          <w:bCs/>
          <w:color w:val="FF0000"/>
          <w:lang w:val="en-US" w:eastAsia="zh-CN"/>
        </w:rPr>
        <w:t>提供供应商的有效的</w:t>
      </w:r>
      <w:r>
        <w:rPr>
          <w:rFonts w:hint="eastAsia" w:ascii="Times New Roman" w:hAnsi="Times New Roman"/>
          <w:b/>
          <w:bCs/>
          <w:color w:val="FF0000"/>
          <w:u w:val="single"/>
          <w:lang w:val="en-US" w:eastAsia="zh-CN"/>
        </w:rPr>
        <w:t>建筑装修装饰工程专业承包二级及以上资质</w:t>
      </w:r>
      <w:r>
        <w:rPr>
          <w:rFonts w:hint="eastAsia" w:ascii="Times New Roman" w:hAnsi="Times New Roman"/>
          <w:b/>
          <w:bCs/>
          <w:color w:val="FF0000"/>
          <w:lang w:val="en-US" w:eastAsia="zh-CN"/>
        </w:rPr>
        <w:t>和</w:t>
      </w:r>
      <w:r>
        <w:rPr>
          <w:rFonts w:hint="eastAsia" w:ascii="Times New Roman" w:hAnsi="Times New Roman"/>
          <w:b/>
          <w:bCs/>
          <w:color w:val="FF0000"/>
          <w:u w:val="single"/>
          <w:lang w:val="en-US" w:eastAsia="zh-CN"/>
        </w:rPr>
        <w:t>安全生产许可证</w:t>
      </w:r>
      <w:r>
        <w:rPr>
          <w:rFonts w:hint="eastAsia" w:ascii="Times New Roman" w:hAnsi="Times New Roman"/>
          <w:b/>
          <w:bCs/>
          <w:color w:val="FF0000"/>
          <w:lang w:val="en-US" w:eastAsia="zh-CN"/>
        </w:rPr>
        <w:t>的证明材料的复印件或扫描件，加盖供应商单位公章；</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hint="default" w:ascii="Times New Roman" w:hAnsi="Times New Roman" w:eastAsiaTheme="minorEastAsia" w:cstheme="minorBidi"/>
          <w:b/>
          <w:bCs/>
          <w:color w:val="FF0000"/>
          <w:kern w:val="2"/>
          <w:sz w:val="21"/>
          <w:szCs w:val="24"/>
          <w:lang w:val="en-US" w:eastAsia="zh-CN" w:bidi="ar-SA"/>
        </w:rPr>
        <w:t>3、</w:t>
      </w:r>
      <w:r>
        <w:rPr>
          <w:rFonts w:hint="eastAsia" w:ascii="Times New Roman" w:hAnsi="Times New Roman"/>
          <w:b/>
          <w:bCs/>
          <w:color w:val="FF0000"/>
          <w:lang w:val="en-US" w:eastAsia="zh-CN"/>
        </w:rPr>
        <w:t>提供供应商的信用中国查询证明的复印件或扫描件，加盖供应商单位公章</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4"/>
        <w:numPr>
          <w:ilvl w:val="0"/>
          <w:numId w:val="0"/>
        </w:numPr>
        <w:jc w:val="center"/>
        <w:rPr>
          <w:rFonts w:hint="eastAsia" w:ascii="Times New Roman" w:hAnsi="Times New Roman" w:cs="Times New Roman"/>
          <w:lang w:val="en-US" w:eastAsia="zh-CN"/>
        </w:rPr>
      </w:pPr>
      <w:r>
        <w:rPr>
          <w:rFonts w:hint="eastAsia" w:ascii="Times New Roman" w:hAnsi="Times New Roman" w:cs="Times New Roman" w:eastAsiaTheme="minorEastAsia"/>
          <w:b/>
          <w:bCs/>
          <w:kern w:val="2"/>
          <w:sz w:val="32"/>
          <w:szCs w:val="32"/>
          <w:lang w:val="en-US" w:eastAsia="zh-CN" w:bidi="ar-SA"/>
        </w:rPr>
        <w:t>九、</w:t>
      </w:r>
      <w:r>
        <w:rPr>
          <w:rFonts w:hint="eastAsia" w:ascii="Times New Roman" w:hAnsi="Times New Roman" w:cs="Times New Roman"/>
          <w:lang w:val="en-US" w:eastAsia="zh-CN"/>
        </w:rPr>
        <w:t xml:space="preserve">响应方案 </w:t>
      </w:r>
    </w:p>
    <w:p w14:paraId="01554959">
      <w:pPr>
        <w:numPr>
          <w:ilvl w:val="0"/>
          <w:numId w:val="0"/>
        </w:numPr>
        <w:jc w:val="center"/>
        <w:rPr>
          <w:rFonts w:hint="eastAsia"/>
          <w:b/>
          <w:bCs/>
          <w:color w:val="FF0000"/>
          <w:lang w:val="en-US" w:eastAsia="zh-CN"/>
        </w:rPr>
      </w:pPr>
      <w:r>
        <w:rPr>
          <w:rFonts w:hint="eastAsia"/>
          <w:b/>
          <w:bCs/>
          <w:color w:val="FF0000"/>
          <w:lang w:val="en-US" w:eastAsia="zh-CN"/>
        </w:rPr>
        <w:t>（注：供应商根据询比公告/邀请书要求按需填写，如无要求，可不填写。）</w:t>
      </w:r>
    </w:p>
    <w:p w14:paraId="5785BCBC">
      <w:pPr>
        <w:numPr>
          <w:ilvl w:val="0"/>
          <w:numId w:val="0"/>
        </w:numPr>
        <w:jc w:val="center"/>
        <w:rPr>
          <w:rFonts w:hint="eastAsia"/>
          <w:b/>
          <w:bCs/>
          <w:color w:val="FF0000"/>
          <w:lang w:val="en-US" w:eastAsia="zh-CN"/>
        </w:rPr>
      </w:pPr>
    </w:p>
    <w:p w14:paraId="7F5D5ECF">
      <w:pPr>
        <w:numPr>
          <w:ilvl w:val="0"/>
          <w:numId w:val="0"/>
        </w:numPr>
        <w:jc w:val="center"/>
        <w:rPr>
          <w:rFonts w:hint="eastAsia"/>
          <w:b/>
          <w:bCs/>
          <w:color w:val="FF0000"/>
          <w:lang w:val="en-US" w:eastAsia="zh-CN"/>
        </w:rPr>
      </w:pPr>
    </w:p>
    <w:p w14:paraId="60596151">
      <w:pPr>
        <w:numPr>
          <w:ilvl w:val="0"/>
          <w:numId w:val="0"/>
        </w:numPr>
        <w:jc w:val="center"/>
        <w:rPr>
          <w:rFonts w:hint="eastAsia"/>
          <w:b/>
          <w:bCs/>
          <w:color w:val="FF0000"/>
          <w:lang w:val="en-US" w:eastAsia="zh-CN"/>
        </w:rPr>
      </w:pPr>
    </w:p>
    <w:p w14:paraId="257D536F">
      <w:pPr>
        <w:numPr>
          <w:ilvl w:val="0"/>
          <w:numId w:val="0"/>
        </w:numPr>
        <w:jc w:val="center"/>
        <w:rPr>
          <w:rFonts w:hint="eastAsia"/>
          <w:b/>
          <w:bCs/>
          <w:color w:val="FF0000"/>
          <w:lang w:val="en-US" w:eastAsia="zh-CN"/>
        </w:rPr>
      </w:pPr>
    </w:p>
    <w:p w14:paraId="00C4A037">
      <w:pPr>
        <w:numPr>
          <w:ilvl w:val="0"/>
          <w:numId w:val="0"/>
        </w:numPr>
        <w:jc w:val="center"/>
        <w:rPr>
          <w:rFonts w:hint="eastAsia"/>
          <w:b/>
          <w:bCs/>
          <w:color w:val="FF0000"/>
          <w:lang w:val="en-US" w:eastAsia="zh-CN"/>
        </w:rPr>
      </w:pPr>
    </w:p>
    <w:p w14:paraId="6F1FB5DB">
      <w:pPr>
        <w:numPr>
          <w:ilvl w:val="0"/>
          <w:numId w:val="0"/>
        </w:numPr>
        <w:jc w:val="center"/>
        <w:rPr>
          <w:rFonts w:hint="eastAsia"/>
          <w:b/>
          <w:bCs/>
          <w:color w:val="FF0000"/>
          <w:lang w:val="en-US" w:eastAsia="zh-CN"/>
        </w:rPr>
      </w:pPr>
    </w:p>
    <w:p w14:paraId="2761C97D">
      <w:pPr>
        <w:rPr>
          <w:rFonts w:hint="eastAsia" w:ascii="Times New Roman" w:hAnsi="Times New Roman" w:cs="Times New Roman"/>
          <w:lang w:val="en-US" w:eastAsia="zh-CN"/>
        </w:rPr>
      </w:pPr>
      <w:bookmarkStart w:id="315" w:name="_Toc271821942"/>
      <w:bookmarkStart w:id="316" w:name="_Toc300835233"/>
    </w:p>
    <w:p w14:paraId="665E012F">
      <w:pPr>
        <w:pStyle w:val="4"/>
        <w:numPr>
          <w:ilvl w:val="0"/>
          <w:numId w:val="0"/>
        </w:numPr>
        <w:jc w:val="center"/>
        <w:rPr>
          <w:rFonts w:hint="eastAsia" w:ascii="Times New Roman" w:hAnsi="Times New Roman" w:cs="Times New Roman"/>
          <w:lang w:val="en-US" w:eastAsia="zh-CN"/>
        </w:rPr>
      </w:pPr>
    </w:p>
    <w:p w14:paraId="1E5B7EEB">
      <w:pPr>
        <w:pStyle w:val="4"/>
        <w:numPr>
          <w:ilvl w:val="0"/>
          <w:numId w:val="0"/>
        </w:numPr>
        <w:jc w:val="center"/>
        <w:rPr>
          <w:rFonts w:hint="default" w:ascii="Times New Roman" w:hAnsi="Times New Roman" w:cs="Times New Roman"/>
          <w:lang w:val="en-US" w:eastAsia="zh-CN"/>
        </w:rPr>
      </w:pPr>
      <w:r>
        <w:rPr>
          <w:rFonts w:hint="eastAsia" w:ascii="Times New Roman" w:hAnsi="Times New Roman" w:cs="Times New Roman"/>
          <w:lang w:val="en-US" w:eastAsia="zh-CN"/>
        </w:rPr>
        <w:t>十</w:t>
      </w:r>
      <w:r>
        <w:rPr>
          <w:rFonts w:hint="default" w:ascii="Times New Roman" w:hAnsi="Times New Roman" w:cs="Times New Roman"/>
          <w:lang w:val="en-US" w:eastAsia="zh-CN"/>
        </w:rPr>
        <w:t>、其他资料</w:t>
      </w:r>
      <w:bookmarkEnd w:id="315"/>
      <w:bookmarkEnd w:id="316"/>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B365CF3E-2C76-42CF-95E9-E86BFA74F638}"/>
  </w:font>
  <w:font w:name="Arial">
    <w:panose1 w:val="020B0604020202020204"/>
    <w:charset w:val="01"/>
    <w:family w:val="swiss"/>
    <w:pitch w:val="default"/>
    <w:sig w:usb0="E0002EFF" w:usb1="C000785B" w:usb2="00000009" w:usb3="00000000" w:csb0="400001FF" w:csb1="FFFF0000"/>
    <w:embedRegular r:id="rId2" w:fontKey="{AAFA665F-91A3-4287-A7B3-FE70C28AA3D7}"/>
  </w:font>
  <w:font w:name="黑体">
    <w:panose1 w:val="02010609060101010101"/>
    <w:charset w:val="86"/>
    <w:family w:val="auto"/>
    <w:pitch w:val="default"/>
    <w:sig w:usb0="800002BF" w:usb1="38CF7CFA" w:usb2="00000016" w:usb3="00000000" w:csb0="00040001" w:csb1="00000000"/>
    <w:embedRegular r:id="rId3" w:fontKey="{4A914E40-7B68-4160-8655-3C6B6A20899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803F429A-2E1B-4E48-AE24-0041F4B5CEB7}"/>
  </w:font>
  <w:font w:name="仿宋_GB2312">
    <w:panose1 w:val="02010609030101010101"/>
    <w:charset w:val="86"/>
    <w:family w:val="modern"/>
    <w:pitch w:val="default"/>
    <w:sig w:usb0="00000001" w:usb1="080E0000" w:usb2="00000000" w:usb3="00000000" w:csb0="00040000" w:csb1="00000000"/>
    <w:embedRegular r:id="rId5" w:fontKey="{DB58DF53-A318-4B33-89F9-277C6CE8B3A9}"/>
  </w:font>
  <w:font w:name="方正小标宋简体">
    <w:panose1 w:val="03000509000000000000"/>
    <w:charset w:val="86"/>
    <w:family w:val="auto"/>
    <w:pitch w:val="default"/>
    <w:sig w:usb0="00000001" w:usb1="080E0000" w:usb2="00000000" w:usb3="00000000" w:csb0="00040000" w:csb1="00000000"/>
    <w:embedRegular r:id="rId6" w:fontKey="{E1C0F628-3B5A-45BE-93CE-C65C4E6CCA3F}"/>
  </w:font>
  <w:font w:name="楷体">
    <w:panose1 w:val="02010609060101010101"/>
    <w:charset w:val="86"/>
    <w:family w:val="auto"/>
    <w:pitch w:val="default"/>
    <w:sig w:usb0="800002BF" w:usb1="38CF7CFA" w:usb2="00000016" w:usb3="00000000" w:csb0="00040001" w:csb1="00000000"/>
    <w:embedRegular r:id="rId7" w:fontKey="{498E1CB9-9E40-48E1-84B1-F11518A21D55}"/>
  </w:font>
  <w:font w:name="Wingdings 2">
    <w:panose1 w:val="05020102010507070707"/>
    <w:charset w:val="00"/>
    <w:family w:val="auto"/>
    <w:pitch w:val="default"/>
    <w:sig w:usb0="00000000" w:usb1="00000000" w:usb2="00000000" w:usb3="00000000" w:csb0="80000000" w:csb1="00000000"/>
    <w:embedRegular r:id="rId8" w:fontKey="{0C7A2DEB-0FD0-4167-BF27-45C6C5305FBF}"/>
  </w:font>
  <w:font w:name="方正仿宋_GB2312">
    <w:panose1 w:val="02000000000000000000"/>
    <w:charset w:val="86"/>
    <w:family w:val="auto"/>
    <w:pitch w:val="default"/>
    <w:sig w:usb0="A00002BF" w:usb1="184F6CFA" w:usb2="00000012" w:usb3="00000000" w:csb0="00040001" w:csb1="00000000"/>
    <w:embedRegular r:id="rId9" w:fontKey="{EEDAA340-C81A-4E68-89DB-0B69729ECD5B}"/>
  </w:font>
  <w:font w:name="仿宋">
    <w:panose1 w:val="02010609060101010101"/>
    <w:charset w:val="86"/>
    <w:family w:val="modern"/>
    <w:pitch w:val="default"/>
    <w:sig w:usb0="800002BF" w:usb1="38CF7CFA" w:usb2="00000016" w:usb3="00000000" w:csb0="00040001" w:csb1="00000000"/>
    <w:embedRegular r:id="rId10" w:fontKey="{490B74F9-F6FB-4EC5-A4FA-357F6558AC2B}"/>
  </w:font>
  <w:font w:name="WPSEMBED1">
    <w:panose1 w:val="05020102010507070707"/>
    <w:charset w:val="00"/>
    <w:family w:val="auto"/>
    <w:pitch w:val="default"/>
    <w:sig w:usb0="00000000" w:usb1="00000000" w:usb2="00000000" w:usb3="00000000" w:csb0="80000000" w:csb1="00000000"/>
  </w:font>
  <w:font w:name="WPSEMBED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15EA1"/>
    <w:rsid w:val="006C14A9"/>
    <w:rsid w:val="00733B0B"/>
    <w:rsid w:val="00764376"/>
    <w:rsid w:val="00796B76"/>
    <w:rsid w:val="00813A17"/>
    <w:rsid w:val="00850CC0"/>
    <w:rsid w:val="00877F19"/>
    <w:rsid w:val="00B00F2F"/>
    <w:rsid w:val="00B71F65"/>
    <w:rsid w:val="00E24826"/>
    <w:rsid w:val="00F9432B"/>
    <w:rsid w:val="00FF308E"/>
    <w:rsid w:val="010E1D00"/>
    <w:rsid w:val="01115B19"/>
    <w:rsid w:val="01180B1A"/>
    <w:rsid w:val="011959AD"/>
    <w:rsid w:val="011E6004"/>
    <w:rsid w:val="01311D17"/>
    <w:rsid w:val="01423F24"/>
    <w:rsid w:val="0145105E"/>
    <w:rsid w:val="018C519F"/>
    <w:rsid w:val="019846E3"/>
    <w:rsid w:val="01AA1AC9"/>
    <w:rsid w:val="01B6046E"/>
    <w:rsid w:val="01B666C0"/>
    <w:rsid w:val="01CB0CDF"/>
    <w:rsid w:val="01CD2334"/>
    <w:rsid w:val="01E140D3"/>
    <w:rsid w:val="01EE4D0C"/>
    <w:rsid w:val="01F16263"/>
    <w:rsid w:val="02016132"/>
    <w:rsid w:val="0212370C"/>
    <w:rsid w:val="021D348F"/>
    <w:rsid w:val="022A6766"/>
    <w:rsid w:val="026E5FAB"/>
    <w:rsid w:val="02892727"/>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04493"/>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7608B0"/>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43000"/>
    <w:rsid w:val="07972327"/>
    <w:rsid w:val="07A85930"/>
    <w:rsid w:val="07B0770E"/>
    <w:rsid w:val="07B408D7"/>
    <w:rsid w:val="07D63653"/>
    <w:rsid w:val="07EE56D8"/>
    <w:rsid w:val="07F65A68"/>
    <w:rsid w:val="081608A9"/>
    <w:rsid w:val="08294E5C"/>
    <w:rsid w:val="082D0DDC"/>
    <w:rsid w:val="08346591"/>
    <w:rsid w:val="083726B7"/>
    <w:rsid w:val="083B791F"/>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13E16"/>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1336AF"/>
    <w:rsid w:val="0D1D3973"/>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DE95727"/>
    <w:rsid w:val="0E053AB5"/>
    <w:rsid w:val="0E093A81"/>
    <w:rsid w:val="0E1201C4"/>
    <w:rsid w:val="0E2844A2"/>
    <w:rsid w:val="0E323572"/>
    <w:rsid w:val="0E35096D"/>
    <w:rsid w:val="0E3C08A3"/>
    <w:rsid w:val="0E4868F2"/>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404B7"/>
    <w:rsid w:val="1069417C"/>
    <w:rsid w:val="106C1E4B"/>
    <w:rsid w:val="10772B1E"/>
    <w:rsid w:val="108A23D3"/>
    <w:rsid w:val="108A24B6"/>
    <w:rsid w:val="108D506C"/>
    <w:rsid w:val="1095135B"/>
    <w:rsid w:val="10CD621A"/>
    <w:rsid w:val="10D35E97"/>
    <w:rsid w:val="110805BA"/>
    <w:rsid w:val="11114551"/>
    <w:rsid w:val="1122167C"/>
    <w:rsid w:val="112269D1"/>
    <w:rsid w:val="112C42A9"/>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45C35"/>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3E22ED"/>
    <w:rsid w:val="13417410"/>
    <w:rsid w:val="134A448A"/>
    <w:rsid w:val="134F427F"/>
    <w:rsid w:val="134F7EA7"/>
    <w:rsid w:val="135107A8"/>
    <w:rsid w:val="136066CF"/>
    <w:rsid w:val="13657E31"/>
    <w:rsid w:val="136C3340"/>
    <w:rsid w:val="137E368F"/>
    <w:rsid w:val="1387094F"/>
    <w:rsid w:val="138D7D05"/>
    <w:rsid w:val="13900507"/>
    <w:rsid w:val="139C08EB"/>
    <w:rsid w:val="13D35238"/>
    <w:rsid w:val="13D81B1F"/>
    <w:rsid w:val="14061B66"/>
    <w:rsid w:val="14143273"/>
    <w:rsid w:val="14165942"/>
    <w:rsid w:val="142B5FE2"/>
    <w:rsid w:val="14327E28"/>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4FA3315"/>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84539"/>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7EE7D48"/>
    <w:rsid w:val="18057602"/>
    <w:rsid w:val="18175D56"/>
    <w:rsid w:val="18197F61"/>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1D93"/>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4433A"/>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06AD2"/>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86082"/>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74376"/>
    <w:rsid w:val="201E585F"/>
    <w:rsid w:val="2049266D"/>
    <w:rsid w:val="204F1D62"/>
    <w:rsid w:val="20534B67"/>
    <w:rsid w:val="20557DC5"/>
    <w:rsid w:val="205A5C16"/>
    <w:rsid w:val="205B7D6A"/>
    <w:rsid w:val="2061066F"/>
    <w:rsid w:val="207C33EE"/>
    <w:rsid w:val="207E5B72"/>
    <w:rsid w:val="207E6748"/>
    <w:rsid w:val="20804155"/>
    <w:rsid w:val="2081342E"/>
    <w:rsid w:val="20916A79"/>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202F4"/>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41056"/>
    <w:rsid w:val="28DA521F"/>
    <w:rsid w:val="28FA546B"/>
    <w:rsid w:val="28FE025E"/>
    <w:rsid w:val="290165BA"/>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1B62D1"/>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83B07"/>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B6172"/>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5616B"/>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46B3A"/>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52D23"/>
    <w:rsid w:val="370F2E93"/>
    <w:rsid w:val="370F32ED"/>
    <w:rsid w:val="372D30A2"/>
    <w:rsid w:val="372F1B4E"/>
    <w:rsid w:val="374A5928"/>
    <w:rsid w:val="374E35E0"/>
    <w:rsid w:val="37560CC6"/>
    <w:rsid w:val="37731F43"/>
    <w:rsid w:val="377C2FE5"/>
    <w:rsid w:val="378C0D4E"/>
    <w:rsid w:val="378D0CEB"/>
    <w:rsid w:val="378D4552"/>
    <w:rsid w:val="37940B89"/>
    <w:rsid w:val="379A026D"/>
    <w:rsid w:val="37A2207E"/>
    <w:rsid w:val="37A2434F"/>
    <w:rsid w:val="37B160EC"/>
    <w:rsid w:val="37C302B3"/>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42258"/>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8F1281"/>
    <w:rsid w:val="3A914FF9"/>
    <w:rsid w:val="3A951916"/>
    <w:rsid w:val="3A9D28F5"/>
    <w:rsid w:val="3AAA60BB"/>
    <w:rsid w:val="3AC54CA3"/>
    <w:rsid w:val="3ACD43C9"/>
    <w:rsid w:val="3AEE2C6F"/>
    <w:rsid w:val="3AF47336"/>
    <w:rsid w:val="3AFF2C64"/>
    <w:rsid w:val="3B010619"/>
    <w:rsid w:val="3B135A0E"/>
    <w:rsid w:val="3B2F69DB"/>
    <w:rsid w:val="3B40257B"/>
    <w:rsid w:val="3B6049CB"/>
    <w:rsid w:val="3B667011"/>
    <w:rsid w:val="3B79226F"/>
    <w:rsid w:val="3B794BCF"/>
    <w:rsid w:val="3B8004C1"/>
    <w:rsid w:val="3B81506E"/>
    <w:rsid w:val="3B8561E0"/>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542ED"/>
    <w:rsid w:val="3C4A12AD"/>
    <w:rsid w:val="3C5125FC"/>
    <w:rsid w:val="3C690ECB"/>
    <w:rsid w:val="3C720E5A"/>
    <w:rsid w:val="3C7921E9"/>
    <w:rsid w:val="3C7F70D3"/>
    <w:rsid w:val="3C850B8E"/>
    <w:rsid w:val="3C860AC6"/>
    <w:rsid w:val="3C8967A4"/>
    <w:rsid w:val="3C960BC8"/>
    <w:rsid w:val="3C9848A1"/>
    <w:rsid w:val="3C991F43"/>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9F42C5"/>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670862"/>
    <w:rsid w:val="41761D35"/>
    <w:rsid w:val="417843F2"/>
    <w:rsid w:val="41807B75"/>
    <w:rsid w:val="41864563"/>
    <w:rsid w:val="418A1799"/>
    <w:rsid w:val="41A61C3F"/>
    <w:rsid w:val="41B17185"/>
    <w:rsid w:val="41C40721"/>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1E392D"/>
    <w:rsid w:val="45245377"/>
    <w:rsid w:val="453F207E"/>
    <w:rsid w:val="454276A8"/>
    <w:rsid w:val="454513E5"/>
    <w:rsid w:val="45465AD9"/>
    <w:rsid w:val="45552589"/>
    <w:rsid w:val="457C4AF8"/>
    <w:rsid w:val="458759CA"/>
    <w:rsid w:val="45A100BA"/>
    <w:rsid w:val="45A1630C"/>
    <w:rsid w:val="45A31600"/>
    <w:rsid w:val="45A51959"/>
    <w:rsid w:val="45C344D5"/>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6076C"/>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3E7136"/>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9326C8"/>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752228"/>
    <w:rsid w:val="4B810772"/>
    <w:rsid w:val="4B8464B4"/>
    <w:rsid w:val="4B895879"/>
    <w:rsid w:val="4B8E3DC5"/>
    <w:rsid w:val="4BB21AF4"/>
    <w:rsid w:val="4BB54107"/>
    <w:rsid w:val="4BB67EEE"/>
    <w:rsid w:val="4BD17814"/>
    <w:rsid w:val="4BDC5109"/>
    <w:rsid w:val="4BE84FA7"/>
    <w:rsid w:val="4BF70C92"/>
    <w:rsid w:val="4BFB5105"/>
    <w:rsid w:val="4BFD0513"/>
    <w:rsid w:val="4C005E77"/>
    <w:rsid w:val="4C0D2006"/>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587BF8"/>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DA0BDC"/>
    <w:rsid w:val="51EB5979"/>
    <w:rsid w:val="5219226D"/>
    <w:rsid w:val="521A0101"/>
    <w:rsid w:val="52241967"/>
    <w:rsid w:val="52263E21"/>
    <w:rsid w:val="52267BB8"/>
    <w:rsid w:val="522851B7"/>
    <w:rsid w:val="522D1CB6"/>
    <w:rsid w:val="523302EC"/>
    <w:rsid w:val="52410C5B"/>
    <w:rsid w:val="52444C58"/>
    <w:rsid w:val="52481FEA"/>
    <w:rsid w:val="524E0600"/>
    <w:rsid w:val="525070F0"/>
    <w:rsid w:val="52595FA5"/>
    <w:rsid w:val="5263075C"/>
    <w:rsid w:val="52660A26"/>
    <w:rsid w:val="52691F60"/>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AD6E2A"/>
    <w:rsid w:val="54C41B11"/>
    <w:rsid w:val="54C92123"/>
    <w:rsid w:val="54D45DB6"/>
    <w:rsid w:val="55094F55"/>
    <w:rsid w:val="550E49C6"/>
    <w:rsid w:val="55124B31"/>
    <w:rsid w:val="55160C9A"/>
    <w:rsid w:val="55264138"/>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227A9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71254"/>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B71BD"/>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6F1B70"/>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741B1"/>
    <w:rsid w:val="618A70BC"/>
    <w:rsid w:val="618D5E50"/>
    <w:rsid w:val="61963F6D"/>
    <w:rsid w:val="619D39D4"/>
    <w:rsid w:val="61B03707"/>
    <w:rsid w:val="61B5679F"/>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4E653B"/>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A532CB"/>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4F2C5C"/>
    <w:rsid w:val="655A5E64"/>
    <w:rsid w:val="656A4332"/>
    <w:rsid w:val="65733372"/>
    <w:rsid w:val="65744876"/>
    <w:rsid w:val="65772C72"/>
    <w:rsid w:val="657845AE"/>
    <w:rsid w:val="6579224B"/>
    <w:rsid w:val="657C58B7"/>
    <w:rsid w:val="65991D3E"/>
    <w:rsid w:val="659E280B"/>
    <w:rsid w:val="65B74A52"/>
    <w:rsid w:val="65BD55BD"/>
    <w:rsid w:val="65C53449"/>
    <w:rsid w:val="65C77271"/>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2787F"/>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434E61"/>
    <w:rsid w:val="697E7396"/>
    <w:rsid w:val="69A009FE"/>
    <w:rsid w:val="69A729C5"/>
    <w:rsid w:val="69B47B0D"/>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BE0C43"/>
    <w:rsid w:val="6AC04F0B"/>
    <w:rsid w:val="6AD00976"/>
    <w:rsid w:val="6AD34458"/>
    <w:rsid w:val="6AD77F57"/>
    <w:rsid w:val="6ADC4801"/>
    <w:rsid w:val="6ADF25FC"/>
    <w:rsid w:val="6AEF704E"/>
    <w:rsid w:val="6AF01018"/>
    <w:rsid w:val="6AF97ECD"/>
    <w:rsid w:val="6B020CD0"/>
    <w:rsid w:val="6B1148AC"/>
    <w:rsid w:val="6B1E16E2"/>
    <w:rsid w:val="6B27444D"/>
    <w:rsid w:val="6B3929BF"/>
    <w:rsid w:val="6B3E0351"/>
    <w:rsid w:val="6B42449D"/>
    <w:rsid w:val="6B4A5562"/>
    <w:rsid w:val="6B4C26F3"/>
    <w:rsid w:val="6B4D1FC7"/>
    <w:rsid w:val="6B565807"/>
    <w:rsid w:val="6B5925FD"/>
    <w:rsid w:val="6B5B2936"/>
    <w:rsid w:val="6B6537B4"/>
    <w:rsid w:val="6B685053"/>
    <w:rsid w:val="6B7174EC"/>
    <w:rsid w:val="6B7A369F"/>
    <w:rsid w:val="6B7F7893"/>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463172"/>
    <w:rsid w:val="6D6103FD"/>
    <w:rsid w:val="6D632F47"/>
    <w:rsid w:val="6D6A2DB3"/>
    <w:rsid w:val="6D6A69AA"/>
    <w:rsid w:val="6D79127B"/>
    <w:rsid w:val="6D797894"/>
    <w:rsid w:val="6D832281"/>
    <w:rsid w:val="6D87693B"/>
    <w:rsid w:val="6D97577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DB4045"/>
    <w:rsid w:val="6FE23626"/>
    <w:rsid w:val="6FEB7EFB"/>
    <w:rsid w:val="700148B1"/>
    <w:rsid w:val="700708F2"/>
    <w:rsid w:val="70262445"/>
    <w:rsid w:val="70473489"/>
    <w:rsid w:val="7054057E"/>
    <w:rsid w:val="7072258D"/>
    <w:rsid w:val="70796EB7"/>
    <w:rsid w:val="70846EFD"/>
    <w:rsid w:val="70891E2B"/>
    <w:rsid w:val="709304FC"/>
    <w:rsid w:val="70AE27E3"/>
    <w:rsid w:val="70B21D55"/>
    <w:rsid w:val="70BA4068"/>
    <w:rsid w:val="70CA396B"/>
    <w:rsid w:val="70CB5E68"/>
    <w:rsid w:val="70F06D61"/>
    <w:rsid w:val="70F36F46"/>
    <w:rsid w:val="70F52EE5"/>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1E4648"/>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71C35"/>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4688B"/>
    <w:rsid w:val="756819EF"/>
    <w:rsid w:val="75A16A9F"/>
    <w:rsid w:val="75A35605"/>
    <w:rsid w:val="75BC6CCF"/>
    <w:rsid w:val="75C630A2"/>
    <w:rsid w:val="75E27D49"/>
    <w:rsid w:val="760E140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10762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CF95B0B"/>
    <w:rsid w:val="7D050953"/>
    <w:rsid w:val="7D0A0BA4"/>
    <w:rsid w:val="7D107AF3"/>
    <w:rsid w:val="7D1307C6"/>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030EC3"/>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4799</Words>
  <Characters>5461</Characters>
  <Lines>0</Lines>
  <Paragraphs>0</Paragraphs>
  <TotalTime>59</TotalTime>
  <ScaleCrop>false</ScaleCrop>
  <LinksUpToDate>false</LinksUpToDate>
  <CharactersWithSpaces>5571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2025-11-26T01:54:00Z</cp:lastPrinted>
  <dcterms:modified xsi:type="dcterms:W3CDTF">2025-12-11T03:00:19Z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