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CA7FC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高铁站地下室公共走廊外墙砖脱落改造工程项目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金属幕墙板材采购（二次）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月8日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高铁站地下室公共走廊外墙砖脱落改造工程项目金属幕墙板材采购（二次）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高铁站地下室公共走廊外墙砖脱落改造工程项目金属幕墙板材采购（二次）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159.29元/m</w:t>
      </w:r>
      <w:r>
        <w:rPr>
          <w:rFonts w:hint="eastAsia" w:ascii="宋体" w:hAnsi="宋体" w:cs="宋体"/>
          <w:color w:val="FF0000"/>
          <w:kern w:val="2"/>
          <w:sz w:val="28"/>
          <w:szCs w:val="28"/>
          <w:highlight w:val="none"/>
          <w:u w:val="single"/>
          <w:vertAlign w:val="superscript"/>
          <w:lang w:val="en-US" w:eastAsia="zh-CN"/>
        </w:rPr>
        <w:t>2</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本次采购的范围是高铁站地下室公共走廊外墙砖脱落改造工程项目金属板幕墙施工所需要的约1107.18m</w:t>
      </w:r>
      <w:r>
        <w:rPr>
          <w:rFonts w:hint="eastAsia" w:asciiTheme="minorEastAsia" w:hAnsiTheme="minorEastAsia" w:eastAsiaTheme="minorEastAsia" w:cstheme="minorEastAsia"/>
          <w:sz w:val="28"/>
          <w:szCs w:val="28"/>
          <w:highlight w:val="none"/>
          <w:vertAlign w:val="superscript"/>
          <w:lang w:val="en-US" w:eastAsia="zh-CN"/>
        </w:rPr>
        <w:t>2</w:t>
      </w:r>
      <w:r>
        <w:rPr>
          <w:rFonts w:hint="eastAsia" w:asciiTheme="minorEastAsia" w:hAnsiTheme="minorEastAsia" w:eastAsiaTheme="minorEastAsia" w:cstheme="minorEastAsia"/>
          <w:sz w:val="28"/>
          <w:szCs w:val="28"/>
          <w:highlight w:val="none"/>
          <w:lang w:val="en-US" w:eastAsia="zh-CN"/>
        </w:rPr>
        <w:t>金属幕墙板材。供应商需按照施工图纸、工程量清单及采购人的要求，设计变更、业主及采购人要求增加、工程联系单等要求完成所有工作任务，以实际完成合格工程量为准。供应商响应前请认真查阅施工图并自行踏堪现场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：自采购人发出</w:t>
      </w:r>
      <w:r>
        <w:rPr>
          <w:rFonts w:hint="eastAsia" w:ascii="宋体" w:hAnsi="宋体" w:cs="宋体"/>
          <w:color w:val="auto"/>
          <w:kern w:val="2"/>
          <w:sz w:val="28"/>
          <w:szCs w:val="28"/>
          <w:highlight w:val="none"/>
          <w:lang w:val="en-US" w:eastAsia="zh-CN"/>
        </w:rPr>
        <w:t>供货</w:t>
      </w:r>
      <w:r>
        <w:rPr>
          <w:rFonts w:hint="eastAsia" w:ascii="宋体" w:hAnsi="宋体" w:eastAsia="宋体" w:cs="宋体"/>
          <w:color w:val="auto"/>
          <w:kern w:val="2"/>
          <w:sz w:val="28"/>
          <w:szCs w:val="28"/>
          <w:highlight w:val="none"/>
          <w:lang w:val="en-US" w:eastAsia="zh-CN"/>
        </w:rPr>
        <w:t>指令之日起</w:t>
      </w:r>
      <w:r>
        <w:rPr>
          <w:rFonts w:hint="eastAsia" w:ascii="宋体" w:hAnsi="宋体" w:cs="宋体"/>
          <w:color w:val="FF0000"/>
          <w:kern w:val="2"/>
          <w:sz w:val="28"/>
          <w:szCs w:val="28"/>
          <w:highlight w:val="none"/>
          <w:u w:val="single"/>
          <w:lang w:val="en-US" w:eastAsia="zh-CN"/>
        </w:rPr>
        <w:t>10</w:t>
      </w:r>
      <w:r>
        <w:rPr>
          <w:rFonts w:hint="eastAsia" w:ascii="宋体" w:hAnsi="宋体" w:cs="宋体"/>
          <w:color w:val="auto"/>
          <w:kern w:val="2"/>
          <w:sz w:val="28"/>
          <w:szCs w:val="28"/>
          <w:highlight w:val="none"/>
          <w:lang w:val="en-US" w:eastAsia="zh-CN"/>
        </w:rPr>
        <w:t>日历</w:t>
      </w:r>
      <w:r>
        <w:rPr>
          <w:rFonts w:hint="eastAsia" w:ascii="宋体" w:hAnsi="宋体" w:eastAsia="宋体" w:cs="宋体"/>
          <w:color w:val="auto"/>
          <w:kern w:val="2"/>
          <w:sz w:val="28"/>
          <w:szCs w:val="28"/>
          <w:highlight w:val="none"/>
          <w:lang w:val="en-US" w:eastAsia="zh-CN"/>
        </w:rPr>
        <w:t>天</w:t>
      </w:r>
      <w:r>
        <w:rPr>
          <w:rFonts w:hint="eastAsia" w:ascii="宋体" w:hAnsi="宋体" w:cs="宋体"/>
          <w:color w:val="auto"/>
          <w:kern w:val="2"/>
          <w:sz w:val="28"/>
          <w:szCs w:val="28"/>
          <w:highlight w:val="none"/>
          <w:lang w:val="en-US" w:eastAsia="zh-CN"/>
        </w:rPr>
        <w:t>内完成供货</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宋体" w:hAnsi="宋体" w:eastAsia="宋体" w:cs="宋体"/>
          <w:color w:val="auto"/>
          <w:kern w:val="2"/>
          <w:sz w:val="28"/>
          <w:szCs w:val="28"/>
          <w:highlight w:val="none"/>
          <w:lang w:val="en-US" w:eastAsia="zh-CN"/>
        </w:rPr>
        <w:t>亳州市高新区酒城大道与神农大道交叉口</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lang w:val="en-US" w:eastAsia="zh-CN"/>
        </w:rPr>
        <w:t>需提供</w:t>
      </w:r>
      <w:r>
        <w:rPr>
          <w:rFonts w:hint="eastAsia" w:asciiTheme="minorEastAsia" w:hAnsiTheme="minorEastAsia" w:cstheme="minorEastAsia"/>
          <w:color w:val="FF0000"/>
          <w:sz w:val="28"/>
          <w:szCs w:val="28"/>
          <w:highlight w:val="none"/>
          <w:u w:val="single"/>
          <w:lang w:val="en-US" w:eastAsia="zh-CN"/>
        </w:rPr>
        <w:t>2020</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eastAsia" w:ascii="宋体" w:hAnsi="宋体" w:eastAsia="宋体" w:cs="宋体"/>
          <w:color w:val="FF0000"/>
          <w:kern w:val="2"/>
          <w:sz w:val="28"/>
          <w:szCs w:val="28"/>
          <w:highlight w:val="none"/>
          <w:u w:val="single"/>
          <w:lang w:val="en-US" w:eastAsia="zh-CN"/>
        </w:rPr>
        <w:t>项合同金额不低于</w:t>
      </w:r>
      <w:r>
        <w:rPr>
          <w:rFonts w:hint="eastAsia" w:ascii="宋体" w:hAnsi="宋体" w:cs="宋体"/>
          <w:color w:val="FF0000"/>
          <w:kern w:val="2"/>
          <w:sz w:val="28"/>
          <w:szCs w:val="28"/>
          <w:highlight w:val="none"/>
          <w:u w:val="single"/>
          <w:lang w:val="en-US" w:eastAsia="zh-CN"/>
        </w:rPr>
        <w:t>10</w:t>
      </w:r>
      <w:r>
        <w:rPr>
          <w:rFonts w:hint="eastAsia" w:ascii="宋体" w:hAnsi="宋体" w:eastAsia="宋体" w:cs="宋体"/>
          <w:color w:val="FF0000"/>
          <w:kern w:val="2"/>
          <w:sz w:val="28"/>
          <w:szCs w:val="28"/>
          <w:highlight w:val="none"/>
          <w:u w:val="single"/>
          <w:lang w:val="en-US" w:eastAsia="zh-CN"/>
        </w:rPr>
        <w:t>万元的</w:t>
      </w:r>
      <w:r>
        <w:rPr>
          <w:rFonts w:hint="eastAsia" w:ascii="宋体" w:hAnsi="宋体" w:cs="宋体"/>
          <w:color w:val="FF0000"/>
          <w:kern w:val="2"/>
          <w:sz w:val="28"/>
          <w:szCs w:val="28"/>
          <w:highlight w:val="none"/>
          <w:u w:val="single"/>
          <w:lang w:val="en-US" w:eastAsia="zh-CN"/>
        </w:rPr>
        <w:t>金属板材供货业绩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2025 </w:t>
      </w:r>
      <w:r>
        <w:rPr>
          <w:rFonts w:hint="eastAsia" w:asciiTheme="minorEastAsia" w:hAnsiTheme="minorEastAsia" w:cstheme="minorEastAsia"/>
          <w:i w:val="0"/>
          <w:iCs w:val="0"/>
          <w:color w:val="FF0000"/>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FF0000"/>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16</w:t>
      </w:r>
      <w:r>
        <w:rPr>
          <w:rFonts w:hint="eastAsia" w:asciiTheme="minorEastAsia" w:hAnsiTheme="minorEastAsia" w:cstheme="minorEastAsia"/>
          <w:i w:val="0"/>
          <w:iCs w:val="0"/>
          <w:color w:val="FF0000"/>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FF0000"/>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3500元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茹经理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：18705670516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15</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3500元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AHTKJS-2025-100号保证金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高铁站地下室公共走廊外墙砖脱落改造工程项目金属幕墙板材采购（二次）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货物无质量问题（或质量问题已解决）且供货期满后退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46996178"/>
      <w:bookmarkStart w:id="2" w:name="_Toc246996921"/>
      <w:bookmarkStart w:id="3" w:name="_Toc179632549"/>
      <w:bookmarkStart w:id="4" w:name="_Toc144974500"/>
      <w:bookmarkStart w:id="5" w:name="_Toc152042308"/>
      <w:bookmarkStart w:id="6" w:name="_Toc247085692"/>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144974504"/>
      <w:bookmarkStart w:id="10" w:name="_Toc152042312"/>
      <w:bookmarkStart w:id="11" w:name="_Toc246996924"/>
      <w:bookmarkStart w:id="12" w:name="_Toc296602426"/>
      <w:bookmarkStart w:id="13" w:name="_Toc179632553"/>
      <w:bookmarkStart w:id="14" w:name="_Toc152045536"/>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96602427"/>
      <w:bookmarkStart w:id="19" w:name="_Toc246996925"/>
      <w:bookmarkStart w:id="20" w:name="_Toc247085696"/>
      <w:bookmarkStart w:id="21" w:name="_Toc246996182"/>
      <w:bookmarkStart w:id="22" w:name="_Toc152042313"/>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152045538"/>
      <w:bookmarkStart w:id="26" w:name="_Toc247085697"/>
      <w:bookmarkStart w:id="27" w:name="_Toc179632555"/>
      <w:bookmarkStart w:id="28" w:name="_Toc144974506"/>
      <w:bookmarkStart w:id="29" w:name="_Toc246996926"/>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246996187"/>
      <w:bookmarkStart w:id="33" w:name="_Toc152042318"/>
      <w:bookmarkStart w:id="34" w:name="_Toc247085701"/>
      <w:bookmarkStart w:id="35" w:name="_Toc179632560"/>
      <w:bookmarkStart w:id="36" w:name="_Toc144974510"/>
      <w:bookmarkStart w:id="37" w:name="_Toc246996930"/>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96602433"/>
      <w:bookmarkStart w:id="41" w:name="_Toc246996931"/>
      <w:bookmarkStart w:id="42" w:name="_Toc152045543"/>
      <w:bookmarkStart w:id="43" w:name="_Toc247085702"/>
      <w:bookmarkStart w:id="44" w:name="_Toc144974511"/>
      <w:bookmarkStart w:id="45" w:name="_Toc179632561"/>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52045544"/>
      <w:bookmarkStart w:id="49" w:name="_Toc179632562"/>
      <w:bookmarkStart w:id="50" w:name="_Toc246996189"/>
      <w:bookmarkStart w:id="51" w:name="_Toc152042320"/>
      <w:bookmarkStart w:id="52" w:name="_Toc246996932"/>
      <w:bookmarkStart w:id="53" w:name="_Toc296602434"/>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247085704"/>
      <w:bookmarkStart w:id="57" w:name="_Toc179632563"/>
      <w:bookmarkStart w:id="58" w:name="_Toc152045545"/>
      <w:bookmarkStart w:id="59" w:name="_Toc152042321"/>
      <w:bookmarkStart w:id="60" w:name="_Toc246996190"/>
      <w:bookmarkStart w:id="61" w:name="_Toc14497451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152045546"/>
      <w:bookmarkStart w:id="65" w:name="_Toc246996191"/>
      <w:bookmarkStart w:id="66" w:name="_Toc144974514"/>
      <w:bookmarkStart w:id="67" w:name="_Toc179632564"/>
      <w:bookmarkStart w:id="68" w:name="_Toc247085705"/>
      <w:bookmarkStart w:id="69" w:name="_Toc152042322"/>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179632565"/>
      <w:bookmarkStart w:id="73" w:name="_Toc144974515"/>
      <w:bookmarkStart w:id="74" w:name="_Toc296602437"/>
      <w:bookmarkStart w:id="75" w:name="_Toc246996192"/>
      <w:bookmarkStart w:id="76" w:name="_Toc246996935"/>
      <w:bookmarkStart w:id="77" w:name="_Toc247085706"/>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296602438"/>
      <w:bookmarkStart w:id="81" w:name="_Toc144974516"/>
      <w:bookmarkStart w:id="82" w:name="_Toc152045548"/>
      <w:bookmarkStart w:id="83" w:name="_Toc179632566"/>
      <w:bookmarkStart w:id="84" w:name="_Toc247085707"/>
      <w:bookmarkStart w:id="85" w:name="_Toc152042324"/>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296602443"/>
      <w:bookmarkStart w:id="97" w:name="_Toc247085713"/>
      <w:bookmarkStart w:id="98" w:name="_Toc179632573"/>
      <w:bookmarkStart w:id="99" w:name="_Toc152042331"/>
      <w:bookmarkStart w:id="100" w:name="_Toc144974523"/>
      <w:bookmarkStart w:id="101" w:name="_Toc246996199"/>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43"/>
      <w:bookmarkStart w:id="104" w:name="_Toc152042332"/>
      <w:bookmarkStart w:id="105" w:name="_Toc247085714"/>
      <w:bookmarkStart w:id="106" w:name="_Toc296602444"/>
      <w:bookmarkStart w:id="107" w:name="_Toc152045556"/>
      <w:bookmarkStart w:id="108" w:name="_Toc179632574"/>
      <w:bookmarkStart w:id="109" w:name="_Toc14497452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144974525"/>
      <w:bookmarkStart w:id="113" w:name="_Toc152045557"/>
      <w:bookmarkStart w:id="114" w:name="_Toc179632575"/>
      <w:bookmarkStart w:id="115" w:name="_Toc246996201"/>
      <w:bookmarkStart w:id="116" w:name="_Toc246996944"/>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246996202"/>
      <w:bookmarkStart w:id="120" w:name="_Toc144974526"/>
      <w:bookmarkStart w:id="121" w:name="_Toc152042334"/>
      <w:bookmarkStart w:id="122" w:name="_Toc247085716"/>
      <w:bookmarkStart w:id="123" w:name="_Toc246996945"/>
      <w:bookmarkStart w:id="124" w:name="_Toc296602446"/>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5559"/>
      <w:bookmarkStart w:id="128" w:name="_Toc152042335"/>
      <w:bookmarkStart w:id="129" w:name="_Toc296602447"/>
      <w:bookmarkStart w:id="130" w:name="_Toc144974527"/>
      <w:bookmarkStart w:id="131" w:name="_Toc179632577"/>
      <w:bookmarkStart w:id="132" w:name="_Toc24708571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46996204"/>
      <w:bookmarkStart w:id="136" w:name="_Toc152042336"/>
      <w:bookmarkStart w:id="137" w:name="_Toc179632578"/>
      <w:bookmarkStart w:id="138" w:name="_Toc144974528"/>
      <w:bookmarkStart w:id="139" w:name="_Toc247085718"/>
      <w:bookmarkStart w:id="140" w:name="_Toc296602448"/>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246996948"/>
      <w:bookmarkStart w:id="144" w:name="_Toc144974529"/>
      <w:bookmarkStart w:id="145" w:name="_Toc246996205"/>
      <w:bookmarkStart w:id="146" w:name="_Toc179632579"/>
      <w:bookmarkStart w:id="147" w:name="_Toc152042337"/>
      <w:bookmarkStart w:id="148" w:name="_Toc247085719"/>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21"/>
      <w:bookmarkStart w:id="151" w:name="_Toc179632581"/>
      <w:bookmarkStart w:id="152" w:name="_Toc296602452"/>
      <w:bookmarkStart w:id="153" w:name="_Toc152042339"/>
      <w:bookmarkStart w:id="154" w:name="_Toc152045563"/>
      <w:bookmarkStart w:id="155" w:name="_Toc246996950"/>
      <w:bookmarkStart w:id="156" w:name="_Toc144974531"/>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152042342"/>
      <w:bookmarkStart w:id="160" w:name="_Toc246996953"/>
      <w:bookmarkStart w:id="161" w:name="_Toc144974534"/>
      <w:bookmarkStart w:id="162" w:name="_Toc296602455"/>
      <w:bookmarkStart w:id="163" w:name="_Toc179632584"/>
      <w:bookmarkStart w:id="164" w:name="_Toc246996210"/>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179632585"/>
      <w:bookmarkStart w:id="168" w:name="_Toc246996954"/>
      <w:bookmarkStart w:id="169" w:name="_Toc247085725"/>
      <w:bookmarkStart w:id="170" w:name="_Toc152042343"/>
      <w:bookmarkStart w:id="171" w:name="_Toc296602456"/>
      <w:bookmarkStart w:id="172" w:name="_Toc14497453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212"/>
      <w:bookmarkStart w:id="176" w:name="_Toc179632586"/>
      <w:bookmarkStart w:id="177" w:name="_Toc247085726"/>
      <w:bookmarkStart w:id="178" w:name="_Toc152045568"/>
      <w:bookmarkStart w:id="179" w:name="_Toc152042344"/>
      <w:bookmarkStart w:id="180" w:name="_Toc246996955"/>
      <w:bookmarkStart w:id="181" w:name="_Toc144974536"/>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152045569"/>
      <w:bookmarkStart w:id="185" w:name="_Toc296602459"/>
      <w:bookmarkStart w:id="186" w:name="_Toc179632587"/>
      <w:bookmarkStart w:id="187" w:name="_Toc152042345"/>
      <w:bookmarkStart w:id="188" w:name="_Toc246996956"/>
      <w:bookmarkStart w:id="189" w:name="_Toc24708572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52042351"/>
      <w:bookmarkStart w:id="194" w:name="_Toc152045575"/>
      <w:bookmarkStart w:id="195" w:name="_Toc144974543"/>
      <w:bookmarkStart w:id="196" w:name="_Toc246996219"/>
      <w:bookmarkStart w:id="197" w:name="_Toc247085733"/>
      <w:bookmarkStart w:id="198" w:name="_Toc246996962"/>
      <w:bookmarkStart w:id="199" w:name="_Toc296602462"/>
      <w:bookmarkStart w:id="200" w:name="_Toc29659098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296602463"/>
      <w:bookmarkStart w:id="203" w:name="_Toc246996963"/>
      <w:bookmarkStart w:id="204" w:name="_Toc179632594"/>
      <w:bookmarkStart w:id="205" w:name="_Toc247085734"/>
      <w:bookmarkStart w:id="206" w:name="_Toc246996220"/>
      <w:bookmarkStart w:id="207" w:name="_Toc152045576"/>
      <w:bookmarkStart w:id="208" w:name="_Toc152042352"/>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7085735"/>
      <w:bookmarkStart w:id="211" w:name="_Toc152045577"/>
      <w:bookmarkStart w:id="212" w:name="_Toc296602464"/>
      <w:bookmarkStart w:id="213" w:name="_Toc144974545"/>
      <w:bookmarkStart w:id="214" w:name="_Toc246996221"/>
      <w:bookmarkStart w:id="215" w:name="_Toc152042353"/>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246996232"/>
            <w:bookmarkStart w:id="219" w:name="_Toc152042366"/>
            <w:bookmarkStart w:id="220" w:name="_Toc144974556"/>
            <w:bookmarkStart w:id="221" w:name="_Toc179632607"/>
            <w:bookmarkStart w:id="222" w:name="_Toc246996975"/>
            <w:bookmarkStart w:id="223" w:name="_Toc247085747"/>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52042370"/>
      <w:bookmarkStart w:id="226" w:name="_Toc247085751"/>
      <w:bookmarkStart w:id="227" w:name="_Toc246996236"/>
      <w:bookmarkStart w:id="228" w:name="_Toc296602481"/>
      <w:bookmarkStart w:id="229" w:name="_Toc246996979"/>
      <w:bookmarkStart w:id="230" w:name="_Toc179632611"/>
      <w:bookmarkStart w:id="231" w:name="_Toc144974560"/>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6996239"/>
      <w:bookmarkStart w:id="236" w:name="_Toc296602484"/>
      <w:bookmarkStart w:id="237" w:name="_Toc246996982"/>
      <w:bookmarkStart w:id="238" w:name="_Toc247085754"/>
      <w:bookmarkStart w:id="239" w:name="_Toc152045596"/>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货物验收合格后支付至合格供货价款的85%，供货安装完成且竣工验收通过后付至审定合格供货价款的97%,余款3%为质保金，待缺陷责任期（自竣工验收合格之日起2年）满后货物无质量问题（或质量已解决后）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6C84C9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加工制作内容：加工制作的产品规格质量必须符合采购人提供的图纸设计要求与工程量清单要求，满足国家、地方、行业现行相关规范合格标准；为确保工程质量，采购人提货时或者安装前将对构件尺寸、外观质量进行验收，如采购人发下所供货物有质量不符合情况出现，成交人应在24小时内安排现场整改或者返厂整改。</w:t>
            </w:r>
          </w:p>
          <w:p w14:paraId="46D04C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交(提)货地点及方式:由成交人负责运输(且运输费已包含在供应商响应报价中)，送货至高铁站地下室公共走廊外墙砖脱落改造项目，项目位于亳州市高新区酒城大道与神农大道交叉口，成交人随车提供构件出厂合格证、检测报告质保书及送货单明细。</w:t>
            </w:r>
          </w:p>
          <w:p w14:paraId="0EFDF6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3）成交人所提供的履约人员如未按要求到岗，采购人有权按照200元/人/天从成交人当期应得工程款中予以扣除。</w:t>
            </w:r>
          </w:p>
          <w:p w14:paraId="086C43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成交人须严格按照施工进度节点配置所需金属板材进场，如因成交人原因造成的金属板材供货不及时，导致工期延误，成交人不能在本合同约定的供货工作期限内结束工作的，成交人有权按照500元/天的违约金从成交人当期应得工程款中予以扣除。逾期竣工违约金的上限：已完成价款的10%。</w:t>
            </w:r>
          </w:p>
          <w:p w14:paraId="2E148F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5）如因建设单位未支付工程款等原因导致工程款未及时发放，成交人不得擅自采取停工、上访等措施，否则由此对采购人造成的一切经济损失、法律责任均由成交人负责。</w:t>
            </w:r>
          </w:p>
          <w:p w14:paraId="346ED9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根据工程需要，采购人下发的设计变更通知单，成交人不得拒收，且需严格按照采购人指示及变更要求进行施工。如因此导致工程量增减，工程量按实际调整，据实结算，且成交人不得以此为由向采购人进行索赔。</w:t>
            </w:r>
          </w:p>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7）质量验收标准:以国家标准以及规范技术资料、设计施工图纸为准。双方另有约定的，按约定执行。</w:t>
            </w:r>
          </w:p>
        </w:tc>
      </w:tr>
    </w:tbl>
    <w:p w14:paraId="395855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3CD18F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1）成交人需配备1名项目负责人，并全面配合采购人材料供应工作，需确保如期交付采购人所提出的材料需求，按时完成材料供应。</w:t>
      </w:r>
    </w:p>
    <w:p w14:paraId="1D8BF8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成交人需按照设计图纸要求进行加工定制符合安装规格尺寸要求的板材，结合现场勘察，现场尺寸复核后，如有需要二次深化图纸的费用已综合包含进供应商响应报价中，对此采购人后期不再另行支付，二次深化图纸需要业主确认后方可施工，成交人所供应的产品必须符合国家、地方、行业现行相关规范合格标准，满足项目图纸及工程量清单的要求。 </w:t>
      </w:r>
    </w:p>
    <w:p w14:paraId="6F851E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3）成交人需先行进行提供样品，经定样后可进行加工制作。</w:t>
      </w:r>
    </w:p>
    <w:p w14:paraId="1BF34D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供产品应无条件接受采购人、本合同段监理、业主及质检部门的检验、抽查、盲检，如因供货质量达不到要求时，采购人有权退货或单方面解除合同，由此对采购人所造成的一切经济损失及法律责任均由成交人承担。</w:t>
      </w:r>
    </w:p>
    <w:p w14:paraId="36BFCA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不合格产品的处理：若已进场材料被检测认定为不合格材料，成交人应自接到通知24小时内自行清理出场，否则采购人可以自行组织清场并从成交人当期应得结算款中予以扣除相应清运费用。若对产品质量发生争议，由采购人选定有资质的鉴定机构进行鉴定，其结果作为质量验收的依据。鉴定后产品符合合同约定的，鉴定费由采购人承担；产品不符合合同约定的，鉴定费由成交人承担。</w:t>
      </w:r>
    </w:p>
    <w:p w14:paraId="1FD030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6）成交人应按照采购人通知的用料计划，保质、保量并符合环保要求，及时将供应材料运至采购人指定地点，接受采购人验收检验及随机抽查。</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7）材料的运费、装卸费等为完成本项目供货事宜所发生的一切费用均已包含在成交人的响应报价中。</w:t>
      </w:r>
    </w:p>
    <w:p w14:paraId="740F25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D47B96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8</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工程量清单</w:t>
      </w:r>
    </w:p>
    <w:tbl>
      <w:tblPr>
        <w:tblStyle w:val="16"/>
        <w:tblW w:w="5948" w:type="pct"/>
        <w:tblInd w:w="-6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709"/>
        <w:gridCol w:w="987"/>
        <w:gridCol w:w="6303"/>
        <w:gridCol w:w="1455"/>
      </w:tblGrid>
      <w:tr w14:paraId="1F1AC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33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6DFE0A20">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349" w:type="pct"/>
            <w:tcBorders>
              <w:top w:val="single" w:color="000000" w:sz="8" w:space="0"/>
              <w:left w:val="single" w:color="000000" w:sz="4" w:space="0"/>
              <w:bottom w:val="single" w:color="000000" w:sz="4" w:space="0"/>
              <w:right w:val="single" w:color="000000" w:sz="4" w:space="0"/>
            </w:tcBorders>
            <w:shd w:val="clear" w:color="auto" w:fill="auto"/>
            <w:vAlign w:val="center"/>
          </w:tcPr>
          <w:p w14:paraId="51209DF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486" w:type="pct"/>
            <w:tcBorders>
              <w:top w:val="single" w:color="000000" w:sz="8" w:space="0"/>
              <w:left w:val="single" w:color="000000" w:sz="4" w:space="0"/>
              <w:bottom w:val="single" w:color="000000" w:sz="4" w:space="0"/>
              <w:right w:val="single" w:color="000000" w:sz="4" w:space="0"/>
            </w:tcBorders>
            <w:shd w:val="clear" w:color="auto" w:fill="auto"/>
            <w:vAlign w:val="center"/>
          </w:tcPr>
          <w:p w14:paraId="2C3B1ECB">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项目</w:t>
            </w:r>
          </w:p>
          <w:p w14:paraId="4EAF2B7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名称</w:t>
            </w:r>
          </w:p>
        </w:tc>
        <w:tc>
          <w:tcPr>
            <w:tcW w:w="310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5AC174B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17" w:type="pct"/>
            <w:tcBorders>
              <w:top w:val="single" w:color="000000" w:sz="8" w:space="0"/>
              <w:left w:val="single" w:color="000000" w:sz="4" w:space="0"/>
              <w:bottom w:val="single" w:color="000000" w:sz="4" w:space="0"/>
              <w:right w:val="single" w:color="000000" w:sz="8" w:space="0"/>
            </w:tcBorders>
            <w:shd w:val="clear" w:color="auto" w:fill="auto"/>
            <w:vAlign w:val="center"/>
          </w:tcPr>
          <w:p w14:paraId="71759A56">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暂定工程量</w:t>
            </w:r>
          </w:p>
          <w:p w14:paraId="6B48526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w:t>
            </w:r>
          </w:p>
        </w:tc>
      </w:tr>
      <w:tr w14:paraId="1FBBC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F631D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C07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WB011209008002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23A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金属板幕墙</w:t>
            </w:r>
          </w:p>
        </w:tc>
        <w:tc>
          <w:tcPr>
            <w:tcW w:w="31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D6C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1．1.0厚钢制瓦楞板、瓦楞芯12高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金属板材品种、规格、颜色：1、表面材料：热熔镀锌钢板T=0.8㎜，锌层厚度80G；具备良好的抗氧化性能，表面使用PUR环保热熔胶覆装饰木纹膜；2、背衬材料：背衬波高12mm铝制金属瓦楞；3.使用双组份环保固化胶水；4、防火性能：主材提供检测报告，按照GB8624-2012判定达到A级；5、环保性能：甲醛释放量不超过0.1mg/L</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4．（此部分含有广告牌面积）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5.金属板材颜色以采购人定样为准。</w:t>
            </w: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4946A">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r>
      <w:tr w14:paraId="5BAD2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000" w:type="pct"/>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6167ADE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备注: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1.不含税单价指成品主材到工地价，含型材主材费+型材加工费+图纸要求的型材镀锌施工完成费+至工地运输费及损耗等全部综合组成费用，实行单价闭口，工程量据实结算，最终以实际工程量为准，据实结算。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2.加工制作的产品规格质量，防火性能，环保性能等必须符合图纸及相关规范要求，不得降低图纸设计及规范规定质量标准要求。 </w:t>
            </w:r>
          </w:p>
          <w:p w14:paraId="68E3EC7E">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3.未尽事宜详见设计图纸、图集、答疑、采购文件、政府相关文件、规范等其他资料，满足验收要求。</w:t>
            </w:r>
          </w:p>
        </w:tc>
      </w:tr>
    </w:tbl>
    <w:p w14:paraId="45B4282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3BE109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2F130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高铁站地下室公共走廊外墙砖脱落改造工程项目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金属幕墙板材采购（二次）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100号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152042576"/>
      <w:bookmarkStart w:id="243" w:name="_Toc247527827"/>
      <w:bookmarkStart w:id="244" w:name="_Toc300835209"/>
      <w:bookmarkStart w:id="245" w:name="_Toc24751424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44974857"/>
      <w:bookmarkStart w:id="248" w:name="_Toc247527828"/>
      <w:bookmarkStart w:id="249" w:name="_Toc152045788"/>
      <w:bookmarkStart w:id="250" w:name="_Toc152042577"/>
      <w:bookmarkStart w:id="251" w:name="_Toc300835210"/>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247514249"/>
      <w:bookmarkStart w:id="255" w:name="_Toc152045790"/>
      <w:bookmarkStart w:id="256" w:name="_Toc247527830"/>
      <w:bookmarkStart w:id="257" w:name="_Toc15204257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高铁站地下室公共走廊外墙砖脱落改造工程项目金属幕墙板材采购（二次）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AHTKJS-2025-100号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不含税人民币（大写）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每平米</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元/m</w:t>
      </w:r>
      <w:r>
        <w:rPr>
          <w:rFonts w:hint="eastAsia" w:ascii="Times New Roman" w:hAnsi="Times New Roman" w:cs="Times New Roman"/>
          <w:color w:val="FF0000"/>
          <w:szCs w:val="21"/>
          <w:u w:val="single"/>
          <w:vertAlign w:val="superscript"/>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，供货期：自采购人发出开工指令之日起</w:t>
      </w:r>
      <w:r>
        <w:rPr>
          <w:rFonts w:hint="eastAsia" w:ascii="Times New Roman" w:hAnsi="Times New Roman" w:cs="Times New Roman"/>
          <w:color w:val="FF0000"/>
          <w:szCs w:val="21"/>
          <w:u w:val="single"/>
          <w:lang w:val="en-US" w:eastAsia="zh-CN"/>
        </w:rPr>
        <w:t>10</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152045791"/>
      <w:bookmarkStart w:id="261" w:name="_Toc144974860"/>
      <w:bookmarkStart w:id="262" w:name="_Toc300835213"/>
      <w:bookmarkStart w:id="263" w:name="_Toc247514283"/>
      <w:bookmarkStart w:id="264" w:name="_Toc15204258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144974861"/>
      <w:bookmarkStart w:id="267" w:name="_Toc247514284"/>
      <w:bookmarkStart w:id="268" w:name="_Toc152042581"/>
      <w:bookmarkStart w:id="269" w:name="_Toc247527832"/>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14286"/>
      <w:bookmarkStart w:id="273" w:name="_Toc247527834"/>
      <w:bookmarkStart w:id="274" w:name="_Toc152042583"/>
      <w:bookmarkStart w:id="275" w:name="_Toc152045794"/>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14287"/>
      <w:bookmarkStart w:id="279" w:name="_Toc300835218"/>
      <w:bookmarkStart w:id="280" w:name="_Toc144974863"/>
      <w:bookmarkStart w:id="281" w:name="_Toc247527835"/>
      <w:bookmarkStart w:id="282" w:name="_Toc152045795"/>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tbl>
      <w:tblPr>
        <w:tblStyle w:val="16"/>
        <w:tblW w:w="5948" w:type="pct"/>
        <w:tblInd w:w="-6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1531"/>
        <w:gridCol w:w="1507"/>
        <w:gridCol w:w="2734"/>
        <w:gridCol w:w="2734"/>
        <w:gridCol w:w="948"/>
      </w:tblGrid>
      <w:tr w14:paraId="3835C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33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33B5CB7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755" w:type="pct"/>
            <w:tcBorders>
              <w:top w:val="single" w:color="000000" w:sz="8" w:space="0"/>
              <w:left w:val="single" w:color="000000" w:sz="4" w:space="0"/>
              <w:bottom w:val="single" w:color="000000" w:sz="4" w:space="0"/>
              <w:right w:val="single" w:color="000000" w:sz="4" w:space="0"/>
            </w:tcBorders>
            <w:shd w:val="clear" w:color="auto" w:fill="auto"/>
            <w:vAlign w:val="center"/>
          </w:tcPr>
          <w:p w14:paraId="77C3907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743" w:type="pct"/>
            <w:tcBorders>
              <w:top w:val="single" w:color="000000" w:sz="8" w:space="0"/>
              <w:left w:val="single" w:color="000000" w:sz="4" w:space="0"/>
              <w:bottom w:val="single" w:color="000000" w:sz="4" w:space="0"/>
              <w:right w:val="single" w:color="000000" w:sz="8" w:space="0"/>
            </w:tcBorders>
            <w:shd w:val="clear" w:color="auto" w:fill="auto"/>
            <w:vAlign w:val="center"/>
          </w:tcPr>
          <w:p w14:paraId="7002C041">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暂定工程量</w:t>
            </w:r>
          </w:p>
          <w:p w14:paraId="4671C130">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r>
              <w:rPr>
                <w:rFonts w:hint="eastAsia" w:ascii="宋体" w:hAnsi="宋体" w:eastAsia="宋体" w:cs="宋体"/>
                <w:i w:val="0"/>
                <w:iCs w:val="0"/>
                <w:color w:val="000000"/>
                <w:kern w:val="0"/>
                <w:sz w:val="21"/>
                <w:szCs w:val="21"/>
                <w:u w:val="none"/>
                <w:lang w:val="en-US" w:eastAsia="zh-CN" w:bidi="ar"/>
              </w:rPr>
              <w:t>）</w:t>
            </w:r>
          </w:p>
        </w:tc>
        <w:tc>
          <w:tcPr>
            <w:tcW w:w="1348" w:type="pct"/>
            <w:tcBorders>
              <w:top w:val="single" w:color="000000" w:sz="8" w:space="0"/>
              <w:left w:val="single" w:color="000000" w:sz="4" w:space="0"/>
              <w:bottom w:val="single" w:color="000000" w:sz="4" w:space="0"/>
              <w:right w:val="single" w:color="000000" w:sz="8" w:space="0"/>
            </w:tcBorders>
            <w:shd w:val="clear" w:color="auto" w:fill="auto"/>
            <w:vAlign w:val="center"/>
          </w:tcPr>
          <w:p w14:paraId="6394289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不含税单价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r>
              <w:rPr>
                <w:rFonts w:hint="eastAsia" w:ascii="黑体" w:hAnsi="宋体" w:eastAsia="黑体" w:cs="黑体"/>
                <w:i w:val="0"/>
                <w:iCs w:val="0"/>
                <w:color w:val="000000"/>
                <w:kern w:val="0"/>
                <w:sz w:val="21"/>
                <w:szCs w:val="21"/>
                <w:u w:val="none"/>
                <w:lang w:val="en-US" w:eastAsia="zh-CN" w:bidi="ar"/>
              </w:rPr>
              <w:t>）</w:t>
            </w:r>
          </w:p>
        </w:tc>
        <w:tc>
          <w:tcPr>
            <w:tcW w:w="1348" w:type="pct"/>
            <w:tcBorders>
              <w:top w:val="single" w:color="000000" w:sz="8" w:space="0"/>
              <w:left w:val="single" w:color="000000" w:sz="4" w:space="0"/>
              <w:bottom w:val="single" w:color="000000" w:sz="4" w:space="0"/>
              <w:right w:val="single" w:color="000000" w:sz="8" w:space="0"/>
            </w:tcBorders>
            <w:shd w:val="clear" w:color="auto" w:fill="auto"/>
            <w:vAlign w:val="center"/>
          </w:tcPr>
          <w:p w14:paraId="0F155BE5">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不含税合价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p>
        </w:tc>
        <w:tc>
          <w:tcPr>
            <w:tcW w:w="467" w:type="pct"/>
            <w:tcBorders>
              <w:top w:val="single" w:color="000000" w:sz="8" w:space="0"/>
              <w:left w:val="single" w:color="000000" w:sz="4" w:space="0"/>
              <w:bottom w:val="single" w:color="000000" w:sz="4" w:space="0"/>
              <w:right w:val="single" w:color="000000" w:sz="8" w:space="0"/>
            </w:tcBorders>
            <w:shd w:val="clear" w:color="auto" w:fill="auto"/>
            <w:vAlign w:val="center"/>
          </w:tcPr>
          <w:p w14:paraId="4A69182C">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备注</w:t>
            </w:r>
          </w:p>
        </w:tc>
      </w:tr>
      <w:tr w14:paraId="42C36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6"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DA10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56B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金属板幕墙</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087C">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6BBA6">
            <w:pPr>
              <w:jc w:val="center"/>
              <w:rPr>
                <w:rFonts w:hint="eastAsia" w:ascii="宋体" w:hAnsi="宋体" w:eastAsia="宋体" w:cs="宋体"/>
                <w:i w:val="0"/>
                <w:iCs w:val="0"/>
                <w:color w:val="000000"/>
                <w:kern w:val="0"/>
                <w:sz w:val="21"/>
                <w:szCs w:val="21"/>
                <w:u w:val="none"/>
                <w:lang w:val="en-US" w:eastAsia="zh-CN" w:bidi="ar"/>
              </w:rPr>
            </w:pP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72936">
            <w:pPr>
              <w:jc w:val="center"/>
              <w:rPr>
                <w:rFonts w:hint="eastAsia" w:ascii="宋体" w:hAnsi="宋体" w:eastAsia="宋体" w:cs="宋体"/>
                <w:i w:val="0"/>
                <w:iCs w:val="0"/>
                <w:color w:val="000000"/>
                <w:kern w:val="0"/>
                <w:sz w:val="21"/>
                <w:szCs w:val="21"/>
                <w:u w:val="none"/>
                <w:lang w:val="en-US" w:eastAsia="zh-CN" w:bidi="ar"/>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6BDBC">
            <w:pPr>
              <w:jc w:val="center"/>
              <w:rPr>
                <w:rFonts w:hint="eastAsia" w:ascii="宋体" w:hAnsi="宋体" w:eastAsia="宋体" w:cs="宋体"/>
                <w:i w:val="0"/>
                <w:iCs w:val="0"/>
                <w:color w:val="000000"/>
                <w:kern w:val="0"/>
                <w:sz w:val="21"/>
                <w:szCs w:val="21"/>
                <w:u w:val="none"/>
                <w:lang w:val="en-US" w:eastAsia="zh-CN" w:bidi="ar"/>
              </w:rPr>
            </w:pPr>
          </w:p>
        </w:tc>
      </w:tr>
      <w:tr w14:paraId="275CA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000" w:type="pct"/>
            <w:gridSpan w:val="6"/>
            <w:tcBorders>
              <w:top w:val="single" w:color="000000" w:sz="4" w:space="0"/>
              <w:left w:val="single" w:color="000000" w:sz="8" w:space="0"/>
              <w:bottom w:val="single" w:color="000000" w:sz="4" w:space="0"/>
              <w:right w:val="single" w:color="000000" w:sz="4" w:space="0"/>
            </w:tcBorders>
            <w:shd w:val="clear" w:color="auto" w:fill="auto"/>
            <w:vAlign w:val="center"/>
          </w:tcPr>
          <w:p w14:paraId="51BD65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备注: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1.不含税单价指成品主材到工地价，含型材主材费+型材加工费+图纸要求的型材镀锌施工完成费+至工地运输费及损耗等全部综合组成费用，实行单价闭口，工程量据实结算，最终以实际工程量为准，据实结算。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2.加工制作的产品规格质量，防火性能，环保性能等必须符合图纸及相关规范要求，不得降低图纸设计及规范规定质量标准要求。 </w:t>
            </w:r>
          </w:p>
          <w:p w14:paraId="125B7786">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3.未尽事宜详见设计图纸、图集、答疑、采购文件、政府相关文件、规范等其他资料，满足验收要求；</w:t>
            </w:r>
            <w:r>
              <w:rPr>
                <w:rFonts w:hint="eastAsia" w:ascii="宋体" w:hAnsi="宋体" w:eastAsia="宋体" w:cs="宋体"/>
                <w:b/>
                <w:bCs/>
                <w:i w:val="0"/>
                <w:iCs w:val="0"/>
                <w:color w:val="FF0000"/>
                <w:kern w:val="0"/>
                <w:sz w:val="21"/>
                <w:szCs w:val="21"/>
                <w:u w:val="none"/>
                <w:lang w:val="en-US" w:eastAsia="zh-CN" w:bidi="ar"/>
              </w:rPr>
              <w:t>项目编码及特征描述详见采购需求</w:t>
            </w:r>
            <w:r>
              <w:rPr>
                <w:rFonts w:hint="eastAsia" w:ascii="宋体" w:hAnsi="宋体" w:eastAsia="宋体" w:cs="宋体"/>
                <w:i w:val="0"/>
                <w:iCs w:val="0"/>
                <w:color w:val="000000"/>
                <w:kern w:val="0"/>
                <w:sz w:val="21"/>
                <w:szCs w:val="21"/>
                <w:u w:val="none"/>
                <w:lang w:val="en-US" w:eastAsia="zh-CN" w:bidi="ar"/>
              </w:rPr>
              <w:t>。</w:t>
            </w:r>
          </w:p>
        </w:tc>
      </w:tr>
    </w:tbl>
    <w:p w14:paraId="627889F1">
      <w:pPr>
        <w:numPr>
          <w:ilvl w:val="0"/>
          <w:numId w:val="0"/>
        </w:numPr>
        <w:rPr>
          <w:rFonts w:hint="eastAsia"/>
          <w:lang w:val="en-US" w:eastAsia="zh-CN"/>
        </w:rPr>
      </w:pPr>
    </w:p>
    <w:p w14:paraId="47087282">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5796"/>
      <w:bookmarkStart w:id="285" w:name="_Toc247527836"/>
      <w:bookmarkStart w:id="286" w:name="_Toc144974864"/>
      <w:bookmarkStart w:id="287" w:name="_Toc300835221"/>
      <w:bookmarkStart w:id="288" w:name="_Toc247514288"/>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247085891"/>
      <w:bookmarkStart w:id="293" w:name="_Toc296602618"/>
      <w:bookmarkStart w:id="294" w:name="_Toc179632828"/>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6996370"/>
      <w:bookmarkStart w:id="299" w:name="_Toc247085888"/>
      <w:bookmarkStart w:id="300" w:name="_Toc247527850"/>
      <w:bookmarkStart w:id="301" w:name="_Toc152042599"/>
      <w:bookmarkStart w:id="302" w:name="_Toc247514302"/>
      <w:bookmarkStart w:id="303" w:name="_Toc144974878"/>
      <w:bookmarkStart w:id="304" w:name="_Toc15204581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6997114"/>
      <w:bookmarkStart w:id="308" w:name="_Toc296602616"/>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52042600"/>
      <w:bookmarkStart w:id="312" w:name="_Toc152045811"/>
      <w:bookmarkStart w:id="313" w:name="_Toc247514303"/>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w:t>
      </w:r>
      <w:bookmarkStart w:id="317" w:name="_GoBack"/>
      <w:bookmarkEnd w:id="317"/>
      <w:r>
        <w:rPr>
          <w:rFonts w:hint="eastAsia" w:ascii="Times New Roman" w:hAnsi="Times New Roman"/>
          <w:b/>
          <w:bCs/>
          <w:color w:val="FF0000"/>
          <w:lang w:val="en-US" w:eastAsia="zh-CN"/>
        </w:rPr>
        <w:t>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0449E956">
      <w:pPr>
        <w:numPr>
          <w:ilvl w:val="0"/>
          <w:numId w:val="0"/>
        </w:numPr>
        <w:jc w:val="center"/>
        <w:rPr>
          <w:rFonts w:hint="eastAsia"/>
          <w:b/>
          <w:bCs/>
          <w:color w:val="FF0000"/>
          <w:lang w:val="en-US" w:eastAsia="zh-CN"/>
        </w:rPr>
      </w:pPr>
    </w:p>
    <w:p w14:paraId="1EB172E4">
      <w:pPr>
        <w:numPr>
          <w:ilvl w:val="0"/>
          <w:numId w:val="0"/>
        </w:numPr>
        <w:jc w:val="center"/>
        <w:rPr>
          <w:rFonts w:hint="eastAsia"/>
          <w:b/>
          <w:bCs/>
          <w:color w:val="FF0000"/>
          <w:lang w:val="en-US" w:eastAsia="zh-CN"/>
        </w:rPr>
      </w:pPr>
    </w:p>
    <w:p w14:paraId="16AEFFFA">
      <w:pPr>
        <w:numPr>
          <w:ilvl w:val="0"/>
          <w:numId w:val="0"/>
        </w:numPr>
        <w:jc w:val="center"/>
        <w:rPr>
          <w:rFonts w:hint="eastAsia"/>
          <w:b/>
          <w:bCs/>
          <w:color w:val="FF0000"/>
          <w:lang w:val="en-US" w:eastAsia="zh-CN"/>
        </w:rPr>
      </w:pPr>
    </w:p>
    <w:p w14:paraId="64A75252">
      <w:pPr>
        <w:numPr>
          <w:ilvl w:val="0"/>
          <w:numId w:val="0"/>
        </w:numPr>
        <w:jc w:val="center"/>
        <w:rPr>
          <w:rFonts w:hint="eastAsia"/>
          <w:b/>
          <w:bCs/>
          <w:color w:val="FF0000"/>
          <w:lang w:val="en-US" w:eastAsia="zh-CN"/>
        </w:rPr>
      </w:pPr>
    </w:p>
    <w:p w14:paraId="5B5A3DA1">
      <w:pPr>
        <w:numPr>
          <w:ilvl w:val="0"/>
          <w:numId w:val="0"/>
        </w:numPr>
        <w:jc w:val="center"/>
        <w:rPr>
          <w:rFonts w:hint="eastAsia"/>
          <w:b/>
          <w:bCs/>
          <w:color w:val="FF0000"/>
          <w:lang w:val="en-US" w:eastAsia="zh-CN"/>
        </w:rPr>
      </w:pPr>
    </w:p>
    <w:p w14:paraId="3AA9BBB5">
      <w:pPr>
        <w:numPr>
          <w:ilvl w:val="0"/>
          <w:numId w:val="0"/>
        </w:numPr>
        <w:jc w:val="center"/>
        <w:rPr>
          <w:rFonts w:hint="eastAsia"/>
          <w:b/>
          <w:bCs/>
          <w:color w:val="FF0000"/>
          <w:lang w:val="en-US" w:eastAsia="zh-CN"/>
        </w:rPr>
      </w:pPr>
    </w:p>
    <w:p w14:paraId="7D7F1330">
      <w:pPr>
        <w:numPr>
          <w:ilvl w:val="0"/>
          <w:numId w:val="0"/>
        </w:numPr>
        <w:jc w:val="center"/>
        <w:rPr>
          <w:rFonts w:hint="eastAsia"/>
          <w:b/>
          <w:bCs/>
          <w:color w:val="FF0000"/>
          <w:lang w:val="en-US" w:eastAsia="zh-CN"/>
        </w:rPr>
      </w:pPr>
    </w:p>
    <w:p w14:paraId="50D32861">
      <w:pPr>
        <w:numPr>
          <w:ilvl w:val="0"/>
          <w:numId w:val="0"/>
        </w:numPr>
        <w:jc w:val="center"/>
        <w:rPr>
          <w:rFonts w:hint="default"/>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br w:type="page"/>
      </w: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920133E-660F-4D7D-8877-F7D5043204B8}"/>
  </w:font>
  <w:font w:name="Arial">
    <w:panose1 w:val="020B0604020202020204"/>
    <w:charset w:val="01"/>
    <w:family w:val="swiss"/>
    <w:pitch w:val="default"/>
    <w:sig w:usb0="E0002EFF" w:usb1="C000785B" w:usb2="00000009" w:usb3="00000000" w:csb0="400001FF" w:csb1="FFFF0000"/>
    <w:embedRegular r:id="rId2" w:fontKey="{AE9199F6-AE26-4F73-A251-77636046F5E8}"/>
  </w:font>
  <w:font w:name="黑体">
    <w:panose1 w:val="02010609060101010101"/>
    <w:charset w:val="86"/>
    <w:family w:val="auto"/>
    <w:pitch w:val="default"/>
    <w:sig w:usb0="800002BF" w:usb1="38CF7CFA" w:usb2="00000016" w:usb3="00000000" w:csb0="00040001" w:csb1="00000000"/>
    <w:embedRegular r:id="rId3" w:fontKey="{943151BC-5CAA-432F-9BA9-58005E01A1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DFDFBB7F-30DA-4074-96A4-F37E29FEE73E}"/>
  </w:font>
  <w:font w:name="仿宋_GB2312">
    <w:panose1 w:val="02010609030101010101"/>
    <w:charset w:val="86"/>
    <w:family w:val="modern"/>
    <w:pitch w:val="default"/>
    <w:sig w:usb0="00000001" w:usb1="080E0000" w:usb2="00000000" w:usb3="00000000" w:csb0="00040000" w:csb1="00000000"/>
    <w:embedRegular r:id="rId5" w:fontKey="{E655DD52-6D42-4F5D-9017-6FE6F2BC5A7F}"/>
  </w:font>
  <w:font w:name="方正小标宋简体">
    <w:panose1 w:val="03000509000000000000"/>
    <w:charset w:val="86"/>
    <w:family w:val="auto"/>
    <w:pitch w:val="default"/>
    <w:sig w:usb0="00000001" w:usb1="080E0000" w:usb2="00000000" w:usb3="00000000" w:csb0="00040000" w:csb1="00000000"/>
    <w:embedRegular r:id="rId6" w:fontKey="{72DEC132-0846-47F2-A4B2-6364612B078F}"/>
  </w:font>
  <w:font w:name="楷体">
    <w:panose1 w:val="02010609060101010101"/>
    <w:charset w:val="86"/>
    <w:family w:val="auto"/>
    <w:pitch w:val="default"/>
    <w:sig w:usb0="800002BF" w:usb1="38CF7CFA" w:usb2="00000016" w:usb3="00000000" w:csb0="00040001" w:csb1="00000000"/>
    <w:embedRegular r:id="rId7" w:fontKey="{96EA0932-864D-4BEF-9EE7-758357D31C09}"/>
  </w:font>
  <w:font w:name="Wingdings 2">
    <w:panose1 w:val="05020102010507070707"/>
    <w:charset w:val="00"/>
    <w:family w:val="auto"/>
    <w:pitch w:val="default"/>
    <w:sig w:usb0="00000000" w:usb1="00000000" w:usb2="00000000" w:usb3="00000000" w:csb0="80000000" w:csb1="00000000"/>
    <w:embedRegular r:id="rId8" w:fontKey="{497F46BF-9CBA-4BB3-8325-FCEE2E1B50F0}"/>
  </w:font>
  <w:font w:name="方正仿宋_GB2312">
    <w:panose1 w:val="02000000000000000000"/>
    <w:charset w:val="86"/>
    <w:family w:val="auto"/>
    <w:pitch w:val="default"/>
    <w:sig w:usb0="A00002BF" w:usb1="184F6CFA" w:usb2="00000012" w:usb3="00000000" w:csb0="00040001" w:csb1="00000000"/>
    <w:embedRegular r:id="rId9" w:fontKey="{A61F6B3A-566F-4D7A-8433-70DC3094A86C}"/>
  </w:font>
  <w:font w:name="仿宋">
    <w:panose1 w:val="02010609060101010101"/>
    <w:charset w:val="86"/>
    <w:family w:val="modern"/>
    <w:pitch w:val="default"/>
    <w:sig w:usb0="800002BF" w:usb1="38CF7CFA" w:usb2="00000016" w:usb3="00000000" w:csb0="00040001" w:csb1="00000000"/>
    <w:embedRegular r:id="rId10" w:fontKey="{6AB3AFD0-E2C5-4168-AB26-0309EC656CFB}"/>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8A7548"/>
    <w:multiLevelType w:val="singleLevel"/>
    <w:tmpl w:val="988A7548"/>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44A8"/>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04754"/>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707FE"/>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83D5C"/>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54F71"/>
    <w:rsid w:val="1D0C3E62"/>
    <w:rsid w:val="1D1D0D81"/>
    <w:rsid w:val="1D234DF0"/>
    <w:rsid w:val="1D35436C"/>
    <w:rsid w:val="1D3A1AFC"/>
    <w:rsid w:val="1D4B5AB7"/>
    <w:rsid w:val="1D546098"/>
    <w:rsid w:val="1D5801D4"/>
    <w:rsid w:val="1D5835F0"/>
    <w:rsid w:val="1D594678"/>
    <w:rsid w:val="1D6C4887"/>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04368"/>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47960"/>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305FF"/>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567E0C"/>
    <w:rsid w:val="4C645A11"/>
    <w:rsid w:val="4C845B43"/>
    <w:rsid w:val="4C87254B"/>
    <w:rsid w:val="4CBD57DA"/>
    <w:rsid w:val="4CC548F4"/>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C2911"/>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F428F"/>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80A9C"/>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874858"/>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84959"/>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14511</Words>
  <Characters>15523</Characters>
  <Lines>0</Lines>
  <Paragraphs>0</Paragraphs>
  <TotalTime>32</TotalTime>
  <ScaleCrop>false</ScaleCrop>
  <LinksUpToDate>false</LinksUpToDate>
  <CharactersWithSpaces>15667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2025-11-26T02:27:00Z</cp:lastPrinted>
  <dcterms:modified xsi:type="dcterms:W3CDTF">2025-12-08T07:50:49Z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DB73452EEC0B42EDB1B9F2D12FBC8396_13</vt:lpwstr>
  </property>
  <property fmtid="{D5CDD505-2E9C-101B-9397-08002B2CF9AE}" pid="4" name="KSOTemplateDocerSaveRecord">
    <vt:lpwstr>eyJoZGlkIjoiM2Y2YWQwZmQwYTk0YzMxZDE0NDM4NTZjN2RkMjdlYzYiLCJ1c2VySWQiOiIzMTAwODg2NjAifQ==</vt:lpwstr>
  </property>
</Properties>
</file>