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亳州公路客运站820kW光储一体化项目</w:t>
      </w:r>
      <w:r>
        <w:rPr>
          <w:rFonts w:hint="eastAsia" w:ascii="Times New Roman" w:hAnsi="Times New Roman" w:eastAsia="黑体" w:cs="Times New Roman"/>
          <w:kern w:val="0"/>
          <w:sz w:val="32"/>
          <w:szCs w:val="32"/>
          <w:highlight w:val="none"/>
          <w:lang w:val="en-US" w:eastAsia="zh-CN"/>
        </w:rPr>
        <w:br w:type="textWrapping"/>
      </w:r>
      <w:r>
        <w:rPr>
          <w:rFonts w:hint="eastAsia" w:ascii="Times New Roman" w:hAnsi="Times New Roman" w:eastAsia="黑体" w:cs="Times New Roman"/>
          <w:kern w:val="0"/>
          <w:sz w:val="32"/>
          <w:szCs w:val="32"/>
          <w:highlight w:val="none"/>
          <w:lang w:val="en-US" w:eastAsia="zh-CN"/>
        </w:rPr>
        <w:t>钢结构材料采购（三次）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32"/>
          <w:szCs w:val="32"/>
          <w:highlight w:val="none"/>
          <w:u w:val="single"/>
          <w:lang w:val="en-US" w:eastAsia="zh-CN"/>
        </w:rPr>
        <w:t>88</w:t>
      </w:r>
      <w:r>
        <w:rPr>
          <w:rFonts w:hint="eastAsia" w:ascii="Times New Roman" w:hAnsi="Times New Roman" w:eastAsia="楷体" w:cs="Times New Roman"/>
          <w:kern w:val="0"/>
          <w:sz w:val="28"/>
          <w:szCs w:val="28"/>
          <w:highlight w:val="none"/>
          <w:u w:val="none"/>
          <w:shd w:val="clear" w:color="auto" w:fill="auto"/>
          <w:lang w:val="en-US" w:eastAsia="zh-CN"/>
        </w:rPr>
        <w:t>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亳州公路客运站820kW光储一体化项目钢结构材料采购（三次）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亳州公路客运站820kW光储一体化项目钢结构材料采购（三次）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88号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（含税，13%）</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color w:val="FF0000"/>
          <w:kern w:val="2"/>
          <w:sz w:val="28"/>
          <w:szCs w:val="28"/>
          <w:highlight w:val="none"/>
          <w:u w:val="single"/>
          <w:lang w:val="en-US" w:eastAsia="zh-CN"/>
        </w:rPr>
        <w:t>489515元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本次采购的范围是亳州公路客运站820kW光储一体化项目钢结构材料，具体详见采购清单。供应商响应前请认真查看施工图纸、并自行现场勘察了解情况，响应时我方认为供应商已充分了解工程概况及工作范围。</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cstheme="minorEastAsia"/>
          <w:sz w:val="28"/>
          <w:szCs w:val="28"/>
          <w:highlight w:val="none"/>
          <w:lang w:val="en-US" w:eastAsia="zh-CN"/>
        </w:rPr>
        <w:t>供货期：自合同签订之日起</w:t>
      </w:r>
      <w:r>
        <w:rPr>
          <w:rFonts w:hint="eastAsia" w:asciiTheme="minorEastAsia" w:hAnsiTheme="minorEastAsia" w:cstheme="minorEastAsia"/>
          <w:color w:val="FF0000"/>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日历天内完成供货。</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（二）业绩要求：需提供</w:t>
      </w:r>
      <w:r>
        <w:rPr>
          <w:rFonts w:hint="eastAsia" w:asciiTheme="minorEastAsia" w:hAnsiTheme="minorEastAsia" w:cstheme="minorEastAsia"/>
          <w:color w:val="FF0000"/>
          <w:sz w:val="28"/>
          <w:szCs w:val="28"/>
          <w:highlight w:val="none"/>
          <w:u w:val="single"/>
          <w:lang w:val="en-US" w:eastAsia="zh-CN"/>
        </w:rPr>
        <w:t>2022</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cstheme="minorEastAsia"/>
          <w:color w:val="FF0000"/>
          <w:kern w:val="2"/>
          <w:sz w:val="28"/>
          <w:szCs w:val="28"/>
          <w:highlight w:val="none"/>
          <w:u w:val="single"/>
          <w:lang w:val="en-US" w:eastAsia="zh-CN"/>
        </w:rPr>
        <w:t>3</w:t>
      </w:r>
      <w:r>
        <w:rPr>
          <w:rFonts w:hint="default" w:asciiTheme="minorEastAsia" w:hAnsiTheme="minorEastAsia" w:eastAsiaTheme="minorEastAsia" w:cstheme="minorEastAsia"/>
          <w:color w:val="FF0000"/>
          <w:kern w:val="2"/>
          <w:sz w:val="28"/>
          <w:szCs w:val="28"/>
          <w:highlight w:val="none"/>
          <w:u w:val="single"/>
          <w:lang w:val="en-US" w:eastAsia="zh-CN"/>
        </w:rPr>
        <w:t>0万元的</w:t>
      </w:r>
      <w:r>
        <w:rPr>
          <w:rFonts w:hint="eastAsia" w:asciiTheme="minorEastAsia" w:hAnsiTheme="minorEastAsia" w:eastAsiaTheme="minorEastAsia" w:cstheme="minorEastAsia"/>
          <w:color w:val="FF0000"/>
          <w:kern w:val="2"/>
          <w:sz w:val="28"/>
          <w:szCs w:val="28"/>
          <w:highlight w:val="none"/>
          <w:u w:val="single"/>
          <w:lang w:val="en-US" w:eastAsia="zh-CN"/>
        </w:rPr>
        <w:t>钢结构材料</w:t>
      </w:r>
      <w:r>
        <w:rPr>
          <w:rFonts w:hint="default" w:asciiTheme="minorEastAsia" w:hAnsiTheme="minorEastAsia" w:eastAsiaTheme="minorEastAsia" w:cstheme="minorEastAsia"/>
          <w:color w:val="FF0000"/>
          <w:kern w:val="2"/>
          <w:sz w:val="28"/>
          <w:szCs w:val="28"/>
          <w:highlight w:val="none"/>
          <w:u w:val="single"/>
          <w:lang w:val="en-US" w:eastAsia="zh-CN"/>
        </w:rPr>
        <w:t>供应业绩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5" w:edGrp="everyone"/>
      <w:r>
        <w:rPr>
          <w:rFonts w:hint="eastAsia" w:asciiTheme="minorEastAsia" w:hAnsiTheme="minorEastAsia" w:eastAsiaTheme="minorEastAsia" w:cstheme="minorEastAsia"/>
          <w:sz w:val="28"/>
          <w:szCs w:val="28"/>
          <w:highlight w:val="none"/>
          <w:lang w:val="en-US" w:eastAsia="zh-CN"/>
        </w:rPr>
        <w:t>（三）信用要求：供应商（含分公司，不含子公司）不得存在下列情形之一。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5"/>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eastAsia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i/>
          <w:iCs/>
          <w:color w:val="FF0000"/>
          <w:sz w:val="28"/>
          <w:szCs w:val="28"/>
          <w:highlight w:val="none"/>
          <w:u w:val="single"/>
          <w:lang w:val="en-US" w:eastAsia="zh-CN"/>
        </w:rPr>
        <w:t>1</w:t>
      </w:r>
      <w:r>
        <w:rPr>
          <w:rFonts w:hint="eastAsia" w:asciiTheme="minorEastAsia" w:hAnsiTheme="minorEastAsia" w:cstheme="minorEastAsia"/>
          <w:i/>
          <w:iCs/>
          <w:color w:val="FF0000"/>
          <w:sz w:val="28"/>
          <w:szCs w:val="28"/>
          <w:highlight w:val="none"/>
          <w:u w:val="single"/>
          <w:lang w:val="en-US" w:eastAsia="zh-CN"/>
        </w:rPr>
        <w:t>2</w:t>
      </w:r>
      <w:r>
        <w:rPr>
          <w:rFonts w:hint="eastAsia" w:asciiTheme="minorEastAsia" w:hAnsiTheme="minorEastAsia" w:eastAsiaTheme="minorEastAsia" w:cstheme="minorEastAsia"/>
          <w:sz w:val="28"/>
          <w:szCs w:val="28"/>
          <w:highlight w:val="none"/>
          <w:lang w:val="en-US" w:eastAsia="zh-CN"/>
        </w:rPr>
        <w:t xml:space="preserve">月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i/>
          <w:iCs/>
          <w:color w:val="FF0000"/>
          <w:sz w:val="28"/>
          <w:szCs w:val="28"/>
          <w:highlight w:val="none"/>
          <w:u w:val="single"/>
          <w:lang w:val="en-US" w:eastAsia="zh-CN"/>
        </w:rPr>
        <w:t>11</w:t>
      </w:r>
      <w:r>
        <w:rPr>
          <w:rFonts w:hint="eastAsia" w:asciiTheme="minorEastAsia" w:hAnsiTheme="minorEastAsia" w:eastAsiaTheme="minorEastAsia" w:cstheme="minorEastAsia"/>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eastAsiaTheme="minorEastAsia" w:cstheme="minorEastAsia"/>
          <w:sz w:val="28"/>
          <w:szCs w:val="28"/>
          <w:highlight w:val="none"/>
          <w:lang w:val="en-US" w:eastAsia="zh-CN"/>
        </w:rPr>
        <w:t>时</w:t>
      </w:r>
      <w:r>
        <w:rPr>
          <w:rFonts w:hint="eastAsia" w:asciiTheme="minorEastAsia" w:hAnsiTheme="minorEastAsia" w:eastAsia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sz w:val="28"/>
          <w:szCs w:val="28"/>
          <w:highlight w:val="none"/>
          <w:lang w:val="en-US" w:eastAsia="zh-CN"/>
        </w:rPr>
        <w:t>分（北京时间）；</w:t>
      </w:r>
      <w:permEnd w:id="17"/>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8"/>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9"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9"/>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0" w:edGrp="everyone"/>
      <w:r>
        <w:rPr>
          <w:rFonts w:hint="eastAsia" w:asciiTheme="minorEastAsia" w:hAnsiTheme="minorEastAsia" w:cstheme="minorEastAsia"/>
          <w:color w:val="FF0000"/>
          <w:sz w:val="28"/>
          <w:szCs w:val="28"/>
          <w:highlight w:val="none"/>
          <w:u w:val="single"/>
          <w:lang w:val="en-US" w:eastAsia="zh-CN"/>
        </w:rPr>
        <w:t>9500元</w:t>
      </w:r>
      <w:r>
        <w:rPr>
          <w:rFonts w:hint="default" w:asciiTheme="minorEastAsia" w:hAnsiTheme="minorEastAsia" w:eastAsiaTheme="minorEastAsia" w:cstheme="minorEastAsia"/>
          <w:color w:val="FF0000"/>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1"/>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施经理 </w:t>
      </w:r>
      <w:permEnd w:id="22"/>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3"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日</w:t>
      </w:r>
    </w:p>
    <w:permEnd w:id="23"/>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9"/>
            <w:r>
              <w:rPr>
                <w:rFonts w:hint="default" w:ascii="Times New Roman" w:hAnsi="Times New Roman" w:cs="Times New Roman"/>
                <w:szCs w:val="21"/>
                <w:highlight w:val="none"/>
              </w:rPr>
              <w:t>的形式：</w:t>
            </w:r>
            <w:permStart w:id="30" w:edGrp="everyone"/>
            <w:r>
              <w:rPr>
                <w:rFonts w:hint="default" w:ascii="Times New Roman" w:hAnsi="Times New Roman" w:cs="Times New Roman"/>
                <w:b/>
                <w:bCs/>
                <w:color w:val="FF0000"/>
                <w:szCs w:val="21"/>
                <w:highlight w:val="none"/>
              </w:rPr>
              <w:t>银行汇款或转账</w:t>
            </w:r>
            <w:permEnd w:id="3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1" w:edGrp="everyone"/>
            <w:r>
              <w:rPr>
                <w:rFonts w:hint="eastAsia" w:ascii="Times New Roman" w:hAnsi="Times New Roman" w:cs="Times New Roman"/>
                <w:b/>
                <w:bCs/>
                <w:color w:val="FF0000"/>
                <w:szCs w:val="21"/>
                <w:highlight w:val="none"/>
                <w:u w:val="single"/>
                <w:lang w:val="en-US" w:eastAsia="zh-CN"/>
              </w:rPr>
              <w:t xml:space="preserve"> 9500元  </w:t>
            </w:r>
            <w:permEnd w:id="3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b/>
                <w:bCs/>
                <w:color w:val="FF0000"/>
                <w:szCs w:val="21"/>
                <w:highlight w:val="none"/>
                <w:lang w:val="en-US" w:eastAsia="zh-CN"/>
              </w:rPr>
              <w:t>AHTKJS-2025-88号保证金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3"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亳州公路客运站820kW光储一体化项目钢结构材料采购（三次）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88号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6"/>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7"/>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eastAsia" w:ascii="Times New Roman" w:hAnsi="Times New Roman" w:cs="Times New Roman"/>
                <w:color w:val="FF0000"/>
                <w:szCs w:val="21"/>
                <w:highlight w:val="none"/>
                <w:lang w:val="en-US" w:eastAsia="zh-CN"/>
              </w:rPr>
              <w:t>注：</w:t>
            </w:r>
            <w:r>
              <w:rPr>
                <w:rFonts w:hint="default" w:ascii="Times New Roman" w:hAnsi="Times New Roman" w:cs="Times New Roman"/>
                <w:color w:val="FF0000"/>
                <w:szCs w:val="21"/>
                <w:highlight w:val="none"/>
              </w:rPr>
              <w:t>采用保函形式的，有效期应不少于项目规定的</w:t>
            </w:r>
            <w:r>
              <w:rPr>
                <w:rFonts w:hint="eastAsia" w:ascii="Times New Roman" w:hAnsi="Times New Roman" w:cs="Times New Roman"/>
                <w:color w:val="FF0000"/>
                <w:szCs w:val="21"/>
                <w:highlight w:val="none"/>
                <w:lang w:val="en-US" w:eastAsia="zh-CN"/>
              </w:rPr>
              <w:t>计划工期（供货期或服务期限）</w:t>
            </w:r>
            <w:r>
              <w:rPr>
                <w:rFonts w:hint="default" w:ascii="Times New Roman" w:hAnsi="Times New Roman" w:cs="Times New Roman"/>
                <w:color w:val="FF0000"/>
                <w:szCs w:val="21"/>
                <w:highlight w:val="none"/>
              </w:rPr>
              <w:t>，且须满足不可撤销的无条件见索即付条件</w:t>
            </w:r>
            <w:r>
              <w:rPr>
                <w:rFonts w:hint="eastAsia" w:ascii="Times New Roman" w:hAnsi="Times New Roman" w:cs="Times New Roman"/>
                <w:color w:val="FF0000"/>
                <w:szCs w:val="21"/>
                <w:highlight w:val="none"/>
                <w:lang w:eastAsia="zh-CN"/>
              </w:rPr>
              <w:t>。</w:t>
            </w:r>
          </w:p>
          <w:permEnd w:id="38"/>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9"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0"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921"/>
      <w:bookmarkStart w:id="1" w:name="_Toc247085692"/>
      <w:bookmarkStart w:id="2" w:name="_Toc179632549"/>
      <w:bookmarkStart w:id="3" w:name="_Toc144974500"/>
      <w:bookmarkStart w:id="4" w:name="_Toc296602423"/>
      <w:bookmarkStart w:id="5" w:name="_Toc246996178"/>
      <w:bookmarkStart w:id="6" w:name="_Toc152045532"/>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246996924"/>
      <w:bookmarkStart w:id="10" w:name="_Toc152045536"/>
      <w:bookmarkStart w:id="11" w:name="_Toc246996181"/>
      <w:bookmarkStart w:id="12" w:name="_Toc296602426"/>
      <w:bookmarkStart w:id="13" w:name="_Toc247085695"/>
      <w:bookmarkStart w:id="14" w:name="_Toc152042312"/>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2313"/>
      <w:bookmarkStart w:id="19" w:name="_Toc246996925"/>
      <w:bookmarkStart w:id="20" w:name="_Toc246996182"/>
      <w:bookmarkStart w:id="21" w:name="_Toc296602427"/>
      <w:bookmarkStart w:id="22" w:name="_Toc179632554"/>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152042314"/>
      <w:bookmarkStart w:id="26" w:name="_Toc246996183"/>
      <w:bookmarkStart w:id="27" w:name="_Toc179632555"/>
      <w:bookmarkStart w:id="28" w:name="_Toc246996926"/>
      <w:bookmarkStart w:id="29" w:name="_Toc144974506"/>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52045542"/>
      <w:bookmarkStart w:id="33" w:name="_Toc144974510"/>
      <w:bookmarkStart w:id="34" w:name="_Toc247085701"/>
      <w:bookmarkStart w:id="35" w:name="_Toc246996187"/>
      <w:bookmarkStart w:id="36" w:name="_Toc179632560"/>
      <w:bookmarkStart w:id="37" w:name="_Toc152042318"/>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52042319"/>
      <w:bookmarkStart w:id="40" w:name="_Toc296602433"/>
      <w:bookmarkStart w:id="41" w:name="_Toc144974511"/>
      <w:bookmarkStart w:id="42" w:name="_Toc246996931"/>
      <w:bookmarkStart w:id="43" w:name="_Toc247085702"/>
      <w:bookmarkStart w:id="44" w:name="_Toc179632561"/>
      <w:bookmarkStart w:id="45" w:name="_Toc152045543"/>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144974512"/>
      <w:bookmarkStart w:id="49" w:name="_Toc152045544"/>
      <w:bookmarkStart w:id="50" w:name="_Toc152042320"/>
      <w:bookmarkStart w:id="51" w:name="_Toc246996932"/>
      <w:bookmarkStart w:id="52" w:name="_Toc179632562"/>
      <w:bookmarkStart w:id="53" w:name="_Toc296602434"/>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5"/>
      <w:bookmarkStart w:id="56" w:name="_Toc296602435"/>
      <w:bookmarkStart w:id="57" w:name="_Toc179632563"/>
      <w:bookmarkStart w:id="58" w:name="_Toc246996933"/>
      <w:bookmarkStart w:id="59" w:name="_Toc152042321"/>
      <w:bookmarkStart w:id="60" w:name="_Toc144974513"/>
      <w:bookmarkStart w:id="61" w:name="_Toc246996190"/>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152045546"/>
      <w:bookmarkStart w:id="65" w:name="_Toc179632564"/>
      <w:bookmarkStart w:id="66" w:name="_Toc152042322"/>
      <w:bookmarkStart w:id="67" w:name="_Toc247085705"/>
      <w:bookmarkStart w:id="68" w:name="_Toc246996191"/>
      <w:bookmarkStart w:id="69" w:name="_Toc296602436"/>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79632565"/>
      <w:bookmarkStart w:id="72" w:name="_Toc246996192"/>
      <w:bookmarkStart w:id="73" w:name="_Toc247085706"/>
      <w:bookmarkStart w:id="74" w:name="_Toc152042323"/>
      <w:bookmarkStart w:id="75" w:name="_Toc246996935"/>
      <w:bookmarkStart w:id="76" w:name="_Toc144974515"/>
      <w:bookmarkStart w:id="77" w:name="_Toc296602437"/>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144974516"/>
      <w:bookmarkStart w:id="81" w:name="_Toc296602438"/>
      <w:bookmarkStart w:id="82" w:name="_Toc246996193"/>
      <w:bookmarkStart w:id="83" w:name="_Toc152045548"/>
      <w:bookmarkStart w:id="84" w:name="_Toc152042324"/>
      <w:bookmarkStart w:id="85" w:name="_Toc246996936"/>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79632567"/>
      <w:bookmarkStart w:id="89" w:name="_Toc14497451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937"/>
      <w:bookmarkStart w:id="92" w:name="_Toc246996194"/>
      <w:bookmarkStart w:id="93" w:name="_Toc296602439"/>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152045555"/>
      <w:bookmarkStart w:id="97" w:name="_Toc247085713"/>
      <w:bookmarkStart w:id="98" w:name="_Toc296602443"/>
      <w:bookmarkStart w:id="99" w:name="_Toc246996199"/>
      <w:bookmarkStart w:id="100" w:name="_Toc179632573"/>
      <w:bookmarkStart w:id="101" w:name="_Toc246996942"/>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247085714"/>
      <w:bookmarkStart w:id="106" w:name="_Toc152045556"/>
      <w:bookmarkStart w:id="107" w:name="_Toc152042332"/>
      <w:bookmarkStart w:id="108" w:name="_Toc296602444"/>
      <w:bookmarkStart w:id="109" w:name="_Toc246996200"/>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52045557"/>
      <w:bookmarkStart w:id="113" w:name="_Toc247085715"/>
      <w:bookmarkStart w:id="114" w:name="_Toc246996944"/>
      <w:bookmarkStart w:id="115" w:name="_Toc179632575"/>
      <w:bookmarkStart w:id="116" w:name="_Toc144974525"/>
      <w:bookmarkStart w:id="117" w:name="_Toc152042333"/>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5558"/>
      <w:bookmarkStart w:id="120" w:name="_Toc247085716"/>
      <w:bookmarkStart w:id="121" w:name="_Toc246996945"/>
      <w:bookmarkStart w:id="122" w:name="_Toc179632576"/>
      <w:bookmarkStart w:id="123" w:name="_Toc152042334"/>
      <w:bookmarkStart w:id="124" w:name="_Toc144974526"/>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246996203"/>
      <w:bookmarkStart w:id="128" w:name="_Toc246996946"/>
      <w:bookmarkStart w:id="129" w:name="_Toc247085717"/>
      <w:bookmarkStart w:id="130" w:name="_Toc144974527"/>
      <w:bookmarkStart w:id="131" w:name="_Toc152045559"/>
      <w:bookmarkStart w:id="132" w:name="_Toc179632577"/>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44974528"/>
      <w:bookmarkStart w:id="136" w:name="_Toc296602448"/>
      <w:bookmarkStart w:id="137" w:name="_Toc152045560"/>
      <w:bookmarkStart w:id="138" w:name="_Toc152042336"/>
      <w:bookmarkStart w:id="139" w:name="_Toc246996947"/>
      <w:bookmarkStart w:id="140" w:name="_Toc179632578"/>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246996948"/>
      <w:bookmarkStart w:id="144" w:name="_Toc247085719"/>
      <w:bookmarkStart w:id="145" w:name="_Toc179632579"/>
      <w:bookmarkStart w:id="146" w:name="_Toc296602449"/>
      <w:bookmarkStart w:id="147" w:name="_Toc246996205"/>
      <w:bookmarkStart w:id="148" w:name="_Toc152042337"/>
      <w:bookmarkStart w:id="149" w:name="_Toc152045561"/>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7"/>
      <w:bookmarkStart w:id="151" w:name="_Toc296602452"/>
      <w:bookmarkStart w:id="152" w:name="_Toc152045563"/>
      <w:bookmarkStart w:id="153" w:name="_Toc179632581"/>
      <w:bookmarkStart w:id="154" w:name="_Toc144974531"/>
      <w:bookmarkStart w:id="155" w:name="_Toc152042339"/>
      <w:bookmarkStart w:id="156" w:name="_Toc247085721"/>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44974534"/>
      <w:bookmarkStart w:id="160" w:name="_Toc296602455"/>
      <w:bookmarkStart w:id="161" w:name="_Toc179632584"/>
      <w:bookmarkStart w:id="162" w:name="_Toc246996210"/>
      <w:bookmarkStart w:id="163" w:name="_Toc152045566"/>
      <w:bookmarkStart w:id="164" w:name="_Toc24708572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96602456"/>
      <w:bookmarkStart w:id="168" w:name="_Toc152042343"/>
      <w:bookmarkStart w:id="169" w:name="_Toc246996211"/>
      <w:bookmarkStart w:id="170" w:name="_Toc144974535"/>
      <w:bookmarkStart w:id="171" w:name="_Toc246996954"/>
      <w:bookmarkStart w:id="172" w:name="_Toc179632585"/>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44974536"/>
      <w:bookmarkStart w:id="176" w:name="_Toc246996955"/>
      <w:bookmarkStart w:id="177" w:name="_Toc246996212"/>
      <w:bookmarkStart w:id="178" w:name="_Toc152045568"/>
      <w:bookmarkStart w:id="179" w:name="_Toc296602458"/>
      <w:bookmarkStart w:id="180" w:name="_Toc247085726"/>
      <w:bookmarkStart w:id="181" w:name="_Toc152042344"/>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5569"/>
      <w:bookmarkStart w:id="185" w:name="_Toc144974537"/>
      <w:bookmarkStart w:id="186" w:name="_Toc247085727"/>
      <w:bookmarkStart w:id="187" w:name="_Toc179632587"/>
      <w:bookmarkStart w:id="188" w:name="_Toc152042345"/>
      <w:bookmarkStart w:id="189" w:name="_Toc246996956"/>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2351"/>
      <w:bookmarkStart w:id="193" w:name="_Toc246996962"/>
      <w:bookmarkStart w:id="194" w:name="_Toc246996219"/>
      <w:bookmarkStart w:id="195" w:name="_Toc296590983"/>
      <w:bookmarkStart w:id="196" w:name="_Toc152045575"/>
      <w:bookmarkStart w:id="197" w:name="_Toc296602462"/>
      <w:bookmarkStart w:id="198" w:name="_Toc144974543"/>
      <w:bookmarkStart w:id="199" w:name="_Toc179632593"/>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79632594"/>
      <w:bookmarkStart w:id="202" w:name="_Toc246996220"/>
      <w:bookmarkStart w:id="203" w:name="_Toc144974544"/>
      <w:bookmarkStart w:id="204" w:name="_Toc246996963"/>
      <w:bookmarkStart w:id="205" w:name="_Toc296602463"/>
      <w:bookmarkStart w:id="206" w:name="_Toc152042352"/>
      <w:bookmarkStart w:id="207" w:name="_Toc247085734"/>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247085735"/>
      <w:bookmarkStart w:id="211" w:name="_Toc179632595"/>
      <w:bookmarkStart w:id="212" w:name="_Toc152042353"/>
      <w:bookmarkStart w:id="213" w:name="_Toc246996964"/>
      <w:bookmarkStart w:id="214" w:name="_Toc152045577"/>
      <w:bookmarkStart w:id="215" w:name="_Toc246996221"/>
      <w:bookmarkStart w:id="216" w:name="_Toc2966024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1" w:edGrp="everyone"/>
      <w:r>
        <w:rPr>
          <w:rFonts w:hint="eastAsia" w:ascii="宋体" w:hAnsi="宋体"/>
          <w:color w:val="FF0000"/>
          <w:sz w:val="24"/>
          <w:lang w:val="en-US" w:eastAsia="zh-CN"/>
        </w:rPr>
        <w:t>最低评审价法</w:t>
      </w:r>
      <w:permEnd w:id="4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96602477"/>
            <w:bookmarkStart w:id="219" w:name="_Toc246996232"/>
            <w:bookmarkStart w:id="220" w:name="_Toc179632607"/>
            <w:bookmarkStart w:id="221" w:name="_Toc144974556"/>
            <w:bookmarkStart w:id="222" w:name="_Toc246996975"/>
            <w:bookmarkStart w:id="223" w:name="_Toc152045589"/>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96602481"/>
      <w:bookmarkStart w:id="227" w:name="_Toc152045593"/>
      <w:bookmarkStart w:id="228" w:name="_Toc144974560"/>
      <w:bookmarkStart w:id="229" w:name="_Toc246996236"/>
      <w:bookmarkStart w:id="230" w:name="_Toc152042370"/>
      <w:bookmarkStart w:id="231" w:name="_Toc246996979"/>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6996982"/>
      <w:bookmarkStart w:id="236" w:name="_Toc179632614"/>
      <w:bookmarkStart w:id="237" w:name="_Toc152042373"/>
      <w:bookmarkStart w:id="238" w:name="_Toc296602484"/>
      <w:bookmarkStart w:id="239" w:name="_Toc246996239"/>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2"/>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采购人预付成交人合同价款的30%，成交人负责将材料运至采购人指定地点，经采购人验收合格后，采购人向成交人付至实际验收合格货物价款的97%，余款3%待质保期（自竣工验收之日起2年）满且货物无质量问题(或质量问题已解决)后</w:t>
            </w:r>
            <w:bookmarkStart w:id="323" w:name="_GoBack"/>
            <w:bookmarkEnd w:id="323"/>
            <w:r>
              <w:rPr>
                <w:rFonts w:hint="default" w:ascii="Times New Roman" w:hAnsi="Times New Roman" w:cs="Times New Roman"/>
                <w:kern w:val="0"/>
                <w:sz w:val="24"/>
                <w:szCs w:val="24"/>
                <w:highlight w:val="none"/>
                <w:shd w:val="clear" w:color="auto" w:fill="auto"/>
                <w:vertAlign w:val="baseline"/>
                <w:lang w:val="en-US" w:eastAsia="zh-CN"/>
              </w:rPr>
              <w:t>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722FCE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采购内容：包含施工图纸及工程量清单范围内车棚钢结构所需的所有主体材料。包括但不限于钢柱、钢梁、钢支撑、钢拉条、檩条、系杆、锚栓铁件、天沟水槽等组成钢结构车棚所需的所有主材及辅材（含油漆）。采购数量为暂定数量，具体使用数量以实际采购使用为准，据实结算。采购范围没有明确描述，但根据施工图纸、标准/规范、设计与施工方案等合同内应属于成交人提供的材料，成交人应当提供。</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2、货物验收时成交人需提供产品质量合格证明文件或第三方检测报告或出厂检测合格报告等能够证明产品质量合格的文件资料。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3、工程量清单</w:t>
      </w:r>
    </w:p>
    <w:tbl>
      <w:tblPr>
        <w:tblStyle w:val="16"/>
        <w:tblW w:w="9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5"/>
        <w:gridCol w:w="1393"/>
        <w:gridCol w:w="5587"/>
        <w:gridCol w:w="713"/>
        <w:gridCol w:w="787"/>
        <w:gridCol w:w="739"/>
      </w:tblGrid>
      <w:tr w14:paraId="1160A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7" w:hRule="atLeast"/>
          <w:jc w:val="center"/>
        </w:trPr>
        <w:tc>
          <w:tcPr>
            <w:tcW w:w="645" w:type="dxa"/>
            <w:shd w:val="clear" w:color="auto" w:fill="auto"/>
            <w:noWrap/>
            <w:vAlign w:val="center"/>
          </w:tcPr>
          <w:p w14:paraId="68AD7A43">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1393" w:type="dxa"/>
            <w:shd w:val="clear" w:color="auto" w:fill="auto"/>
            <w:noWrap/>
            <w:vAlign w:val="center"/>
          </w:tcPr>
          <w:p w14:paraId="7BE5980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5587" w:type="dxa"/>
            <w:shd w:val="clear" w:color="auto" w:fill="auto"/>
            <w:noWrap/>
            <w:vAlign w:val="center"/>
          </w:tcPr>
          <w:p w14:paraId="1429D117">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713" w:type="dxa"/>
            <w:shd w:val="clear" w:color="auto" w:fill="auto"/>
            <w:noWrap/>
            <w:vAlign w:val="center"/>
          </w:tcPr>
          <w:p w14:paraId="066DB4BE">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787" w:type="dxa"/>
            <w:shd w:val="clear" w:color="auto" w:fill="auto"/>
            <w:noWrap/>
            <w:vAlign w:val="center"/>
          </w:tcPr>
          <w:p w14:paraId="533CB344">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739" w:type="dxa"/>
            <w:shd w:val="clear" w:color="auto" w:fill="auto"/>
            <w:noWrap/>
            <w:vAlign w:val="center"/>
          </w:tcPr>
          <w:p w14:paraId="3B4C86A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r>
      <w:tr w14:paraId="443C4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7" w:hRule="atLeast"/>
          <w:jc w:val="center"/>
        </w:trPr>
        <w:tc>
          <w:tcPr>
            <w:tcW w:w="645" w:type="dxa"/>
            <w:shd w:val="clear" w:color="auto" w:fill="auto"/>
            <w:noWrap/>
            <w:vAlign w:val="center"/>
          </w:tcPr>
          <w:p w14:paraId="67FB64B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393" w:type="dxa"/>
            <w:shd w:val="clear" w:color="auto" w:fill="auto"/>
            <w:noWrap/>
            <w:vAlign w:val="center"/>
          </w:tcPr>
          <w:p w14:paraId="1F8506D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5587" w:type="dxa"/>
            <w:shd w:val="clear" w:color="auto" w:fill="auto"/>
            <w:noWrap/>
            <w:vAlign w:val="center"/>
          </w:tcPr>
          <w:p w14:paraId="1CE53C62">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713" w:type="dxa"/>
            <w:shd w:val="clear" w:color="auto" w:fill="auto"/>
            <w:noWrap/>
            <w:vAlign w:val="center"/>
          </w:tcPr>
          <w:p w14:paraId="000901A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787" w:type="dxa"/>
            <w:shd w:val="clear" w:color="auto" w:fill="auto"/>
            <w:noWrap/>
            <w:vAlign w:val="center"/>
          </w:tcPr>
          <w:p w14:paraId="52F1FA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75</w:t>
            </w:r>
          </w:p>
        </w:tc>
        <w:tc>
          <w:tcPr>
            <w:tcW w:w="739" w:type="dxa"/>
            <w:shd w:val="clear" w:color="auto" w:fill="auto"/>
            <w:noWrap/>
            <w:vAlign w:val="center"/>
          </w:tcPr>
          <w:p w14:paraId="3A8457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1A5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9" w:hRule="atLeast"/>
          <w:jc w:val="center"/>
        </w:trPr>
        <w:tc>
          <w:tcPr>
            <w:tcW w:w="645" w:type="dxa"/>
            <w:shd w:val="clear" w:color="auto" w:fill="auto"/>
            <w:noWrap/>
            <w:vAlign w:val="center"/>
          </w:tcPr>
          <w:p w14:paraId="39F98AE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393" w:type="dxa"/>
            <w:shd w:val="clear" w:color="auto" w:fill="auto"/>
            <w:noWrap/>
            <w:vAlign w:val="center"/>
          </w:tcPr>
          <w:p w14:paraId="06B61C8A">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5587" w:type="dxa"/>
            <w:shd w:val="clear" w:color="auto" w:fill="auto"/>
            <w:noWrap/>
            <w:vAlign w:val="center"/>
          </w:tcPr>
          <w:p w14:paraId="31B52E42">
            <w:pPr>
              <w:keepNext w:val="0"/>
              <w:keepLines w:val="0"/>
              <w:widowControl/>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5787E56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2745AF7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530</w:t>
            </w:r>
          </w:p>
        </w:tc>
        <w:tc>
          <w:tcPr>
            <w:tcW w:w="739" w:type="dxa"/>
            <w:shd w:val="clear" w:color="auto" w:fill="auto"/>
            <w:noWrap/>
            <w:vAlign w:val="center"/>
          </w:tcPr>
          <w:p w14:paraId="5289450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5B1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5F1B1B6D">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393" w:type="dxa"/>
            <w:shd w:val="clear" w:color="auto" w:fill="auto"/>
            <w:noWrap/>
            <w:vAlign w:val="center"/>
          </w:tcPr>
          <w:p w14:paraId="587C362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563CF3EF">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72854FD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07C7C58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158</w:t>
            </w:r>
          </w:p>
        </w:tc>
        <w:tc>
          <w:tcPr>
            <w:tcW w:w="739" w:type="dxa"/>
            <w:shd w:val="clear" w:color="auto" w:fill="auto"/>
            <w:noWrap/>
            <w:vAlign w:val="center"/>
          </w:tcPr>
          <w:p w14:paraId="7C33E0A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DBC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4" w:hRule="atLeast"/>
          <w:jc w:val="center"/>
        </w:trPr>
        <w:tc>
          <w:tcPr>
            <w:tcW w:w="645" w:type="dxa"/>
            <w:shd w:val="clear" w:color="auto" w:fill="auto"/>
            <w:noWrap/>
            <w:vAlign w:val="center"/>
          </w:tcPr>
          <w:p w14:paraId="623957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393" w:type="dxa"/>
            <w:shd w:val="clear" w:color="auto" w:fill="auto"/>
            <w:noWrap/>
            <w:vAlign w:val="center"/>
          </w:tcPr>
          <w:p w14:paraId="15080B3E">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5587" w:type="dxa"/>
            <w:shd w:val="clear" w:color="auto" w:fill="auto"/>
            <w:noWrap/>
            <w:vAlign w:val="center"/>
          </w:tcPr>
          <w:p w14:paraId="2771D041">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713" w:type="dxa"/>
            <w:shd w:val="clear" w:color="auto" w:fill="auto"/>
            <w:noWrap/>
            <w:vAlign w:val="center"/>
          </w:tcPr>
          <w:p w14:paraId="44482977">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787" w:type="dxa"/>
            <w:shd w:val="clear" w:color="auto" w:fill="auto"/>
            <w:noWrap/>
            <w:vAlign w:val="center"/>
          </w:tcPr>
          <w:p w14:paraId="1412ED95">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3000</w:t>
            </w:r>
          </w:p>
        </w:tc>
        <w:tc>
          <w:tcPr>
            <w:tcW w:w="739" w:type="dxa"/>
            <w:shd w:val="clear" w:color="auto" w:fill="auto"/>
            <w:noWrap/>
            <w:vAlign w:val="center"/>
          </w:tcPr>
          <w:p w14:paraId="3F4CB8D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630B9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645" w:type="dxa"/>
            <w:shd w:val="clear" w:color="auto" w:fill="auto"/>
            <w:noWrap/>
            <w:vAlign w:val="center"/>
          </w:tcPr>
          <w:p w14:paraId="2FC6224A">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1393" w:type="dxa"/>
            <w:shd w:val="clear" w:color="auto" w:fill="auto"/>
            <w:noWrap/>
            <w:vAlign w:val="center"/>
          </w:tcPr>
          <w:p w14:paraId="251308C2">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5587" w:type="dxa"/>
            <w:shd w:val="clear" w:color="auto" w:fill="auto"/>
            <w:noWrap/>
            <w:vAlign w:val="center"/>
          </w:tcPr>
          <w:p w14:paraId="4AEE1C44">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713" w:type="dxa"/>
            <w:shd w:val="clear" w:color="auto" w:fill="auto"/>
            <w:noWrap/>
            <w:vAlign w:val="center"/>
          </w:tcPr>
          <w:p w14:paraId="7A457DF8">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787" w:type="dxa"/>
            <w:shd w:val="clear" w:color="auto" w:fill="auto"/>
            <w:noWrap/>
            <w:vAlign w:val="center"/>
          </w:tcPr>
          <w:p w14:paraId="2284260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144</w:t>
            </w:r>
          </w:p>
        </w:tc>
        <w:tc>
          <w:tcPr>
            <w:tcW w:w="739" w:type="dxa"/>
            <w:shd w:val="clear" w:color="auto" w:fill="auto"/>
            <w:noWrap/>
            <w:vAlign w:val="center"/>
          </w:tcPr>
          <w:p w14:paraId="25BC634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r>
      <w:tr w14:paraId="4024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9" w:hRule="atLeast"/>
          <w:jc w:val="center"/>
        </w:trPr>
        <w:tc>
          <w:tcPr>
            <w:tcW w:w="645" w:type="dxa"/>
            <w:shd w:val="clear" w:color="auto" w:fill="auto"/>
            <w:noWrap/>
            <w:vAlign w:val="center"/>
          </w:tcPr>
          <w:p w14:paraId="44322AB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9219" w:type="dxa"/>
            <w:gridSpan w:val="5"/>
            <w:shd w:val="clear" w:color="auto" w:fill="auto"/>
            <w:noWrap/>
            <w:vAlign w:val="center"/>
          </w:tcPr>
          <w:p w14:paraId="3A6F196E">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67F3FE9A">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7439EF22">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DE9E1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亳州公路客运站820kW光储一体化项目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钢结构材料采购（三次）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3"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88</w:t>
      </w:r>
      <w:r>
        <w:rPr>
          <w:rFonts w:hint="eastAsia" w:ascii="Times New Roman" w:hAnsi="Times New Roman" w:eastAsia="楷体" w:cs="Times New Roman"/>
          <w:kern w:val="0"/>
          <w:sz w:val="28"/>
          <w:szCs w:val="28"/>
          <w:highlight w:val="none"/>
          <w:u w:val="none"/>
          <w:shd w:val="clear" w:color="auto" w:fill="auto"/>
          <w:lang w:val="en-US" w:eastAsia="zh-CN"/>
        </w:rPr>
        <w:t>号</w:t>
      </w:r>
      <w:permEnd w:id="43"/>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5787"/>
      <w:bookmarkStart w:id="242" w:name="_Toc144974856"/>
      <w:bookmarkStart w:id="243" w:name="_Toc300835209"/>
      <w:bookmarkStart w:id="244" w:name="_Toc247514246"/>
      <w:bookmarkStart w:id="245" w:name="_Toc247527827"/>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300835210"/>
      <w:bookmarkStart w:id="249" w:name="_Toc247514247"/>
      <w:bookmarkStart w:id="250" w:name="_Toc152045788"/>
      <w:bookmarkStart w:id="251" w:name="_Toc24752782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27830"/>
      <w:bookmarkStart w:id="254" w:name="_Toc300835212"/>
      <w:bookmarkStart w:id="255" w:name="_Toc152045790"/>
      <w:bookmarkStart w:id="256" w:name="_Toc152042579"/>
      <w:bookmarkStart w:id="257" w:name="_Toc247514249"/>
      <w:bookmarkStart w:id="258" w:name="_Toc14497485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亳州公路客运站820kW光储一体化项目钢结构材料采购（三次）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4"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color w:val="000000" w:themeColor="text1"/>
          <w:szCs w:val="21"/>
          <w:u w:val="single"/>
          <w:lang w:val="en-US" w:eastAsia="zh-CN"/>
          <w14:textFill>
            <w14:solidFill>
              <w14:schemeClr w14:val="tx1"/>
            </w14:solidFill>
          </w14:textFill>
        </w:rPr>
        <w:t xml:space="preserve">AHTKJS-2025-88号  </w:t>
      </w:r>
      <w:permEnd w:id="44"/>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5"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5"/>
      <w:r>
        <w:rPr>
          <w:rFonts w:hint="eastAsia" w:ascii="Times New Roman" w:hAnsi="Times New Roman" w:cs="Times New Roman"/>
          <w:szCs w:val="21"/>
          <w:lang w:val="en-US" w:eastAsia="zh-CN"/>
        </w:rPr>
        <w:t>，供货期：自合同签订之日起</w:t>
      </w:r>
      <w:r>
        <w:rPr>
          <w:rFonts w:hint="eastAsia" w:ascii="Times New Roman" w:hAnsi="Times New Roman" w:cs="Times New Roman"/>
          <w:color w:val="FF0000"/>
          <w:szCs w:val="21"/>
          <w:u w:val="single"/>
          <w:lang w:val="en-US" w:eastAsia="zh-CN"/>
        </w:rPr>
        <w:t>15</w:t>
      </w:r>
      <w:r>
        <w:rPr>
          <w:rFonts w:hint="eastAsia" w:ascii="Times New Roman" w:hAnsi="Times New Roman" w:cs="Times New Roman"/>
          <w:szCs w:val="21"/>
          <w:lang w:val="en-US" w:eastAsia="zh-CN"/>
        </w:rPr>
        <w:t>日历天内完成供货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44974860"/>
      <w:bookmarkStart w:id="260" w:name="_Toc152045791"/>
      <w:bookmarkStart w:id="261" w:name="_Toc247527831"/>
      <w:bookmarkStart w:id="262" w:name="_Toc300835213"/>
      <w:bookmarkStart w:id="263" w:name="_Toc152042580"/>
      <w:bookmarkStart w:id="264"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52042581"/>
      <w:bookmarkStart w:id="267" w:name="_Toc247527832"/>
      <w:bookmarkStart w:id="268" w:name="_Toc144974861"/>
      <w:bookmarkStart w:id="269" w:name="_Toc24751428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14286"/>
      <w:bookmarkStart w:id="272" w:name="_Toc152045794"/>
      <w:bookmarkStart w:id="273" w:name="_Toc152042583"/>
      <w:bookmarkStart w:id="274" w:name="_Toc247527834"/>
      <w:bookmarkStart w:id="275" w:name="_Toc300835216"/>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247527835"/>
      <w:bookmarkStart w:id="279" w:name="_Toc300835218"/>
      <w:bookmarkStart w:id="280" w:name="_Toc247514287"/>
      <w:bookmarkStart w:id="281" w:name="_Toc152045795"/>
      <w:bookmarkStart w:id="282" w:name="_Toc144974863"/>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pPr w:leftFromText="180" w:rightFromText="180" w:vertAnchor="text" w:horzAnchor="page" w:tblpX="1163" w:tblpY="3"/>
        <w:tblOverlap w:val="never"/>
        <w:tblW w:w="60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25"/>
        <w:gridCol w:w="1075"/>
        <w:gridCol w:w="3800"/>
        <w:gridCol w:w="587"/>
        <w:gridCol w:w="675"/>
        <w:gridCol w:w="575"/>
        <w:gridCol w:w="1125"/>
        <w:gridCol w:w="1100"/>
        <w:gridCol w:w="650"/>
      </w:tblGrid>
      <w:tr w14:paraId="024B2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351" w:type="pct"/>
            <w:shd w:val="clear" w:color="auto" w:fill="auto"/>
            <w:noWrap/>
            <w:vAlign w:val="center"/>
          </w:tcPr>
          <w:p w14:paraId="0C46E512">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序号</w:t>
            </w:r>
          </w:p>
        </w:tc>
        <w:tc>
          <w:tcPr>
            <w:tcW w:w="521" w:type="pct"/>
            <w:shd w:val="clear" w:color="auto" w:fill="auto"/>
            <w:noWrap/>
            <w:vAlign w:val="center"/>
          </w:tcPr>
          <w:p w14:paraId="0EC61A6B">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名称</w:t>
            </w:r>
          </w:p>
        </w:tc>
        <w:tc>
          <w:tcPr>
            <w:tcW w:w="1842" w:type="pct"/>
            <w:shd w:val="clear" w:color="auto" w:fill="auto"/>
            <w:noWrap/>
            <w:vAlign w:val="center"/>
          </w:tcPr>
          <w:p w14:paraId="663FCE4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规格型号</w:t>
            </w:r>
          </w:p>
        </w:tc>
        <w:tc>
          <w:tcPr>
            <w:tcW w:w="284" w:type="pct"/>
            <w:shd w:val="clear" w:color="auto" w:fill="auto"/>
            <w:noWrap/>
            <w:vAlign w:val="center"/>
          </w:tcPr>
          <w:p w14:paraId="5038DA88">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单位</w:t>
            </w:r>
          </w:p>
        </w:tc>
        <w:tc>
          <w:tcPr>
            <w:tcW w:w="327" w:type="pct"/>
            <w:shd w:val="clear" w:color="auto" w:fill="auto"/>
            <w:noWrap/>
            <w:vAlign w:val="center"/>
          </w:tcPr>
          <w:p w14:paraId="69C95C0D">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数量</w:t>
            </w:r>
          </w:p>
        </w:tc>
        <w:tc>
          <w:tcPr>
            <w:tcW w:w="278" w:type="pct"/>
            <w:shd w:val="clear" w:color="auto" w:fill="auto"/>
            <w:noWrap/>
            <w:vAlign w:val="center"/>
          </w:tcPr>
          <w:p w14:paraId="66CFD23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税率</w:t>
            </w:r>
          </w:p>
        </w:tc>
        <w:tc>
          <w:tcPr>
            <w:tcW w:w="545" w:type="pct"/>
            <w:shd w:val="clear" w:color="auto" w:fill="auto"/>
            <w:noWrap/>
            <w:vAlign w:val="center"/>
          </w:tcPr>
          <w:p w14:paraId="3C012119">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含税单价</w:t>
            </w:r>
          </w:p>
          <w:p w14:paraId="77509584">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533" w:type="pct"/>
            <w:shd w:val="clear" w:color="auto" w:fill="auto"/>
            <w:noWrap/>
            <w:vAlign w:val="center"/>
          </w:tcPr>
          <w:p w14:paraId="097D0E90">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含税合价</w:t>
            </w:r>
          </w:p>
          <w:p w14:paraId="7A201E50">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（元）</w:t>
            </w:r>
          </w:p>
        </w:tc>
        <w:tc>
          <w:tcPr>
            <w:tcW w:w="315" w:type="pct"/>
            <w:shd w:val="clear" w:color="auto" w:fill="auto"/>
            <w:noWrap/>
            <w:vAlign w:val="center"/>
          </w:tcPr>
          <w:p w14:paraId="056766CE">
            <w:pPr>
              <w:keepNext w:val="0"/>
              <w:keepLines w:val="0"/>
              <w:widowControl/>
              <w:suppressLineNumbers w:val="0"/>
              <w:spacing w:line="240" w:lineRule="auto"/>
              <w:ind w:firstLine="0" w:firstLineChars="0"/>
              <w:jc w:val="center"/>
              <w:textAlignment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备注</w:t>
            </w:r>
          </w:p>
        </w:tc>
      </w:tr>
      <w:tr w14:paraId="0375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51" w:type="pct"/>
            <w:shd w:val="clear" w:color="auto" w:fill="auto"/>
            <w:noWrap/>
            <w:vAlign w:val="center"/>
          </w:tcPr>
          <w:p w14:paraId="0E1A8DFB">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521" w:type="pct"/>
            <w:shd w:val="clear" w:color="auto" w:fill="auto"/>
            <w:noWrap/>
            <w:vAlign w:val="center"/>
          </w:tcPr>
          <w:p w14:paraId="5CB5F21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车棚主体钢结构材料</w:t>
            </w:r>
          </w:p>
        </w:tc>
        <w:tc>
          <w:tcPr>
            <w:tcW w:w="1842" w:type="pct"/>
            <w:shd w:val="clear" w:color="auto" w:fill="auto"/>
            <w:noWrap/>
            <w:vAlign w:val="center"/>
          </w:tcPr>
          <w:p w14:paraId="6702F571">
            <w:pPr>
              <w:keepNext w:val="0"/>
              <w:keepLines w:val="0"/>
              <w:widowControl/>
              <w:suppressLineNumbers w:val="0"/>
              <w:spacing w:line="240" w:lineRule="auto"/>
              <w:ind w:firstLine="0" w:firstLineChars="0"/>
              <w:jc w:val="left"/>
              <w:textAlignment w:val="center"/>
              <w:rPr>
                <w:rFonts w:hint="eastAsia" w:ascii="宋体" w:hAnsi="宋体" w:eastAsia="宋体" w:cs="宋体"/>
                <w:color w:val="auto"/>
                <w:kern w:val="2"/>
                <w:sz w:val="21"/>
                <w:szCs w:val="21"/>
                <w:lang w:val="en-US" w:eastAsia="zh-CN"/>
              </w:rPr>
            </w:pPr>
            <w:r>
              <w:rPr>
                <w:rFonts w:hint="eastAsia" w:ascii="宋体" w:hAnsi="宋体" w:eastAsia="宋体" w:cs="宋体"/>
                <w:i w:val="0"/>
                <w:iCs w:val="0"/>
                <w:color w:val="auto"/>
                <w:kern w:val="0"/>
                <w:sz w:val="21"/>
                <w:szCs w:val="21"/>
                <w:u w:val="none"/>
                <w:lang w:val="en-US" w:eastAsia="zh-CN" w:bidi="ar"/>
              </w:rPr>
              <w:t>1、包括但不限于钢柱、钢梁、钢支撑、钢拉条、檩条、系杆、锚栓铁件、天沟托架等组成钢结构车棚所需的所有主材及辅材（含油漆、连接螺母）</w:t>
            </w:r>
          </w:p>
        </w:tc>
        <w:tc>
          <w:tcPr>
            <w:tcW w:w="284" w:type="pct"/>
            <w:shd w:val="clear" w:color="auto" w:fill="auto"/>
            <w:noWrap/>
            <w:vAlign w:val="center"/>
          </w:tcPr>
          <w:p w14:paraId="5CA4CD96">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0"/>
                <w:szCs w:val="20"/>
                <w:u w:val="none"/>
                <w:lang w:val="en-US" w:eastAsia="zh-CN" w:bidi="ar"/>
              </w:rPr>
              <w:t>t</w:t>
            </w:r>
          </w:p>
        </w:tc>
        <w:tc>
          <w:tcPr>
            <w:tcW w:w="327" w:type="pct"/>
            <w:shd w:val="clear" w:color="auto" w:fill="auto"/>
            <w:noWrap/>
            <w:vAlign w:val="center"/>
          </w:tcPr>
          <w:p w14:paraId="3336AE5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75</w:t>
            </w:r>
          </w:p>
        </w:tc>
        <w:tc>
          <w:tcPr>
            <w:tcW w:w="278" w:type="pct"/>
            <w:shd w:val="clear" w:color="auto" w:fill="auto"/>
            <w:noWrap/>
            <w:vAlign w:val="center"/>
          </w:tcPr>
          <w:p w14:paraId="7A71963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445372B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5F875C01">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6476884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099C1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51" w:type="pct"/>
            <w:shd w:val="clear" w:color="auto" w:fill="auto"/>
            <w:noWrap/>
            <w:vAlign w:val="center"/>
          </w:tcPr>
          <w:p w14:paraId="009B5D0C">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521" w:type="pct"/>
            <w:shd w:val="clear" w:color="auto" w:fill="auto"/>
            <w:noWrap/>
            <w:vAlign w:val="center"/>
          </w:tcPr>
          <w:p w14:paraId="6C0B2AF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连接螺栓</w:t>
            </w:r>
          </w:p>
        </w:tc>
        <w:tc>
          <w:tcPr>
            <w:tcW w:w="1842" w:type="pct"/>
            <w:shd w:val="clear" w:color="auto" w:fill="auto"/>
            <w:noWrap/>
            <w:vAlign w:val="center"/>
          </w:tcPr>
          <w:p w14:paraId="5B05AC9E">
            <w:pPr>
              <w:keepNext w:val="0"/>
              <w:keepLines w:val="0"/>
              <w:widowControl/>
              <w:suppressLineNumbers w:val="0"/>
              <w:spacing w:line="240" w:lineRule="auto"/>
              <w:ind w:firstLine="0" w:firstLineChars="0"/>
              <w:jc w:val="left"/>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1、梁梁、柱梁连接螺栓M240*60、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1E4C6DC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EA8161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530</w:t>
            </w:r>
          </w:p>
        </w:tc>
        <w:tc>
          <w:tcPr>
            <w:tcW w:w="278" w:type="pct"/>
            <w:shd w:val="clear" w:color="auto" w:fill="auto"/>
            <w:noWrap/>
            <w:vAlign w:val="center"/>
          </w:tcPr>
          <w:p w14:paraId="34A935CA">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C69EC7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7CD36462">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5827B56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18588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51" w:type="pct"/>
            <w:shd w:val="clear" w:color="auto" w:fill="auto"/>
            <w:noWrap/>
            <w:vAlign w:val="center"/>
          </w:tcPr>
          <w:p w14:paraId="2158B7C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521" w:type="pct"/>
            <w:shd w:val="clear" w:color="auto" w:fill="auto"/>
            <w:noWrap/>
            <w:vAlign w:val="center"/>
          </w:tcPr>
          <w:p w14:paraId="3B7AA52C">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48D95C1B">
            <w:pPr>
              <w:keepNext w:val="0"/>
              <w:keepLines w:val="0"/>
              <w:widowControl/>
              <w:suppressLineNumbers w:val="0"/>
              <w:spacing w:line="240" w:lineRule="auto"/>
              <w:ind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M18*50、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6952A9E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57AE8088">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158</w:t>
            </w:r>
          </w:p>
        </w:tc>
        <w:tc>
          <w:tcPr>
            <w:tcW w:w="278" w:type="pct"/>
            <w:shd w:val="clear" w:color="auto" w:fill="auto"/>
            <w:noWrap/>
            <w:vAlign w:val="center"/>
          </w:tcPr>
          <w:p w14:paraId="53564C0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5B569DC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68CADB37">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7C589EFC">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2F475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51" w:type="pct"/>
            <w:shd w:val="clear" w:color="auto" w:fill="auto"/>
            <w:noWrap/>
            <w:vAlign w:val="center"/>
          </w:tcPr>
          <w:p w14:paraId="78659886">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521" w:type="pct"/>
            <w:shd w:val="clear" w:color="auto" w:fill="auto"/>
            <w:noWrap/>
            <w:vAlign w:val="center"/>
          </w:tcPr>
          <w:p w14:paraId="2BC64716">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普通螺栓</w:t>
            </w:r>
          </w:p>
        </w:tc>
        <w:tc>
          <w:tcPr>
            <w:tcW w:w="1842" w:type="pct"/>
            <w:shd w:val="clear" w:color="auto" w:fill="auto"/>
            <w:noWrap/>
            <w:vAlign w:val="center"/>
          </w:tcPr>
          <w:p w14:paraId="2ED3443B">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系杆螺栓</w:t>
            </w:r>
            <w:r>
              <w:rPr>
                <w:rFonts w:hint="eastAsia" w:ascii="宋体" w:hAnsi="宋体" w:eastAsia="宋体" w:cs="宋体"/>
                <w:i w:val="0"/>
                <w:iCs w:val="0"/>
                <w:color w:val="auto"/>
                <w:kern w:val="0"/>
                <w:sz w:val="21"/>
                <w:szCs w:val="21"/>
                <w:lang w:val="en-US" w:eastAsia="zh-CN" w:bidi="ar"/>
              </w:rPr>
              <w:t>M14*50、</w:t>
            </w:r>
            <w:r>
              <w:rPr>
                <w:rFonts w:hint="eastAsia" w:ascii="宋体" w:hAnsi="宋体" w:eastAsia="宋体" w:cs="宋体"/>
                <w:i w:val="0"/>
                <w:iCs w:val="0"/>
                <w:color w:val="auto"/>
                <w:kern w:val="0"/>
                <w:sz w:val="21"/>
                <w:szCs w:val="21"/>
                <w:u w:val="none"/>
                <w:lang w:val="en-US" w:eastAsia="zh-CN" w:bidi="ar"/>
              </w:rPr>
              <w:t>高强螺栓10.9级</w:t>
            </w:r>
          </w:p>
        </w:tc>
        <w:tc>
          <w:tcPr>
            <w:tcW w:w="284" w:type="pct"/>
            <w:shd w:val="clear" w:color="auto" w:fill="auto"/>
            <w:noWrap/>
            <w:vAlign w:val="center"/>
          </w:tcPr>
          <w:p w14:paraId="2B9810DE">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套</w:t>
            </w:r>
          </w:p>
        </w:tc>
        <w:tc>
          <w:tcPr>
            <w:tcW w:w="327" w:type="pct"/>
            <w:shd w:val="clear" w:color="auto" w:fill="auto"/>
            <w:noWrap/>
            <w:vAlign w:val="center"/>
          </w:tcPr>
          <w:p w14:paraId="0810DE82">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3000</w:t>
            </w:r>
          </w:p>
        </w:tc>
        <w:tc>
          <w:tcPr>
            <w:tcW w:w="278" w:type="pct"/>
            <w:shd w:val="clear" w:color="auto" w:fill="auto"/>
            <w:noWrap/>
            <w:vAlign w:val="center"/>
          </w:tcPr>
          <w:p w14:paraId="46B87B25">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04D0BF2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C1EE6B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46FD74FE">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357C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51" w:type="pct"/>
            <w:shd w:val="clear" w:color="auto" w:fill="auto"/>
            <w:noWrap/>
            <w:vAlign w:val="center"/>
          </w:tcPr>
          <w:p w14:paraId="33415483">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5</w:t>
            </w:r>
          </w:p>
        </w:tc>
        <w:tc>
          <w:tcPr>
            <w:tcW w:w="521" w:type="pct"/>
            <w:shd w:val="clear" w:color="auto" w:fill="auto"/>
            <w:noWrap/>
            <w:vAlign w:val="center"/>
          </w:tcPr>
          <w:p w14:paraId="57B8A77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天沟水槽</w:t>
            </w:r>
          </w:p>
        </w:tc>
        <w:tc>
          <w:tcPr>
            <w:tcW w:w="1842" w:type="pct"/>
            <w:shd w:val="clear" w:color="auto" w:fill="auto"/>
            <w:noWrap/>
            <w:vAlign w:val="center"/>
          </w:tcPr>
          <w:p w14:paraId="3B5688D7">
            <w:pPr>
              <w:keepNext w:val="0"/>
              <w:keepLines w:val="0"/>
              <w:widowControl/>
              <w:numPr>
                <w:ilvl w:val="0"/>
                <w:numId w:val="0"/>
              </w:numPr>
              <w:suppressLineNumbers w:val="0"/>
              <w:spacing w:line="240" w:lineRule="auto"/>
              <w:ind w:left="0" w:leftChars="0" w:firstLine="0" w:firstLineChars="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lang w:val="en-US" w:eastAsia="zh-CN" w:bidi="ar"/>
              </w:rPr>
              <w:t>1、</w:t>
            </w:r>
            <w:r>
              <w:rPr>
                <w:rFonts w:hint="eastAsia" w:ascii="宋体" w:hAnsi="宋体" w:eastAsia="宋体" w:cs="宋体"/>
                <w:i w:val="0"/>
                <w:iCs w:val="0"/>
                <w:color w:val="000000"/>
                <w:kern w:val="0"/>
                <w:sz w:val="20"/>
                <w:szCs w:val="20"/>
                <w:u w:val="none"/>
                <w:lang w:val="en-US" w:eastAsia="zh-CN" w:bidi="ar"/>
              </w:rPr>
              <w:t>80*270*300*270*80mm</w:t>
            </w:r>
            <w:r>
              <w:rPr>
                <w:rFonts w:hint="eastAsia" w:ascii="宋体" w:hAnsi="宋体" w:eastAsia="宋体" w:cs="宋体"/>
                <w:i w:val="0"/>
                <w:iCs w:val="0"/>
                <w:color w:val="auto"/>
                <w:kern w:val="0"/>
                <w:sz w:val="21"/>
                <w:szCs w:val="21"/>
                <w:u w:val="none"/>
                <w:lang w:val="en-US" w:eastAsia="zh-CN" w:bidi="ar"/>
              </w:rPr>
              <w:t>；</w:t>
            </w:r>
          </w:p>
        </w:tc>
        <w:tc>
          <w:tcPr>
            <w:tcW w:w="284" w:type="pct"/>
            <w:shd w:val="clear" w:color="auto" w:fill="auto"/>
            <w:noWrap/>
            <w:vAlign w:val="center"/>
          </w:tcPr>
          <w:p w14:paraId="6851062A">
            <w:pPr>
              <w:keepNext w:val="0"/>
              <w:keepLines w:val="0"/>
              <w:widowControl/>
              <w:suppressLineNumbers w:val="0"/>
              <w:spacing w:line="240" w:lineRule="auto"/>
              <w:ind w:firstLine="0" w:firstLineChars="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米</w:t>
            </w:r>
          </w:p>
        </w:tc>
        <w:tc>
          <w:tcPr>
            <w:tcW w:w="327" w:type="pct"/>
            <w:shd w:val="clear" w:color="auto" w:fill="auto"/>
            <w:noWrap/>
            <w:vAlign w:val="center"/>
          </w:tcPr>
          <w:p w14:paraId="6DBD8B89">
            <w:pPr>
              <w:keepNext w:val="0"/>
              <w:keepLines w:val="0"/>
              <w:widowControl/>
              <w:suppressLineNumbers w:val="0"/>
              <w:spacing w:line="240" w:lineRule="auto"/>
              <w:ind w:firstLine="0" w:firstLineChars="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144</w:t>
            </w:r>
          </w:p>
        </w:tc>
        <w:tc>
          <w:tcPr>
            <w:tcW w:w="278" w:type="pct"/>
            <w:shd w:val="clear" w:color="auto" w:fill="auto"/>
            <w:noWrap/>
            <w:vAlign w:val="center"/>
          </w:tcPr>
          <w:p w14:paraId="242FB86B">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13%</w:t>
            </w:r>
          </w:p>
        </w:tc>
        <w:tc>
          <w:tcPr>
            <w:tcW w:w="545" w:type="pct"/>
            <w:shd w:val="clear" w:color="auto" w:fill="auto"/>
            <w:noWrap/>
            <w:vAlign w:val="center"/>
          </w:tcPr>
          <w:p w14:paraId="1224ECB8">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33" w:type="pct"/>
            <w:shd w:val="clear" w:color="auto" w:fill="auto"/>
            <w:noWrap/>
            <w:vAlign w:val="center"/>
          </w:tcPr>
          <w:p w14:paraId="1F1F912D">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088BA2A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40DA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48" w:hRule="atLeast"/>
        </w:trPr>
        <w:tc>
          <w:tcPr>
            <w:tcW w:w="3605" w:type="pct"/>
            <w:gridSpan w:val="6"/>
            <w:shd w:val="clear" w:color="auto" w:fill="auto"/>
            <w:noWrap/>
            <w:vAlign w:val="center"/>
          </w:tcPr>
          <w:p w14:paraId="5F59A8B4">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545" w:type="pct"/>
            <w:shd w:val="clear" w:color="auto" w:fill="auto"/>
            <w:noWrap/>
            <w:vAlign w:val="center"/>
          </w:tcPr>
          <w:p w14:paraId="11395956">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合计</w:t>
            </w:r>
          </w:p>
        </w:tc>
        <w:tc>
          <w:tcPr>
            <w:tcW w:w="533" w:type="pct"/>
            <w:shd w:val="clear" w:color="auto" w:fill="auto"/>
            <w:noWrap/>
            <w:vAlign w:val="center"/>
          </w:tcPr>
          <w:p w14:paraId="510C8F59">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c>
          <w:tcPr>
            <w:tcW w:w="315" w:type="pct"/>
            <w:shd w:val="clear" w:color="auto" w:fill="auto"/>
            <w:noWrap/>
            <w:vAlign w:val="center"/>
          </w:tcPr>
          <w:p w14:paraId="21F8DB4F">
            <w:pPr>
              <w:keepNext w:val="0"/>
              <w:keepLines w:val="0"/>
              <w:widowControl/>
              <w:suppressLineNumbers w:val="0"/>
              <w:spacing w:line="240" w:lineRule="auto"/>
              <w:ind w:firstLine="0" w:firstLineChars="0"/>
              <w:jc w:val="center"/>
              <w:textAlignment w:val="center"/>
              <w:rPr>
                <w:rFonts w:hint="default" w:ascii="宋体" w:hAnsi="宋体" w:eastAsia="宋体" w:cs="宋体"/>
                <w:color w:val="auto"/>
                <w:kern w:val="2"/>
                <w:sz w:val="21"/>
                <w:szCs w:val="21"/>
                <w:lang w:val="en-US" w:eastAsia="zh-CN"/>
              </w:rPr>
            </w:pPr>
          </w:p>
        </w:tc>
      </w:tr>
      <w:tr w14:paraId="39F8A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trPr>
        <w:tc>
          <w:tcPr>
            <w:tcW w:w="351" w:type="pct"/>
            <w:shd w:val="clear" w:color="auto" w:fill="auto"/>
            <w:noWrap/>
            <w:vAlign w:val="center"/>
          </w:tcPr>
          <w:p w14:paraId="31055EB5">
            <w:pPr>
              <w:keepNext w:val="0"/>
              <w:keepLines w:val="0"/>
              <w:widowControl/>
              <w:suppressLineNumbers w:val="0"/>
              <w:spacing w:line="240" w:lineRule="auto"/>
              <w:ind w:firstLine="0" w:firstLineChars="0"/>
              <w:jc w:val="center"/>
              <w:textAlignment w:val="center"/>
              <w:rPr>
                <w:rFonts w:hint="eastAsia" w:ascii="宋体" w:hAnsi="宋体" w:eastAsia="宋体" w:cs="宋体"/>
                <w:kern w:val="2"/>
                <w:sz w:val="21"/>
                <w:szCs w:val="21"/>
                <w:lang w:val="en-US" w:eastAsia="zh-CN"/>
              </w:rPr>
            </w:pPr>
            <w:r>
              <w:rPr>
                <w:rFonts w:hint="eastAsia" w:ascii="宋体" w:hAnsi="宋体" w:eastAsia="宋体" w:cs="宋体"/>
                <w:b w:val="0"/>
                <w:bCs w:val="0"/>
                <w:kern w:val="2"/>
                <w:sz w:val="21"/>
                <w:szCs w:val="21"/>
                <w:highlight w:val="none"/>
                <w:lang w:val="en-US" w:eastAsia="zh-CN" w:bidi="ar-SA"/>
              </w:rPr>
              <w:t>备注</w:t>
            </w:r>
          </w:p>
        </w:tc>
        <w:tc>
          <w:tcPr>
            <w:tcW w:w="4648" w:type="pct"/>
            <w:gridSpan w:val="8"/>
            <w:shd w:val="clear" w:color="auto" w:fill="auto"/>
            <w:noWrap/>
            <w:vAlign w:val="center"/>
          </w:tcPr>
          <w:p w14:paraId="4B2FC0B0">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lang w:val="en-US" w:eastAsia="zh-CN" w:bidi="ar-SA"/>
              </w:rPr>
              <w:t>1、</w:t>
            </w:r>
            <w:r>
              <w:rPr>
                <w:rFonts w:hint="eastAsia" w:ascii="宋体" w:hAnsi="宋体" w:eastAsia="宋体" w:cs="宋体"/>
                <w:b w:val="0"/>
                <w:bCs w:val="0"/>
                <w:kern w:val="2"/>
                <w:sz w:val="21"/>
                <w:szCs w:val="21"/>
                <w:highlight w:val="none"/>
                <w:lang w:val="en-US" w:eastAsia="zh-CN" w:bidi="ar-SA"/>
              </w:rPr>
              <w:t>以上单项报价采购人认为供应商已充分考虑采购所有采购要求，包括但不限于以下费用：人工费、材料费、装车费、运至采购人指定工地现场的运输费、采购人指定地卸车费、超时等候费用、税金、保险费、利润、检测费、风险金等所有费用。</w:t>
            </w:r>
          </w:p>
          <w:p w14:paraId="7F70D905">
            <w:pPr>
              <w:keepNext w:val="0"/>
              <w:keepLines w:val="0"/>
              <w:widowControl/>
              <w:numPr>
                <w:ilvl w:val="0"/>
                <w:numId w:val="0"/>
              </w:numPr>
              <w:suppressLineNumbers w:val="0"/>
              <w:spacing w:line="240" w:lineRule="auto"/>
              <w:ind w:firstLine="0" w:firstLineChars="0"/>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2、</w:t>
            </w:r>
            <w:r>
              <w:rPr>
                <w:rFonts w:hint="eastAsia" w:ascii="宋体" w:hAnsi="宋体" w:eastAsia="宋体" w:cs="宋体"/>
                <w:b w:val="0"/>
                <w:bCs w:val="0"/>
                <w:kern w:val="2"/>
                <w:sz w:val="21"/>
                <w:szCs w:val="21"/>
                <w:highlight w:val="none"/>
                <w:lang w:val="en-US" w:eastAsia="zh-CN" w:bidi="ar-SA"/>
              </w:rPr>
              <w:t>采购数量为暂定数量，具体使用数量以实际采购使用为准，据实结算。</w:t>
            </w:r>
          </w:p>
          <w:p w14:paraId="7C5500E2">
            <w:pPr>
              <w:keepNext w:val="0"/>
              <w:keepLines w:val="0"/>
              <w:widowControl/>
              <w:numPr>
                <w:ilvl w:val="0"/>
                <w:numId w:val="0"/>
              </w:numPr>
              <w:suppressLineNumbers w:val="0"/>
              <w:spacing w:line="240" w:lineRule="auto"/>
              <w:jc w:val="left"/>
              <w:textAlignment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bidi="ar-SA"/>
              </w:rPr>
              <w:t>3、</w:t>
            </w:r>
            <w:r>
              <w:rPr>
                <w:rFonts w:hint="eastAsia" w:ascii="宋体" w:hAnsi="宋体" w:eastAsia="宋体" w:cs="宋体"/>
                <w:kern w:val="2"/>
                <w:sz w:val="21"/>
                <w:szCs w:val="21"/>
                <w:lang w:val="en-US" w:eastAsia="zh-CN"/>
              </w:rPr>
              <w:t>钢结构图纸以设计单位最终出具的盖章版图纸为准，</w:t>
            </w:r>
            <w:r>
              <w:rPr>
                <w:rFonts w:hint="eastAsia" w:ascii="宋体" w:hAnsi="宋体" w:eastAsia="宋体" w:cs="宋体"/>
                <w:i w:val="0"/>
                <w:iCs w:val="0"/>
                <w:color w:val="auto"/>
                <w:kern w:val="0"/>
                <w:sz w:val="21"/>
                <w:szCs w:val="21"/>
                <w:u w:val="none"/>
                <w:lang w:val="en-US" w:eastAsia="zh-CN" w:bidi="ar"/>
              </w:rPr>
              <w:t>规格尺寸、材料要求详见设计图纸，满足采购人要求</w:t>
            </w:r>
            <w:r>
              <w:rPr>
                <w:rFonts w:hint="eastAsia" w:ascii="宋体" w:hAnsi="宋体" w:eastAsia="宋体" w:cs="宋体"/>
                <w:kern w:val="2"/>
                <w:sz w:val="21"/>
                <w:szCs w:val="21"/>
                <w:lang w:val="en-US" w:eastAsia="zh-CN"/>
              </w:rPr>
              <w:t>。</w:t>
            </w:r>
          </w:p>
        </w:tc>
      </w:tr>
    </w:tbl>
    <w:p w14:paraId="703CDA2B">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2585"/>
      <w:bookmarkStart w:id="285" w:name="_Toc300835221"/>
      <w:bookmarkStart w:id="286" w:name="_Toc247527836"/>
      <w:bookmarkStart w:id="287" w:name="_Toc247514288"/>
      <w:bookmarkStart w:id="288" w:name="_Toc152045796"/>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246997116"/>
      <w:bookmarkStart w:id="293" w:name="_Toc247085891"/>
      <w:bookmarkStart w:id="294" w:name="_Toc296602618"/>
      <w:bookmarkStart w:id="295" w:name="_Toc17963282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7113"/>
      <w:bookmarkStart w:id="297" w:name="_Toc247085888"/>
      <w:bookmarkStart w:id="298" w:name="_Toc296602615"/>
      <w:bookmarkStart w:id="299" w:name="_Toc246996370"/>
      <w:bookmarkStart w:id="300" w:name="_Toc144974878"/>
      <w:bookmarkStart w:id="301" w:name="_Toc300835226"/>
      <w:bookmarkStart w:id="302" w:name="_Toc247527850"/>
      <w:bookmarkStart w:id="303" w:name="_Toc247514302"/>
      <w:bookmarkStart w:id="304" w:name="_Toc152045810"/>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44974879"/>
      <w:bookmarkStart w:id="313" w:name="_Toc15204581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b/>
          <w:bCs/>
          <w:color w:val="FF0000"/>
          <w:lang w:val="en-US" w:eastAsia="zh-CN"/>
        </w:rPr>
        <w:t>2、提供供应商的业绩合同证明材料的复印件或扫描件，加盖供应商单位公章；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27853"/>
      <w:bookmarkStart w:id="317" w:name="_Toc247530162"/>
      <w:bookmarkStart w:id="318" w:name="_Toc144974881"/>
      <w:bookmarkStart w:id="319" w:name="_Toc152045813"/>
      <w:bookmarkStart w:id="320" w:name="_Toc247514305"/>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964C967-245B-4FD4-B4DC-1A9263EE3BB1}"/>
  </w:font>
  <w:font w:name="Arial">
    <w:panose1 w:val="020B0604020202020204"/>
    <w:charset w:val="01"/>
    <w:family w:val="swiss"/>
    <w:pitch w:val="default"/>
    <w:sig w:usb0="E0002EFF" w:usb1="C000785B" w:usb2="00000009" w:usb3="00000000" w:csb0="400001FF" w:csb1="FFFF0000"/>
    <w:embedRegular r:id="rId2" w:fontKey="{B786481F-2787-4552-9F1B-6C035D9AC6A0}"/>
  </w:font>
  <w:font w:name="黑体">
    <w:panose1 w:val="02010609060101010101"/>
    <w:charset w:val="86"/>
    <w:family w:val="auto"/>
    <w:pitch w:val="default"/>
    <w:sig w:usb0="800002BF" w:usb1="38CF7CFA" w:usb2="00000016" w:usb3="00000000" w:csb0="00040001" w:csb1="00000000"/>
    <w:embedRegular r:id="rId3" w:fontKey="{A693AE31-9825-475F-AF4A-06CEFD1807D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8AE8CAC-39AC-4C6B-9125-BEAE833E4D9D}"/>
  </w:font>
  <w:font w:name="仿宋_GB2312">
    <w:panose1 w:val="02010609030101010101"/>
    <w:charset w:val="86"/>
    <w:family w:val="modern"/>
    <w:pitch w:val="default"/>
    <w:sig w:usb0="00000001" w:usb1="080E0000" w:usb2="00000000" w:usb3="00000000" w:csb0="00040000" w:csb1="00000000"/>
    <w:embedRegular r:id="rId5" w:fontKey="{3AC45A92-19AC-4D41-ADAB-1FB9EE5EA42B}"/>
  </w:font>
  <w:font w:name="方正小标宋简体">
    <w:panose1 w:val="03000509000000000000"/>
    <w:charset w:val="86"/>
    <w:family w:val="auto"/>
    <w:pitch w:val="default"/>
    <w:sig w:usb0="00000001" w:usb1="080E0000" w:usb2="00000000" w:usb3="00000000" w:csb0="00040000" w:csb1="00000000"/>
    <w:embedRegular r:id="rId6" w:fontKey="{327838B0-A5B7-4134-88C0-8B9736287597}"/>
  </w:font>
  <w:font w:name="楷体">
    <w:panose1 w:val="02010609060101010101"/>
    <w:charset w:val="86"/>
    <w:family w:val="auto"/>
    <w:pitch w:val="default"/>
    <w:sig w:usb0="800002BF" w:usb1="38CF7CFA" w:usb2="00000016" w:usb3="00000000" w:csb0="00040001" w:csb1="00000000"/>
    <w:embedRegular r:id="rId7" w:fontKey="{657886E9-61C5-475E-AC24-03CE3F3F34AD}"/>
  </w:font>
  <w:font w:name="Wingdings 2">
    <w:panose1 w:val="05020102010507070707"/>
    <w:charset w:val="00"/>
    <w:family w:val="auto"/>
    <w:pitch w:val="default"/>
    <w:sig w:usb0="00000000" w:usb1="00000000" w:usb2="00000000" w:usb3="00000000" w:csb0="80000000" w:csb1="00000000"/>
    <w:embedRegular r:id="rId8" w:fontKey="{65A287A9-871A-42EF-900C-90F71A97FB72}"/>
  </w:font>
  <w:font w:name="方正仿宋_GB2312">
    <w:panose1 w:val="02000000000000000000"/>
    <w:charset w:val="86"/>
    <w:family w:val="auto"/>
    <w:pitch w:val="default"/>
    <w:sig w:usb0="A00002BF" w:usb1="184F6CFA" w:usb2="00000012" w:usb3="00000000" w:csb0="00040001" w:csb1="00000000"/>
    <w:embedRegular r:id="rId9" w:fontKey="{8DE776CB-7754-41F5-8C40-29C666754645}"/>
  </w:font>
  <w:font w:name="仿宋">
    <w:panose1 w:val="02010609060101010101"/>
    <w:charset w:val="86"/>
    <w:family w:val="modern"/>
    <w:pitch w:val="default"/>
    <w:sig w:usb0="800002BF" w:usb1="38CF7CFA" w:usb2="00000016" w:usb3="00000000" w:csb0="00040001" w:csb1="00000000"/>
    <w:embedRegular r:id="rId10" w:fontKey="{DD45F072-7184-4598-8101-CA8C4494E1BE}"/>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935DD5"/>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149F5"/>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2416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2F7EB6"/>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C09D6"/>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1505E"/>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7289</Words>
  <Characters>8070</Characters>
  <Lines>0</Lines>
  <Paragraphs>0</Paragraphs>
  <TotalTime>7</TotalTime>
  <ScaleCrop>false</ScaleCrop>
  <LinksUpToDate>false</LinksUpToDate>
  <CharactersWithSpaces>8194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2025-12-02T01:06:00Z</cp:lastPrinted>
  <dcterms:modified xsi:type="dcterms:W3CDTF">2025-12-04T09:20:54Z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