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CA7FCD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高铁站地下室公共走廊外墙砖脱落改造工程项目</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金属幕墙板材采购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100号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2025年11</w:t>
      </w:r>
      <w:r>
        <w:rPr>
          <w:rFonts w:hint="eastAsia" w:ascii="Times New Roman" w:hAnsi="Times New Roman" w:eastAsia="楷体" w:cs="Times New Roman"/>
          <w:kern w:val="0"/>
          <w:sz w:val="32"/>
          <w:szCs w:val="32"/>
          <w:highlight w:val="none"/>
          <w:u w:val="none"/>
          <w:shd w:val="clear" w:color="auto" w:fill="auto"/>
          <w:lang w:val="en-US" w:eastAsia="zh-CN"/>
        </w:rPr>
        <w:t>月27日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高铁站地下室公共走廊外墙砖脱落改造工程项目金属幕墙板材采购</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u w:val="none"/>
          <w:lang w:val="en-US" w:eastAsia="zh-CN"/>
        </w:rPr>
        <w:t>高铁站地下室公共走廊外墙砖脱落改造工程项目金属幕墙板材采购</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100号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（不含税）</w:t>
      </w:r>
      <w:permEnd w:id="8"/>
      <w:r>
        <w:rPr>
          <w:rFonts w:hint="eastAsia" w:asciiTheme="minorEastAsia" w:hAnsiTheme="minorEastAsia" w:eastAsiaTheme="minorEastAsia" w:cstheme="minorEastAsia"/>
          <w:sz w:val="28"/>
          <w:szCs w:val="28"/>
          <w:highlight w:val="none"/>
          <w:lang w:val="en-US" w:eastAsia="zh-CN"/>
        </w:rPr>
        <w:t>：</w:t>
      </w:r>
      <w:r>
        <w:rPr>
          <w:rFonts w:hint="eastAsia" w:ascii="宋体" w:hAnsi="宋体" w:cs="宋体"/>
          <w:color w:val="FF0000"/>
          <w:kern w:val="2"/>
          <w:sz w:val="28"/>
          <w:szCs w:val="28"/>
          <w:highlight w:val="none"/>
          <w:u w:val="single"/>
          <w:lang w:val="en-US" w:eastAsia="zh-CN"/>
        </w:rPr>
        <w:t>159.29元/m</w:t>
      </w:r>
      <w:r>
        <w:rPr>
          <w:rFonts w:hint="eastAsia" w:ascii="宋体" w:hAnsi="宋体" w:cs="宋体"/>
          <w:color w:val="FF0000"/>
          <w:kern w:val="2"/>
          <w:sz w:val="28"/>
          <w:szCs w:val="28"/>
          <w:highlight w:val="none"/>
          <w:u w:val="single"/>
          <w:vertAlign w:val="superscript"/>
          <w:lang w:val="en-US" w:eastAsia="zh-CN"/>
        </w:rPr>
        <w:t>2</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不含税固定单价</w:t>
      </w:r>
      <w:permEnd w:id="9"/>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本次采购的范围是高铁站地下室公共走廊外墙砖脱落改造工程项目金属板幕墙施工所需要的约1107.18m</w:t>
      </w:r>
      <w:r>
        <w:rPr>
          <w:rFonts w:hint="eastAsia" w:asciiTheme="minorEastAsia" w:hAnsiTheme="minorEastAsia" w:eastAsiaTheme="minorEastAsia" w:cstheme="minorEastAsia"/>
          <w:sz w:val="28"/>
          <w:szCs w:val="28"/>
          <w:highlight w:val="none"/>
          <w:vertAlign w:val="superscript"/>
          <w:lang w:val="en-US" w:eastAsia="zh-CN"/>
        </w:rPr>
        <w:t>2</w:t>
      </w:r>
      <w:r>
        <w:rPr>
          <w:rFonts w:hint="eastAsia" w:asciiTheme="minorEastAsia" w:hAnsiTheme="minorEastAsia" w:eastAsiaTheme="minorEastAsia" w:cstheme="minorEastAsia"/>
          <w:sz w:val="28"/>
          <w:szCs w:val="28"/>
          <w:highlight w:val="none"/>
          <w:lang w:val="en-US" w:eastAsia="zh-CN"/>
        </w:rPr>
        <w:t>金属幕墙板材。供应商需按照施工图纸、工程量清单及采购人的要求，设计变更、业主及采购人要求增加、工程联系单等要求完成所有工作任务，以实际完成合格工程量为准。供应商响应前请认真查阅施工图并自行踏堪现场了解情况，响应时我方认为供应商已充分了解工程概况及工作范围。</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宋体" w:hAnsi="宋体" w:cs="宋体"/>
          <w:color w:val="auto"/>
          <w:kern w:val="2"/>
          <w:sz w:val="28"/>
          <w:szCs w:val="28"/>
          <w:highlight w:val="none"/>
          <w:lang w:val="en-US" w:eastAsia="zh-CN"/>
        </w:rPr>
        <w:t>供货期</w:t>
      </w:r>
      <w:r>
        <w:rPr>
          <w:rFonts w:hint="eastAsia" w:ascii="宋体" w:hAnsi="宋体" w:eastAsia="宋体" w:cs="宋体"/>
          <w:color w:val="auto"/>
          <w:kern w:val="2"/>
          <w:sz w:val="28"/>
          <w:szCs w:val="28"/>
          <w:highlight w:val="none"/>
          <w:lang w:val="en-US" w:eastAsia="zh-CN"/>
        </w:rPr>
        <w:t>：自采购人发出</w:t>
      </w:r>
      <w:r>
        <w:rPr>
          <w:rFonts w:hint="eastAsia" w:ascii="宋体" w:hAnsi="宋体" w:cs="宋体"/>
          <w:color w:val="auto"/>
          <w:kern w:val="2"/>
          <w:sz w:val="28"/>
          <w:szCs w:val="28"/>
          <w:highlight w:val="none"/>
          <w:lang w:val="en-US" w:eastAsia="zh-CN"/>
        </w:rPr>
        <w:t>供货</w:t>
      </w:r>
      <w:r>
        <w:rPr>
          <w:rFonts w:hint="eastAsia" w:ascii="宋体" w:hAnsi="宋体" w:eastAsia="宋体" w:cs="宋体"/>
          <w:color w:val="auto"/>
          <w:kern w:val="2"/>
          <w:sz w:val="28"/>
          <w:szCs w:val="28"/>
          <w:highlight w:val="none"/>
          <w:lang w:val="en-US" w:eastAsia="zh-CN"/>
        </w:rPr>
        <w:t>指令之日起</w:t>
      </w:r>
      <w:r>
        <w:rPr>
          <w:rFonts w:hint="eastAsia" w:ascii="宋体" w:hAnsi="宋体" w:cs="宋体"/>
          <w:color w:val="auto"/>
          <w:kern w:val="2"/>
          <w:sz w:val="28"/>
          <w:szCs w:val="28"/>
          <w:highlight w:val="none"/>
          <w:lang w:val="en-US" w:eastAsia="zh-CN"/>
        </w:rPr>
        <w:t>10日历</w:t>
      </w:r>
      <w:r>
        <w:rPr>
          <w:rFonts w:hint="eastAsia" w:ascii="宋体" w:hAnsi="宋体" w:eastAsia="宋体" w:cs="宋体"/>
          <w:color w:val="auto"/>
          <w:kern w:val="2"/>
          <w:sz w:val="28"/>
          <w:szCs w:val="28"/>
          <w:highlight w:val="none"/>
          <w:lang w:val="en-US" w:eastAsia="zh-CN"/>
        </w:rPr>
        <w:t>天</w:t>
      </w:r>
      <w:r>
        <w:rPr>
          <w:rFonts w:hint="eastAsia" w:ascii="宋体" w:hAnsi="宋体" w:cs="宋体"/>
          <w:color w:val="auto"/>
          <w:kern w:val="2"/>
          <w:sz w:val="28"/>
          <w:szCs w:val="28"/>
          <w:highlight w:val="none"/>
          <w:lang w:val="en-US" w:eastAsia="zh-CN"/>
        </w:rPr>
        <w:t>内完成供货</w:t>
      </w:r>
      <w:r>
        <w:rPr>
          <w:rFonts w:hint="eastAsia" w:asciiTheme="minorEastAsia" w:hAnsiTheme="minorEastAsia" w:cstheme="minorEastAsia"/>
          <w:sz w:val="28"/>
          <w:szCs w:val="28"/>
          <w:highlight w:val="none"/>
          <w:lang w:val="en-US" w:eastAsia="zh-CN"/>
        </w:rPr>
        <w:t>。</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（三）供货地点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宋体" w:hAnsi="宋体" w:eastAsia="宋体" w:cs="宋体"/>
          <w:color w:val="auto"/>
          <w:kern w:val="2"/>
          <w:sz w:val="28"/>
          <w:szCs w:val="28"/>
          <w:highlight w:val="none"/>
          <w:lang w:val="en-US" w:eastAsia="zh-CN"/>
        </w:rPr>
        <w:t>亳州市高新区酒城大道与神农大道交叉口</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（一）供应商须具有独立法人资格，并在人员、设备、资金等方面具有承担本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41725D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供应商</w:t>
      </w:r>
      <w:r>
        <w:rPr>
          <w:rFonts w:hint="eastAsia" w:asciiTheme="minorEastAsia" w:hAnsiTheme="minorEastAsia" w:cstheme="minorEastAsia"/>
          <w:sz w:val="28"/>
          <w:szCs w:val="28"/>
          <w:highlight w:val="none"/>
          <w:lang w:val="en-US" w:eastAsia="zh-CN"/>
        </w:rPr>
        <w:t>需提供</w:t>
      </w:r>
      <w:r>
        <w:rPr>
          <w:rFonts w:hint="eastAsia" w:asciiTheme="minorEastAsia" w:hAnsiTheme="minorEastAsia" w:cstheme="minorEastAsia"/>
          <w:color w:val="FF0000"/>
          <w:sz w:val="28"/>
          <w:szCs w:val="28"/>
          <w:highlight w:val="none"/>
          <w:u w:val="single"/>
          <w:lang w:val="en-US" w:eastAsia="zh-CN"/>
        </w:rPr>
        <w:t>2020</w:t>
      </w:r>
      <w:r>
        <w:rPr>
          <w:rFonts w:hint="eastAsia" w:asciiTheme="minorEastAsia" w:hAnsiTheme="minorEastAsia" w:cstheme="minorEastAsia"/>
          <w:sz w:val="28"/>
          <w:szCs w:val="28"/>
          <w:highlight w:val="none"/>
          <w:lang w:val="en-US" w:eastAsia="zh-CN"/>
        </w:rPr>
        <w:t>年至今企业类似项目业绩</w:t>
      </w:r>
      <w:r>
        <w:rPr>
          <w:rFonts w:hint="eastAsia" w:asciiTheme="minorEastAsia" w:hAnsiTheme="minorEastAsia" w:cstheme="minorEastAsia"/>
          <w:color w:val="FF0000"/>
          <w:sz w:val="28"/>
          <w:szCs w:val="28"/>
          <w:highlight w:val="none"/>
          <w:u w:val="single"/>
          <w:lang w:val="en-US" w:eastAsia="zh-CN"/>
        </w:rPr>
        <w:t>1</w:t>
      </w:r>
      <w:r>
        <w:rPr>
          <w:rFonts w:hint="eastAsia" w:asciiTheme="minorEastAsia" w:hAnsiTheme="minorEastAsia" w:cstheme="minorEastAsia"/>
          <w:sz w:val="28"/>
          <w:szCs w:val="28"/>
          <w:highlight w:val="none"/>
          <w:lang w:val="en-US" w:eastAsia="zh-CN"/>
        </w:rPr>
        <w:t>个，以合同签订时间为准。类似项目业绩指：</w:t>
      </w:r>
      <w:r>
        <w:rPr>
          <w:rFonts w:hint="eastAsia" w:asciiTheme="minorEastAsia" w:hAnsiTheme="minorEastAsia" w:eastAsiaTheme="minorEastAsia" w:cstheme="minorEastAsia"/>
          <w:color w:val="FF0000"/>
          <w:kern w:val="2"/>
          <w:sz w:val="28"/>
          <w:szCs w:val="28"/>
          <w:highlight w:val="none"/>
          <w:u w:val="single"/>
          <w:lang w:val="en-US" w:eastAsia="zh-CN"/>
        </w:rPr>
        <w:t>单</w:t>
      </w:r>
      <w:r>
        <w:rPr>
          <w:rFonts w:hint="eastAsia" w:ascii="宋体" w:hAnsi="宋体" w:eastAsia="宋体" w:cs="宋体"/>
          <w:color w:val="FF0000"/>
          <w:kern w:val="2"/>
          <w:sz w:val="28"/>
          <w:szCs w:val="28"/>
          <w:highlight w:val="none"/>
          <w:u w:val="single"/>
          <w:lang w:val="en-US" w:eastAsia="zh-CN"/>
        </w:rPr>
        <w:t>项合同金额不低于</w:t>
      </w:r>
      <w:r>
        <w:rPr>
          <w:rFonts w:hint="eastAsia" w:ascii="宋体" w:hAnsi="宋体" w:cs="宋体"/>
          <w:color w:val="FF0000"/>
          <w:kern w:val="2"/>
          <w:sz w:val="28"/>
          <w:szCs w:val="28"/>
          <w:highlight w:val="none"/>
          <w:u w:val="single"/>
          <w:lang w:val="en-US" w:eastAsia="zh-CN"/>
        </w:rPr>
        <w:t>10</w:t>
      </w:r>
      <w:r>
        <w:rPr>
          <w:rFonts w:hint="eastAsia" w:ascii="宋体" w:hAnsi="宋体" w:eastAsia="宋体" w:cs="宋体"/>
          <w:color w:val="FF0000"/>
          <w:kern w:val="2"/>
          <w:sz w:val="28"/>
          <w:szCs w:val="28"/>
          <w:highlight w:val="none"/>
          <w:u w:val="single"/>
          <w:lang w:val="en-US" w:eastAsia="zh-CN"/>
        </w:rPr>
        <w:t>万元的</w:t>
      </w:r>
      <w:r>
        <w:rPr>
          <w:rFonts w:hint="eastAsia" w:ascii="宋体" w:hAnsi="宋体" w:cs="宋体"/>
          <w:color w:val="FF0000"/>
          <w:kern w:val="2"/>
          <w:sz w:val="28"/>
          <w:szCs w:val="28"/>
          <w:highlight w:val="none"/>
          <w:u w:val="single"/>
          <w:lang w:val="en-US" w:eastAsia="zh-CN"/>
        </w:rPr>
        <w:t>金属板材供货业绩</w:t>
      </w:r>
      <w:r>
        <w:rPr>
          <w:rFonts w:hint="eastAsia" w:asciiTheme="minorEastAsia" w:hAnsiTheme="minorEastAsia" w:cstheme="minorEastAsia"/>
          <w:sz w:val="28"/>
          <w:szCs w:val="28"/>
          <w:highlight w:val="none"/>
          <w:lang w:val="en-US" w:eastAsia="zh-CN"/>
        </w:rPr>
        <w:t>。</w:t>
      </w:r>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4"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4"/>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（一）开启时间（响应文件递交的截止时间）：</w:t>
      </w:r>
      <w:permStart w:id="16" w:edGrp="everyone"/>
      <w:r>
        <w:rPr>
          <w:rFonts w:hint="eastAsia" w:asciiTheme="minorEastAsia" w:hAnsiTheme="minorEastAsia" w:cstheme="minorEastAsia"/>
          <w:i/>
          <w:iCs/>
          <w:color w:val="FF0000"/>
          <w:sz w:val="28"/>
          <w:szCs w:val="28"/>
          <w:highlight w:val="none"/>
          <w:u w:val="single"/>
          <w:lang w:val="en-US" w:eastAsia="zh-CN"/>
        </w:rPr>
        <w:t xml:space="preserve"> 2025 </w:t>
      </w:r>
      <w:r>
        <w:rPr>
          <w:rFonts w:hint="eastAsia" w:asciiTheme="minorEastAsia" w:hAnsiTheme="minorEastAsia" w:cstheme="minorEastAsia"/>
          <w:i w:val="0"/>
          <w:iCs w:val="0"/>
          <w:color w:val="FF0000"/>
          <w:sz w:val="28"/>
          <w:szCs w:val="28"/>
          <w:highlight w:val="none"/>
          <w:u w:val="none"/>
          <w:lang w:val="en-US" w:eastAsia="zh-CN"/>
        </w:rPr>
        <w:t>年</w:t>
      </w:r>
      <w:r>
        <w:rPr>
          <w:rFonts w:hint="eastAsia" w:asciiTheme="minorEastAsia" w:hAnsiTheme="minorEastAsia" w:cstheme="minorEastAsia"/>
          <w:i/>
          <w:iCs/>
          <w:color w:val="FF0000"/>
          <w:sz w:val="28"/>
          <w:szCs w:val="28"/>
          <w:highlight w:val="none"/>
          <w:u w:val="single"/>
          <w:lang w:val="en-US" w:eastAsia="zh-CN"/>
        </w:rPr>
        <w:t>12</w:t>
      </w:r>
      <w:r>
        <w:rPr>
          <w:rFonts w:hint="eastAsia" w:asciiTheme="minorEastAsia" w:hAnsiTheme="minorEastAsia" w:cstheme="minorEastAsia"/>
          <w:i w:val="0"/>
          <w:iCs w:val="0"/>
          <w:color w:val="FF0000"/>
          <w:sz w:val="28"/>
          <w:szCs w:val="28"/>
          <w:highlight w:val="none"/>
          <w:u w:val="none"/>
          <w:lang w:val="en-US" w:eastAsia="zh-CN"/>
        </w:rPr>
        <w:t>月</w:t>
      </w:r>
      <w:r>
        <w:rPr>
          <w:rFonts w:hint="eastAsia" w:asciiTheme="minorEastAsia" w:hAnsiTheme="minorEastAsia" w:cstheme="minorEastAsia"/>
          <w:i/>
          <w:iCs/>
          <w:color w:val="FF0000"/>
          <w:sz w:val="28"/>
          <w:szCs w:val="28"/>
          <w:highlight w:val="none"/>
          <w:u w:val="single"/>
          <w:lang w:val="en-US" w:eastAsia="zh-CN"/>
        </w:rPr>
        <w:t>4</w:t>
      </w:r>
      <w:r>
        <w:rPr>
          <w:rFonts w:hint="eastAsia" w:asciiTheme="minorEastAsia" w:hAnsiTheme="minorEastAsia" w:cstheme="minorEastAsia"/>
          <w:i w:val="0"/>
          <w:iCs w:val="0"/>
          <w:color w:val="FF0000"/>
          <w:sz w:val="28"/>
          <w:szCs w:val="28"/>
          <w:highlight w:val="none"/>
          <w:u w:val="none"/>
          <w:lang w:val="en-US" w:eastAsia="zh-CN"/>
        </w:rPr>
        <w:t>日</w:t>
      </w:r>
      <w:r>
        <w:rPr>
          <w:rFonts w:hint="eastAsia" w:asciiTheme="minorEastAsia" w:hAnsiTheme="minorEastAsia" w:cstheme="minorEastAsia"/>
          <w:i/>
          <w:iCs/>
          <w:color w:val="FF0000"/>
          <w:sz w:val="28"/>
          <w:szCs w:val="28"/>
          <w:highlight w:val="none"/>
          <w:u w:val="single"/>
          <w:lang w:val="en-US" w:eastAsia="zh-CN"/>
        </w:rPr>
        <w:t>15</w:t>
      </w:r>
      <w:r>
        <w:rPr>
          <w:rFonts w:hint="eastAsia" w:asciiTheme="minorEastAsia" w:hAnsiTheme="minorEastAsia" w:cstheme="minorEastAsia"/>
          <w:i w:val="0"/>
          <w:iCs w:val="0"/>
          <w:color w:val="FF0000"/>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i w:val="0"/>
          <w:iCs w:val="0"/>
          <w:color w:val="FF0000"/>
          <w:sz w:val="28"/>
          <w:szCs w:val="28"/>
          <w:highlight w:val="none"/>
          <w:u w:val="none"/>
          <w:lang w:val="en-US" w:eastAsia="zh-CN"/>
        </w:rPr>
        <w:t>分（北京时间）；</w:t>
      </w:r>
      <w:permEnd w:id="16"/>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7"/>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8"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8"/>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color w:val="FF0000"/>
          <w:sz w:val="28"/>
          <w:szCs w:val="28"/>
          <w:highlight w:val="none"/>
          <w:u w:val="single"/>
          <w:lang w:val="en-US" w:eastAsia="zh-CN"/>
        </w:rPr>
        <w:t>3500元</w:t>
      </w:r>
      <w:r>
        <w:rPr>
          <w:rFonts w:hint="default" w:asciiTheme="minorEastAsia" w:hAnsiTheme="minorEastAsia" w:eastAsiaTheme="minorEastAsia" w:cstheme="minorEastAsia"/>
          <w:color w:val="FF0000"/>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0"/>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茹经理 </w:t>
      </w:r>
      <w:permEnd w:id="21"/>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：18705670516</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27</w:t>
      </w:r>
      <w:r>
        <w:rPr>
          <w:rFonts w:hint="eastAsia" w:asciiTheme="minorEastAsia" w:hAnsiTheme="minorEastAsia" w:eastAsiaTheme="minorEastAsia" w:cstheme="minorEastAsia"/>
          <w:color w:val="FF0000"/>
          <w:sz w:val="28"/>
          <w:szCs w:val="28"/>
          <w:highlight w:val="none"/>
          <w:lang w:val="en-US" w:eastAsia="zh-CN"/>
        </w:rPr>
        <w:t>日</w:t>
      </w:r>
    </w:p>
    <w:permEnd w:id="22"/>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3</w:t>
            </w:r>
            <w:r>
              <w:rPr>
                <w:rFonts w:hint="eastAsia" w:ascii="Times New Roman" w:hAnsi="Times New Roman" w:cs="Times New Roman"/>
                <w:b/>
                <w:bCs/>
                <w:color w:val="FF0000"/>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b/>
                <w:bCs/>
                <w:color w:val="FF0000"/>
                <w:szCs w:val="21"/>
                <w:highlight w:val="none"/>
              </w:rPr>
              <w:t>银行汇款或转账</w:t>
            </w:r>
            <w:permEnd w:id="2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0" w:edGrp="everyone"/>
            <w:r>
              <w:rPr>
                <w:rFonts w:hint="eastAsia" w:ascii="Times New Roman" w:hAnsi="Times New Roman" w:cs="Times New Roman"/>
                <w:b/>
                <w:bCs/>
                <w:color w:val="FF0000"/>
                <w:szCs w:val="21"/>
                <w:highlight w:val="none"/>
                <w:u w:val="single"/>
                <w:lang w:val="en-US" w:eastAsia="zh-CN"/>
              </w:rPr>
              <w:t xml:space="preserve"> 3500元  </w:t>
            </w:r>
            <w:permEnd w:id="3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b/>
                <w:bCs/>
                <w:color w:val="FF0000"/>
                <w:szCs w:val="21"/>
                <w:highlight w:val="none"/>
                <w:lang w:val="en-US" w:eastAsia="zh-CN"/>
              </w:rPr>
              <w:t>AHTKJS-2025-100号保证金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2"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2"/>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高铁站地下室公共走廊外墙砖脱落改造工程项目金属幕墙板材采购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100号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4"/>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5"/>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6"/>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p>
          <w:permEnd w:id="37"/>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8"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8"/>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货物无质量问题（或质量问题已解决）且供货期满后退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9"/>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2308"/>
      <w:bookmarkStart w:id="1" w:name="_Toc152045532"/>
      <w:bookmarkStart w:id="2" w:name="_Toc246996921"/>
      <w:bookmarkStart w:id="3" w:name="_Toc144974500"/>
      <w:bookmarkStart w:id="4" w:name="_Toc247085692"/>
      <w:bookmarkStart w:id="5" w:name="_Toc179632549"/>
      <w:bookmarkStart w:id="6" w:name="_Toc246996178"/>
      <w:bookmarkStart w:id="7" w:name="_Toc296602423"/>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79632553"/>
      <w:bookmarkStart w:id="9" w:name="_Toc246996924"/>
      <w:bookmarkStart w:id="10" w:name="_Toc144974504"/>
      <w:bookmarkStart w:id="11" w:name="_Toc152042312"/>
      <w:bookmarkStart w:id="12" w:name="_Toc152045536"/>
      <w:bookmarkStart w:id="13" w:name="_Toc296602426"/>
      <w:bookmarkStart w:id="14" w:name="_Toc247085695"/>
      <w:bookmarkStart w:id="15" w:name="_Toc246996181"/>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96602427"/>
      <w:bookmarkStart w:id="18" w:name="_Toc247085696"/>
      <w:bookmarkStart w:id="19" w:name="_Toc246996925"/>
      <w:bookmarkStart w:id="20" w:name="_Toc152045537"/>
      <w:bookmarkStart w:id="21" w:name="_Toc246996182"/>
      <w:bookmarkStart w:id="22" w:name="_Toc179632554"/>
      <w:bookmarkStart w:id="23" w:name="_Toc152042313"/>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7085697"/>
      <w:bookmarkStart w:id="25" w:name="_Toc152045538"/>
      <w:bookmarkStart w:id="26" w:name="_Toc144974506"/>
      <w:bookmarkStart w:id="27" w:name="_Toc246996926"/>
      <w:bookmarkStart w:id="28" w:name="_Toc246996183"/>
      <w:bookmarkStart w:id="29" w:name="_Toc179632555"/>
      <w:bookmarkStart w:id="30"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930"/>
      <w:bookmarkStart w:id="32" w:name="_Toc296602432"/>
      <w:bookmarkStart w:id="33" w:name="_Toc152042318"/>
      <w:bookmarkStart w:id="34" w:name="_Toc246996187"/>
      <w:bookmarkStart w:id="35" w:name="_Toc144974510"/>
      <w:bookmarkStart w:id="36" w:name="_Toc247085701"/>
      <w:bookmarkStart w:id="37" w:name="_Toc152045542"/>
      <w:bookmarkStart w:id="38" w:name="_Toc17963256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7085702"/>
      <w:bookmarkStart w:id="40" w:name="_Toc152042319"/>
      <w:bookmarkStart w:id="41" w:name="_Toc144974511"/>
      <w:bookmarkStart w:id="42" w:name="_Toc152045543"/>
      <w:bookmarkStart w:id="43" w:name="_Toc246996188"/>
      <w:bookmarkStart w:id="44" w:name="_Toc296602433"/>
      <w:bookmarkStart w:id="45" w:name="_Toc246996931"/>
      <w:bookmarkStart w:id="46" w:name="_Toc17963256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2320"/>
      <w:bookmarkStart w:id="48" w:name="_Toc144974512"/>
      <w:bookmarkStart w:id="49" w:name="_Toc296602434"/>
      <w:bookmarkStart w:id="50" w:name="_Toc152045544"/>
      <w:bookmarkStart w:id="51" w:name="_Toc179632562"/>
      <w:bookmarkStart w:id="52" w:name="_Toc246996189"/>
      <w:bookmarkStart w:id="53" w:name="_Toc247085703"/>
      <w:bookmarkStart w:id="54" w:name="_Toc24699693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190"/>
      <w:bookmarkStart w:id="56" w:name="_Toc296602435"/>
      <w:bookmarkStart w:id="57" w:name="_Toc246996933"/>
      <w:bookmarkStart w:id="58" w:name="_Toc179632563"/>
      <w:bookmarkStart w:id="59" w:name="_Toc152042321"/>
      <w:bookmarkStart w:id="60" w:name="_Toc144974513"/>
      <w:bookmarkStart w:id="61" w:name="_Toc152045545"/>
      <w:bookmarkStart w:id="62" w:name="_Toc247085704"/>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5546"/>
      <w:bookmarkStart w:id="64" w:name="_Toc144974514"/>
      <w:bookmarkStart w:id="65" w:name="_Toc246996934"/>
      <w:bookmarkStart w:id="66" w:name="_Toc179632564"/>
      <w:bookmarkStart w:id="67" w:name="_Toc247085705"/>
      <w:bookmarkStart w:id="68" w:name="_Toc152042322"/>
      <w:bookmarkStart w:id="69" w:name="_Toc296602436"/>
      <w:bookmarkStart w:id="70" w:name="_Toc246996191"/>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5547"/>
      <w:bookmarkStart w:id="72" w:name="_Toc144974515"/>
      <w:bookmarkStart w:id="73" w:name="_Toc247085706"/>
      <w:bookmarkStart w:id="74" w:name="_Toc296602437"/>
      <w:bookmarkStart w:id="75" w:name="_Toc179632565"/>
      <w:bookmarkStart w:id="76" w:name="_Toc246996192"/>
      <w:bookmarkStart w:id="77" w:name="_Toc152042323"/>
      <w:bookmarkStart w:id="78"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5548"/>
      <w:bookmarkStart w:id="80" w:name="_Toc179632566"/>
      <w:bookmarkStart w:id="81" w:name="_Toc246996936"/>
      <w:bookmarkStart w:id="82" w:name="_Toc152042324"/>
      <w:bookmarkStart w:id="83" w:name="_Toc246996193"/>
      <w:bookmarkStart w:id="84" w:name="_Toc296602438"/>
      <w:bookmarkStart w:id="85" w:name="_Toc144974516"/>
      <w:bookmarkStart w:id="86" w:name="_Toc247085707"/>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5549"/>
      <w:bookmarkStart w:id="88" w:name="_Toc152042325"/>
      <w:bookmarkStart w:id="89" w:name="_Toc179632567"/>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96602439"/>
      <w:bookmarkStart w:id="93" w:name="_Toc246996937"/>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085713"/>
      <w:bookmarkStart w:id="96" w:name="_Toc179632573"/>
      <w:bookmarkStart w:id="97" w:name="_Toc152045555"/>
      <w:bookmarkStart w:id="98" w:name="_Toc296602443"/>
      <w:bookmarkStart w:id="99" w:name="_Toc246996942"/>
      <w:bookmarkStart w:id="100" w:name="_Toc152042331"/>
      <w:bookmarkStart w:id="101" w:name="_Toc246996199"/>
      <w:bookmarkStart w:id="102" w:name="_Toc14497452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74"/>
      <w:bookmarkStart w:id="104" w:name="_Toc144974524"/>
      <w:bookmarkStart w:id="105" w:name="_Toc247085714"/>
      <w:bookmarkStart w:id="106" w:name="_Toc246996943"/>
      <w:bookmarkStart w:id="107" w:name="_Toc152042332"/>
      <w:bookmarkStart w:id="108" w:name="_Toc296602444"/>
      <w:bookmarkStart w:id="109" w:name="_Toc246996200"/>
      <w:bookmarkStart w:id="110" w:name="_Toc152045556"/>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944"/>
      <w:bookmarkStart w:id="112" w:name="_Toc152042333"/>
      <w:bookmarkStart w:id="113" w:name="_Toc246996201"/>
      <w:bookmarkStart w:id="114" w:name="_Toc179632575"/>
      <w:bookmarkStart w:id="115" w:name="_Toc247085715"/>
      <w:bookmarkStart w:id="116" w:name="_Toc144974525"/>
      <w:bookmarkStart w:id="117" w:name="_Toc152045557"/>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5558"/>
      <w:bookmarkStart w:id="119" w:name="_Toc144974526"/>
      <w:bookmarkStart w:id="120" w:name="_Toc246996202"/>
      <w:bookmarkStart w:id="121" w:name="_Toc247085716"/>
      <w:bookmarkStart w:id="122" w:name="_Toc296602446"/>
      <w:bookmarkStart w:id="123" w:name="_Toc246996945"/>
      <w:bookmarkStart w:id="124" w:name="_Toc152042334"/>
      <w:bookmarkStart w:id="125" w:name="_Toc17963257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5559"/>
      <w:bookmarkStart w:id="127" w:name="_Toc152042335"/>
      <w:bookmarkStart w:id="128" w:name="_Toc296602447"/>
      <w:bookmarkStart w:id="129" w:name="_Toc246996203"/>
      <w:bookmarkStart w:id="130" w:name="_Toc179632577"/>
      <w:bookmarkStart w:id="131" w:name="_Toc246996946"/>
      <w:bookmarkStart w:id="132" w:name="_Toc144974527"/>
      <w:bookmarkStart w:id="133" w:name="_Toc24708571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79632578"/>
      <w:bookmarkStart w:id="135" w:name="_Toc247085718"/>
      <w:bookmarkStart w:id="136" w:name="_Toc296602448"/>
      <w:bookmarkStart w:id="137" w:name="_Toc152042336"/>
      <w:bookmarkStart w:id="138" w:name="_Toc152045560"/>
      <w:bookmarkStart w:id="139" w:name="_Toc144974528"/>
      <w:bookmarkStart w:id="140" w:name="_Toc246996947"/>
      <w:bookmarkStart w:id="141"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948"/>
      <w:bookmarkStart w:id="143" w:name="_Toc152045561"/>
      <w:bookmarkStart w:id="144" w:name="_Toc152042337"/>
      <w:bookmarkStart w:id="145" w:name="_Toc296602449"/>
      <w:bookmarkStart w:id="146" w:name="_Toc144974529"/>
      <w:bookmarkStart w:id="147" w:name="_Toc246996205"/>
      <w:bookmarkStart w:id="148" w:name="_Toc247085719"/>
      <w:bookmarkStart w:id="149" w:name="_Toc17963257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950"/>
      <w:bookmarkStart w:id="151" w:name="_Toc247085721"/>
      <w:bookmarkStart w:id="152" w:name="_Toc179632581"/>
      <w:bookmarkStart w:id="153" w:name="_Toc152045563"/>
      <w:bookmarkStart w:id="154" w:name="_Toc246996207"/>
      <w:bookmarkStart w:id="155" w:name="_Toc296602452"/>
      <w:bookmarkStart w:id="156" w:name="_Toc144974531"/>
      <w:bookmarkStart w:id="157" w:name="_Toc152042339"/>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210"/>
      <w:bookmarkStart w:id="159" w:name="_Toc179632584"/>
      <w:bookmarkStart w:id="160" w:name="_Toc152045566"/>
      <w:bookmarkStart w:id="161" w:name="_Toc247085724"/>
      <w:bookmarkStart w:id="162" w:name="_Toc152042342"/>
      <w:bookmarkStart w:id="163" w:name="_Toc296602455"/>
      <w:bookmarkStart w:id="164" w:name="_Toc246996953"/>
      <w:bookmarkStart w:id="165" w:name="_Toc14497453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5"/>
      <w:bookmarkStart w:id="167" w:name="_Toc246996211"/>
      <w:bookmarkStart w:id="168" w:name="_Toc144974535"/>
      <w:bookmarkStart w:id="169" w:name="_Toc246996954"/>
      <w:bookmarkStart w:id="170" w:name="_Toc296602456"/>
      <w:bookmarkStart w:id="171" w:name="_Toc179632585"/>
      <w:bookmarkStart w:id="172" w:name="_Toc152042343"/>
      <w:bookmarkStart w:id="173" w:name="_Toc152045567"/>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955"/>
      <w:bookmarkStart w:id="176" w:name="_Toc296602458"/>
      <w:bookmarkStart w:id="177" w:name="_Toc179632586"/>
      <w:bookmarkStart w:id="178" w:name="_Toc144974536"/>
      <w:bookmarkStart w:id="179" w:name="_Toc246996212"/>
      <w:bookmarkStart w:id="180" w:name="_Toc247085726"/>
      <w:bookmarkStart w:id="181" w:name="_Toc152045568"/>
      <w:bookmarkStart w:id="182" w:name="_Toc152042344"/>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213"/>
      <w:bookmarkStart w:id="184" w:name="_Toc247085727"/>
      <w:bookmarkStart w:id="185" w:name="_Toc152045569"/>
      <w:bookmarkStart w:id="186" w:name="_Toc152042345"/>
      <w:bookmarkStart w:id="187" w:name="_Toc246996956"/>
      <w:bookmarkStart w:id="188" w:name="_Toc179632587"/>
      <w:bookmarkStart w:id="189" w:name="_Toc144974537"/>
      <w:bookmarkStart w:id="190" w:name="_Toc29660245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79632593"/>
      <w:bookmarkStart w:id="193" w:name="_Toc296602462"/>
      <w:bookmarkStart w:id="194" w:name="_Toc246996962"/>
      <w:bookmarkStart w:id="195" w:name="_Toc152042351"/>
      <w:bookmarkStart w:id="196" w:name="_Toc152045575"/>
      <w:bookmarkStart w:id="197" w:name="_Toc296590983"/>
      <w:bookmarkStart w:id="198" w:name="_Toc247085733"/>
      <w:bookmarkStart w:id="199" w:name="_Toc246996219"/>
      <w:bookmarkStart w:id="200" w:name="_Toc14497454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46996963"/>
      <w:bookmarkStart w:id="202" w:name="_Toc144974544"/>
      <w:bookmarkStart w:id="203" w:name="_Toc179632594"/>
      <w:bookmarkStart w:id="204" w:name="_Toc247085734"/>
      <w:bookmarkStart w:id="205" w:name="_Toc152042352"/>
      <w:bookmarkStart w:id="206" w:name="_Toc152045576"/>
      <w:bookmarkStart w:id="207" w:name="_Toc296602463"/>
      <w:bookmarkStart w:id="208" w:name="_Toc246996220"/>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964"/>
      <w:bookmarkStart w:id="210" w:name="_Toc296602464"/>
      <w:bookmarkStart w:id="211" w:name="_Toc144974545"/>
      <w:bookmarkStart w:id="212" w:name="_Toc152042353"/>
      <w:bookmarkStart w:id="213" w:name="_Toc247085735"/>
      <w:bookmarkStart w:id="214" w:name="_Toc246996221"/>
      <w:bookmarkStart w:id="215" w:name="_Toc152045577"/>
      <w:bookmarkStart w:id="216" w:name="_Toc17963259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0" w:edGrp="everyone"/>
      <w:r>
        <w:rPr>
          <w:rFonts w:hint="eastAsia" w:ascii="宋体" w:hAnsi="宋体"/>
          <w:color w:val="FF0000"/>
          <w:sz w:val="24"/>
          <w:lang w:val="en-US" w:eastAsia="zh-CN"/>
        </w:rPr>
        <w:t>最低评审价法</w:t>
      </w:r>
      <w:permEnd w:id="40"/>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2366"/>
            <w:bookmarkStart w:id="218" w:name="_Toc247085747"/>
            <w:bookmarkStart w:id="219" w:name="_Toc246996975"/>
            <w:bookmarkStart w:id="220" w:name="_Toc152045589"/>
            <w:bookmarkStart w:id="221" w:name="_Toc144974556"/>
            <w:bookmarkStart w:id="222" w:name="_Toc179632607"/>
            <w:bookmarkStart w:id="223" w:name="_Toc246996232"/>
            <w:bookmarkStart w:id="224" w:name="_Toc29660247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6996236"/>
      <w:bookmarkStart w:id="226" w:name="_Toc144974560"/>
      <w:bookmarkStart w:id="227" w:name="_Toc152042370"/>
      <w:bookmarkStart w:id="228" w:name="_Toc246996979"/>
      <w:bookmarkStart w:id="229" w:name="_Toc152045593"/>
      <w:bookmarkStart w:id="230" w:name="_Toc296602481"/>
      <w:bookmarkStart w:id="231" w:name="_Toc179632611"/>
      <w:bookmarkStart w:id="232" w:name="_Toc24708575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152045596"/>
      <w:bookmarkStart w:id="236" w:name="_Toc246996982"/>
      <w:bookmarkStart w:id="237" w:name="_Toc179632614"/>
      <w:bookmarkStart w:id="238" w:name="_Toc296602484"/>
      <w:bookmarkStart w:id="239" w:name="_Toc247085754"/>
      <w:bookmarkStart w:id="240"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1"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1"/>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货物验收合格后支付至合格供货价款的85%，供货安装完成且竣工验收通过后付至审定合格供货价款的97%,余款3%为质保金，待缺陷责任期（自竣工验收合格之日起2年）满后货物无质量问题（或质量已解决后）无息付清。</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5F5A5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0B11A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73EB2E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r>
              <w:rPr>
                <w:rFonts w:hint="default" w:ascii="Times New Roman" w:hAnsi="Times New Roman" w:cs="Times New Roman"/>
                <w:kern w:val="0"/>
                <w:sz w:val="24"/>
                <w:szCs w:val="24"/>
                <w:highlight w:val="none"/>
                <w:shd w:val="clear" w:color="auto" w:fill="auto"/>
                <w:vertAlign w:val="baseline"/>
                <w:lang w:val="en-US" w:eastAsia="zh-CN"/>
              </w:rPr>
              <w:br w:type="textWrapping"/>
            </w: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6C84C9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加工制作内容：加工制作的产品规格质量必须符合采购人提供的图纸设计要求与工程量清单要求，满足国家、地方、行业现行相关规范合格标准；为确保工程质量，采购人提货时或者安装前将对构件尺寸、外观质量进行验收，如采购人发下所供货物有质量不符合情况出现，成交人应在24小时内安排现场整改或者返厂整改。</w:t>
            </w:r>
          </w:p>
          <w:p w14:paraId="46D04C4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交(提)货地点及方式:由成交人负责运输(且运输费已包含在供应商响应报价中)，送货至高铁站地下室公共走廊外墙砖脱落改造项目，项目位于亳州市高新区酒城大道与神农大道交叉口，成交人随车提供构件出厂合格证、检测报告质保书及送货单明细。</w:t>
            </w:r>
          </w:p>
          <w:p w14:paraId="0EFDF6F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3）成交人所提供的履约人员如未按要求到岗，采购人有权按照200元/人/天从成交人当期应得工程款中予以扣除。</w:t>
            </w:r>
          </w:p>
          <w:p w14:paraId="086C43D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4）成交人须严格按照施工进度节点配置所需金属板材进场，如因成交人原因造成的金属板材供货不及时，导致工期延误，成交人不能在本合同约定的供货工作期限内结束工作的，成交人有权按照500元/天的违约金从成交人当期应得工程款中予以扣除。逾期竣工违约金的上限：已完成价款的10%。</w:t>
            </w:r>
          </w:p>
          <w:p w14:paraId="2E148FF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5）如因建设单位未支付工程款等原因导致工程款未及时发放，成交人不得擅自采取停工、上访等措施，否则由此对采购人造成的一切经济损失、法律责任均由成交人负责。</w:t>
            </w:r>
          </w:p>
          <w:p w14:paraId="346ED91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6）根据工程需要，采购人下发的设计变更通知单，成交人不得拒收，且需严格按照采购人指示及变更要求进行施工。如因此导致工程量增减，工程量按实际调整，据实结算，且成交人不得以此为由向采购人进行索赔。</w:t>
            </w:r>
          </w:p>
          <w:p w14:paraId="1C12A67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7）质量验收标准:以国家标准以及规范技术资料、设计施工图纸为准。双方另有约定的，按约定执行。</w:t>
            </w:r>
          </w:p>
        </w:tc>
      </w:tr>
    </w:tbl>
    <w:p w14:paraId="395855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3CD18F6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1）成交人需配备1名项目负责人，并全面配合采购人材料供应工作，需确保如期交付采购人所提出的材料需求，按时完成材料供应。</w:t>
      </w:r>
    </w:p>
    <w:p w14:paraId="1D8BF82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xml:space="preserve">2）成交人需按照设计图纸要求进行加工定制符合安装规格尺寸要求的板材，结合现场勘察，现场尺寸复核后，如有需要二次深化图纸的费用已综合包含进供应商响应报价中，对此采购人后期不再另行支付，二次深化图纸需要业主确认后方可施工，成交人所供应的产品必须符合国家、地方、行业现行相关规范合格标准，满足项目图纸及工程量清单的要求。 </w:t>
      </w:r>
    </w:p>
    <w:p w14:paraId="6F851E8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3）成交人需先行进行提供样品，经定样后可进行加工制作。</w:t>
      </w:r>
    </w:p>
    <w:p w14:paraId="1BF34DD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成交人所供产品应无条件接受采购人、本合同段监理、业主及质检部门的检验、抽查、盲检，如因供货质量达不到要求时，采购人有权退货或单方面解除合同，由此对采购人所造成的一切经济损失及法律责任均由成交人承担。</w:t>
      </w:r>
    </w:p>
    <w:p w14:paraId="36BFCA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不合格产品的处理：若已进场材料被检测认定为不合格材料，成交人应自接到通知24小时内自行清理出场，否则采购人可以自行组织清场并从成交人当期应得结算款中予以扣除相应清运费用。若对产品质量发生争议，由采购人选定有资质的鉴定机构进行鉴定，其结果作为质量验收的依据。鉴定后产品符合合同约定的，鉴定费由采购人承担；产品不符合合同约定的，鉴定费由成交人承担。</w:t>
      </w:r>
    </w:p>
    <w:p w14:paraId="1FD0307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6）成交人应按照采购人通知的用料计划，保质、保量并符合环保要求，及时将供应材料运至采购人指定地点，接受采购人验收检验及随机抽查。</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7）材料的运费、装卸费等为完成本项目供货事宜所发生的一切费用均已包含在成交人的响应报价中。</w:t>
      </w:r>
    </w:p>
    <w:p w14:paraId="740F25A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3D47B96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lang w:val="en-US" w:eastAsia="zh-CN" w:bidi="ar-SA"/>
        </w:rPr>
        <w:t>8</w:t>
      </w:r>
      <w:r>
        <w:rPr>
          <w:rFonts w:hint="eastAsia" w:ascii="Times New Roman" w:hAnsi="Times New Roman" w:cs="Times New Roman" w:eastAsiaTheme="minorEastAsia"/>
          <w:kern w:val="0"/>
          <w:sz w:val="24"/>
          <w:szCs w:val="24"/>
          <w:lang w:val="en-US" w:eastAsia="zh-CN" w:bidi="ar-SA"/>
        </w:rPr>
        <w:t>)</w:t>
      </w:r>
      <w:r>
        <w:rPr>
          <w:rFonts w:hint="eastAsia" w:ascii="Times New Roman" w:hAnsi="Times New Roman" w:cs="Times New Roman"/>
          <w:kern w:val="0"/>
          <w:sz w:val="24"/>
          <w:szCs w:val="24"/>
          <w:highlight w:val="none"/>
          <w:lang w:val="en-US" w:eastAsia="zh-CN"/>
        </w:rPr>
        <w:t>工程量清单</w:t>
      </w:r>
    </w:p>
    <w:tbl>
      <w:tblPr>
        <w:tblStyle w:val="16"/>
        <w:tblW w:w="5948" w:type="pct"/>
        <w:tblInd w:w="-62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4"/>
        <w:gridCol w:w="709"/>
        <w:gridCol w:w="987"/>
        <w:gridCol w:w="6303"/>
        <w:gridCol w:w="1455"/>
      </w:tblGrid>
      <w:tr w14:paraId="1F1AC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8" w:hRule="atLeast"/>
        </w:trPr>
        <w:tc>
          <w:tcPr>
            <w:tcW w:w="337" w:type="pct"/>
            <w:tcBorders>
              <w:top w:val="single" w:color="000000" w:sz="8" w:space="0"/>
              <w:left w:val="single" w:color="000000" w:sz="8" w:space="0"/>
              <w:bottom w:val="single" w:color="000000" w:sz="4" w:space="0"/>
              <w:right w:val="single" w:color="000000" w:sz="4" w:space="0"/>
            </w:tcBorders>
            <w:shd w:val="clear" w:color="auto" w:fill="auto"/>
            <w:vAlign w:val="center"/>
          </w:tcPr>
          <w:p w14:paraId="6DFE0A20">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349" w:type="pct"/>
            <w:tcBorders>
              <w:top w:val="single" w:color="000000" w:sz="8" w:space="0"/>
              <w:left w:val="single" w:color="000000" w:sz="4" w:space="0"/>
              <w:bottom w:val="single" w:color="000000" w:sz="4" w:space="0"/>
              <w:right w:val="single" w:color="000000" w:sz="4" w:space="0"/>
            </w:tcBorders>
            <w:shd w:val="clear" w:color="auto" w:fill="auto"/>
            <w:vAlign w:val="center"/>
          </w:tcPr>
          <w:p w14:paraId="51209DF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项目编码</w:t>
            </w:r>
          </w:p>
        </w:tc>
        <w:tc>
          <w:tcPr>
            <w:tcW w:w="486" w:type="pct"/>
            <w:tcBorders>
              <w:top w:val="single" w:color="000000" w:sz="8" w:space="0"/>
              <w:left w:val="single" w:color="000000" w:sz="4" w:space="0"/>
              <w:bottom w:val="single" w:color="000000" w:sz="4" w:space="0"/>
              <w:right w:val="single" w:color="000000" w:sz="4" w:space="0"/>
            </w:tcBorders>
            <w:shd w:val="clear" w:color="auto" w:fill="auto"/>
            <w:vAlign w:val="center"/>
          </w:tcPr>
          <w:p w14:paraId="2C3B1ECB">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项目</w:t>
            </w:r>
          </w:p>
          <w:p w14:paraId="4EAF2B72">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名称</w:t>
            </w:r>
          </w:p>
        </w:tc>
        <w:tc>
          <w:tcPr>
            <w:tcW w:w="3108" w:type="pct"/>
            <w:tcBorders>
              <w:top w:val="single" w:color="000000" w:sz="8" w:space="0"/>
              <w:left w:val="single" w:color="000000" w:sz="4" w:space="0"/>
              <w:bottom w:val="single" w:color="000000" w:sz="4" w:space="0"/>
              <w:right w:val="single" w:color="000000" w:sz="4" w:space="0"/>
            </w:tcBorders>
            <w:shd w:val="clear" w:color="auto" w:fill="auto"/>
            <w:vAlign w:val="center"/>
          </w:tcPr>
          <w:p w14:paraId="5AC174B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717" w:type="pct"/>
            <w:tcBorders>
              <w:top w:val="single" w:color="000000" w:sz="8" w:space="0"/>
              <w:left w:val="single" w:color="000000" w:sz="4" w:space="0"/>
              <w:bottom w:val="single" w:color="000000" w:sz="4" w:space="0"/>
              <w:right w:val="single" w:color="000000" w:sz="8" w:space="0"/>
            </w:tcBorders>
            <w:shd w:val="clear" w:color="auto" w:fill="auto"/>
            <w:vAlign w:val="center"/>
          </w:tcPr>
          <w:p w14:paraId="71759A56">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暂定工程量</w:t>
            </w:r>
          </w:p>
          <w:p w14:paraId="6B48526A">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m2）</w:t>
            </w:r>
          </w:p>
        </w:tc>
      </w:tr>
      <w:tr w14:paraId="1FBBC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0"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1F631DF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C07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WB011209008002</w:t>
            </w:r>
          </w:p>
        </w:tc>
        <w:tc>
          <w:tcPr>
            <w:tcW w:w="4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C23A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金属板幕墙</w:t>
            </w:r>
          </w:p>
        </w:tc>
        <w:tc>
          <w:tcPr>
            <w:tcW w:w="31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D6C3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1．1.0厚钢制瓦楞板、瓦楞芯12高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金属板材品种、规格、颜色：1、表面材料：热熔镀锌钢板T=0.8㎜，锌层厚度80G；具备良好的抗氧化性能，表面使用PUR环保热熔胶覆装饰木纹膜；2、背衬材料：背衬波高12mm铝制金属瓦楞；3.使用双组份环保固化胶水；4、防火性能：主材提供检测报告，按照GB8624-2012判定达到A级；5、环保性能：甲醛释放量不超过0.1mg/L</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4．（此部分含有广告牌面积）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5.金属板材颜色以采购人定样为准。</w:t>
            </w:r>
          </w:p>
        </w:tc>
        <w:tc>
          <w:tcPr>
            <w:tcW w:w="7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4946A">
            <w:pPr>
              <w:jc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1107.18</w:t>
            </w:r>
          </w:p>
        </w:tc>
      </w:tr>
      <w:tr w14:paraId="5BAD2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5000" w:type="pct"/>
            <w:gridSpan w:val="5"/>
            <w:tcBorders>
              <w:top w:val="single" w:color="000000" w:sz="4" w:space="0"/>
              <w:left w:val="single" w:color="000000" w:sz="8" w:space="0"/>
              <w:bottom w:val="single" w:color="000000" w:sz="4" w:space="0"/>
              <w:right w:val="single" w:color="000000" w:sz="4" w:space="0"/>
            </w:tcBorders>
            <w:shd w:val="clear" w:color="auto" w:fill="auto"/>
            <w:vAlign w:val="center"/>
          </w:tcPr>
          <w:p w14:paraId="6167ADE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备注: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1.不含税单价指成品主材到工地价，含型材主材费+型材加工费+图纸要求的型材镀锌施工完成费+至工地运输费及损耗等全部综合组成费用，实行单价闭口，工程量据实结算，最终以实际工程量为准，据实结算。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2.加工制作的产品规格质量，防火性能，环保性能等必须符合图纸及相关规范要求，不得降低图纸设计及规范规定质量标准要求。 </w:t>
            </w:r>
          </w:p>
          <w:p w14:paraId="68E3EC7E">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3.未尽事宜详见设计图纸、图集、答疑、采购文件、政府相关文件、规范等其他资料，满足验收要求。</w:t>
            </w:r>
          </w:p>
        </w:tc>
      </w:tr>
    </w:tbl>
    <w:p w14:paraId="45B4282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14:paraId="3BE109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2F1309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高铁站地下室公共走廊外墙砖脱落改造工程项目</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金属幕墙板材采购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2"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100号</w:t>
      </w:r>
      <w:permEnd w:id="42"/>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300835209"/>
      <w:bookmarkStart w:id="242" w:name="_Toc144974856"/>
      <w:bookmarkStart w:id="243" w:name="_Toc152042576"/>
      <w:bookmarkStart w:id="244" w:name="_Toc247514246"/>
      <w:bookmarkStart w:id="245" w:name="_Toc152045787"/>
      <w:bookmarkStart w:id="246" w:name="_Toc24752782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247514247"/>
      <w:bookmarkStart w:id="248" w:name="_Toc144974857"/>
      <w:bookmarkStart w:id="249" w:name="_Toc152042577"/>
      <w:bookmarkStart w:id="250" w:name="_Toc247527828"/>
      <w:bookmarkStart w:id="251" w:name="_Toc152045788"/>
      <w:bookmarkStart w:id="252"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14249"/>
      <w:bookmarkStart w:id="254" w:name="_Toc144974859"/>
      <w:bookmarkStart w:id="255" w:name="_Toc152045790"/>
      <w:bookmarkStart w:id="256" w:name="_Toc152042579"/>
      <w:bookmarkStart w:id="257" w:name="_Toc247527830"/>
      <w:bookmarkStart w:id="258" w:name="_Toc300835212"/>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 高铁站地下室公共走廊外墙砖脱落改造工程项目金属幕墙板材采购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3" w:edGrp="everyone"/>
      <w:r>
        <w:rPr>
          <w:rFonts w:hint="eastAsia" w:ascii="Times New Roman" w:hAnsi="Times New Roman" w:cs="Times New Roman"/>
          <w:color w:val="000000" w:themeColor="text1"/>
          <w:szCs w:val="21"/>
          <w:u w:val="single"/>
          <w:lang w:val="en-US" w:eastAsia="zh-CN"/>
          <w14:textFill>
            <w14:solidFill>
              <w14:schemeClr w14:val="tx1"/>
            </w14:solidFill>
          </w14:textFill>
        </w:rPr>
        <w:t>AHTKJS-2025-100号</w:t>
      </w:r>
      <w:permEnd w:id="43"/>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color w:val="FF0000"/>
          <w:szCs w:val="21"/>
          <w:lang w:val="en-US" w:eastAsia="zh-CN"/>
        </w:rPr>
        <w:t>不含税人民币（大写）</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每平米</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元/m</w:t>
      </w:r>
      <w:r>
        <w:rPr>
          <w:rFonts w:hint="eastAsia" w:ascii="Times New Roman" w:hAnsi="Times New Roman" w:cs="Times New Roman"/>
          <w:color w:val="FF0000"/>
          <w:szCs w:val="21"/>
          <w:u w:val="single"/>
          <w:vertAlign w:val="superscript"/>
          <w:lang w:val="en-US" w:eastAsia="zh-CN"/>
        </w:rPr>
        <w:t>2</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另外，增值税税率为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，供货期：自采购人发出开工指令之日起</w:t>
      </w:r>
      <w:r>
        <w:rPr>
          <w:rFonts w:hint="eastAsia" w:ascii="Times New Roman" w:hAnsi="Times New Roman" w:cs="Times New Roman"/>
          <w:color w:val="FF0000"/>
          <w:szCs w:val="21"/>
          <w:u w:val="single"/>
          <w:lang w:val="en-US" w:eastAsia="zh-CN"/>
        </w:rPr>
        <w:t>30</w:t>
      </w:r>
      <w:r>
        <w:rPr>
          <w:rFonts w:hint="eastAsia" w:ascii="Times New Roman" w:hAnsi="Times New Roman" w:cs="Times New Roman"/>
          <w:szCs w:val="21"/>
          <w:lang w:val="en-US" w:eastAsia="zh-CN"/>
        </w:rPr>
        <w:t>日历天（暂定）</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52045791"/>
      <w:bookmarkStart w:id="260" w:name="_Toc152042580"/>
      <w:bookmarkStart w:id="261" w:name="_Toc144974860"/>
      <w:bookmarkStart w:id="262" w:name="_Toc300835213"/>
      <w:bookmarkStart w:id="263" w:name="_Toc247514283"/>
      <w:bookmarkStart w:id="264" w:name="_Toc24752783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2581"/>
      <w:bookmarkStart w:id="266" w:name="_Toc247514284"/>
      <w:bookmarkStart w:id="267" w:name="_Toc152045792"/>
      <w:bookmarkStart w:id="268" w:name="_Toc300835214"/>
      <w:bookmarkStart w:id="269" w:name="_Toc247527832"/>
      <w:bookmarkStart w:id="270"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44974862"/>
      <w:bookmarkStart w:id="272" w:name="_Toc300835216"/>
      <w:bookmarkStart w:id="273" w:name="_Toc152045794"/>
      <w:bookmarkStart w:id="274" w:name="_Toc152042583"/>
      <w:bookmarkStart w:id="275" w:name="_Toc247514286"/>
      <w:bookmarkStart w:id="276" w:name="_Toc24752783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44974863"/>
      <w:bookmarkStart w:id="279" w:name="_Toc247514287"/>
      <w:bookmarkStart w:id="280" w:name="_Toc247527835"/>
      <w:bookmarkStart w:id="281" w:name="_Toc152045795"/>
      <w:bookmarkStart w:id="282" w:name="_Toc152042584"/>
      <w:bookmarkStart w:id="283" w:name="_Toc300835218"/>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报价表</w:t>
      </w:r>
    </w:p>
    <w:tbl>
      <w:tblPr>
        <w:tblStyle w:val="16"/>
        <w:tblW w:w="5948" w:type="pct"/>
        <w:tblInd w:w="-62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4"/>
        <w:gridCol w:w="1531"/>
        <w:gridCol w:w="1507"/>
        <w:gridCol w:w="2734"/>
        <w:gridCol w:w="2734"/>
        <w:gridCol w:w="948"/>
      </w:tblGrid>
      <w:tr w14:paraId="3835C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337" w:type="pct"/>
            <w:tcBorders>
              <w:top w:val="single" w:color="000000" w:sz="8" w:space="0"/>
              <w:left w:val="single" w:color="000000" w:sz="8" w:space="0"/>
              <w:bottom w:val="single" w:color="000000" w:sz="4" w:space="0"/>
              <w:right w:val="single" w:color="000000" w:sz="4" w:space="0"/>
            </w:tcBorders>
            <w:shd w:val="clear" w:color="auto" w:fill="auto"/>
            <w:vAlign w:val="center"/>
          </w:tcPr>
          <w:p w14:paraId="33B5CB7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755" w:type="pct"/>
            <w:tcBorders>
              <w:top w:val="single" w:color="000000" w:sz="8" w:space="0"/>
              <w:left w:val="single" w:color="000000" w:sz="4" w:space="0"/>
              <w:bottom w:val="single" w:color="000000" w:sz="4" w:space="0"/>
              <w:right w:val="single" w:color="000000" w:sz="4" w:space="0"/>
            </w:tcBorders>
            <w:shd w:val="clear" w:color="auto" w:fill="auto"/>
            <w:vAlign w:val="center"/>
          </w:tcPr>
          <w:p w14:paraId="77C3907C">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743" w:type="pct"/>
            <w:tcBorders>
              <w:top w:val="single" w:color="000000" w:sz="8" w:space="0"/>
              <w:left w:val="single" w:color="000000" w:sz="4" w:space="0"/>
              <w:bottom w:val="single" w:color="000000" w:sz="4" w:space="0"/>
              <w:right w:val="single" w:color="000000" w:sz="8" w:space="0"/>
            </w:tcBorders>
            <w:shd w:val="clear" w:color="auto" w:fill="auto"/>
            <w:vAlign w:val="center"/>
          </w:tcPr>
          <w:p w14:paraId="7002C041">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暂定工程量</w:t>
            </w:r>
          </w:p>
          <w:p w14:paraId="4671C130">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w:t>
            </w:r>
            <w:r>
              <w:rPr>
                <w:rFonts w:hint="eastAsia" w:ascii="宋体" w:hAnsi="宋体" w:eastAsia="宋体" w:cs="宋体"/>
                <w:i w:val="0"/>
                <w:iCs w:val="0"/>
                <w:color w:val="000000"/>
                <w:kern w:val="0"/>
                <w:sz w:val="21"/>
                <w:szCs w:val="21"/>
                <w:u w:val="none"/>
                <w:vertAlign w:val="superscript"/>
                <w:lang w:val="en-US" w:eastAsia="zh-CN" w:bidi="ar"/>
              </w:rPr>
              <w:t>2</w:t>
            </w:r>
            <w:r>
              <w:rPr>
                <w:rFonts w:hint="eastAsia" w:ascii="宋体" w:hAnsi="宋体" w:eastAsia="宋体" w:cs="宋体"/>
                <w:i w:val="0"/>
                <w:iCs w:val="0"/>
                <w:color w:val="000000"/>
                <w:kern w:val="0"/>
                <w:sz w:val="21"/>
                <w:szCs w:val="21"/>
                <w:u w:val="none"/>
                <w:lang w:val="en-US" w:eastAsia="zh-CN" w:bidi="ar"/>
              </w:rPr>
              <w:t>）</w:t>
            </w:r>
          </w:p>
        </w:tc>
        <w:tc>
          <w:tcPr>
            <w:tcW w:w="1348" w:type="pct"/>
            <w:tcBorders>
              <w:top w:val="single" w:color="000000" w:sz="8" w:space="0"/>
              <w:left w:val="single" w:color="000000" w:sz="4" w:space="0"/>
              <w:bottom w:val="single" w:color="000000" w:sz="4" w:space="0"/>
              <w:right w:val="single" w:color="000000" w:sz="8" w:space="0"/>
            </w:tcBorders>
            <w:shd w:val="clear" w:color="auto" w:fill="auto"/>
            <w:vAlign w:val="center"/>
          </w:tcPr>
          <w:p w14:paraId="6394289A">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不含税单价</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（元/</w:t>
            </w:r>
            <w:r>
              <w:rPr>
                <w:rFonts w:hint="eastAsia" w:ascii="宋体" w:hAnsi="宋体" w:eastAsia="宋体" w:cs="宋体"/>
                <w:i w:val="0"/>
                <w:iCs w:val="0"/>
                <w:color w:val="000000"/>
                <w:kern w:val="0"/>
                <w:sz w:val="21"/>
                <w:szCs w:val="21"/>
                <w:u w:val="none"/>
                <w:lang w:val="en-US" w:eastAsia="zh-CN" w:bidi="ar"/>
              </w:rPr>
              <w:t>m</w:t>
            </w:r>
            <w:r>
              <w:rPr>
                <w:rFonts w:hint="eastAsia" w:ascii="宋体" w:hAnsi="宋体" w:eastAsia="宋体" w:cs="宋体"/>
                <w:i w:val="0"/>
                <w:iCs w:val="0"/>
                <w:color w:val="000000"/>
                <w:kern w:val="0"/>
                <w:sz w:val="21"/>
                <w:szCs w:val="21"/>
                <w:u w:val="none"/>
                <w:vertAlign w:val="superscript"/>
                <w:lang w:val="en-US" w:eastAsia="zh-CN" w:bidi="ar"/>
              </w:rPr>
              <w:t>2</w:t>
            </w:r>
            <w:r>
              <w:rPr>
                <w:rFonts w:hint="eastAsia" w:ascii="黑体" w:hAnsi="宋体" w:eastAsia="黑体" w:cs="黑体"/>
                <w:i w:val="0"/>
                <w:iCs w:val="0"/>
                <w:color w:val="000000"/>
                <w:kern w:val="0"/>
                <w:sz w:val="21"/>
                <w:szCs w:val="21"/>
                <w:u w:val="none"/>
                <w:lang w:val="en-US" w:eastAsia="zh-CN" w:bidi="ar"/>
              </w:rPr>
              <w:t>）</w:t>
            </w:r>
          </w:p>
        </w:tc>
        <w:tc>
          <w:tcPr>
            <w:tcW w:w="1348" w:type="pct"/>
            <w:tcBorders>
              <w:top w:val="single" w:color="000000" w:sz="8" w:space="0"/>
              <w:left w:val="single" w:color="000000" w:sz="4" w:space="0"/>
              <w:bottom w:val="single" w:color="000000" w:sz="4" w:space="0"/>
              <w:right w:val="single" w:color="000000" w:sz="8" w:space="0"/>
            </w:tcBorders>
            <w:shd w:val="clear" w:color="auto" w:fill="auto"/>
            <w:vAlign w:val="center"/>
          </w:tcPr>
          <w:p w14:paraId="0F155BE5">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不含税合价</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（元）</w:t>
            </w:r>
          </w:p>
        </w:tc>
        <w:tc>
          <w:tcPr>
            <w:tcW w:w="467" w:type="pct"/>
            <w:tcBorders>
              <w:top w:val="single" w:color="000000" w:sz="8" w:space="0"/>
              <w:left w:val="single" w:color="000000" w:sz="4" w:space="0"/>
              <w:bottom w:val="single" w:color="000000" w:sz="4" w:space="0"/>
              <w:right w:val="single" w:color="000000" w:sz="8" w:space="0"/>
            </w:tcBorders>
            <w:shd w:val="clear" w:color="auto" w:fill="auto"/>
            <w:vAlign w:val="center"/>
          </w:tcPr>
          <w:p w14:paraId="4A69182C">
            <w:pPr>
              <w:keepNext w:val="0"/>
              <w:keepLines w:val="0"/>
              <w:widowControl/>
              <w:suppressLineNumbers w:val="0"/>
              <w:jc w:val="center"/>
              <w:textAlignment w:val="center"/>
              <w:rPr>
                <w:rFonts w:hint="default"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备注</w:t>
            </w:r>
          </w:p>
        </w:tc>
      </w:tr>
      <w:tr w14:paraId="42C36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6" w:hRule="atLeast"/>
        </w:trPr>
        <w:tc>
          <w:tcPr>
            <w:tcW w:w="337" w:type="pct"/>
            <w:tcBorders>
              <w:top w:val="single" w:color="000000" w:sz="4" w:space="0"/>
              <w:left w:val="single" w:color="000000" w:sz="8" w:space="0"/>
              <w:bottom w:val="single" w:color="000000" w:sz="4" w:space="0"/>
              <w:right w:val="single" w:color="000000" w:sz="4" w:space="0"/>
            </w:tcBorders>
            <w:shd w:val="clear" w:color="auto" w:fill="auto"/>
            <w:vAlign w:val="center"/>
          </w:tcPr>
          <w:p w14:paraId="24DA10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056B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金属板幕墙</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C087C">
            <w:pPr>
              <w:jc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1107.18</w:t>
            </w:r>
          </w:p>
        </w:tc>
        <w:tc>
          <w:tcPr>
            <w:tcW w:w="1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6BBA6">
            <w:pPr>
              <w:jc w:val="center"/>
              <w:rPr>
                <w:rFonts w:hint="eastAsia" w:ascii="宋体" w:hAnsi="宋体" w:eastAsia="宋体" w:cs="宋体"/>
                <w:i w:val="0"/>
                <w:iCs w:val="0"/>
                <w:color w:val="000000"/>
                <w:kern w:val="0"/>
                <w:sz w:val="21"/>
                <w:szCs w:val="21"/>
                <w:u w:val="none"/>
                <w:lang w:val="en-US" w:eastAsia="zh-CN" w:bidi="ar"/>
              </w:rPr>
            </w:pPr>
            <w:bookmarkStart w:id="317" w:name="_GoBack"/>
            <w:bookmarkEnd w:id="317"/>
          </w:p>
        </w:tc>
        <w:tc>
          <w:tcPr>
            <w:tcW w:w="13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72936">
            <w:pPr>
              <w:jc w:val="center"/>
              <w:rPr>
                <w:rFonts w:hint="eastAsia" w:ascii="宋体" w:hAnsi="宋体" w:eastAsia="宋体" w:cs="宋体"/>
                <w:i w:val="0"/>
                <w:iCs w:val="0"/>
                <w:color w:val="000000"/>
                <w:kern w:val="0"/>
                <w:sz w:val="21"/>
                <w:szCs w:val="21"/>
                <w:u w:val="none"/>
                <w:lang w:val="en-US" w:eastAsia="zh-CN" w:bidi="ar"/>
              </w:rPr>
            </w:pP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6BDBC">
            <w:pPr>
              <w:jc w:val="center"/>
              <w:rPr>
                <w:rFonts w:hint="eastAsia" w:ascii="宋体" w:hAnsi="宋体" w:eastAsia="宋体" w:cs="宋体"/>
                <w:i w:val="0"/>
                <w:iCs w:val="0"/>
                <w:color w:val="000000"/>
                <w:kern w:val="0"/>
                <w:sz w:val="21"/>
                <w:szCs w:val="21"/>
                <w:u w:val="none"/>
                <w:lang w:val="en-US" w:eastAsia="zh-CN" w:bidi="ar"/>
              </w:rPr>
            </w:pPr>
          </w:p>
        </w:tc>
      </w:tr>
      <w:tr w14:paraId="275CA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5000" w:type="pct"/>
            <w:gridSpan w:val="6"/>
            <w:tcBorders>
              <w:top w:val="single" w:color="000000" w:sz="4" w:space="0"/>
              <w:left w:val="single" w:color="000000" w:sz="8" w:space="0"/>
              <w:bottom w:val="single" w:color="000000" w:sz="4" w:space="0"/>
              <w:right w:val="single" w:color="000000" w:sz="4" w:space="0"/>
            </w:tcBorders>
            <w:shd w:val="clear" w:color="auto" w:fill="auto"/>
            <w:vAlign w:val="center"/>
          </w:tcPr>
          <w:p w14:paraId="51BD656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备注: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1.不含税单价指成品主材到工地价，含型材主材费+型材加工费+图纸要求的型材镀锌施工完成费+至工地运输费及损耗等全部综合组成费用，实行单价闭口，工程量据实结算，最终以实际工程量为准，据实结算。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2.加工制作的产品规格质量，防火性能，环保性能等必须符合图纸及相关规范要求，不得降低图纸设计及规范规定质量标准要求。 </w:t>
            </w:r>
          </w:p>
          <w:p w14:paraId="125B7786">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3.未尽事宜详见设计图纸、图集、答疑、采购文件、政府相关文件、规范等其他资料，满足验收要求；项目编码及特征描述详见采购需求。</w:t>
            </w:r>
          </w:p>
        </w:tc>
      </w:tr>
    </w:tbl>
    <w:p w14:paraId="627889F1">
      <w:pPr>
        <w:numPr>
          <w:ilvl w:val="0"/>
          <w:numId w:val="0"/>
        </w:numPr>
        <w:rPr>
          <w:rFonts w:hint="eastAsia"/>
          <w:lang w:val="en-US" w:eastAsia="zh-CN"/>
        </w:rPr>
      </w:pPr>
    </w:p>
    <w:p w14:paraId="47087282">
      <w:pPr>
        <w:numPr>
          <w:ilvl w:val="0"/>
          <w:numId w:val="0"/>
        </w:numPr>
        <w:rPr>
          <w:rFonts w:hint="eastAsia"/>
          <w:lang w:val="en-US" w:eastAsia="zh-CN"/>
        </w:rPr>
      </w:pPr>
    </w:p>
    <w:p w14:paraId="721F2D4A">
      <w:pPr>
        <w:numPr>
          <w:ilvl w:val="0"/>
          <w:numId w:val="0"/>
        </w:numPr>
        <w:rPr>
          <w:rFonts w:hint="eastAsia"/>
          <w:lang w:val="en-US" w:eastAsia="zh-CN"/>
        </w:rPr>
      </w:pPr>
    </w:p>
    <w:p w14:paraId="263A11BF">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247514288"/>
      <w:bookmarkStart w:id="285" w:name="_Toc144974864"/>
      <w:bookmarkStart w:id="286" w:name="_Toc152042585"/>
      <w:bookmarkStart w:id="287" w:name="_Toc247527836"/>
      <w:bookmarkStart w:id="288" w:name="_Toc300835221"/>
      <w:bookmarkStart w:id="289" w:name="_Toc15204579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6373"/>
      <w:bookmarkStart w:id="292" w:name="_Toc179632828"/>
      <w:bookmarkStart w:id="293" w:name="_Toc247085891"/>
      <w:bookmarkStart w:id="294" w:name="_Toc296602618"/>
      <w:bookmarkStart w:id="295" w:name="_Toc246997116"/>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96602615"/>
      <w:bookmarkStart w:id="297" w:name="_Toc246997113"/>
      <w:bookmarkStart w:id="298" w:name="_Toc246996370"/>
      <w:bookmarkStart w:id="299" w:name="_Toc247085888"/>
      <w:bookmarkStart w:id="300" w:name="_Toc144974878"/>
      <w:bookmarkStart w:id="301" w:name="_Toc247527850"/>
      <w:bookmarkStart w:id="302" w:name="_Toc152045810"/>
      <w:bookmarkStart w:id="303" w:name="_Toc300835226"/>
      <w:bookmarkStart w:id="304" w:name="_Toc152042599"/>
      <w:bookmarkStart w:id="305" w:name="_Toc247514302"/>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96602616"/>
      <w:bookmarkStart w:id="307" w:name="_Toc246997114"/>
      <w:bookmarkStart w:id="308" w:name="_Toc246996371"/>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5811"/>
      <w:bookmarkStart w:id="311" w:name="_Toc152042600"/>
      <w:bookmarkStart w:id="312" w:name="_Toc247527851"/>
      <w:bookmarkStart w:id="313" w:name="_Toc144974879"/>
      <w:bookmarkStart w:id="314" w:name="_Toc247514303"/>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64B8B690">
      <w:pPr>
        <w:numPr>
          <w:ilvl w:val="0"/>
          <w:numId w:val="0"/>
        </w:num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6F1FB5DB">
      <w:pPr>
        <w:numPr>
          <w:ilvl w:val="0"/>
          <w:numId w:val="0"/>
        </w:numPr>
        <w:jc w:val="center"/>
        <w:rPr>
          <w:rFonts w:hint="eastAsia"/>
          <w:b/>
          <w:bCs/>
          <w:color w:val="FF0000"/>
          <w:lang w:val="en-US" w:eastAsia="zh-CN"/>
        </w:rPr>
      </w:pPr>
    </w:p>
    <w:p w14:paraId="0449E956">
      <w:pPr>
        <w:numPr>
          <w:ilvl w:val="0"/>
          <w:numId w:val="0"/>
        </w:numPr>
        <w:jc w:val="center"/>
        <w:rPr>
          <w:rFonts w:hint="eastAsia"/>
          <w:b/>
          <w:bCs/>
          <w:color w:val="FF0000"/>
          <w:lang w:val="en-US" w:eastAsia="zh-CN"/>
        </w:rPr>
      </w:pPr>
    </w:p>
    <w:p w14:paraId="1EB172E4">
      <w:pPr>
        <w:numPr>
          <w:ilvl w:val="0"/>
          <w:numId w:val="0"/>
        </w:numPr>
        <w:jc w:val="center"/>
        <w:rPr>
          <w:rFonts w:hint="eastAsia"/>
          <w:b/>
          <w:bCs/>
          <w:color w:val="FF0000"/>
          <w:lang w:val="en-US" w:eastAsia="zh-CN"/>
        </w:rPr>
      </w:pPr>
    </w:p>
    <w:p w14:paraId="16AEFFFA">
      <w:pPr>
        <w:numPr>
          <w:ilvl w:val="0"/>
          <w:numId w:val="0"/>
        </w:numPr>
        <w:jc w:val="center"/>
        <w:rPr>
          <w:rFonts w:hint="eastAsia"/>
          <w:b/>
          <w:bCs/>
          <w:color w:val="FF0000"/>
          <w:lang w:val="en-US" w:eastAsia="zh-CN"/>
        </w:rPr>
      </w:pPr>
    </w:p>
    <w:p w14:paraId="64A75252">
      <w:pPr>
        <w:numPr>
          <w:ilvl w:val="0"/>
          <w:numId w:val="0"/>
        </w:numPr>
        <w:jc w:val="center"/>
        <w:rPr>
          <w:rFonts w:hint="eastAsia"/>
          <w:b/>
          <w:bCs/>
          <w:color w:val="FF0000"/>
          <w:lang w:val="en-US" w:eastAsia="zh-CN"/>
        </w:rPr>
      </w:pPr>
    </w:p>
    <w:p w14:paraId="5B5A3DA1">
      <w:pPr>
        <w:numPr>
          <w:ilvl w:val="0"/>
          <w:numId w:val="0"/>
        </w:numPr>
        <w:jc w:val="center"/>
        <w:rPr>
          <w:rFonts w:hint="eastAsia"/>
          <w:b/>
          <w:bCs/>
          <w:color w:val="FF0000"/>
          <w:lang w:val="en-US" w:eastAsia="zh-CN"/>
        </w:rPr>
      </w:pPr>
    </w:p>
    <w:p w14:paraId="3AA9BBB5">
      <w:pPr>
        <w:numPr>
          <w:ilvl w:val="0"/>
          <w:numId w:val="0"/>
        </w:numPr>
        <w:jc w:val="center"/>
        <w:rPr>
          <w:rFonts w:hint="eastAsia"/>
          <w:b/>
          <w:bCs/>
          <w:color w:val="FF0000"/>
          <w:lang w:val="en-US" w:eastAsia="zh-CN"/>
        </w:rPr>
      </w:pPr>
    </w:p>
    <w:p w14:paraId="7D7F1330">
      <w:pPr>
        <w:numPr>
          <w:ilvl w:val="0"/>
          <w:numId w:val="0"/>
        </w:numPr>
        <w:jc w:val="center"/>
        <w:rPr>
          <w:rFonts w:hint="eastAsia"/>
          <w:b/>
          <w:bCs/>
          <w:color w:val="FF0000"/>
          <w:lang w:val="en-US" w:eastAsia="zh-CN"/>
        </w:rPr>
      </w:pPr>
    </w:p>
    <w:p w14:paraId="50D32861">
      <w:pPr>
        <w:numPr>
          <w:ilvl w:val="0"/>
          <w:numId w:val="0"/>
        </w:numPr>
        <w:jc w:val="center"/>
        <w:rPr>
          <w:rFonts w:hint="default"/>
          <w:b/>
          <w:bCs/>
          <w:color w:val="FF0000"/>
          <w:lang w:val="en-US" w:eastAsia="zh-CN"/>
        </w:rPr>
      </w:pPr>
    </w:p>
    <w:p w14:paraId="2761C97D">
      <w:pPr>
        <w:rPr>
          <w:rFonts w:hint="eastAsia" w:ascii="Times New Roman" w:hAnsi="Times New Roman" w:cs="Times New Roman"/>
          <w:lang w:val="en-US" w:eastAsia="zh-CN"/>
        </w:rPr>
      </w:pPr>
      <w:bookmarkStart w:id="315" w:name="_Toc300835233"/>
      <w:bookmarkStart w:id="316" w:name="_Toc271821942"/>
      <w:r>
        <w:rPr>
          <w:rFonts w:hint="eastAsia" w:ascii="Times New Roman" w:hAnsi="Times New Roman" w:cs="Times New Roman"/>
          <w:lang w:val="en-US" w:eastAsia="zh-CN"/>
        </w:rPr>
        <w:br w:type="page"/>
      </w:r>
    </w:p>
    <w:p w14:paraId="1E5B7EEB">
      <w:pPr>
        <w:pStyle w:val="4"/>
        <w:numPr>
          <w:ilvl w:val="0"/>
          <w:numId w:val="0"/>
        </w:numPr>
        <w:jc w:val="center"/>
        <w:rPr>
          <w:rFonts w:hint="default" w:ascii="Times New Roman" w:hAnsi="Times New Roman" w:cs="Times New Roman"/>
          <w:lang w:val="en-US" w:eastAsia="zh-CN"/>
        </w:rPr>
      </w:pPr>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3E4D592-58E3-4821-928A-C64EA535D564}"/>
  </w:font>
  <w:font w:name="Arial">
    <w:panose1 w:val="020B0604020202020204"/>
    <w:charset w:val="01"/>
    <w:family w:val="swiss"/>
    <w:pitch w:val="default"/>
    <w:sig w:usb0="E0002EFF" w:usb1="C000785B" w:usb2="00000009" w:usb3="00000000" w:csb0="400001FF" w:csb1="FFFF0000"/>
    <w:embedRegular r:id="rId2" w:fontKey="{17B9419A-48A6-494B-B785-7D85C2E1E5E2}"/>
  </w:font>
  <w:font w:name="黑体">
    <w:panose1 w:val="02010609060101010101"/>
    <w:charset w:val="86"/>
    <w:family w:val="auto"/>
    <w:pitch w:val="default"/>
    <w:sig w:usb0="800002BF" w:usb1="38CF7CFA" w:usb2="00000016" w:usb3="00000000" w:csb0="00040001" w:csb1="00000000"/>
    <w:embedRegular r:id="rId3" w:fontKey="{76439EEE-09E1-4FAA-B93E-2149C6CB85F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0991CA71-3F10-41D3-988F-53E245C96818}"/>
  </w:font>
  <w:font w:name="仿宋_GB2312">
    <w:panose1 w:val="02010609030101010101"/>
    <w:charset w:val="86"/>
    <w:family w:val="modern"/>
    <w:pitch w:val="default"/>
    <w:sig w:usb0="00000001" w:usb1="080E0000" w:usb2="00000000" w:usb3="00000000" w:csb0="00040000" w:csb1="00000000"/>
    <w:embedRegular r:id="rId5" w:fontKey="{EE367D89-340E-4259-A8AC-788A1FD6E33F}"/>
  </w:font>
  <w:font w:name="方正小标宋简体">
    <w:panose1 w:val="03000509000000000000"/>
    <w:charset w:val="86"/>
    <w:family w:val="auto"/>
    <w:pitch w:val="default"/>
    <w:sig w:usb0="00000001" w:usb1="080E0000" w:usb2="00000000" w:usb3="00000000" w:csb0="00040000" w:csb1="00000000"/>
    <w:embedRegular r:id="rId6" w:fontKey="{BD5EC722-4A41-447E-A719-958002C16FC1}"/>
  </w:font>
  <w:font w:name="楷体">
    <w:panose1 w:val="02010609060101010101"/>
    <w:charset w:val="86"/>
    <w:family w:val="auto"/>
    <w:pitch w:val="default"/>
    <w:sig w:usb0="800002BF" w:usb1="38CF7CFA" w:usb2="00000016" w:usb3="00000000" w:csb0="00040001" w:csb1="00000000"/>
    <w:embedRegular r:id="rId7" w:fontKey="{C2A29EA1-58D5-4BFD-B485-D2FD3FDAF474}"/>
  </w:font>
  <w:font w:name="Wingdings 2">
    <w:panose1 w:val="05020102010507070707"/>
    <w:charset w:val="00"/>
    <w:family w:val="auto"/>
    <w:pitch w:val="default"/>
    <w:sig w:usb0="00000000" w:usb1="00000000" w:usb2="00000000" w:usb3="00000000" w:csb0="80000000" w:csb1="00000000"/>
    <w:embedRegular r:id="rId8" w:fontKey="{367A6BB6-BE35-486A-9141-2F03FF73B4DA}"/>
  </w:font>
  <w:font w:name="方正仿宋_GB2312">
    <w:panose1 w:val="02000000000000000000"/>
    <w:charset w:val="86"/>
    <w:family w:val="auto"/>
    <w:pitch w:val="default"/>
    <w:sig w:usb0="A00002BF" w:usb1="184F6CFA" w:usb2="00000012" w:usb3="00000000" w:csb0="00040001" w:csb1="00000000"/>
    <w:embedRegular r:id="rId9" w:fontKey="{33C09DBD-5029-44A2-AF16-CDC236CA4C15}"/>
  </w:font>
  <w:font w:name="仿宋">
    <w:panose1 w:val="02010609060101010101"/>
    <w:charset w:val="86"/>
    <w:family w:val="modern"/>
    <w:pitch w:val="default"/>
    <w:sig w:usb0="800002BF" w:usb1="38CF7CFA" w:usb2="00000016" w:usb3="00000000" w:csb0="00040001" w:csb1="00000000"/>
    <w:embedRegular r:id="rId10" w:fontKey="{93EA7D59-125D-48CD-9AE8-C98110818E04}"/>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8A7548"/>
    <w:multiLevelType w:val="singleLevel"/>
    <w:tmpl w:val="988A7548"/>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44A8"/>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04754"/>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707FE"/>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54F71"/>
    <w:rsid w:val="1D0C3E62"/>
    <w:rsid w:val="1D1D0D81"/>
    <w:rsid w:val="1D234DF0"/>
    <w:rsid w:val="1D35436C"/>
    <w:rsid w:val="1D3A1AFC"/>
    <w:rsid w:val="1D4B5AB7"/>
    <w:rsid w:val="1D546098"/>
    <w:rsid w:val="1D5801D4"/>
    <w:rsid w:val="1D5835F0"/>
    <w:rsid w:val="1D594678"/>
    <w:rsid w:val="1D6C4887"/>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04368"/>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47960"/>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2305FF"/>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C548F4"/>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1F428F"/>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80A9C"/>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84959"/>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7408</Words>
  <Characters>8186</Characters>
  <Lines>0</Lines>
  <Paragraphs>0</Paragraphs>
  <TotalTime>27</TotalTime>
  <ScaleCrop>false</ScaleCrop>
  <LinksUpToDate>false</LinksUpToDate>
  <CharactersWithSpaces>8308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2025-11-26T02:27:00Z</cp:lastPrinted>
  <dcterms:modified xsi:type="dcterms:W3CDTF">2025-11-27T07:11:02Z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DB73452EEC0B42EDB1B9F2D12FBC8396_13</vt:lpwstr>
  </property>
  <property fmtid="{D5CDD505-2E9C-101B-9397-08002B2CF9AE}" pid="4" name="KSOTemplateDocerSaveRecord">
    <vt:lpwstr>eyJoZGlkIjoiM2Y2YWQwZmQwYTk0YzMxZDE0NDM4NTZjN2RkMjdlYzYiLCJ1c2VySWQiOiIzMTAwODg2NjAifQ==</vt:lpwstr>
  </property>
</Properties>
</file>