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高铁站地下室公共走廊外墙砖脱落改造工程项目劳务分包</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99号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2025年11</w:t>
      </w:r>
      <w:r>
        <w:rPr>
          <w:rFonts w:hint="eastAsia" w:ascii="Times New Roman" w:hAnsi="Times New Roman" w:eastAsia="楷体" w:cs="Times New Roman"/>
          <w:kern w:val="0"/>
          <w:sz w:val="32"/>
          <w:szCs w:val="32"/>
          <w:highlight w:val="none"/>
          <w:u w:val="none"/>
          <w:shd w:val="clear" w:color="auto" w:fill="auto"/>
          <w:lang w:val="en-US" w:eastAsia="zh-CN"/>
        </w:rPr>
        <w:t>月27日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高铁站地下室公共走廊外墙砖脱落改造工程项目劳务分包</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u w:val="none"/>
          <w:lang w:val="en-US" w:eastAsia="zh-CN"/>
        </w:rPr>
        <w:t>高铁站地下室公共走廊外墙砖脱落改造工程项目劳务分包</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99号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（含税，3%）</w:t>
      </w:r>
      <w:permEnd w:id="8"/>
      <w:r>
        <w:rPr>
          <w:rFonts w:hint="eastAsia" w:asciiTheme="minorEastAsia" w:hAnsiTheme="minorEastAsia" w:eastAsiaTheme="minorEastAsia" w:cstheme="minorEastAsia"/>
          <w:sz w:val="28"/>
          <w:szCs w:val="28"/>
          <w:highlight w:val="none"/>
          <w:lang w:val="en-US" w:eastAsia="zh-CN"/>
        </w:rPr>
        <w:t>：</w:t>
      </w:r>
      <w:r>
        <w:rPr>
          <w:rFonts w:hint="eastAsia" w:ascii="宋体" w:hAnsi="宋体" w:cs="宋体"/>
          <w:color w:val="FF0000"/>
          <w:kern w:val="2"/>
          <w:sz w:val="28"/>
          <w:szCs w:val="28"/>
          <w:highlight w:val="none"/>
          <w:u w:val="single"/>
          <w:lang w:val="en-US" w:eastAsia="zh-CN"/>
        </w:rPr>
        <w:t>22.36万元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9" w:edGrp="everyone"/>
      <w:r>
        <w:rPr>
          <w:rFonts w:hint="eastAsia" w:asciiTheme="minorEastAsia" w:hAnsiTheme="minorEastAsia" w:eastAsiaTheme="minorEastAsia" w:cstheme="minorEastAsia"/>
          <w:color w:val="FF0000"/>
          <w:kern w:val="2"/>
          <w:sz w:val="28"/>
          <w:szCs w:val="28"/>
          <w:highlight w:val="none"/>
          <w:lang w:val="en-US" w:eastAsia="zh-CN"/>
        </w:rPr>
        <w:t>含税固定单价</w:t>
      </w:r>
      <w:permEnd w:id="9"/>
      <w:r>
        <w:rPr>
          <w:rFonts w:hint="eastAsia" w:asciiTheme="minorEastAsia" w:hAnsiTheme="minorEastAsia" w:eastAsiaTheme="minorEastAsia" w:cstheme="minorEastAsia"/>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宋体" w:hAnsi="宋体" w:eastAsia="宋体" w:cs="宋体"/>
          <w:color w:val="auto"/>
          <w:kern w:val="2"/>
          <w:sz w:val="28"/>
          <w:szCs w:val="28"/>
          <w:highlight w:val="none"/>
          <w:lang w:val="en-US" w:eastAsia="zh-CN"/>
        </w:rPr>
        <w:t>本次采购的范围是高铁站地下室公共走廊外墙砖脱落改造工程项目劳务分包，包括但不限于原立面块料拆除及建筑垃圾清理外运，金属板幕墙安装、金属板幕墙副龙骨安装、原吊顶修复、现场原广告牌灯箱、疏散指示灯、监护摄像设备、安全护栏，标志标牌、环保消防设施拆除恢复调试等劳务施工所需的所有辅材材料采购及劳务安装作业，</w:t>
      </w:r>
      <w:r>
        <w:rPr>
          <w:rFonts w:hint="eastAsia" w:ascii="宋体" w:hAnsi="宋体" w:eastAsia="宋体" w:cs="宋体"/>
          <w:b/>
          <w:bCs/>
          <w:color w:val="FF0000"/>
          <w:kern w:val="2"/>
          <w:sz w:val="28"/>
          <w:szCs w:val="28"/>
          <w:highlight w:val="none"/>
          <w:lang w:val="en-US" w:eastAsia="zh-CN"/>
        </w:rPr>
        <w:t>金属板幕</w:t>
      </w:r>
      <w:bookmarkStart w:id="317" w:name="_GoBack"/>
      <w:bookmarkEnd w:id="317"/>
      <w:r>
        <w:rPr>
          <w:rFonts w:hint="eastAsia" w:ascii="宋体" w:hAnsi="宋体" w:eastAsia="宋体" w:cs="宋体"/>
          <w:b/>
          <w:bCs/>
          <w:color w:val="FF0000"/>
          <w:kern w:val="2"/>
          <w:sz w:val="28"/>
          <w:szCs w:val="28"/>
          <w:highlight w:val="none"/>
          <w:lang w:val="en-US" w:eastAsia="zh-CN"/>
        </w:rPr>
        <w:t>墙主材不在本次采购范围内，由采购人另行采购</w:t>
      </w:r>
      <w:r>
        <w:rPr>
          <w:rFonts w:hint="eastAsia" w:ascii="宋体" w:hAnsi="宋体" w:eastAsia="宋体" w:cs="宋体"/>
          <w:color w:val="auto"/>
          <w:kern w:val="2"/>
          <w:sz w:val="28"/>
          <w:szCs w:val="28"/>
          <w:highlight w:val="none"/>
          <w:lang w:val="en-US" w:eastAsia="zh-CN"/>
        </w:rPr>
        <w:t>。供应商需按照施工图纸、工程量清单及</w:t>
      </w:r>
      <w:r>
        <w:rPr>
          <w:rFonts w:hint="eastAsia" w:ascii="宋体" w:hAnsi="宋体" w:cs="宋体"/>
          <w:color w:val="auto"/>
          <w:kern w:val="2"/>
          <w:sz w:val="28"/>
          <w:szCs w:val="28"/>
          <w:highlight w:val="none"/>
          <w:lang w:val="en-US" w:eastAsia="zh-CN"/>
        </w:rPr>
        <w:t>采购</w:t>
      </w:r>
      <w:r>
        <w:rPr>
          <w:rFonts w:hint="eastAsia" w:ascii="宋体" w:hAnsi="宋体" w:eastAsia="宋体" w:cs="宋体"/>
          <w:color w:val="auto"/>
          <w:kern w:val="2"/>
          <w:sz w:val="28"/>
          <w:szCs w:val="28"/>
          <w:highlight w:val="none"/>
          <w:lang w:val="en-US" w:eastAsia="zh-CN"/>
        </w:rPr>
        <w:t>人的要求，设计变更、业主及</w:t>
      </w:r>
      <w:r>
        <w:rPr>
          <w:rFonts w:hint="eastAsia" w:ascii="宋体" w:hAnsi="宋体" w:cs="宋体"/>
          <w:color w:val="auto"/>
          <w:kern w:val="2"/>
          <w:sz w:val="28"/>
          <w:szCs w:val="28"/>
          <w:highlight w:val="none"/>
          <w:lang w:val="en-US" w:eastAsia="zh-CN"/>
        </w:rPr>
        <w:t>采购</w:t>
      </w:r>
      <w:r>
        <w:rPr>
          <w:rFonts w:hint="eastAsia" w:ascii="宋体" w:hAnsi="宋体" w:eastAsia="宋体" w:cs="宋体"/>
          <w:color w:val="auto"/>
          <w:kern w:val="2"/>
          <w:sz w:val="28"/>
          <w:szCs w:val="28"/>
          <w:highlight w:val="none"/>
          <w:lang w:val="en-US" w:eastAsia="zh-CN"/>
        </w:rPr>
        <w:t>人要求增加、工程联系单等要求完成所有工作任务，以实际完成合格工程量为准。</w:t>
      </w:r>
      <w:r>
        <w:rPr>
          <w:rFonts w:hint="eastAsia" w:ascii="宋体" w:hAnsi="宋体" w:cs="宋体"/>
          <w:color w:val="auto"/>
          <w:kern w:val="2"/>
          <w:sz w:val="28"/>
          <w:szCs w:val="28"/>
          <w:highlight w:val="none"/>
          <w:lang w:val="en-US" w:eastAsia="zh-CN"/>
        </w:rPr>
        <w:t>供应商响应</w:t>
      </w:r>
      <w:r>
        <w:rPr>
          <w:rFonts w:hint="eastAsia" w:ascii="宋体" w:hAnsi="宋体" w:eastAsia="宋体" w:cs="宋体"/>
          <w:color w:val="auto"/>
          <w:kern w:val="2"/>
          <w:sz w:val="28"/>
          <w:szCs w:val="28"/>
          <w:highlight w:val="none"/>
          <w:lang w:val="en-US" w:eastAsia="zh-CN"/>
        </w:rPr>
        <w:t>前请认真</w:t>
      </w:r>
      <w:r>
        <w:rPr>
          <w:rFonts w:hint="eastAsia" w:ascii="宋体" w:hAnsi="宋体" w:cs="宋体"/>
          <w:color w:val="auto"/>
          <w:kern w:val="2"/>
          <w:sz w:val="28"/>
          <w:szCs w:val="28"/>
          <w:highlight w:val="none"/>
          <w:lang w:val="en-US" w:eastAsia="zh-CN"/>
        </w:rPr>
        <w:t>查</w:t>
      </w:r>
      <w:r>
        <w:rPr>
          <w:rFonts w:hint="eastAsia" w:ascii="宋体" w:hAnsi="宋体" w:eastAsia="宋体" w:cs="宋体"/>
          <w:color w:val="auto"/>
          <w:kern w:val="2"/>
          <w:sz w:val="28"/>
          <w:szCs w:val="28"/>
          <w:highlight w:val="none"/>
          <w:lang w:val="en-US" w:eastAsia="zh-CN"/>
        </w:rPr>
        <w:t>阅施工图并自行踏堪现场了解情况，</w:t>
      </w:r>
      <w:r>
        <w:rPr>
          <w:rFonts w:hint="eastAsia" w:ascii="宋体" w:hAnsi="宋体" w:cs="宋体"/>
          <w:color w:val="auto"/>
          <w:kern w:val="2"/>
          <w:sz w:val="28"/>
          <w:szCs w:val="28"/>
          <w:highlight w:val="none"/>
          <w:lang w:val="en-US" w:eastAsia="zh-CN"/>
        </w:rPr>
        <w:t>响应</w:t>
      </w:r>
      <w:r>
        <w:rPr>
          <w:rFonts w:hint="eastAsia" w:ascii="宋体" w:hAnsi="宋体" w:eastAsia="宋体" w:cs="宋体"/>
          <w:color w:val="auto"/>
          <w:kern w:val="2"/>
          <w:sz w:val="28"/>
          <w:szCs w:val="28"/>
          <w:highlight w:val="none"/>
          <w:lang w:val="en-US" w:eastAsia="zh-CN"/>
        </w:rPr>
        <w:t>时我方认为</w:t>
      </w:r>
      <w:r>
        <w:rPr>
          <w:rFonts w:hint="eastAsia" w:ascii="宋体" w:hAnsi="宋体" w:cs="宋体"/>
          <w:color w:val="auto"/>
          <w:kern w:val="2"/>
          <w:sz w:val="28"/>
          <w:szCs w:val="28"/>
          <w:highlight w:val="none"/>
          <w:lang w:val="en-US" w:eastAsia="zh-CN"/>
        </w:rPr>
        <w:t>供应商</w:t>
      </w:r>
      <w:r>
        <w:rPr>
          <w:rFonts w:hint="eastAsia" w:ascii="宋体" w:hAnsi="宋体" w:eastAsia="宋体" w:cs="宋体"/>
          <w:color w:val="auto"/>
          <w:kern w:val="2"/>
          <w:sz w:val="28"/>
          <w:szCs w:val="28"/>
          <w:highlight w:val="none"/>
          <w:lang w:val="en-US" w:eastAsia="zh-CN"/>
        </w:rPr>
        <w:t>已充分了解工程概况及工作范围</w:t>
      </w:r>
      <w:r>
        <w:rPr>
          <w:rFonts w:hint="eastAsia" w:asciiTheme="minorEastAsia" w:hAnsiTheme="minorEastAsia" w:eastAsiaTheme="minorEastAsia" w:cstheme="minorEastAsia"/>
          <w:sz w:val="28"/>
          <w:szCs w:val="28"/>
          <w:highlight w:val="none"/>
          <w:lang w:val="en-US" w:eastAsia="zh-CN"/>
        </w:rPr>
        <w:t>。</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宋体" w:hAnsi="宋体" w:cs="宋体"/>
          <w:color w:val="auto"/>
          <w:kern w:val="2"/>
          <w:sz w:val="28"/>
          <w:szCs w:val="28"/>
          <w:highlight w:val="none"/>
          <w:lang w:val="en-US" w:eastAsia="zh-CN"/>
        </w:rPr>
        <w:t>计划工期</w:t>
      </w:r>
      <w:r>
        <w:rPr>
          <w:rFonts w:hint="eastAsia" w:ascii="宋体" w:hAnsi="宋体" w:eastAsia="宋体" w:cs="宋体"/>
          <w:color w:val="auto"/>
          <w:kern w:val="2"/>
          <w:sz w:val="28"/>
          <w:szCs w:val="28"/>
          <w:highlight w:val="none"/>
          <w:lang w:val="en-US" w:eastAsia="zh-CN"/>
        </w:rPr>
        <w:t>：自采购人发出开工指令之日起30</w:t>
      </w:r>
      <w:r>
        <w:rPr>
          <w:rFonts w:hint="eastAsia" w:ascii="宋体" w:hAnsi="宋体" w:cs="宋体"/>
          <w:color w:val="auto"/>
          <w:kern w:val="2"/>
          <w:sz w:val="28"/>
          <w:szCs w:val="28"/>
          <w:highlight w:val="none"/>
          <w:lang w:val="en-US" w:eastAsia="zh-CN"/>
        </w:rPr>
        <w:t>日历</w:t>
      </w:r>
      <w:r>
        <w:rPr>
          <w:rFonts w:hint="eastAsia" w:ascii="宋体" w:hAnsi="宋体" w:eastAsia="宋体" w:cs="宋体"/>
          <w:color w:val="auto"/>
          <w:kern w:val="2"/>
          <w:sz w:val="28"/>
          <w:szCs w:val="28"/>
          <w:highlight w:val="none"/>
          <w:lang w:val="en-US" w:eastAsia="zh-CN"/>
        </w:rPr>
        <w:t>天（暂定）</w:t>
      </w:r>
      <w:r>
        <w:rPr>
          <w:rFonts w:hint="eastAsia" w:asciiTheme="minorEastAsia" w:hAnsiTheme="minorEastAsia" w:cstheme="minorEastAsia"/>
          <w:sz w:val="28"/>
          <w:szCs w:val="28"/>
          <w:highlight w:val="none"/>
          <w:lang w:val="en-US" w:eastAsia="zh-CN"/>
        </w:rPr>
        <w:t>。</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宋体" w:hAnsi="宋体" w:eastAsia="宋体" w:cs="宋体"/>
          <w:color w:val="auto"/>
          <w:kern w:val="2"/>
          <w:sz w:val="28"/>
          <w:szCs w:val="28"/>
          <w:highlight w:val="none"/>
          <w:lang w:val="en-US" w:eastAsia="zh-CN"/>
        </w:rPr>
        <w:t>亳州市高新区酒城大道与神农大道交叉口</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（一）供应商须具有独立法人资格，并在人员、设备、资金等方面具有承担本</w:t>
      </w:r>
      <w:r>
        <w:rPr>
          <w:rFonts w:hint="eastAsia" w:asciiTheme="minorEastAsia" w:hAnsiTheme="minorEastAsia" w:cstheme="minorEastAsia"/>
          <w:sz w:val="28"/>
          <w:szCs w:val="28"/>
          <w:highlight w:val="none"/>
          <w:lang w:val="en-US" w:eastAsia="zh-CN"/>
        </w:rPr>
        <w:t>项目施工</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0543ED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（二）供应商需具有具有有效的施工劳务企业资质和有效的安全生产许可证。</w:t>
      </w:r>
    </w:p>
    <w:p w14:paraId="41725D9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（三）供应商</w:t>
      </w:r>
      <w:r>
        <w:rPr>
          <w:rFonts w:hint="eastAsia" w:asciiTheme="minorEastAsia" w:hAnsiTheme="minorEastAsia" w:cstheme="minorEastAsia"/>
          <w:sz w:val="28"/>
          <w:szCs w:val="28"/>
          <w:highlight w:val="none"/>
          <w:lang w:val="en-US" w:eastAsia="zh-CN"/>
        </w:rPr>
        <w:t>需提供</w:t>
      </w:r>
      <w:r>
        <w:rPr>
          <w:rFonts w:hint="eastAsia" w:asciiTheme="minorEastAsia" w:hAnsiTheme="minorEastAsia" w:cstheme="minorEastAsia"/>
          <w:color w:val="FF0000"/>
          <w:sz w:val="28"/>
          <w:szCs w:val="28"/>
          <w:highlight w:val="none"/>
          <w:u w:val="single"/>
          <w:lang w:val="en-US" w:eastAsia="zh-CN"/>
        </w:rPr>
        <w:t>2020</w:t>
      </w:r>
      <w:r>
        <w:rPr>
          <w:rFonts w:hint="eastAsia" w:asciiTheme="minorEastAsia" w:hAnsiTheme="minorEastAsia" w:cstheme="minorEastAsia"/>
          <w:sz w:val="28"/>
          <w:szCs w:val="28"/>
          <w:highlight w:val="none"/>
          <w:lang w:val="en-US" w:eastAsia="zh-CN"/>
        </w:rPr>
        <w:t>年至今企业类似项目业绩</w:t>
      </w:r>
      <w:r>
        <w:rPr>
          <w:rFonts w:hint="eastAsia" w:asciiTheme="minorEastAsia" w:hAnsiTheme="minorEastAsia" w:cstheme="minorEastAsia"/>
          <w:color w:val="FF0000"/>
          <w:sz w:val="28"/>
          <w:szCs w:val="28"/>
          <w:highlight w:val="none"/>
          <w:u w:val="single"/>
          <w:lang w:val="en-US" w:eastAsia="zh-CN"/>
        </w:rPr>
        <w:t>1</w:t>
      </w:r>
      <w:r>
        <w:rPr>
          <w:rFonts w:hint="eastAsia" w:asciiTheme="minorEastAsia" w:hAnsiTheme="minorEastAsia" w:cstheme="minorEastAsia"/>
          <w:sz w:val="28"/>
          <w:szCs w:val="28"/>
          <w:highlight w:val="none"/>
          <w:lang w:val="en-US" w:eastAsia="zh-CN"/>
        </w:rPr>
        <w:t>个，以合同签订时间为准。类似项目业绩指：</w:t>
      </w:r>
      <w:r>
        <w:rPr>
          <w:rFonts w:hint="eastAsia" w:asciiTheme="minorEastAsia" w:hAnsiTheme="minorEastAsia" w:eastAsiaTheme="minorEastAsia" w:cstheme="minorEastAsia"/>
          <w:color w:val="FF0000"/>
          <w:kern w:val="2"/>
          <w:sz w:val="28"/>
          <w:szCs w:val="28"/>
          <w:highlight w:val="none"/>
          <w:u w:val="single"/>
          <w:lang w:val="en-US" w:eastAsia="zh-CN"/>
        </w:rPr>
        <w:t>单</w:t>
      </w:r>
      <w:r>
        <w:rPr>
          <w:rFonts w:hint="default" w:asciiTheme="minorEastAsia" w:hAnsiTheme="minorEastAsia" w:eastAsiaTheme="minorEastAsia" w:cstheme="minorEastAsia"/>
          <w:color w:val="FF0000"/>
          <w:kern w:val="2"/>
          <w:sz w:val="28"/>
          <w:szCs w:val="28"/>
          <w:highlight w:val="none"/>
          <w:u w:val="single"/>
          <w:lang w:val="en-US" w:eastAsia="zh-CN"/>
        </w:rPr>
        <w:t>项合同金额不低于</w:t>
      </w:r>
      <w:r>
        <w:rPr>
          <w:rFonts w:hint="eastAsia" w:asciiTheme="minorEastAsia" w:hAnsiTheme="minorEastAsia" w:eastAsiaTheme="minorEastAsia" w:cstheme="minorEastAsia"/>
          <w:color w:val="FF0000"/>
          <w:kern w:val="2"/>
          <w:sz w:val="28"/>
          <w:szCs w:val="28"/>
          <w:highlight w:val="none"/>
          <w:u w:val="single"/>
          <w:lang w:val="en-US" w:eastAsia="zh-CN"/>
        </w:rPr>
        <w:t>20</w:t>
      </w:r>
      <w:r>
        <w:rPr>
          <w:rFonts w:hint="default" w:asciiTheme="minorEastAsia" w:hAnsiTheme="minorEastAsia" w:eastAsiaTheme="minorEastAsia" w:cstheme="minorEastAsia"/>
          <w:color w:val="FF0000"/>
          <w:kern w:val="2"/>
          <w:sz w:val="28"/>
          <w:szCs w:val="28"/>
          <w:highlight w:val="none"/>
          <w:u w:val="single"/>
          <w:lang w:val="en-US" w:eastAsia="zh-CN"/>
        </w:rPr>
        <w:t>万元的</w:t>
      </w:r>
      <w:r>
        <w:rPr>
          <w:rFonts w:hint="eastAsia" w:asciiTheme="minorEastAsia" w:hAnsiTheme="minorEastAsia" w:cstheme="minorEastAsia"/>
          <w:color w:val="FF0000"/>
          <w:kern w:val="2"/>
          <w:sz w:val="28"/>
          <w:szCs w:val="28"/>
          <w:highlight w:val="none"/>
          <w:u w:val="single"/>
          <w:lang w:val="en-US" w:eastAsia="zh-CN"/>
        </w:rPr>
        <w:t>劳务施工</w:t>
      </w:r>
      <w:r>
        <w:rPr>
          <w:rFonts w:hint="default" w:asciiTheme="minorEastAsia" w:hAnsiTheme="minorEastAsia" w:eastAsiaTheme="minorEastAsia" w:cstheme="minorEastAsia"/>
          <w:color w:val="FF0000"/>
          <w:kern w:val="2"/>
          <w:sz w:val="28"/>
          <w:szCs w:val="28"/>
          <w:highlight w:val="none"/>
          <w:u w:val="single"/>
          <w:lang w:val="en-US" w:eastAsia="zh-CN"/>
        </w:rPr>
        <w:t>业绩</w:t>
      </w:r>
      <w:r>
        <w:rPr>
          <w:rFonts w:hint="eastAsia" w:asciiTheme="minorEastAsia" w:hAnsiTheme="minorEastAsia" w:cstheme="minorEastAsia"/>
          <w:sz w:val="28"/>
          <w:szCs w:val="28"/>
          <w:highlight w:val="none"/>
          <w:lang w:val="en-US" w:eastAsia="zh-CN"/>
        </w:rPr>
        <w:t>。</w:t>
      </w:r>
    </w:p>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4"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4"/>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6" w:edGrp="everyone"/>
      <w:r>
        <w:rPr>
          <w:rFonts w:hint="eastAsia" w:asciiTheme="minorEastAsia" w:hAnsiTheme="minorEastAsia" w:cstheme="minorEastAsia"/>
          <w:i/>
          <w:iCs/>
          <w:color w:val="FF0000"/>
          <w:sz w:val="28"/>
          <w:szCs w:val="28"/>
          <w:highlight w:val="none"/>
          <w:u w:val="single"/>
          <w:lang w:val="en-US" w:eastAsia="zh-CN"/>
        </w:rPr>
        <w:t xml:space="preserve"> 2025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iCs/>
          <w:color w:val="FF0000"/>
          <w:sz w:val="28"/>
          <w:szCs w:val="28"/>
          <w:highlight w:val="none"/>
          <w:u w:val="single"/>
          <w:lang w:val="en-US" w:eastAsia="zh-CN"/>
        </w:rPr>
        <w:t>12</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iCs/>
          <w:color w:val="FF0000"/>
          <w:sz w:val="28"/>
          <w:szCs w:val="28"/>
          <w:highlight w:val="none"/>
          <w:u w:val="single"/>
          <w:lang w:val="en-US" w:eastAsia="zh-CN"/>
        </w:rPr>
        <w:t>4</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6"/>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7"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7"/>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8"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8"/>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9" w:edGrp="everyone"/>
      <w:r>
        <w:rPr>
          <w:rFonts w:hint="eastAsia" w:asciiTheme="minorEastAsia" w:hAnsiTheme="minorEastAsia" w:cstheme="minorEastAsia"/>
          <w:color w:val="FF0000"/>
          <w:sz w:val="28"/>
          <w:szCs w:val="28"/>
          <w:highlight w:val="none"/>
          <w:u w:val="single"/>
          <w:lang w:val="en-US" w:eastAsia="zh-CN"/>
        </w:rPr>
        <w:t>4400元</w:t>
      </w:r>
      <w:r>
        <w:rPr>
          <w:rFonts w:hint="default" w:asciiTheme="minorEastAsia" w:hAnsiTheme="minorEastAsia" w:eastAsiaTheme="minorEastAsia" w:cstheme="minorEastAsia"/>
          <w:color w:val="FF0000"/>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0"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0"/>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cstheme="minorEastAsia"/>
          <w:sz w:val="28"/>
          <w:szCs w:val="28"/>
          <w:highlight w:val="none"/>
          <w:lang w:val="en-US" w:eastAsia="zh-CN"/>
        </w:rPr>
        <w:t xml:space="preserve">茹经理 </w:t>
      </w:r>
      <w:permEnd w:id="21"/>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：18705670516</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2"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27</w:t>
      </w:r>
      <w:r>
        <w:rPr>
          <w:rFonts w:hint="eastAsia" w:asciiTheme="minorEastAsia" w:hAnsiTheme="minorEastAsia" w:eastAsiaTheme="minorEastAsia" w:cstheme="minorEastAsia"/>
          <w:color w:val="FF0000"/>
          <w:sz w:val="28"/>
          <w:szCs w:val="28"/>
          <w:highlight w:val="none"/>
          <w:lang w:val="en-US" w:eastAsia="zh-CN"/>
        </w:rPr>
        <w:t>日</w:t>
      </w:r>
    </w:p>
    <w:permEnd w:id="22"/>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3"/>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4"/>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5"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12</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3</w:t>
            </w:r>
            <w:r>
              <w:rPr>
                <w:rFonts w:hint="eastAsia" w:ascii="Times New Roman" w:hAnsi="Times New Roman" w:cs="Times New Roman"/>
                <w:b/>
                <w:bCs/>
                <w:color w:val="FF0000"/>
                <w:szCs w:val="21"/>
                <w:highlight w:val="none"/>
                <w:u w:val="none"/>
                <w:lang w:val="en-US" w:eastAsia="zh-CN"/>
              </w:rPr>
              <w:t>日前</w:t>
            </w:r>
            <w:permEnd w:id="2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6"/>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7"/>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8"/>
            <w:r>
              <w:rPr>
                <w:rFonts w:hint="default" w:ascii="Times New Roman" w:hAnsi="Times New Roman" w:cs="Times New Roman"/>
                <w:szCs w:val="21"/>
                <w:highlight w:val="none"/>
              </w:rPr>
              <w:t>的形式：</w:t>
            </w:r>
            <w:permStart w:id="29" w:edGrp="everyone"/>
            <w:r>
              <w:rPr>
                <w:rFonts w:hint="default" w:ascii="Times New Roman" w:hAnsi="Times New Roman" w:cs="Times New Roman"/>
                <w:b/>
                <w:bCs/>
                <w:color w:val="FF0000"/>
                <w:szCs w:val="21"/>
                <w:highlight w:val="none"/>
              </w:rPr>
              <w:t>银行汇款或转账</w:t>
            </w:r>
            <w:permEnd w:id="29"/>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0" w:edGrp="everyone"/>
            <w:r>
              <w:rPr>
                <w:rFonts w:hint="eastAsia" w:ascii="Times New Roman" w:hAnsi="Times New Roman" w:cs="Times New Roman"/>
                <w:b/>
                <w:bCs/>
                <w:color w:val="FF0000"/>
                <w:szCs w:val="21"/>
                <w:highlight w:val="none"/>
                <w:u w:val="single"/>
                <w:lang w:val="en-US" w:eastAsia="zh-CN"/>
              </w:rPr>
              <w:t xml:space="preserve"> 4400元  </w:t>
            </w:r>
            <w:permEnd w:id="30"/>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b/>
                <w:bCs/>
                <w:color w:val="FF0000"/>
                <w:szCs w:val="21"/>
                <w:highlight w:val="none"/>
                <w:lang w:val="en-US" w:eastAsia="zh-CN"/>
              </w:rPr>
              <w:t>AHTKJS-2025-99号保证金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2"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2"/>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3"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高铁站地下室公共走廊外墙砖脱落改造工程项目劳务分包</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99号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3"/>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4"/>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5"/>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6"/>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7"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w:t>
            </w:r>
            <w:r>
              <w:rPr>
                <w:rFonts w:hint="eastAsia" w:ascii="Times New Roman" w:hAnsi="Times New Roman" w:cs="Times New Roman"/>
                <w:color w:val="FF0000"/>
                <w:szCs w:val="21"/>
                <w:highlight w:val="none"/>
                <w:lang w:val="en-US" w:eastAsia="zh-CN"/>
              </w:rPr>
              <w:t>转账或</w:t>
            </w:r>
            <w:r>
              <w:rPr>
                <w:rFonts w:hint="default" w:ascii="Times New Roman" w:hAnsi="Times New Roman" w:cs="Times New Roman"/>
                <w:color w:val="FF0000"/>
                <w:szCs w:val="21"/>
                <w:highlight w:val="none"/>
              </w:rPr>
              <w:t>汇款。</w:t>
            </w:r>
          </w:p>
          <w:permEnd w:id="37"/>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8"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8"/>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9"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计划工期满且工程无质量问题（或质量问题已解决）后退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9"/>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96602423"/>
      <w:bookmarkStart w:id="1" w:name="_Toc246996178"/>
      <w:bookmarkStart w:id="2" w:name="_Toc179632549"/>
      <w:bookmarkStart w:id="3" w:name="_Toc152045532"/>
      <w:bookmarkStart w:id="4" w:name="_Toc144974500"/>
      <w:bookmarkStart w:id="5" w:name="_Toc246996921"/>
      <w:bookmarkStart w:id="6" w:name="_Toc247085692"/>
      <w:bookmarkStart w:id="7" w:name="_Toc152042308"/>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79632553"/>
      <w:bookmarkStart w:id="9" w:name="_Toc152042312"/>
      <w:bookmarkStart w:id="10" w:name="_Toc247085695"/>
      <w:bookmarkStart w:id="11" w:name="_Toc246996181"/>
      <w:bookmarkStart w:id="12" w:name="_Toc152045536"/>
      <w:bookmarkStart w:id="13" w:name="_Toc144974504"/>
      <w:bookmarkStart w:id="14" w:name="_Toc296602426"/>
      <w:bookmarkStart w:id="15" w:name="_Toc24699692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6996925"/>
      <w:bookmarkStart w:id="18" w:name="_Toc246996182"/>
      <w:bookmarkStart w:id="19" w:name="_Toc247085696"/>
      <w:bookmarkStart w:id="20" w:name="_Toc179632554"/>
      <w:bookmarkStart w:id="21" w:name="_Toc296602427"/>
      <w:bookmarkStart w:id="22" w:name="_Toc152045537"/>
      <w:bookmarkStart w:id="23" w:name="_Toc152042313"/>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5538"/>
      <w:bookmarkStart w:id="25" w:name="_Toc152042314"/>
      <w:bookmarkStart w:id="26" w:name="_Toc179632555"/>
      <w:bookmarkStart w:id="27" w:name="_Toc246996183"/>
      <w:bookmarkStart w:id="28" w:name="_Toc247085697"/>
      <w:bookmarkStart w:id="29" w:name="_Toc246996926"/>
      <w:bookmarkStart w:id="30" w:name="_Toc14497450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930"/>
      <w:bookmarkStart w:id="32" w:name="_Toc144974510"/>
      <w:bookmarkStart w:id="33" w:name="_Toc152042318"/>
      <w:bookmarkStart w:id="34" w:name="_Toc179632560"/>
      <w:bookmarkStart w:id="35" w:name="_Toc246996187"/>
      <w:bookmarkStart w:id="36" w:name="_Toc152045542"/>
      <w:bookmarkStart w:id="37" w:name="_Toc247085701"/>
      <w:bookmarkStart w:id="38" w:name="_Toc29660243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931"/>
      <w:bookmarkStart w:id="40" w:name="_Toc144974511"/>
      <w:bookmarkStart w:id="41" w:name="_Toc246996188"/>
      <w:bookmarkStart w:id="42" w:name="_Toc247085702"/>
      <w:bookmarkStart w:id="43" w:name="_Toc152042319"/>
      <w:bookmarkStart w:id="44" w:name="_Toc296602433"/>
      <w:bookmarkStart w:id="45" w:name="_Toc179632561"/>
      <w:bookmarkStart w:id="46" w:name="_Toc15204554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96602434"/>
      <w:bookmarkStart w:id="48" w:name="_Toc152045544"/>
      <w:bookmarkStart w:id="49" w:name="_Toc246996932"/>
      <w:bookmarkStart w:id="50" w:name="_Toc246996189"/>
      <w:bookmarkStart w:id="51" w:name="_Toc144974512"/>
      <w:bookmarkStart w:id="52" w:name="_Toc152042320"/>
      <w:bookmarkStart w:id="53" w:name="_Toc179632562"/>
      <w:bookmarkStart w:id="54" w:name="_Toc247085703"/>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933"/>
      <w:bookmarkStart w:id="56" w:name="_Toc152042321"/>
      <w:bookmarkStart w:id="57" w:name="_Toc246996190"/>
      <w:bookmarkStart w:id="58" w:name="_Toc247085704"/>
      <w:bookmarkStart w:id="59" w:name="_Toc179632563"/>
      <w:bookmarkStart w:id="60" w:name="_Toc152045545"/>
      <w:bookmarkStart w:id="61" w:name="_Toc144974513"/>
      <w:bookmarkStart w:id="62" w:name="_Toc29660243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6996934"/>
      <w:bookmarkStart w:id="64" w:name="_Toc152045546"/>
      <w:bookmarkStart w:id="65" w:name="_Toc296602436"/>
      <w:bookmarkStart w:id="66" w:name="_Toc144974514"/>
      <w:bookmarkStart w:id="67" w:name="_Toc247085705"/>
      <w:bookmarkStart w:id="68" w:name="_Toc152042322"/>
      <w:bookmarkStart w:id="69" w:name="_Toc246996191"/>
      <w:bookmarkStart w:id="70" w:name="_Toc17963256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935"/>
      <w:bookmarkStart w:id="72" w:name="_Toc247085706"/>
      <w:bookmarkStart w:id="73" w:name="_Toc246996192"/>
      <w:bookmarkStart w:id="74" w:name="_Toc152045547"/>
      <w:bookmarkStart w:id="75" w:name="_Toc179632565"/>
      <w:bookmarkStart w:id="76" w:name="_Toc296602437"/>
      <w:bookmarkStart w:id="77" w:name="_Toc144974515"/>
      <w:bookmarkStart w:id="78" w:name="_Toc152042323"/>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193"/>
      <w:bookmarkStart w:id="80" w:name="_Toc152042324"/>
      <w:bookmarkStart w:id="81" w:name="_Toc152045548"/>
      <w:bookmarkStart w:id="82" w:name="_Toc246996936"/>
      <w:bookmarkStart w:id="83" w:name="_Toc247085707"/>
      <w:bookmarkStart w:id="84" w:name="_Toc296602438"/>
      <w:bookmarkStart w:id="85" w:name="_Toc179632566"/>
      <w:bookmarkStart w:id="86" w:name="_Toc14497451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52045549"/>
      <w:bookmarkStart w:id="89" w:name="_Toc144974517"/>
      <w:bookmarkStart w:id="90"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937"/>
      <w:bookmarkStart w:id="92" w:name="_Toc247085708"/>
      <w:bookmarkStart w:id="93" w:name="_Toc296602439"/>
      <w:bookmarkStart w:id="94" w:name="_Toc246996194"/>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2331"/>
      <w:bookmarkStart w:id="96" w:name="_Toc144974523"/>
      <w:bookmarkStart w:id="97" w:name="_Toc296602443"/>
      <w:bookmarkStart w:id="98" w:name="_Toc152045555"/>
      <w:bookmarkStart w:id="99" w:name="_Toc246996942"/>
      <w:bookmarkStart w:id="100" w:name="_Toc179632573"/>
      <w:bookmarkStart w:id="101" w:name="_Toc246996199"/>
      <w:bookmarkStart w:id="102" w:name="_Toc24708571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200"/>
      <w:bookmarkStart w:id="104" w:name="_Toc152042332"/>
      <w:bookmarkStart w:id="105" w:name="_Toc144974524"/>
      <w:bookmarkStart w:id="106" w:name="_Toc246996943"/>
      <w:bookmarkStart w:id="107" w:name="_Toc247085714"/>
      <w:bookmarkStart w:id="108" w:name="_Toc152045556"/>
      <w:bookmarkStart w:id="109" w:name="_Toc296602444"/>
      <w:bookmarkStart w:id="110" w:name="_Toc17963257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7085715"/>
      <w:bookmarkStart w:id="112" w:name="_Toc179632575"/>
      <w:bookmarkStart w:id="113" w:name="_Toc246996201"/>
      <w:bookmarkStart w:id="114" w:name="_Toc246996944"/>
      <w:bookmarkStart w:id="115" w:name="_Toc152042333"/>
      <w:bookmarkStart w:id="116" w:name="_Toc144974525"/>
      <w:bookmarkStart w:id="117" w:name="_Toc152045557"/>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79632576"/>
      <w:bookmarkStart w:id="119" w:name="_Toc152042334"/>
      <w:bookmarkStart w:id="120" w:name="_Toc152045558"/>
      <w:bookmarkStart w:id="121" w:name="_Toc246996202"/>
      <w:bookmarkStart w:id="122" w:name="_Toc246996945"/>
      <w:bookmarkStart w:id="123" w:name="_Toc144974526"/>
      <w:bookmarkStart w:id="124" w:name="_Toc247085716"/>
      <w:bookmarkStart w:id="125" w:name="_Toc29660244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79632577"/>
      <w:bookmarkStart w:id="127" w:name="_Toc152042335"/>
      <w:bookmarkStart w:id="128" w:name="_Toc246996946"/>
      <w:bookmarkStart w:id="129" w:name="_Toc152045559"/>
      <w:bookmarkStart w:id="130" w:name="_Toc296602447"/>
      <w:bookmarkStart w:id="131" w:name="_Toc144974527"/>
      <w:bookmarkStart w:id="132" w:name="_Toc247085717"/>
      <w:bookmarkStart w:id="133" w:name="_Toc246996203"/>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96602448"/>
      <w:bookmarkStart w:id="135" w:name="_Toc152045560"/>
      <w:bookmarkStart w:id="136" w:name="_Toc246996947"/>
      <w:bookmarkStart w:id="137" w:name="_Toc246996204"/>
      <w:bookmarkStart w:id="138" w:name="_Toc179632578"/>
      <w:bookmarkStart w:id="139" w:name="_Toc152042336"/>
      <w:bookmarkStart w:id="140" w:name="_Toc247085718"/>
      <w:bookmarkStart w:id="141" w:name="_Toc14497452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44974529"/>
      <w:bookmarkStart w:id="143" w:name="_Toc246996948"/>
      <w:bookmarkStart w:id="144" w:name="_Toc179632579"/>
      <w:bookmarkStart w:id="145" w:name="_Toc152042337"/>
      <w:bookmarkStart w:id="146" w:name="_Toc247085719"/>
      <w:bookmarkStart w:id="147" w:name="_Toc296602449"/>
      <w:bookmarkStart w:id="148" w:name="_Toc152045561"/>
      <w:bookmarkStart w:id="149" w:name="_Toc246996205"/>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207"/>
      <w:bookmarkStart w:id="151" w:name="_Toc144974531"/>
      <w:bookmarkStart w:id="152" w:name="_Toc152045563"/>
      <w:bookmarkStart w:id="153" w:name="_Toc247085721"/>
      <w:bookmarkStart w:id="154" w:name="_Toc179632581"/>
      <w:bookmarkStart w:id="155" w:name="_Toc152042339"/>
      <w:bookmarkStart w:id="156" w:name="_Toc296602452"/>
      <w:bookmarkStart w:id="157" w:name="_Toc246996950"/>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44974534"/>
      <w:bookmarkStart w:id="159" w:name="_Toc247085724"/>
      <w:bookmarkStart w:id="160" w:name="_Toc152045566"/>
      <w:bookmarkStart w:id="161" w:name="_Toc296602455"/>
      <w:bookmarkStart w:id="162" w:name="_Toc152042342"/>
      <w:bookmarkStart w:id="163" w:name="_Toc179632584"/>
      <w:bookmarkStart w:id="164" w:name="_Toc246996210"/>
      <w:bookmarkStart w:id="165" w:name="_Toc246996953"/>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54"/>
      <w:bookmarkStart w:id="167" w:name="_Toc247085725"/>
      <w:bookmarkStart w:id="168" w:name="_Toc296602456"/>
      <w:bookmarkStart w:id="169" w:name="_Toc152042343"/>
      <w:bookmarkStart w:id="170" w:name="_Toc246996211"/>
      <w:bookmarkStart w:id="171" w:name="_Toc144974535"/>
      <w:bookmarkStart w:id="172" w:name="_Toc152045567"/>
      <w:bookmarkStart w:id="173" w:name="_Toc17963258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6996955"/>
      <w:bookmarkStart w:id="176" w:name="_Toc152045568"/>
      <w:bookmarkStart w:id="177" w:name="_Toc179632586"/>
      <w:bookmarkStart w:id="178" w:name="_Toc246996212"/>
      <w:bookmarkStart w:id="179" w:name="_Toc247085726"/>
      <w:bookmarkStart w:id="180" w:name="_Toc144974536"/>
      <w:bookmarkStart w:id="181" w:name="_Toc152042344"/>
      <w:bookmarkStart w:id="182" w:name="_Toc29660245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44974537"/>
      <w:bookmarkStart w:id="184" w:name="_Toc179632587"/>
      <w:bookmarkStart w:id="185" w:name="_Toc152045569"/>
      <w:bookmarkStart w:id="186" w:name="_Toc247085727"/>
      <w:bookmarkStart w:id="187" w:name="_Toc246996213"/>
      <w:bookmarkStart w:id="188" w:name="_Toc246996956"/>
      <w:bookmarkStart w:id="189" w:name="_Toc296602459"/>
      <w:bookmarkStart w:id="190" w:name="_Toc152042345"/>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52042351"/>
      <w:bookmarkStart w:id="193" w:name="_Toc144974543"/>
      <w:bookmarkStart w:id="194" w:name="_Toc152045575"/>
      <w:bookmarkStart w:id="195" w:name="_Toc179632593"/>
      <w:bookmarkStart w:id="196" w:name="_Toc247085733"/>
      <w:bookmarkStart w:id="197" w:name="_Toc296590983"/>
      <w:bookmarkStart w:id="198" w:name="_Toc246996219"/>
      <w:bookmarkStart w:id="199" w:name="_Toc246996962"/>
      <w:bookmarkStart w:id="200" w:name="_Toc296602462"/>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52045576"/>
      <w:bookmarkStart w:id="202" w:name="_Toc247085734"/>
      <w:bookmarkStart w:id="203" w:name="_Toc144974544"/>
      <w:bookmarkStart w:id="204" w:name="_Toc152042352"/>
      <w:bookmarkStart w:id="205" w:name="_Toc296602463"/>
      <w:bookmarkStart w:id="206" w:name="_Toc179632594"/>
      <w:bookmarkStart w:id="207" w:name="_Toc246996963"/>
      <w:bookmarkStart w:id="208" w:name="_Toc246996220"/>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964"/>
      <w:bookmarkStart w:id="210" w:name="_Toc179632595"/>
      <w:bookmarkStart w:id="211" w:name="_Toc152042353"/>
      <w:bookmarkStart w:id="212" w:name="_Toc296602464"/>
      <w:bookmarkStart w:id="213" w:name="_Toc247085735"/>
      <w:bookmarkStart w:id="214" w:name="_Toc144974545"/>
      <w:bookmarkStart w:id="215" w:name="_Toc246996221"/>
      <w:bookmarkStart w:id="216" w:name="_Toc152045577"/>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0" w:edGrp="everyone"/>
      <w:r>
        <w:rPr>
          <w:rFonts w:hint="eastAsia" w:ascii="宋体" w:hAnsi="宋体"/>
          <w:color w:val="FF0000"/>
          <w:sz w:val="24"/>
          <w:lang w:val="en-US" w:eastAsia="zh-CN"/>
        </w:rPr>
        <w:t>最低评审价法</w:t>
      </w:r>
      <w:permEnd w:id="40"/>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7085747"/>
            <w:bookmarkStart w:id="218" w:name="_Toc179632607"/>
            <w:bookmarkStart w:id="219" w:name="_Toc144974556"/>
            <w:bookmarkStart w:id="220" w:name="_Toc246996232"/>
            <w:bookmarkStart w:id="221" w:name="_Toc246996975"/>
            <w:bookmarkStart w:id="222" w:name="_Toc152045589"/>
            <w:bookmarkStart w:id="223" w:name="_Toc296602477"/>
            <w:bookmarkStart w:id="224" w:name="_Toc15204236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4FAA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1F017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1C0FC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97AFA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52045593"/>
      <w:bookmarkStart w:id="226" w:name="_Toc247085751"/>
      <w:bookmarkStart w:id="227" w:name="_Toc144974560"/>
      <w:bookmarkStart w:id="228" w:name="_Toc296602481"/>
      <w:bookmarkStart w:id="229" w:name="_Toc152042370"/>
      <w:bookmarkStart w:id="230" w:name="_Toc179632611"/>
      <w:bookmarkStart w:id="231" w:name="_Toc246996236"/>
      <w:bookmarkStart w:id="232" w:name="_Toc246996979"/>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96602484"/>
      <w:bookmarkStart w:id="235" w:name="_Toc152045596"/>
      <w:bookmarkStart w:id="236" w:name="_Toc247085754"/>
      <w:bookmarkStart w:id="237" w:name="_Toc246996239"/>
      <w:bookmarkStart w:id="238" w:name="_Toc246996982"/>
      <w:bookmarkStart w:id="239" w:name="_Toc179632614"/>
      <w:bookmarkStart w:id="240"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1"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1"/>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工程竣工验收后支付完成合格工程量价款的85%，竣工结算审核完成后付至审定合格工程量价款的97%,余款3%为质保金，待缺陷责任期（自竣工验收合格之日起2年）满后工程无质量问题（或质量已解决后）无息付清。</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5F5A5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0B11A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73EB2E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w:t>
            </w:r>
            <w:r>
              <w:rPr>
                <w:rFonts w:hint="default" w:ascii="Times New Roman" w:hAnsi="Times New Roman" w:cs="Times New Roman"/>
                <w:kern w:val="0"/>
                <w:sz w:val="24"/>
                <w:szCs w:val="24"/>
                <w:highlight w:val="none"/>
                <w:shd w:val="clear" w:color="auto" w:fill="auto"/>
                <w:vertAlign w:val="baseline"/>
                <w:lang w:val="en-US" w:eastAsia="zh-CN"/>
              </w:rPr>
              <w:br w:type="textWrapping"/>
            </w:r>
            <w:r>
              <w:rPr>
                <w:rFonts w:hint="default"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14:paraId="667002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1）成交人需严格按照采购人提供的最终版图纸、相关的施工、验收规范及规定进行施工，要求外形美观，工程质量达到合格验收标准。成交人所用的辅材材料须经采购人现场项目经理签字认可后方可进场施工。</w:t>
            </w:r>
          </w:p>
          <w:p w14:paraId="32525FC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2）成交人所提供的履约人员如未按要求到岗，采购人有权按照200元/人/天从成交人当期应得工程款中予以扣除。</w:t>
            </w:r>
          </w:p>
          <w:p w14:paraId="47BE178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如因成交人原因导致工期延误，成交人不能在本合同约定的劳务工作期限内结束工作(竣工或完工)的，成交人有权按照500元/天的违约金从成交人当期应得工程款中予以扣除。逾期竣工违约金的上限：已完成价款的10%。</w:t>
            </w:r>
          </w:p>
          <w:p w14:paraId="214291E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4）如因建设单位未支付工程款等原因导致工程款未及时发放，成交人不得擅自采取停工、上访等措施，否则由此对采购人造成的一切经济损失、法律责任均由成交人负责。</w:t>
            </w:r>
          </w:p>
          <w:p w14:paraId="546A6D3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5）根据工程需要，采购人下发的设计变更通知单，成交人不得拒收，且需严格按照采购人指示及变更要求进行施工。如因此导致工程量增减，工程量按实际调整，据实结算，且成交人不得以此为由向采购人进行索赔。</w:t>
            </w:r>
          </w:p>
          <w:p w14:paraId="1C12A67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6）成交人须按采购人要求建立健全劳资专管员制度，对施工人员进行实名制管理和登记，成交人每天上报本工程农民工工资清单。通过公司账户银行</w:t>
            </w:r>
            <w:r>
              <w:rPr>
                <w:rFonts w:hint="eastAsia" w:ascii="Times New Roman" w:hAnsi="Times New Roman" w:cs="Times New Roman"/>
                <w:kern w:val="0"/>
                <w:sz w:val="24"/>
                <w:szCs w:val="24"/>
                <w:highlight w:val="none"/>
                <w:shd w:val="clear" w:color="auto" w:fill="auto"/>
                <w:vertAlign w:val="baseline"/>
                <w:lang w:val="en-US" w:eastAsia="zh-CN"/>
              </w:rPr>
              <w:t>转账</w:t>
            </w:r>
            <w:r>
              <w:rPr>
                <w:rFonts w:hint="default" w:ascii="Times New Roman" w:hAnsi="Times New Roman" w:cs="Times New Roman"/>
                <w:kern w:val="0"/>
                <w:sz w:val="24"/>
                <w:szCs w:val="24"/>
                <w:highlight w:val="none"/>
                <w:shd w:val="clear" w:color="auto" w:fill="auto"/>
                <w:vertAlign w:val="baseline"/>
                <w:lang w:val="en-US" w:eastAsia="zh-CN"/>
              </w:rPr>
              <w:t>发放农民工工资并切实落实安全文明施工措施。成交人如违反上述规定或者因拖欠工资出现农民工群体事件和讨薪事件发生的，成交人应承担相应的违约责任（对成交人进行代付金额双倍罚款）。如成交人有人员因农民工工资投诉到市清欠办公室，或最终到建设单位、总承包单位办公室地点进行讨薪等，成交人需承担违约金10000元/次。</w:t>
            </w:r>
          </w:p>
        </w:tc>
      </w:tr>
    </w:tbl>
    <w:p w14:paraId="395855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6D0BB17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施工内容：包括但不限于图纸设计范围内的原块料拆除、副龙骨安装、金属烤漆板装饰、原吊顶修复等同时也包括人身意外和建筑(安装)工程一切险、备品备件、专用工具、消耗品以及相关的技术资料等。以及涉及本工程设备材料采购、监护安装、试验、检查测试、质量监督、安全设施、环保、消防、等所有专项验收、档案竣工验收和竣工验收、咨询协调等相关方面的全部工作内容，具体施工内容以清单，图纸为准。</w:t>
      </w:r>
    </w:p>
    <w:p w14:paraId="6D934E1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做好现场的交通导行方案：进场施工前，成交人须全力配合采购人编制现场交通导行专项方案，主动协调周边相关单位关系；按规范设置警示标识、导向标志，工程完工后立即完成交通设施恢复工作。成交人应全面防范纠纷风险，确保工程项目顺利推进。</w:t>
      </w:r>
    </w:p>
    <w:p w14:paraId="3160E9B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工程成品及半成品的保护工作：自进场施工之日起至工程竣工验收合格之日止，成交人须制定专项成品/半成品保护方案并严格执行，该保护费用已综合包含于供应商的响应报价中，后期采购人对此不再另行支付。成交人应全面保护施工现场的既有建筑物、地下及地上市政配套设施，对所有成品、半成品设置规范警示标识，落实针对性防护措施；若因未履行保护义务导致财产损失或经济赔偿，由成交人自行承担全部责任。同时，成交人须严格遵守施工现场安全管理、防火保卫及文明施工要求，确保工完场清、环境整洁。</w:t>
      </w:r>
    </w:p>
    <w:p w14:paraId="5B6FF4F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成交人进场人员须按规定统一佩戴安全防护用品，未按要求佩戴的，采购人有权责令停止作业并进行教育及经济处罚，由此所引发的安全事故后果均由成交人承担。安全帽、反光背心等防护用品从采购人项目部统一领取，相关费用从工程进度款中予以扣除。</w:t>
      </w:r>
    </w:p>
    <w:p w14:paraId="43F0172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5）采购人提供临时用电接入点，成交人需自行配备二级配电箱及三级开关箱，指定1名持证专业电工负责用电管理；同步安装水电计量装置，承担施工期间全部水电费用，并按时足额缴纳。</w:t>
      </w:r>
    </w:p>
    <w:p w14:paraId="3F02214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金属幕墙主材由采购人提供，由成交人负责卸货至项目指定地点，并与主材供应单位完成技术质量对接工作；除采购人提供的金属幕墙主材外，成交人须自行采购施工范围内全部辅材并完成相应劳务作业，并做好所有施工材料的保管工作。</w:t>
      </w:r>
    </w:p>
    <w:p w14:paraId="593E907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本合同单价为完成合同所列项目全部工作内容的综合单价（按总包合同质量标准执行），除明确包含的施工服务、辅助材料、小型机械外，还涵盖以下费用：工人及管理人员（技术、安全等）工资；机械、设备、辅材及配件采购与使用；水电气消耗；安装施工与缺陷修复；利润；环保、安全、文明施工措施；人员及设备进出场调遣；治安管理；材料与设备二次倒运；工料机价格波动风险；测量复核、检验验收及各类检查导致的临时停工损失；社会保险及伤害险等保险费用；第三方配合费用；以及合同范围内全部责任、义务履行与一般风险承担相关的所有费用。</w:t>
      </w:r>
    </w:p>
    <w:p w14:paraId="59053D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8）成交人墙体立面块料拆除时可自行综合考虑最大限度进行回收利用，降低作业成本，</w:t>
      </w:r>
    </w:p>
    <w:p w14:paraId="48486B1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9）成交人要做好现场原有主龙骨的利旧工作，如因拆除工作破坏将自行承担恢复，所有门窗均为原有,安装墙面饰面板时,请复核门、窗框尺寸,做到安装完成后无缝隙,与门、窗框尺寸完美结合,应做到美观。</w:t>
      </w:r>
    </w:p>
    <w:p w14:paraId="659284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10)成交人需提供项目负责人一名。</w:t>
      </w:r>
    </w:p>
    <w:p w14:paraId="740F25A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3D47B96F">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eastAsiaTheme="minorEastAsia"/>
          <w:kern w:val="0"/>
          <w:sz w:val="24"/>
          <w:szCs w:val="24"/>
          <w:lang w:val="en-US" w:eastAsia="zh-CN" w:bidi="ar-SA"/>
        </w:rPr>
        <w:t>11)</w:t>
      </w:r>
      <w:r>
        <w:rPr>
          <w:rFonts w:hint="eastAsia" w:ascii="Times New Roman" w:hAnsi="Times New Roman" w:cs="Times New Roman"/>
          <w:kern w:val="0"/>
          <w:sz w:val="24"/>
          <w:szCs w:val="24"/>
          <w:highlight w:val="none"/>
          <w:lang w:val="en-US" w:eastAsia="zh-CN"/>
        </w:rPr>
        <w:t>工程量清单</w:t>
      </w:r>
    </w:p>
    <w:tbl>
      <w:tblPr>
        <w:tblStyle w:val="16"/>
        <w:tblW w:w="6008" w:type="pct"/>
        <w:tblInd w:w="-68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2"/>
        <w:gridCol w:w="722"/>
        <w:gridCol w:w="759"/>
        <w:gridCol w:w="4684"/>
        <w:gridCol w:w="721"/>
        <w:gridCol w:w="1026"/>
        <w:gridCol w:w="1747"/>
      </w:tblGrid>
      <w:tr w14:paraId="2FDD3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84" w:type="pct"/>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14:paraId="773B8A29">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352"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5568390A">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项目编码</w:t>
            </w:r>
          </w:p>
        </w:tc>
        <w:tc>
          <w:tcPr>
            <w:tcW w:w="370"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6C083B4D">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286"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4B240661">
            <w:pPr>
              <w:keepNext w:val="0"/>
              <w:keepLines w:val="0"/>
              <w:widowControl/>
              <w:suppressLineNumbers w:val="0"/>
              <w:jc w:val="left"/>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352"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22B270D6">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500"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2BEB6DBB">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852" w:type="pct"/>
            <w:vMerge w:val="restart"/>
            <w:tcBorders>
              <w:top w:val="single" w:color="000000" w:sz="8" w:space="0"/>
              <w:left w:val="single" w:color="000000" w:sz="4" w:space="0"/>
              <w:bottom w:val="single" w:color="000000" w:sz="4" w:space="0"/>
              <w:right w:val="single" w:color="000000" w:sz="8" w:space="0"/>
            </w:tcBorders>
            <w:shd w:val="clear" w:color="auto" w:fill="auto"/>
            <w:noWrap/>
            <w:vAlign w:val="center"/>
          </w:tcPr>
          <w:p w14:paraId="4FD8F3E6">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备注</w:t>
            </w:r>
          </w:p>
        </w:tc>
      </w:tr>
      <w:tr w14:paraId="579AC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84" w:type="pct"/>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77FA2101">
            <w:pPr>
              <w:jc w:val="center"/>
              <w:rPr>
                <w:rFonts w:hint="eastAsia" w:ascii="黑体" w:hAnsi="宋体" w:eastAsia="黑体" w:cs="黑体"/>
                <w:i w:val="0"/>
                <w:iCs w:val="0"/>
                <w:color w:val="000000"/>
                <w:sz w:val="21"/>
                <w:szCs w:val="21"/>
                <w:u w:val="none"/>
              </w:rPr>
            </w:pPr>
          </w:p>
        </w:tc>
        <w:tc>
          <w:tcPr>
            <w:tcW w:w="352"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20069B21">
            <w:pPr>
              <w:jc w:val="center"/>
              <w:rPr>
                <w:rFonts w:hint="eastAsia" w:ascii="黑体" w:hAnsi="宋体" w:eastAsia="黑体" w:cs="黑体"/>
                <w:i w:val="0"/>
                <w:iCs w:val="0"/>
                <w:color w:val="000000"/>
                <w:sz w:val="21"/>
                <w:szCs w:val="21"/>
                <w:u w:val="none"/>
              </w:rPr>
            </w:pPr>
          </w:p>
        </w:tc>
        <w:tc>
          <w:tcPr>
            <w:tcW w:w="370"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3985F805">
            <w:pPr>
              <w:jc w:val="center"/>
              <w:rPr>
                <w:rFonts w:hint="eastAsia" w:ascii="黑体" w:hAnsi="宋体" w:eastAsia="黑体" w:cs="黑体"/>
                <w:i w:val="0"/>
                <w:iCs w:val="0"/>
                <w:color w:val="000000"/>
                <w:sz w:val="21"/>
                <w:szCs w:val="21"/>
                <w:u w:val="none"/>
              </w:rPr>
            </w:pPr>
          </w:p>
        </w:tc>
        <w:tc>
          <w:tcPr>
            <w:tcW w:w="2286"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69990B4C">
            <w:pPr>
              <w:jc w:val="left"/>
              <w:rPr>
                <w:rFonts w:hint="eastAsia" w:ascii="黑体" w:hAnsi="宋体" w:eastAsia="黑体" w:cs="黑体"/>
                <w:i w:val="0"/>
                <w:iCs w:val="0"/>
                <w:color w:val="000000"/>
                <w:sz w:val="21"/>
                <w:szCs w:val="21"/>
                <w:u w:val="none"/>
              </w:rPr>
            </w:pPr>
          </w:p>
        </w:tc>
        <w:tc>
          <w:tcPr>
            <w:tcW w:w="352"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65B1F8E0">
            <w:pPr>
              <w:jc w:val="center"/>
              <w:rPr>
                <w:rFonts w:hint="eastAsia" w:ascii="黑体" w:hAnsi="宋体" w:eastAsia="黑体" w:cs="黑体"/>
                <w:i w:val="0"/>
                <w:iCs w:val="0"/>
                <w:color w:val="000000"/>
                <w:sz w:val="21"/>
                <w:szCs w:val="21"/>
                <w:u w:val="none"/>
              </w:rPr>
            </w:pPr>
          </w:p>
        </w:tc>
        <w:tc>
          <w:tcPr>
            <w:tcW w:w="500"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775F172B">
            <w:pPr>
              <w:jc w:val="center"/>
              <w:rPr>
                <w:rFonts w:hint="eastAsia" w:ascii="黑体" w:hAnsi="宋体" w:eastAsia="黑体" w:cs="黑体"/>
                <w:i w:val="0"/>
                <w:iCs w:val="0"/>
                <w:color w:val="000000"/>
                <w:sz w:val="21"/>
                <w:szCs w:val="21"/>
                <w:u w:val="none"/>
              </w:rPr>
            </w:pPr>
          </w:p>
        </w:tc>
        <w:tc>
          <w:tcPr>
            <w:tcW w:w="852" w:type="pct"/>
            <w:vMerge w:val="continue"/>
            <w:tcBorders>
              <w:top w:val="single" w:color="000000" w:sz="8" w:space="0"/>
              <w:left w:val="single" w:color="000000" w:sz="4" w:space="0"/>
              <w:bottom w:val="single" w:color="000000" w:sz="4" w:space="0"/>
              <w:right w:val="single" w:color="000000" w:sz="8" w:space="0"/>
            </w:tcBorders>
            <w:shd w:val="clear" w:color="auto" w:fill="auto"/>
            <w:noWrap/>
            <w:vAlign w:val="center"/>
          </w:tcPr>
          <w:p w14:paraId="2D08386D">
            <w:pPr>
              <w:jc w:val="center"/>
              <w:rPr>
                <w:rFonts w:hint="eastAsia" w:ascii="黑体" w:hAnsi="宋体" w:eastAsia="黑体" w:cs="黑体"/>
                <w:i w:val="0"/>
                <w:iCs w:val="0"/>
                <w:color w:val="000000"/>
                <w:sz w:val="21"/>
                <w:szCs w:val="21"/>
                <w:u w:val="none"/>
              </w:rPr>
            </w:pPr>
          </w:p>
        </w:tc>
      </w:tr>
      <w:tr w14:paraId="08399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41" w:hRule="atLeast"/>
        </w:trPr>
        <w:tc>
          <w:tcPr>
            <w:tcW w:w="28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459319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73C2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WB011209008002</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DDBD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金属板幕墙</w:t>
            </w:r>
          </w:p>
        </w:tc>
        <w:tc>
          <w:tcPr>
            <w:tcW w:w="2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9DE2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1．1.0厚钢制瓦楞板、瓦楞芯12高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金属板材品种、规格、颜色：1、表面材料：热熔镀锌钢板T=0.8㎜，锌层厚度80G；具备良好的抗氧化性能，表面使用PUR环保热熔胶覆装饰木纹膜；2、背衬材料：背衬波高12mm铝制金属瓦楞；3.使用双组份环保固化胶水；4、防火性能：主材提供检测报告，按照GB8624-2012判定达到A级；5、环保性能：甲醛释放量为0.1mg/L</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3．骨架材料种类、规格：龙骨采用镀锌钢龙骨，L25X25X4铝角码@=300，副龙骨L50X50X5镀锌角钢横梁和竖梁,L75X50X5镀锌连接角钢(长L=50)具体做法详幕墙图纸</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4．40X28X4mm厚槽铝加强筋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5．（此部分含有广告牌面积）</w:t>
            </w:r>
          </w:p>
        </w:tc>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10DE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AE97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1107.18</w:t>
            </w:r>
          </w:p>
        </w:tc>
        <w:tc>
          <w:tcPr>
            <w:tcW w:w="8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D240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除采购人提供金属板材主材外，供应商响应报价已包含全部劳务安装、辅材采购（副龙骨架、铝角码、胶水、槽铝加强筋，镀锌角钢、配件等）及材料保管等 </w:t>
            </w:r>
          </w:p>
        </w:tc>
      </w:tr>
      <w:tr w14:paraId="75283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05" w:hRule="atLeast"/>
        </w:trPr>
        <w:tc>
          <w:tcPr>
            <w:tcW w:w="28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052359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8C3B8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011605002001</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5539E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立面块料拆除</w:t>
            </w:r>
          </w:p>
        </w:tc>
        <w:tc>
          <w:tcPr>
            <w:tcW w:w="2286" w:type="pct"/>
            <w:tcBorders>
              <w:top w:val="single" w:color="000000" w:sz="4" w:space="0"/>
              <w:left w:val="single" w:color="000000" w:sz="4" w:space="0"/>
              <w:bottom w:val="single" w:color="000000" w:sz="8" w:space="0"/>
              <w:right w:val="single" w:color="000000" w:sz="4" w:space="0"/>
            </w:tcBorders>
            <w:shd w:val="clear" w:color="auto" w:fill="auto"/>
            <w:vAlign w:val="center"/>
          </w:tcPr>
          <w:p w14:paraId="1DA07D5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1.拆除对象：原建筑立面块料装饰层（含广告牌固定基层、块料粘结层及附属构件）；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2.施工要求：采用机械配合人工分层拆除，自上而下有序作业；严格保护墙体主体结构及周边设施，拆除区域地面铺设防护措施；实时做好扬尘控制，拆除垃圾及时归集堆放，严禁违规作业；</w:t>
            </w:r>
          </w:p>
        </w:tc>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86A3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FCF34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1107.18</w:t>
            </w:r>
          </w:p>
        </w:tc>
        <w:tc>
          <w:tcPr>
            <w:tcW w:w="852" w:type="pct"/>
            <w:tcBorders>
              <w:top w:val="single" w:color="000000" w:sz="4" w:space="0"/>
              <w:left w:val="single" w:color="000000" w:sz="4" w:space="0"/>
              <w:bottom w:val="single" w:color="000000" w:sz="8" w:space="0"/>
              <w:right w:val="single" w:color="000000" w:sz="4" w:space="0"/>
            </w:tcBorders>
            <w:shd w:val="clear" w:color="auto" w:fill="auto"/>
            <w:vAlign w:val="center"/>
          </w:tcPr>
          <w:p w14:paraId="48676C60">
            <w:pPr>
              <w:jc w:val="center"/>
              <w:rPr>
                <w:rFonts w:hint="eastAsia" w:ascii="宋体" w:hAnsi="宋体" w:eastAsia="宋体" w:cs="宋体"/>
                <w:i w:val="0"/>
                <w:iCs w:val="0"/>
                <w:color w:val="000000"/>
                <w:sz w:val="21"/>
                <w:szCs w:val="21"/>
                <w:u w:val="none"/>
              </w:rPr>
            </w:pPr>
          </w:p>
        </w:tc>
      </w:tr>
      <w:tr w14:paraId="249CA0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28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6C88A5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48E4F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WB011701009001</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23447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工具式脚手架</w:t>
            </w:r>
          </w:p>
        </w:tc>
        <w:tc>
          <w:tcPr>
            <w:tcW w:w="2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3255A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1．搭设方式、部位：工具式脚手架</w:t>
            </w:r>
          </w:p>
        </w:tc>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7703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0E1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1107.18</w:t>
            </w:r>
          </w:p>
        </w:tc>
        <w:tc>
          <w:tcPr>
            <w:tcW w:w="852" w:type="pct"/>
            <w:tcBorders>
              <w:top w:val="single" w:color="000000" w:sz="4" w:space="0"/>
              <w:left w:val="single" w:color="000000" w:sz="4" w:space="0"/>
              <w:bottom w:val="single" w:color="000000" w:sz="8" w:space="0"/>
              <w:right w:val="single" w:color="000000" w:sz="4" w:space="0"/>
            </w:tcBorders>
            <w:shd w:val="clear" w:color="auto" w:fill="auto"/>
            <w:vAlign w:val="center"/>
          </w:tcPr>
          <w:p w14:paraId="69C1CB15">
            <w:pPr>
              <w:jc w:val="center"/>
              <w:rPr>
                <w:rFonts w:hint="eastAsia" w:ascii="宋体" w:hAnsi="宋体" w:eastAsia="宋体" w:cs="宋体"/>
                <w:i w:val="0"/>
                <w:iCs w:val="0"/>
                <w:color w:val="000000"/>
                <w:sz w:val="21"/>
                <w:szCs w:val="21"/>
                <w:u w:val="none"/>
              </w:rPr>
            </w:pPr>
          </w:p>
        </w:tc>
      </w:tr>
      <w:tr w14:paraId="10167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28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C9A39D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F9D8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ZB010101001002</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1573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原吊顶修复</w:t>
            </w:r>
          </w:p>
        </w:tc>
        <w:tc>
          <w:tcPr>
            <w:tcW w:w="2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BBC2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1．原吊顶石膏板用无机涂料装饰面修复</w:t>
            </w:r>
          </w:p>
        </w:tc>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11EC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E774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160.00</w:t>
            </w:r>
          </w:p>
        </w:tc>
        <w:tc>
          <w:tcPr>
            <w:tcW w:w="852" w:type="pct"/>
            <w:tcBorders>
              <w:top w:val="single" w:color="000000" w:sz="4" w:space="0"/>
              <w:left w:val="single" w:color="000000" w:sz="4" w:space="0"/>
              <w:bottom w:val="single" w:color="000000" w:sz="8" w:space="0"/>
              <w:right w:val="single" w:color="000000" w:sz="4" w:space="0"/>
            </w:tcBorders>
            <w:shd w:val="clear" w:color="auto" w:fill="auto"/>
            <w:vAlign w:val="center"/>
          </w:tcPr>
          <w:p w14:paraId="5AD8E28C">
            <w:pPr>
              <w:jc w:val="center"/>
              <w:rPr>
                <w:rFonts w:hint="eastAsia" w:ascii="宋体" w:hAnsi="宋体" w:eastAsia="宋体" w:cs="宋体"/>
                <w:i w:val="0"/>
                <w:iCs w:val="0"/>
                <w:color w:val="000000"/>
                <w:sz w:val="21"/>
                <w:szCs w:val="21"/>
                <w:u w:val="none"/>
              </w:rPr>
            </w:pPr>
          </w:p>
        </w:tc>
      </w:tr>
      <w:tr w14:paraId="1635C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28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2886B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A93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WB011614004001</w:t>
            </w:r>
          </w:p>
        </w:tc>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1939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建筑垃圾外运</w:t>
            </w:r>
          </w:p>
        </w:tc>
        <w:tc>
          <w:tcPr>
            <w:tcW w:w="22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CCCD2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1．运距：施工过程中产生的拆除垃圾（块料、混凝土碎块等）、装修垃圾及包装物废料； 运距综合考虑</w:t>
            </w:r>
          </w:p>
        </w:tc>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9D800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m3</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4DA7A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110.72</w:t>
            </w:r>
          </w:p>
        </w:tc>
        <w:tc>
          <w:tcPr>
            <w:tcW w:w="8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F04934">
            <w:pPr>
              <w:jc w:val="center"/>
              <w:rPr>
                <w:rFonts w:hint="eastAsia" w:ascii="宋体" w:hAnsi="宋体" w:eastAsia="宋体" w:cs="宋体"/>
                <w:i w:val="0"/>
                <w:iCs w:val="0"/>
                <w:color w:val="000000"/>
                <w:sz w:val="21"/>
                <w:szCs w:val="21"/>
                <w:u w:val="none"/>
              </w:rPr>
            </w:pPr>
          </w:p>
        </w:tc>
      </w:tr>
      <w:tr w14:paraId="449F2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5000" w:type="pct"/>
            <w:gridSpan w:val="7"/>
            <w:tcBorders>
              <w:top w:val="single" w:color="000000" w:sz="4" w:space="0"/>
              <w:left w:val="single" w:color="000000" w:sz="8" w:space="0"/>
              <w:bottom w:val="single" w:color="000000" w:sz="4" w:space="0"/>
              <w:right w:val="single" w:color="000000" w:sz="4" w:space="0"/>
            </w:tcBorders>
            <w:shd w:val="clear" w:color="auto" w:fill="auto"/>
            <w:vAlign w:val="center"/>
          </w:tcPr>
          <w:p w14:paraId="09971F2C">
            <w:pPr>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sz w:val="21"/>
                <w:szCs w:val="21"/>
                <w:u w:val="none"/>
                <w:lang w:val="en-US" w:eastAsia="zh-CN"/>
              </w:rPr>
              <w:t>注：1、</w:t>
            </w:r>
            <w:r>
              <w:rPr>
                <w:rFonts w:hint="eastAsia" w:ascii="宋体" w:hAnsi="宋体" w:eastAsia="宋体" w:cs="宋体"/>
                <w:i w:val="0"/>
                <w:iCs w:val="0"/>
                <w:color w:val="000000"/>
                <w:kern w:val="0"/>
                <w:sz w:val="21"/>
                <w:szCs w:val="21"/>
                <w:u w:val="none"/>
                <w:lang w:val="en-US" w:eastAsia="zh-CN" w:bidi="ar"/>
              </w:rPr>
              <w:t>未尽事宜详见设计图纸、图集、答疑、采购文件、清单、政府相关文件、规范等其他资料，满足验收要求；</w:t>
            </w:r>
          </w:p>
          <w:p w14:paraId="472D58CA">
            <w:pPr>
              <w:numPr>
                <w:ilvl w:val="0"/>
                <w:numId w:val="0"/>
              </w:numPr>
              <w:ind w:firstLine="420" w:firstLineChars="200"/>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lang w:val="en-US" w:eastAsia="zh-CN" w:bidi="ar"/>
              </w:rPr>
              <w:t>2、</w:t>
            </w:r>
            <w:r>
              <w:rPr>
                <w:rFonts w:hint="eastAsia" w:ascii="宋体" w:hAnsi="宋体" w:eastAsia="宋体" w:cs="宋体"/>
                <w:i w:val="0"/>
                <w:iCs w:val="0"/>
                <w:color w:val="000000"/>
                <w:kern w:val="0"/>
                <w:sz w:val="21"/>
                <w:szCs w:val="21"/>
                <w:u w:val="none"/>
                <w:lang w:val="en-US" w:eastAsia="zh-CN" w:bidi="ar"/>
              </w:rPr>
              <w:t>除采购人提供的金属板材主材外，成交人需提供为完成全部工程施工内容的其他辅材及机械工具；</w:t>
            </w:r>
          </w:p>
          <w:p w14:paraId="7158BE92">
            <w:pPr>
              <w:numPr>
                <w:ilvl w:val="0"/>
                <w:numId w:val="0"/>
              </w:numPr>
              <w:ind w:firstLine="420" w:firstLineChars="200"/>
              <w:jc w:val="left"/>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3、以上工程量为暂定量，以最终结算为准，据实结算，若以上所描述的工程量现场未施工，采购人有权扣除该部分工程量，且成交人不得以此为由向采购人索赔。</w:t>
            </w:r>
          </w:p>
        </w:tc>
      </w:tr>
    </w:tbl>
    <w:p w14:paraId="45B428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高铁站地下室公共走廊外墙砖脱落改造工程项目劳务分包</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2"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99号</w:t>
      </w:r>
      <w:permEnd w:id="42"/>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152045787"/>
      <w:bookmarkStart w:id="242" w:name="_Toc247527827"/>
      <w:bookmarkStart w:id="243" w:name="_Toc152042576"/>
      <w:bookmarkStart w:id="244" w:name="_Toc300835209"/>
      <w:bookmarkStart w:id="245" w:name="_Toc247514246"/>
      <w:bookmarkStart w:id="246" w:name="_Toc14497485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152045788"/>
      <w:bookmarkStart w:id="248" w:name="_Toc152042577"/>
      <w:bookmarkStart w:id="249" w:name="_Toc144974857"/>
      <w:bookmarkStart w:id="250" w:name="_Toc247527828"/>
      <w:bookmarkStart w:id="251" w:name="_Toc247514247"/>
      <w:bookmarkStart w:id="252"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44974859"/>
      <w:bookmarkStart w:id="254" w:name="_Toc247514249"/>
      <w:bookmarkStart w:id="255" w:name="_Toc247527830"/>
      <w:bookmarkStart w:id="256" w:name="_Toc152045790"/>
      <w:bookmarkStart w:id="257" w:name="_Toc300835212"/>
      <w:bookmarkStart w:id="258" w:name="_Toc15204257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 xml:space="preserve"> 高铁站地下室公共走廊外墙砖脱落改造工程项目劳务分包</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3" w:edGrp="everyone"/>
      <w:r>
        <w:rPr>
          <w:rFonts w:hint="eastAsia" w:ascii="Times New Roman" w:hAnsi="Times New Roman" w:cs="Times New Roman"/>
          <w:color w:val="000000" w:themeColor="text1"/>
          <w:szCs w:val="21"/>
          <w:u w:val="single"/>
          <w:lang w:val="en-US" w:eastAsia="zh-CN"/>
          <w14:textFill>
            <w14:solidFill>
              <w14:schemeClr w14:val="tx1"/>
            </w14:solidFill>
          </w14:textFill>
        </w:rPr>
        <w:t>AHTKJS-2025-99号</w:t>
      </w:r>
      <w:permEnd w:id="43"/>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4" w:edGrp="everyone"/>
      <w:r>
        <w:rPr>
          <w:rFonts w:hint="eastAsia" w:ascii="Times New Roman" w:hAnsi="Times New Roman" w:cs="Times New Roman"/>
          <w:color w:val="FF0000"/>
          <w:szCs w:val="21"/>
          <w:lang w:val="en-US" w:eastAsia="zh-CN"/>
        </w:rPr>
        <w:t>含税人民币（大写）</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4"/>
      <w:r>
        <w:rPr>
          <w:rFonts w:hint="eastAsia" w:ascii="Times New Roman" w:hAnsi="Times New Roman" w:cs="Times New Roman"/>
          <w:szCs w:val="21"/>
          <w:lang w:val="en-US" w:eastAsia="zh-CN"/>
        </w:rPr>
        <w:t>，计划工期：自采购人发出开工指令之日起</w:t>
      </w:r>
      <w:r>
        <w:rPr>
          <w:rFonts w:hint="eastAsia" w:ascii="Times New Roman" w:hAnsi="Times New Roman" w:cs="Times New Roman"/>
          <w:color w:val="FF0000"/>
          <w:szCs w:val="21"/>
          <w:u w:val="single"/>
          <w:lang w:val="en-US" w:eastAsia="zh-CN"/>
        </w:rPr>
        <w:t>30</w:t>
      </w:r>
      <w:r>
        <w:rPr>
          <w:rFonts w:hint="eastAsia" w:ascii="Times New Roman" w:hAnsi="Times New Roman" w:cs="Times New Roman"/>
          <w:szCs w:val="21"/>
          <w:lang w:val="en-US" w:eastAsia="zh-CN"/>
        </w:rPr>
        <w:t>日历天（暂定）</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152045791"/>
      <w:bookmarkStart w:id="260" w:name="_Toc247514283"/>
      <w:bookmarkStart w:id="261" w:name="_Toc247527831"/>
      <w:bookmarkStart w:id="262" w:name="_Toc300835213"/>
      <w:bookmarkStart w:id="263" w:name="_Toc152042580"/>
      <w:bookmarkStart w:id="264" w:name="_Toc144974860"/>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14284"/>
      <w:bookmarkStart w:id="266" w:name="_Toc144974861"/>
      <w:bookmarkStart w:id="267" w:name="_Toc247527832"/>
      <w:bookmarkStart w:id="268" w:name="_Toc152042581"/>
      <w:bookmarkStart w:id="269" w:name="_Toc152045792"/>
      <w:bookmarkStart w:id="270"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44974862"/>
      <w:bookmarkStart w:id="272" w:name="_Toc152042583"/>
      <w:bookmarkStart w:id="273" w:name="_Toc300835216"/>
      <w:bookmarkStart w:id="274" w:name="_Toc247514286"/>
      <w:bookmarkStart w:id="275" w:name="_Toc247527834"/>
      <w:bookmarkStart w:id="276" w:name="_Toc15204579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2584"/>
      <w:bookmarkStart w:id="279" w:name="_Toc300835218"/>
      <w:bookmarkStart w:id="280" w:name="_Toc152045795"/>
      <w:bookmarkStart w:id="281" w:name="_Toc144974863"/>
      <w:bookmarkStart w:id="282" w:name="_Toc247514287"/>
      <w:bookmarkStart w:id="283" w:name="_Toc247527835"/>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tbl>
      <w:tblPr>
        <w:tblStyle w:val="16"/>
        <w:tblW w:w="6006" w:type="pct"/>
        <w:tblInd w:w="-68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4"/>
        <w:gridCol w:w="1089"/>
        <w:gridCol w:w="785"/>
        <w:gridCol w:w="974"/>
        <w:gridCol w:w="861"/>
        <w:gridCol w:w="1430"/>
        <w:gridCol w:w="1469"/>
        <w:gridCol w:w="2895"/>
      </w:tblGrid>
      <w:tr w14:paraId="6AF69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8" w:hRule="atLeast"/>
        </w:trPr>
        <w:tc>
          <w:tcPr>
            <w:tcW w:w="358" w:type="pct"/>
            <w:tcBorders>
              <w:top w:val="single" w:color="000000" w:sz="8" w:space="0"/>
              <w:left w:val="single" w:color="000000" w:sz="8" w:space="0"/>
              <w:bottom w:val="single" w:color="000000" w:sz="4" w:space="0"/>
              <w:right w:val="single" w:color="000000" w:sz="4" w:space="0"/>
            </w:tcBorders>
            <w:shd w:val="clear" w:color="auto" w:fill="auto"/>
            <w:vAlign w:val="center"/>
          </w:tcPr>
          <w:p w14:paraId="6D16396C">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531" w:type="pct"/>
            <w:tcBorders>
              <w:top w:val="single" w:color="000000" w:sz="8" w:space="0"/>
              <w:left w:val="single" w:color="000000" w:sz="4" w:space="0"/>
              <w:bottom w:val="single" w:color="000000" w:sz="4" w:space="0"/>
              <w:right w:val="single" w:color="000000" w:sz="4" w:space="0"/>
            </w:tcBorders>
            <w:shd w:val="clear" w:color="auto" w:fill="auto"/>
            <w:vAlign w:val="center"/>
          </w:tcPr>
          <w:p w14:paraId="079811A5">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383" w:type="pct"/>
            <w:tcBorders>
              <w:top w:val="single" w:color="000000" w:sz="8" w:space="0"/>
              <w:left w:val="single" w:color="000000" w:sz="4" w:space="0"/>
              <w:bottom w:val="single" w:color="000000" w:sz="4" w:space="0"/>
              <w:right w:val="single" w:color="000000" w:sz="4" w:space="0"/>
            </w:tcBorders>
            <w:shd w:val="clear" w:color="auto" w:fill="auto"/>
            <w:vAlign w:val="center"/>
          </w:tcPr>
          <w:p w14:paraId="3113170B">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475" w:type="pct"/>
            <w:tcBorders>
              <w:top w:val="single" w:color="000000" w:sz="8" w:space="0"/>
              <w:left w:val="single" w:color="000000" w:sz="4" w:space="0"/>
              <w:bottom w:val="single" w:color="000000" w:sz="4" w:space="0"/>
              <w:right w:val="single" w:color="000000" w:sz="4" w:space="0"/>
            </w:tcBorders>
            <w:shd w:val="clear" w:color="auto" w:fill="auto"/>
            <w:vAlign w:val="center"/>
          </w:tcPr>
          <w:p w14:paraId="18313E33">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420" w:type="pct"/>
            <w:tcBorders>
              <w:top w:val="single" w:color="000000" w:sz="8" w:space="0"/>
              <w:left w:val="single" w:color="000000" w:sz="4" w:space="0"/>
              <w:bottom w:val="single" w:color="000000" w:sz="4" w:space="0"/>
              <w:right w:val="single" w:color="000000" w:sz="8" w:space="0"/>
            </w:tcBorders>
            <w:shd w:val="clear" w:color="auto" w:fill="auto"/>
            <w:noWrap/>
            <w:vAlign w:val="center"/>
          </w:tcPr>
          <w:p w14:paraId="46EE60A5">
            <w:pPr>
              <w:keepNext w:val="0"/>
              <w:keepLines w:val="0"/>
              <w:widowControl/>
              <w:suppressLineNumbers w:val="0"/>
              <w:jc w:val="center"/>
              <w:textAlignment w:val="center"/>
              <w:rPr>
                <w:rFonts w:hint="eastAsia" w:ascii="黑体" w:hAnsi="宋体" w:eastAsia="黑体" w:cs="黑体"/>
                <w:i w:val="0"/>
                <w:iCs w:val="0"/>
                <w:color w:val="000000"/>
                <w:sz w:val="21"/>
                <w:szCs w:val="21"/>
                <w:u w:val="none"/>
                <w:lang w:val="en-US" w:eastAsia="zh-CN"/>
              </w:rPr>
            </w:pPr>
            <w:r>
              <w:rPr>
                <w:rFonts w:hint="eastAsia" w:ascii="黑体" w:hAnsi="宋体" w:eastAsia="黑体" w:cs="黑体"/>
                <w:i w:val="0"/>
                <w:iCs w:val="0"/>
                <w:color w:val="000000"/>
                <w:sz w:val="21"/>
                <w:szCs w:val="21"/>
                <w:u w:val="none"/>
                <w:lang w:val="en-US" w:eastAsia="zh-CN"/>
              </w:rPr>
              <w:t>税率</w:t>
            </w:r>
          </w:p>
        </w:tc>
        <w:tc>
          <w:tcPr>
            <w:tcW w:w="698" w:type="pct"/>
            <w:tcBorders>
              <w:top w:val="single" w:color="000000" w:sz="8" w:space="0"/>
              <w:left w:val="single" w:color="000000" w:sz="4" w:space="0"/>
              <w:bottom w:val="single" w:color="000000" w:sz="4" w:space="0"/>
              <w:right w:val="single" w:color="000000" w:sz="8" w:space="0"/>
            </w:tcBorders>
            <w:shd w:val="clear" w:color="auto" w:fill="auto"/>
            <w:noWrap/>
            <w:vAlign w:val="center"/>
          </w:tcPr>
          <w:p w14:paraId="382D2842">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含税单价</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（元）</w:t>
            </w:r>
          </w:p>
        </w:tc>
        <w:tc>
          <w:tcPr>
            <w:tcW w:w="717" w:type="pct"/>
            <w:tcBorders>
              <w:top w:val="single" w:color="000000" w:sz="8" w:space="0"/>
              <w:left w:val="single" w:color="000000" w:sz="4" w:space="0"/>
              <w:bottom w:val="single" w:color="000000" w:sz="4" w:space="0"/>
              <w:right w:val="single" w:color="000000" w:sz="8" w:space="0"/>
            </w:tcBorders>
            <w:shd w:val="clear" w:color="auto" w:fill="auto"/>
            <w:noWrap/>
            <w:vAlign w:val="center"/>
          </w:tcPr>
          <w:p w14:paraId="3B3E0123">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含税合价</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（元）</w:t>
            </w:r>
          </w:p>
        </w:tc>
        <w:tc>
          <w:tcPr>
            <w:tcW w:w="1413" w:type="pct"/>
            <w:tcBorders>
              <w:top w:val="single" w:color="000000" w:sz="8" w:space="0"/>
              <w:left w:val="single" w:color="000000" w:sz="4" w:space="0"/>
              <w:bottom w:val="single" w:color="000000" w:sz="4" w:space="0"/>
              <w:right w:val="single" w:color="000000" w:sz="8" w:space="0"/>
            </w:tcBorders>
            <w:shd w:val="clear" w:color="auto" w:fill="auto"/>
            <w:noWrap/>
            <w:vAlign w:val="center"/>
          </w:tcPr>
          <w:p w14:paraId="7EAC779E">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备注</w:t>
            </w:r>
          </w:p>
        </w:tc>
      </w:tr>
      <w:tr w14:paraId="48B47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0" w:hRule="atLeast"/>
        </w:trPr>
        <w:tc>
          <w:tcPr>
            <w:tcW w:w="358"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074BD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A92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幕墙</w:t>
            </w:r>
          </w:p>
        </w:tc>
        <w:tc>
          <w:tcPr>
            <w:tcW w:w="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30547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05F1C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1107.18</w:t>
            </w:r>
          </w:p>
        </w:tc>
        <w:tc>
          <w:tcPr>
            <w:tcW w:w="4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5D846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42012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9498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C1740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 除采购人提供金属板材主材外，供应商响应报价已包含全部劳务安装、辅材采购（副龙骨架、铝角码、胶水、槽铝加强筋，镀锌角钢、配件等）及材料保管等 </w:t>
            </w:r>
          </w:p>
        </w:tc>
      </w:tr>
      <w:tr w14:paraId="0C2A8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2"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A5F8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p w14:paraId="7C8BD52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6EE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立面块料拆除</w:t>
            </w:r>
          </w:p>
        </w:tc>
        <w:tc>
          <w:tcPr>
            <w:tcW w:w="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6E0F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CC70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1107.18</w:t>
            </w:r>
          </w:p>
        </w:tc>
        <w:tc>
          <w:tcPr>
            <w:tcW w:w="420" w:type="pct"/>
            <w:tcBorders>
              <w:top w:val="single" w:color="000000" w:sz="4" w:space="0"/>
              <w:left w:val="single" w:color="000000" w:sz="4" w:space="0"/>
              <w:bottom w:val="single" w:color="000000" w:sz="8" w:space="0"/>
              <w:right w:val="single" w:color="000000" w:sz="4" w:space="0"/>
            </w:tcBorders>
            <w:shd w:val="clear" w:color="auto" w:fill="auto"/>
            <w:vAlign w:val="center"/>
          </w:tcPr>
          <w:p w14:paraId="568A2D1E">
            <w:pPr>
              <w:jc w:val="center"/>
              <w:rPr>
                <w:rFonts w:hint="eastAsia" w:ascii="宋体" w:hAnsi="宋体" w:eastAsia="宋体" w:cs="宋体"/>
                <w:i w:val="0"/>
                <w:iCs w:val="0"/>
                <w:color w:val="000000"/>
                <w:sz w:val="21"/>
                <w:szCs w:val="21"/>
                <w:u w:val="none"/>
              </w:rPr>
            </w:pPr>
          </w:p>
        </w:tc>
        <w:tc>
          <w:tcPr>
            <w:tcW w:w="698" w:type="pct"/>
            <w:tcBorders>
              <w:top w:val="single" w:color="000000" w:sz="4" w:space="0"/>
              <w:left w:val="single" w:color="000000" w:sz="4" w:space="0"/>
              <w:bottom w:val="single" w:color="000000" w:sz="8" w:space="0"/>
              <w:right w:val="single" w:color="000000" w:sz="4" w:space="0"/>
            </w:tcBorders>
            <w:shd w:val="clear" w:color="auto" w:fill="auto"/>
            <w:vAlign w:val="center"/>
          </w:tcPr>
          <w:p w14:paraId="64A923BC">
            <w:pPr>
              <w:jc w:val="center"/>
              <w:rPr>
                <w:rFonts w:hint="eastAsia" w:ascii="宋体" w:hAnsi="宋体" w:eastAsia="宋体" w:cs="宋体"/>
                <w:i w:val="0"/>
                <w:iCs w:val="0"/>
                <w:color w:val="000000"/>
                <w:sz w:val="21"/>
                <w:szCs w:val="21"/>
                <w:u w:val="none"/>
              </w:rPr>
            </w:pPr>
          </w:p>
        </w:tc>
        <w:tc>
          <w:tcPr>
            <w:tcW w:w="717" w:type="pct"/>
            <w:tcBorders>
              <w:top w:val="single" w:color="000000" w:sz="4" w:space="0"/>
              <w:left w:val="single" w:color="000000" w:sz="4" w:space="0"/>
              <w:bottom w:val="single" w:color="000000" w:sz="8" w:space="0"/>
              <w:right w:val="single" w:color="000000" w:sz="4" w:space="0"/>
            </w:tcBorders>
            <w:shd w:val="clear" w:color="auto" w:fill="auto"/>
            <w:vAlign w:val="center"/>
          </w:tcPr>
          <w:p w14:paraId="26BA01F7">
            <w:pPr>
              <w:jc w:val="center"/>
              <w:rPr>
                <w:rFonts w:hint="eastAsia" w:ascii="宋体" w:hAnsi="宋体" w:eastAsia="宋体" w:cs="宋体"/>
                <w:i w:val="0"/>
                <w:iCs w:val="0"/>
                <w:color w:val="000000"/>
                <w:sz w:val="21"/>
                <w:szCs w:val="21"/>
                <w:u w:val="none"/>
              </w:rPr>
            </w:pPr>
          </w:p>
        </w:tc>
        <w:tc>
          <w:tcPr>
            <w:tcW w:w="1413" w:type="pct"/>
            <w:tcBorders>
              <w:top w:val="single" w:color="000000" w:sz="4" w:space="0"/>
              <w:left w:val="single" w:color="000000" w:sz="4" w:space="0"/>
              <w:bottom w:val="single" w:color="000000" w:sz="8" w:space="0"/>
              <w:right w:val="single" w:color="000000" w:sz="4" w:space="0"/>
            </w:tcBorders>
            <w:shd w:val="clear" w:color="auto" w:fill="auto"/>
            <w:vAlign w:val="center"/>
          </w:tcPr>
          <w:p w14:paraId="426531F3">
            <w:pPr>
              <w:jc w:val="center"/>
              <w:rPr>
                <w:rFonts w:hint="eastAsia" w:ascii="宋体" w:hAnsi="宋体" w:eastAsia="宋体" w:cs="宋体"/>
                <w:i w:val="0"/>
                <w:iCs w:val="0"/>
                <w:color w:val="000000"/>
                <w:sz w:val="21"/>
                <w:szCs w:val="21"/>
                <w:u w:val="none"/>
                <w:lang w:val="en-US" w:eastAsia="zh-CN"/>
              </w:rPr>
            </w:pPr>
          </w:p>
        </w:tc>
      </w:tr>
      <w:tr w14:paraId="3F8C7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3630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p w14:paraId="60E69C6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6CF8A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工具式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脚手架</w:t>
            </w:r>
          </w:p>
        </w:tc>
        <w:tc>
          <w:tcPr>
            <w:tcW w:w="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A65F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3A66B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1107.18</w:t>
            </w:r>
          </w:p>
        </w:tc>
        <w:tc>
          <w:tcPr>
            <w:tcW w:w="420" w:type="pct"/>
            <w:tcBorders>
              <w:top w:val="single" w:color="000000" w:sz="4" w:space="0"/>
              <w:left w:val="single" w:color="000000" w:sz="4" w:space="0"/>
              <w:bottom w:val="single" w:color="000000" w:sz="8" w:space="0"/>
              <w:right w:val="single" w:color="000000" w:sz="4" w:space="0"/>
            </w:tcBorders>
            <w:shd w:val="clear" w:color="auto" w:fill="auto"/>
            <w:vAlign w:val="center"/>
          </w:tcPr>
          <w:p w14:paraId="73C1A8FD">
            <w:pPr>
              <w:jc w:val="center"/>
              <w:rPr>
                <w:rFonts w:hint="eastAsia" w:ascii="宋体" w:hAnsi="宋体" w:eastAsia="宋体" w:cs="宋体"/>
                <w:i w:val="0"/>
                <w:iCs w:val="0"/>
                <w:color w:val="000000"/>
                <w:sz w:val="21"/>
                <w:szCs w:val="21"/>
                <w:u w:val="none"/>
              </w:rPr>
            </w:pPr>
          </w:p>
        </w:tc>
        <w:tc>
          <w:tcPr>
            <w:tcW w:w="698" w:type="pct"/>
            <w:tcBorders>
              <w:top w:val="single" w:color="000000" w:sz="4" w:space="0"/>
              <w:left w:val="single" w:color="000000" w:sz="4" w:space="0"/>
              <w:bottom w:val="single" w:color="000000" w:sz="8" w:space="0"/>
              <w:right w:val="single" w:color="000000" w:sz="4" w:space="0"/>
            </w:tcBorders>
            <w:shd w:val="clear" w:color="auto" w:fill="auto"/>
            <w:vAlign w:val="center"/>
          </w:tcPr>
          <w:p w14:paraId="32DD415A">
            <w:pPr>
              <w:jc w:val="center"/>
              <w:rPr>
                <w:rFonts w:hint="eastAsia" w:ascii="宋体" w:hAnsi="宋体" w:eastAsia="宋体" w:cs="宋体"/>
                <w:i w:val="0"/>
                <w:iCs w:val="0"/>
                <w:color w:val="000000"/>
                <w:sz w:val="21"/>
                <w:szCs w:val="21"/>
                <w:u w:val="none"/>
              </w:rPr>
            </w:pPr>
          </w:p>
        </w:tc>
        <w:tc>
          <w:tcPr>
            <w:tcW w:w="717" w:type="pct"/>
            <w:tcBorders>
              <w:top w:val="single" w:color="000000" w:sz="4" w:space="0"/>
              <w:left w:val="single" w:color="000000" w:sz="4" w:space="0"/>
              <w:bottom w:val="single" w:color="000000" w:sz="8" w:space="0"/>
              <w:right w:val="single" w:color="000000" w:sz="4" w:space="0"/>
            </w:tcBorders>
            <w:shd w:val="clear" w:color="auto" w:fill="auto"/>
            <w:vAlign w:val="center"/>
          </w:tcPr>
          <w:p w14:paraId="62B9E0F0">
            <w:pPr>
              <w:jc w:val="center"/>
              <w:rPr>
                <w:rFonts w:hint="eastAsia" w:ascii="宋体" w:hAnsi="宋体" w:eastAsia="宋体" w:cs="宋体"/>
                <w:i w:val="0"/>
                <w:iCs w:val="0"/>
                <w:color w:val="000000"/>
                <w:sz w:val="21"/>
                <w:szCs w:val="21"/>
                <w:u w:val="none"/>
              </w:rPr>
            </w:pPr>
          </w:p>
        </w:tc>
        <w:tc>
          <w:tcPr>
            <w:tcW w:w="1413" w:type="pct"/>
            <w:tcBorders>
              <w:top w:val="single" w:color="000000" w:sz="4" w:space="0"/>
              <w:left w:val="single" w:color="000000" w:sz="4" w:space="0"/>
              <w:bottom w:val="single" w:color="000000" w:sz="8" w:space="0"/>
              <w:right w:val="single" w:color="000000" w:sz="4" w:space="0"/>
            </w:tcBorders>
            <w:shd w:val="clear" w:color="auto" w:fill="auto"/>
            <w:vAlign w:val="center"/>
          </w:tcPr>
          <w:p w14:paraId="7AE1099D">
            <w:pPr>
              <w:jc w:val="center"/>
              <w:rPr>
                <w:rFonts w:hint="eastAsia" w:ascii="宋体" w:hAnsi="宋体" w:eastAsia="宋体" w:cs="宋体"/>
                <w:i w:val="0"/>
                <w:iCs w:val="0"/>
                <w:color w:val="000000"/>
                <w:sz w:val="21"/>
                <w:szCs w:val="21"/>
                <w:u w:val="none"/>
                <w:lang w:val="en-US" w:eastAsia="zh-CN"/>
              </w:rPr>
            </w:pPr>
          </w:p>
        </w:tc>
      </w:tr>
      <w:tr w14:paraId="5E57B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7024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p w14:paraId="2AFD80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B63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原吊顶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修复</w:t>
            </w:r>
          </w:p>
        </w:tc>
        <w:tc>
          <w:tcPr>
            <w:tcW w:w="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02C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64583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160.00</w:t>
            </w:r>
          </w:p>
        </w:tc>
        <w:tc>
          <w:tcPr>
            <w:tcW w:w="420" w:type="pct"/>
            <w:tcBorders>
              <w:top w:val="single" w:color="000000" w:sz="4" w:space="0"/>
              <w:left w:val="single" w:color="000000" w:sz="4" w:space="0"/>
              <w:bottom w:val="single" w:color="000000" w:sz="8" w:space="0"/>
              <w:right w:val="single" w:color="000000" w:sz="4" w:space="0"/>
            </w:tcBorders>
            <w:shd w:val="clear" w:color="auto" w:fill="auto"/>
            <w:vAlign w:val="center"/>
          </w:tcPr>
          <w:p w14:paraId="1A3B2165">
            <w:pPr>
              <w:jc w:val="center"/>
              <w:rPr>
                <w:rFonts w:hint="eastAsia" w:ascii="宋体" w:hAnsi="宋体" w:eastAsia="宋体" w:cs="宋体"/>
                <w:i w:val="0"/>
                <w:iCs w:val="0"/>
                <w:color w:val="000000"/>
                <w:sz w:val="21"/>
                <w:szCs w:val="21"/>
                <w:u w:val="none"/>
              </w:rPr>
            </w:pPr>
          </w:p>
        </w:tc>
        <w:tc>
          <w:tcPr>
            <w:tcW w:w="698" w:type="pct"/>
            <w:tcBorders>
              <w:top w:val="single" w:color="000000" w:sz="4" w:space="0"/>
              <w:left w:val="single" w:color="000000" w:sz="4" w:space="0"/>
              <w:bottom w:val="single" w:color="000000" w:sz="8" w:space="0"/>
              <w:right w:val="single" w:color="000000" w:sz="4" w:space="0"/>
            </w:tcBorders>
            <w:shd w:val="clear" w:color="auto" w:fill="auto"/>
            <w:vAlign w:val="center"/>
          </w:tcPr>
          <w:p w14:paraId="7E97A3EA">
            <w:pPr>
              <w:jc w:val="center"/>
              <w:rPr>
                <w:rFonts w:hint="eastAsia" w:ascii="宋体" w:hAnsi="宋体" w:eastAsia="宋体" w:cs="宋体"/>
                <w:i w:val="0"/>
                <w:iCs w:val="0"/>
                <w:color w:val="000000"/>
                <w:sz w:val="21"/>
                <w:szCs w:val="21"/>
                <w:u w:val="none"/>
              </w:rPr>
            </w:pPr>
          </w:p>
        </w:tc>
        <w:tc>
          <w:tcPr>
            <w:tcW w:w="717" w:type="pct"/>
            <w:tcBorders>
              <w:top w:val="single" w:color="000000" w:sz="4" w:space="0"/>
              <w:left w:val="single" w:color="000000" w:sz="4" w:space="0"/>
              <w:bottom w:val="single" w:color="000000" w:sz="8" w:space="0"/>
              <w:right w:val="single" w:color="000000" w:sz="4" w:space="0"/>
            </w:tcBorders>
            <w:shd w:val="clear" w:color="auto" w:fill="auto"/>
            <w:vAlign w:val="center"/>
          </w:tcPr>
          <w:p w14:paraId="3A24DFB6">
            <w:pPr>
              <w:jc w:val="center"/>
              <w:rPr>
                <w:rFonts w:hint="eastAsia" w:ascii="宋体" w:hAnsi="宋体" w:eastAsia="宋体" w:cs="宋体"/>
                <w:i w:val="0"/>
                <w:iCs w:val="0"/>
                <w:color w:val="000000"/>
                <w:sz w:val="21"/>
                <w:szCs w:val="21"/>
                <w:u w:val="none"/>
              </w:rPr>
            </w:pPr>
          </w:p>
        </w:tc>
        <w:tc>
          <w:tcPr>
            <w:tcW w:w="1413" w:type="pct"/>
            <w:tcBorders>
              <w:top w:val="single" w:color="000000" w:sz="4" w:space="0"/>
              <w:left w:val="single" w:color="000000" w:sz="4" w:space="0"/>
              <w:bottom w:val="single" w:color="000000" w:sz="8" w:space="0"/>
              <w:right w:val="single" w:color="000000" w:sz="4" w:space="0"/>
            </w:tcBorders>
            <w:shd w:val="clear" w:color="auto" w:fill="auto"/>
            <w:vAlign w:val="center"/>
          </w:tcPr>
          <w:p w14:paraId="2E3E0B80">
            <w:pPr>
              <w:jc w:val="center"/>
              <w:rPr>
                <w:rFonts w:hint="eastAsia" w:ascii="宋体" w:hAnsi="宋体" w:eastAsia="宋体" w:cs="宋体"/>
                <w:i w:val="0"/>
                <w:iCs w:val="0"/>
                <w:color w:val="000000"/>
                <w:sz w:val="21"/>
                <w:szCs w:val="21"/>
                <w:u w:val="none"/>
                <w:lang w:val="en-US" w:eastAsia="zh-CN"/>
              </w:rPr>
            </w:pPr>
          </w:p>
        </w:tc>
      </w:tr>
      <w:tr w14:paraId="068E0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C27B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p w14:paraId="142707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CFCE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建筑垃圾外运</w:t>
            </w:r>
          </w:p>
        </w:tc>
        <w:tc>
          <w:tcPr>
            <w:tcW w:w="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3F36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m3</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FF53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110.72</w:t>
            </w:r>
          </w:p>
        </w:tc>
        <w:tc>
          <w:tcPr>
            <w:tcW w:w="4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86312D">
            <w:pPr>
              <w:jc w:val="center"/>
              <w:rPr>
                <w:rFonts w:hint="eastAsia" w:ascii="宋体" w:hAnsi="宋体" w:eastAsia="宋体" w:cs="宋体"/>
                <w:i w:val="0"/>
                <w:iCs w:val="0"/>
                <w:color w:val="000000"/>
                <w:sz w:val="21"/>
                <w:szCs w:val="21"/>
                <w:u w:val="none"/>
              </w:rPr>
            </w:pP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F580DB">
            <w:pPr>
              <w:jc w:val="center"/>
              <w:rPr>
                <w:rFonts w:hint="eastAsia" w:ascii="宋体" w:hAnsi="宋体" w:eastAsia="宋体" w:cs="宋体"/>
                <w:i w:val="0"/>
                <w:iCs w:val="0"/>
                <w:color w:val="000000"/>
                <w:sz w:val="21"/>
                <w:szCs w:val="21"/>
                <w:u w:val="none"/>
              </w:rPr>
            </w:pPr>
          </w:p>
        </w:tc>
        <w:tc>
          <w:tcPr>
            <w:tcW w:w="7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D3B384">
            <w:pPr>
              <w:jc w:val="center"/>
              <w:rPr>
                <w:rFonts w:hint="eastAsia" w:ascii="宋体" w:hAnsi="宋体" w:eastAsia="宋体" w:cs="宋体"/>
                <w:i w:val="0"/>
                <w:iCs w:val="0"/>
                <w:color w:val="000000"/>
                <w:sz w:val="21"/>
                <w:szCs w:val="21"/>
                <w:u w:val="none"/>
              </w:rPr>
            </w:pPr>
          </w:p>
        </w:tc>
        <w:tc>
          <w:tcPr>
            <w:tcW w:w="1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CEDBD">
            <w:pPr>
              <w:jc w:val="center"/>
              <w:rPr>
                <w:rFonts w:hint="eastAsia" w:ascii="宋体" w:hAnsi="宋体" w:eastAsia="宋体" w:cs="宋体"/>
                <w:i w:val="0"/>
                <w:iCs w:val="0"/>
                <w:color w:val="000000"/>
                <w:sz w:val="21"/>
                <w:szCs w:val="21"/>
                <w:u w:val="none"/>
              </w:rPr>
            </w:pPr>
          </w:p>
        </w:tc>
      </w:tr>
      <w:tr w14:paraId="39693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217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EFFCCE2">
            <w:pPr>
              <w:jc w:val="center"/>
              <w:rPr>
                <w:rFonts w:hint="eastAsia" w:ascii="宋体" w:hAnsi="宋体" w:eastAsia="宋体" w:cs="宋体"/>
                <w:i w:val="0"/>
                <w:iCs w:val="0"/>
                <w:color w:val="000000"/>
                <w:sz w:val="21"/>
                <w:szCs w:val="21"/>
                <w:u w:val="none"/>
              </w:rPr>
            </w:pP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75E274">
            <w:pPr>
              <w:jc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合计</w:t>
            </w:r>
          </w:p>
        </w:tc>
        <w:tc>
          <w:tcPr>
            <w:tcW w:w="7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6FCFCE">
            <w:pPr>
              <w:jc w:val="center"/>
              <w:rPr>
                <w:rFonts w:hint="eastAsia" w:ascii="宋体" w:hAnsi="宋体" w:eastAsia="宋体" w:cs="宋体"/>
                <w:i w:val="0"/>
                <w:iCs w:val="0"/>
                <w:color w:val="000000"/>
                <w:sz w:val="21"/>
                <w:szCs w:val="21"/>
                <w:u w:val="none"/>
              </w:rPr>
            </w:pPr>
          </w:p>
        </w:tc>
        <w:tc>
          <w:tcPr>
            <w:tcW w:w="1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D174E4">
            <w:pPr>
              <w:jc w:val="center"/>
              <w:rPr>
                <w:rFonts w:hint="eastAsia" w:ascii="宋体" w:hAnsi="宋体" w:eastAsia="宋体" w:cs="宋体"/>
                <w:i w:val="0"/>
                <w:iCs w:val="0"/>
                <w:color w:val="000000"/>
                <w:sz w:val="21"/>
                <w:szCs w:val="21"/>
                <w:u w:val="none"/>
              </w:rPr>
            </w:pPr>
          </w:p>
        </w:tc>
      </w:tr>
      <w:tr w14:paraId="0749B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5000" w:type="pct"/>
            <w:gridSpan w:val="8"/>
            <w:tcBorders>
              <w:top w:val="single" w:color="000000" w:sz="4" w:space="0"/>
              <w:left w:val="single" w:color="000000" w:sz="8" w:space="0"/>
              <w:bottom w:val="single" w:color="000000" w:sz="4" w:space="0"/>
              <w:right w:val="single" w:color="000000" w:sz="4" w:space="0"/>
            </w:tcBorders>
            <w:shd w:val="clear" w:color="auto" w:fill="auto"/>
            <w:vAlign w:val="center"/>
          </w:tcPr>
          <w:p w14:paraId="74104EFA">
            <w:pPr>
              <w:jc w:val="left"/>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sz w:val="21"/>
                <w:szCs w:val="21"/>
                <w:u w:val="none"/>
                <w:lang w:val="en-US" w:eastAsia="zh-CN"/>
              </w:rPr>
              <w:t>注：1、</w:t>
            </w:r>
            <w:r>
              <w:rPr>
                <w:rFonts w:hint="eastAsia" w:ascii="宋体" w:hAnsi="宋体" w:eastAsia="宋体" w:cs="宋体"/>
                <w:i w:val="0"/>
                <w:iCs w:val="0"/>
                <w:color w:val="000000"/>
                <w:kern w:val="0"/>
                <w:sz w:val="21"/>
                <w:szCs w:val="21"/>
                <w:u w:val="none"/>
                <w:lang w:val="en-US" w:eastAsia="zh-CN" w:bidi="ar"/>
              </w:rPr>
              <w:t>未尽事宜详见设计图纸、图集、答疑、采购文件、清单、政府相关文件、规范等其他资料，满足验收要求；项目编码及特征描述详见采购需求；</w:t>
            </w:r>
          </w:p>
          <w:p w14:paraId="72B3C375">
            <w:pPr>
              <w:numPr>
                <w:ilvl w:val="0"/>
                <w:numId w:val="0"/>
              </w:numPr>
              <w:ind w:firstLine="420" w:firstLineChars="200"/>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lang w:val="en-US" w:eastAsia="zh-CN" w:bidi="ar"/>
              </w:rPr>
              <w:t>2、</w:t>
            </w:r>
            <w:r>
              <w:rPr>
                <w:rFonts w:hint="eastAsia" w:ascii="宋体" w:hAnsi="宋体" w:eastAsia="宋体" w:cs="宋体"/>
                <w:i w:val="0"/>
                <w:iCs w:val="0"/>
                <w:color w:val="000000"/>
                <w:kern w:val="0"/>
                <w:sz w:val="21"/>
                <w:szCs w:val="21"/>
                <w:u w:val="none"/>
                <w:lang w:val="en-US" w:eastAsia="zh-CN" w:bidi="ar"/>
              </w:rPr>
              <w:t>除采购人提供的金属板材主材外，成交人需提供为完成全部工程施工内容的其他辅材及机械工具；</w:t>
            </w:r>
          </w:p>
          <w:p w14:paraId="185FEBEF">
            <w:pPr>
              <w:numPr>
                <w:ilvl w:val="0"/>
                <w:numId w:val="0"/>
              </w:numPr>
              <w:ind w:firstLine="420" w:firstLineChars="200"/>
              <w:jc w:val="left"/>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3、以上工程量为暂定量，以最终结算为准，据实结算，若以上所描述的工程量现场未施工，采购人有权扣除该部分工程量，且成交人不得以此为由向采购人索赔。</w:t>
            </w:r>
          </w:p>
        </w:tc>
      </w:tr>
    </w:tbl>
    <w:p w14:paraId="47087282">
      <w:pPr>
        <w:numPr>
          <w:ilvl w:val="0"/>
          <w:numId w:val="0"/>
        </w:numPr>
        <w:rPr>
          <w:rFonts w:hint="eastAsia"/>
          <w:lang w:val="en-US" w:eastAsia="zh-CN"/>
        </w:rPr>
      </w:pPr>
    </w:p>
    <w:p w14:paraId="721F2D4A">
      <w:pPr>
        <w:numPr>
          <w:ilvl w:val="0"/>
          <w:numId w:val="0"/>
        </w:numPr>
        <w:rPr>
          <w:rFonts w:hint="eastAsia"/>
          <w:lang w:val="en-US" w:eastAsia="zh-CN"/>
        </w:rPr>
      </w:pPr>
    </w:p>
    <w:p w14:paraId="263A11BF">
      <w:pPr>
        <w:pStyle w:val="3"/>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152045796"/>
      <w:bookmarkStart w:id="285" w:name="_Toc300835221"/>
      <w:bookmarkStart w:id="286" w:name="_Toc144974864"/>
      <w:bookmarkStart w:id="287" w:name="_Toc152042585"/>
      <w:bookmarkStart w:id="288" w:name="_Toc247514288"/>
      <w:bookmarkStart w:id="289" w:name="_Toc24752783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179632828"/>
      <w:bookmarkStart w:id="292" w:name="_Toc296602618"/>
      <w:bookmarkStart w:id="293" w:name="_Toc247085891"/>
      <w:bookmarkStart w:id="294" w:name="_Toc246997116"/>
      <w:bookmarkStart w:id="295" w:name="_Toc246996373"/>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6997113"/>
      <w:bookmarkStart w:id="297" w:name="_Toc296602615"/>
      <w:bookmarkStart w:id="298" w:name="_Toc247085888"/>
      <w:bookmarkStart w:id="299" w:name="_Toc246996370"/>
      <w:bookmarkStart w:id="300" w:name="_Toc247514302"/>
      <w:bookmarkStart w:id="301" w:name="_Toc247527850"/>
      <w:bookmarkStart w:id="302" w:name="_Toc144974878"/>
      <w:bookmarkStart w:id="303" w:name="_Toc152042599"/>
      <w:bookmarkStart w:id="304" w:name="_Toc152045810"/>
      <w:bookmarkStart w:id="305" w:name="_Toc300835226"/>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6997114"/>
      <w:bookmarkStart w:id="307" w:name="_Toc296602616"/>
      <w:bookmarkStart w:id="308" w:name="_Toc246996371"/>
      <w:bookmarkStart w:id="309" w:name="_Toc247085889"/>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44974879"/>
      <w:bookmarkStart w:id="311" w:name="_Toc247514303"/>
      <w:bookmarkStart w:id="312" w:name="_Toc152042600"/>
      <w:bookmarkStart w:id="313" w:name="_Toc247527851"/>
      <w:bookmarkStart w:id="314" w:name="_Toc15204581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5D8127FC">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提供供应商的有效施工劳务企业资质和安全生产许可证的证明材料的复印件或扫描件，加盖供应商单位公章；</w:t>
      </w:r>
    </w:p>
    <w:p w14:paraId="64B8B690">
      <w:pPr>
        <w:numPr>
          <w:ilvl w:val="0"/>
          <w:numId w:val="0"/>
        </w:numPr>
        <w:tabs>
          <w:tab w:val="left" w:pos="720"/>
        </w:tabs>
        <w:spacing w:line="440" w:lineRule="exact"/>
        <w:ind w:firstLine="422" w:firstLineChars="200"/>
        <w:jc w:val="left"/>
        <w:rPr>
          <w:rFonts w:hint="default" w:ascii="Times New Roman" w:hAnsi="Times New Roman"/>
          <w:b/>
          <w:bCs/>
          <w:color w:val="FF0000"/>
          <w:lang w:val="en-US" w:eastAsia="zh-CN"/>
        </w:rPr>
      </w:pPr>
      <w:r>
        <w:rPr>
          <w:rFonts w:hint="default" w:ascii="Times New Roman" w:hAnsi="Times New Roman" w:eastAsiaTheme="minorEastAsia" w:cstheme="minorBidi"/>
          <w:b/>
          <w:bCs/>
          <w:color w:val="FF0000"/>
          <w:kern w:val="2"/>
          <w:sz w:val="21"/>
          <w:szCs w:val="24"/>
          <w:lang w:val="en-US" w:eastAsia="zh-CN" w:bidi="ar-SA"/>
        </w:rPr>
        <w:t>3、</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4、提供供应商的信用中国查询证明的复印件或扫描件，加盖供应商单位公章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6F1FB5DB">
      <w:pPr>
        <w:numPr>
          <w:ilvl w:val="0"/>
          <w:numId w:val="0"/>
        </w:numPr>
        <w:jc w:val="center"/>
        <w:rPr>
          <w:rFonts w:hint="eastAsia"/>
          <w:b/>
          <w:bCs/>
          <w:color w:val="FF0000"/>
          <w:lang w:val="en-US" w:eastAsia="zh-CN"/>
        </w:rPr>
      </w:pPr>
    </w:p>
    <w:p w14:paraId="0449E956">
      <w:pPr>
        <w:numPr>
          <w:ilvl w:val="0"/>
          <w:numId w:val="0"/>
        </w:numPr>
        <w:jc w:val="center"/>
        <w:rPr>
          <w:rFonts w:hint="eastAsia"/>
          <w:b/>
          <w:bCs/>
          <w:color w:val="FF0000"/>
          <w:lang w:val="en-US" w:eastAsia="zh-CN"/>
        </w:rPr>
      </w:pPr>
    </w:p>
    <w:p w14:paraId="1EB172E4">
      <w:pPr>
        <w:numPr>
          <w:ilvl w:val="0"/>
          <w:numId w:val="0"/>
        </w:numPr>
        <w:jc w:val="center"/>
        <w:rPr>
          <w:rFonts w:hint="eastAsia"/>
          <w:b/>
          <w:bCs/>
          <w:color w:val="FF0000"/>
          <w:lang w:val="en-US" w:eastAsia="zh-CN"/>
        </w:rPr>
      </w:pPr>
    </w:p>
    <w:p w14:paraId="16AEFFFA">
      <w:pPr>
        <w:numPr>
          <w:ilvl w:val="0"/>
          <w:numId w:val="0"/>
        </w:numPr>
        <w:jc w:val="center"/>
        <w:rPr>
          <w:rFonts w:hint="eastAsia"/>
          <w:b/>
          <w:bCs/>
          <w:color w:val="FF0000"/>
          <w:lang w:val="en-US" w:eastAsia="zh-CN"/>
        </w:rPr>
      </w:pPr>
    </w:p>
    <w:p w14:paraId="64A75252">
      <w:pPr>
        <w:numPr>
          <w:ilvl w:val="0"/>
          <w:numId w:val="0"/>
        </w:numPr>
        <w:jc w:val="center"/>
        <w:rPr>
          <w:rFonts w:hint="eastAsia"/>
          <w:b/>
          <w:bCs/>
          <w:color w:val="FF0000"/>
          <w:lang w:val="en-US" w:eastAsia="zh-CN"/>
        </w:rPr>
      </w:pPr>
    </w:p>
    <w:p w14:paraId="5B5A3DA1">
      <w:pPr>
        <w:numPr>
          <w:ilvl w:val="0"/>
          <w:numId w:val="0"/>
        </w:numPr>
        <w:jc w:val="center"/>
        <w:rPr>
          <w:rFonts w:hint="eastAsia"/>
          <w:b/>
          <w:bCs/>
          <w:color w:val="FF0000"/>
          <w:lang w:val="en-US" w:eastAsia="zh-CN"/>
        </w:rPr>
      </w:pPr>
    </w:p>
    <w:p w14:paraId="3AA9BBB5">
      <w:pPr>
        <w:numPr>
          <w:ilvl w:val="0"/>
          <w:numId w:val="0"/>
        </w:numPr>
        <w:jc w:val="center"/>
        <w:rPr>
          <w:rFonts w:hint="eastAsia"/>
          <w:b/>
          <w:bCs/>
          <w:color w:val="FF0000"/>
          <w:lang w:val="en-US" w:eastAsia="zh-CN"/>
        </w:rPr>
      </w:pPr>
    </w:p>
    <w:p w14:paraId="7D7F1330">
      <w:pPr>
        <w:numPr>
          <w:ilvl w:val="0"/>
          <w:numId w:val="0"/>
        </w:numPr>
        <w:jc w:val="center"/>
        <w:rPr>
          <w:rFonts w:hint="eastAsia"/>
          <w:b/>
          <w:bCs/>
          <w:color w:val="FF0000"/>
          <w:lang w:val="en-US" w:eastAsia="zh-CN"/>
        </w:rPr>
      </w:pPr>
    </w:p>
    <w:p w14:paraId="50D32861">
      <w:pPr>
        <w:numPr>
          <w:ilvl w:val="0"/>
          <w:numId w:val="0"/>
        </w:numPr>
        <w:jc w:val="center"/>
        <w:rPr>
          <w:rFonts w:hint="default"/>
          <w:b/>
          <w:bCs/>
          <w:color w:val="FF0000"/>
          <w:lang w:val="en-US" w:eastAsia="zh-CN"/>
        </w:rPr>
      </w:pPr>
    </w:p>
    <w:p w14:paraId="2761C97D">
      <w:pPr>
        <w:rPr>
          <w:rFonts w:hint="eastAsia" w:ascii="Times New Roman" w:hAnsi="Times New Roman" w:cs="Times New Roman"/>
          <w:lang w:val="en-US" w:eastAsia="zh-CN"/>
        </w:rPr>
      </w:pPr>
      <w:bookmarkStart w:id="315" w:name="_Toc300835233"/>
      <w:bookmarkStart w:id="316" w:name="_Toc271821942"/>
      <w:r>
        <w:rPr>
          <w:rFonts w:hint="eastAsia" w:ascii="Times New Roman" w:hAnsi="Times New Roman" w:cs="Times New Roman"/>
          <w:lang w:val="en-US" w:eastAsia="zh-CN"/>
        </w:rPr>
        <w:br w:type="page"/>
      </w:r>
    </w:p>
    <w:p w14:paraId="1E5B7EEB">
      <w:pPr>
        <w:pStyle w:val="4"/>
        <w:numPr>
          <w:ilvl w:val="0"/>
          <w:numId w:val="0"/>
        </w:numPr>
        <w:jc w:val="center"/>
        <w:rPr>
          <w:rFonts w:hint="default" w:ascii="Times New Roman" w:hAnsi="Times New Roman" w:cs="Times New Roman"/>
          <w:lang w:val="en-US" w:eastAsia="zh-CN"/>
        </w:rPr>
      </w:pPr>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DFCCC21-61CE-4137-AAED-3876B000D6DA}"/>
  </w:font>
  <w:font w:name="Arial">
    <w:panose1 w:val="020B0604020202020204"/>
    <w:charset w:val="01"/>
    <w:family w:val="swiss"/>
    <w:pitch w:val="default"/>
    <w:sig w:usb0="E0002EFF" w:usb1="C000785B" w:usb2="00000009" w:usb3="00000000" w:csb0="400001FF" w:csb1="FFFF0000"/>
    <w:embedRegular r:id="rId2" w:fontKey="{C2D2166B-402B-4FEA-BD31-A8CF44D77686}"/>
  </w:font>
  <w:font w:name="黑体">
    <w:panose1 w:val="02010609060101010101"/>
    <w:charset w:val="86"/>
    <w:family w:val="auto"/>
    <w:pitch w:val="default"/>
    <w:sig w:usb0="800002BF" w:usb1="38CF7CFA" w:usb2="00000016" w:usb3="00000000" w:csb0="00040001" w:csb1="00000000"/>
    <w:embedRegular r:id="rId3" w:fontKey="{205603DA-7CCF-459C-A897-44DCD50C12B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509EB77D-81B6-416D-8B7D-64587014498D}"/>
  </w:font>
  <w:font w:name="仿宋_GB2312">
    <w:panose1 w:val="02010609030101010101"/>
    <w:charset w:val="86"/>
    <w:family w:val="modern"/>
    <w:pitch w:val="default"/>
    <w:sig w:usb0="00000001" w:usb1="080E0000" w:usb2="00000000" w:usb3="00000000" w:csb0="00040000" w:csb1="00000000"/>
    <w:embedRegular r:id="rId5" w:fontKey="{70CA20AE-A6DD-4E09-8D77-32F0C2F2673E}"/>
  </w:font>
  <w:font w:name="方正小标宋简体">
    <w:panose1 w:val="03000509000000000000"/>
    <w:charset w:val="86"/>
    <w:family w:val="auto"/>
    <w:pitch w:val="default"/>
    <w:sig w:usb0="00000001" w:usb1="080E0000" w:usb2="00000000" w:usb3="00000000" w:csb0="00040000" w:csb1="00000000"/>
    <w:embedRegular r:id="rId6" w:fontKey="{D7E624A0-D7DF-490F-BE98-17D082FED47F}"/>
  </w:font>
  <w:font w:name="楷体">
    <w:panose1 w:val="02010609060101010101"/>
    <w:charset w:val="86"/>
    <w:family w:val="auto"/>
    <w:pitch w:val="default"/>
    <w:sig w:usb0="800002BF" w:usb1="38CF7CFA" w:usb2="00000016" w:usb3="00000000" w:csb0="00040001" w:csb1="00000000"/>
    <w:embedRegular r:id="rId7" w:fontKey="{22E1F4BF-AA0F-4871-90E6-0364F80CBD97}"/>
  </w:font>
  <w:font w:name="Wingdings 2">
    <w:panose1 w:val="05020102010507070707"/>
    <w:charset w:val="00"/>
    <w:family w:val="auto"/>
    <w:pitch w:val="default"/>
    <w:sig w:usb0="00000000" w:usb1="00000000" w:usb2="00000000" w:usb3="00000000" w:csb0="80000000" w:csb1="00000000"/>
    <w:embedRegular r:id="rId8" w:fontKey="{44C2BA2F-5BC2-4A7C-A080-2F26B2680392}"/>
  </w:font>
  <w:font w:name="方正仿宋_GB2312">
    <w:panose1 w:val="02000000000000000000"/>
    <w:charset w:val="86"/>
    <w:family w:val="auto"/>
    <w:pitch w:val="default"/>
    <w:sig w:usb0="A00002BF" w:usb1="184F6CFA" w:usb2="00000012" w:usb3="00000000" w:csb0="00040001" w:csb1="00000000"/>
    <w:embedRegular r:id="rId9" w:fontKey="{1B5751B9-7F18-452D-ACA0-8C9737E8CA86}"/>
  </w:font>
  <w:font w:name="仿宋">
    <w:panose1 w:val="02010609060101010101"/>
    <w:charset w:val="86"/>
    <w:family w:val="modern"/>
    <w:pitch w:val="default"/>
    <w:sig w:usb0="800002BF" w:usb1="38CF7CFA" w:usb2="00000016" w:usb3="00000000" w:csb0="00040001" w:csb1="00000000"/>
    <w:embedRegular r:id="rId10" w:fontKey="{C024DE91-A65D-421A-9FE8-D4DBB58CCB34}"/>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8267</Words>
  <Characters>9050</Characters>
  <Lines>0</Lines>
  <Paragraphs>0</Paragraphs>
  <TotalTime>34</TotalTime>
  <ScaleCrop>false</ScaleCrop>
  <LinksUpToDate>false</LinksUpToDate>
  <CharactersWithSpaces>9163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2025-11-26T01:54:00Z</cp:lastPrinted>
  <dcterms:modified xsi:type="dcterms:W3CDTF">2025-11-27T07:13:06Z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