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27E4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亳州逸合府项目示范区7#楼202和15#楼202精装样板间施工工程（三次）</w:t>
      </w:r>
    </w:p>
    <w:permEnd w:id="0"/>
    <w:p w14:paraId="5470AA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016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 年 11 </w:t>
      </w:r>
      <w:r>
        <w:rPr>
          <w:rFonts w:hint="eastAsia" w:ascii="Times New Roman" w:hAnsi="Times New Roman" w:eastAsia="楷体" w:cs="Times New Roman"/>
          <w:kern w:val="0"/>
          <w:sz w:val="32"/>
          <w:szCs w:val="32"/>
          <w:highlight w:val="none"/>
          <w:u w:val="none"/>
          <w:shd w:val="clear" w:color="auto" w:fill="auto"/>
          <w:lang w:val="en-US" w:eastAsia="zh-CN"/>
        </w:rPr>
        <w:t>月 26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A534C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亳州逸合府项目示范区7#楼202和15#楼202精装样板间施工工程（三次</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7085680"/>
      <w:bookmarkStart w:id="2" w:name="_Toc144974487"/>
      <w:bookmarkStart w:id="3" w:name="_Toc152045519"/>
      <w:bookmarkStart w:id="4" w:name="_Toc246996909"/>
      <w:bookmarkStart w:id="5" w:name="_Toc296602410"/>
      <w:bookmarkStart w:id="6" w:name="_Toc246996166"/>
      <w:bookmarkStart w:id="7" w:name="_Toc179632536"/>
      <w:r>
        <w:rPr>
          <w:rFonts w:hint="eastAsia" w:ascii="宋体" w:hAnsi="宋体" w:eastAsia="宋体" w:cs="宋体"/>
          <w:sz w:val="28"/>
          <w:szCs w:val="28"/>
          <w:highlight w:val="none"/>
          <w:u w:val="single"/>
          <w:lang w:val="en-US" w:eastAsia="zh-CN"/>
        </w:rPr>
        <w:t xml:space="preserve">  亳州逸合府项目示范区7#楼202和15#楼202精装样板间施工工程（三次）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44974488"/>
      <w:bookmarkStart w:id="10" w:name="_Toc152045520"/>
      <w:bookmarkStart w:id="11" w:name="_Toc152042296"/>
      <w:bookmarkStart w:id="12" w:name="_Toc247085681"/>
      <w:bookmarkStart w:id="13" w:name="_Toc246996910"/>
      <w:bookmarkStart w:id="14" w:name="_Toc179632537"/>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亳州逸合府项目示范区7#楼202和15#楼202精装样板间施工工程（三次）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BZZC-2025-</w:t>
      </w:r>
      <w:r>
        <w:rPr>
          <w:rFonts w:hint="eastAsia" w:asciiTheme="minorEastAsia" w:hAnsiTheme="minorEastAsia" w:cstheme="minorEastAsia"/>
          <w:sz w:val="28"/>
          <w:szCs w:val="28"/>
          <w:highlight w:val="none"/>
          <w:lang w:val="en-US" w:eastAsia="zh-CN"/>
        </w:rPr>
        <w:t>016</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亳州通恒置业有限公司</w:t>
      </w:r>
      <w:r>
        <w:rPr>
          <w:rFonts w:hint="eastAsia" w:asciiTheme="minorEastAsia" w:hAnsiTheme="minorEastAsia" w:cstheme="minorEastAsia"/>
          <w:color w:val="FF0000"/>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企业自筹</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（含税9%）</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592852.01元</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报价中含清单编制费用（清单编制</w:t>
      </w:r>
      <w:r>
        <w:rPr>
          <w:rFonts w:hint="eastAsia" w:asciiTheme="minorEastAsia" w:hAnsiTheme="minorEastAsia" w:eastAsiaTheme="minorEastAsia" w:cstheme="minorEastAsia"/>
          <w:color w:val="FF0000"/>
          <w:sz w:val="28"/>
          <w:szCs w:val="28"/>
          <w:highlight w:val="none"/>
          <w:lang w:val="en-US" w:eastAsia="zh-CN"/>
        </w:rPr>
        <w:t>2000</w:t>
      </w:r>
      <w:r>
        <w:rPr>
          <w:rFonts w:hint="eastAsia" w:asciiTheme="minorEastAsia" w:hAnsiTheme="minorEastAsia" w:eastAsiaTheme="minorEastAsia" w:cstheme="minorEastAsia"/>
          <w:sz w:val="28"/>
          <w:szCs w:val="28"/>
          <w:highlight w:val="none"/>
          <w:lang w:val="en-US" w:eastAsia="zh-CN"/>
        </w:rPr>
        <w:t>元，由</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单位支付给清单编制单位），此项费用不单独列项，</w:t>
      </w:r>
      <w:r>
        <w:rPr>
          <w:rFonts w:hint="eastAsia" w:asciiTheme="minorEastAsia" w:hAnsiTheme="minorEastAsia" w:cstheme="minorEastAsia"/>
          <w:sz w:val="28"/>
          <w:szCs w:val="28"/>
          <w:highlight w:val="none"/>
          <w:lang w:val="en-US" w:eastAsia="zh-CN"/>
        </w:rPr>
        <w:t>供应商应</w:t>
      </w:r>
      <w:r>
        <w:rPr>
          <w:rFonts w:hint="eastAsia" w:asciiTheme="minorEastAsia" w:hAnsiTheme="minorEastAsia" w:eastAsiaTheme="minorEastAsia" w:cstheme="minorEastAsia"/>
          <w:sz w:val="28"/>
          <w:szCs w:val="28"/>
          <w:highlight w:val="none"/>
          <w:lang w:val="en-US" w:eastAsia="zh-CN"/>
        </w:rPr>
        <w:t>综合考虑。报价超出限价或低于成本价的，按无效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F147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亳州逸合府项目示范区7#楼202和15#楼202精装样板间施工工程（三次）。具体施工内容详见施工图纸、工程量清单、物料表及采购人要求等。房号自东向西分别为01/02/03/04户。</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自合同签订之日起40日历天。</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亳州市华佗大道与利辛路交叉口。  </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符合国家、地方、行业现行相关规范，满足采购人要求。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5CE2E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ermStart w:id="18" w:edGrp="everyone"/>
      <w:r>
        <w:rPr>
          <w:rFonts w:hint="eastAsia" w:asciiTheme="minorEastAsia" w:hAnsiTheme="minorEastAsia" w:cstheme="minorEastAsia"/>
          <w:sz w:val="28"/>
          <w:szCs w:val="28"/>
          <w:highlight w:val="none"/>
          <w:lang w:val="en-US" w:eastAsia="zh-CN"/>
        </w:rPr>
        <w:t>具有建筑装修装饰工程专业承包二级及以上资质</w:t>
      </w:r>
      <w:permEnd w:id="18"/>
      <w:r>
        <w:rPr>
          <w:rFonts w:hint="eastAsia" w:asciiTheme="minorEastAsia" w:hAnsiTheme="minorEastAsia" w:cstheme="minorEastAsia"/>
          <w:sz w:val="28"/>
          <w:szCs w:val="28"/>
          <w:highlight w:val="none"/>
          <w:lang w:val="en-US" w:eastAsia="zh-CN"/>
        </w:rPr>
        <w:t>；</w:t>
      </w:r>
    </w:p>
    <w:p w14:paraId="561463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（三）主要人员要求：</w:t>
      </w:r>
      <w:permStart w:id="19" w:edGrp="everyone"/>
      <w:r>
        <w:rPr>
          <w:rFonts w:hint="eastAsia" w:asciiTheme="minorEastAsia" w:hAnsiTheme="minorEastAsia" w:cstheme="minorEastAsia"/>
          <w:sz w:val="28"/>
          <w:szCs w:val="28"/>
          <w:highlight w:val="none"/>
          <w:lang w:val="en-US" w:eastAsia="zh-CN"/>
        </w:rPr>
        <w:t>项目负责人具备建筑工程专业二级及以上注册建造师执业资格，具备有效的安全考核合格证书B证；</w:t>
      </w:r>
    </w:p>
    <w:permEnd w:id="19"/>
    <w:p w14:paraId="0A257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（四）业绩要求：</w:t>
      </w:r>
      <w:permStart w:id="20" w:edGrp="everyone"/>
      <w:r>
        <w:rPr>
          <w:rFonts w:hint="eastAsia" w:asciiTheme="minorEastAsia" w:hAnsiTheme="minorEastAsia" w:cstheme="minorEastAsia"/>
          <w:sz w:val="28"/>
          <w:szCs w:val="28"/>
          <w:highlight w:val="none"/>
          <w:lang w:val="en-US" w:eastAsia="zh-CN"/>
        </w:rPr>
        <w:t>提供2022年1月1日至今类似项目业绩2个。类似项目业绩指：单个合同金额达50万元及以上的类似项目样板间装饰装修施工工程业绩（以合同签订时间为准）；</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注：提供业绩合同、竣工验收文件（验收报告、验收备案表或业主证明等）等复印件或扫描件装订入响应文件中。</w:t>
      </w:r>
      <w:permEnd w:id="20"/>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1FEEC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备注</w:t>
      </w:r>
      <w:r>
        <w:rPr>
          <w:rFonts w:hint="eastAsia" w:asciiTheme="minorEastAsia" w:hAnsiTheme="minorEastAsia" w:cstheme="minorEastAsia"/>
          <w:sz w:val="28"/>
          <w:szCs w:val="28"/>
          <w:highlight w:val="none"/>
          <w:lang w:val="en-US" w:eastAsia="zh-CN"/>
        </w:rPr>
        <w:t>：信用情况请供应商自行登录“信用中国”网站（www.creditchina.gov.cn）将查询结果等相关资料复印件或扫描件装订入响应文件中。</w:t>
      </w:r>
    </w:p>
    <w:p w14:paraId="12B0D74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51823714">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本项目委托代理人必须是供应商正式人员，须提供供应商为其缴纳的2025年1月起任意3个月及以上养老保险证明，否则按无效响应处理。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3"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安徽省亳州市高新技术产业开发区神农大道与酒城大道交叉口西北高铁南站金融商务中心2号楼6楼评标室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ermEnd w:id="23"/>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687EE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4"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4"/>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5"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5000 </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亳州通恒置业有限公司 </w:t>
      </w:r>
    </w:p>
    <w:permEnd w:id="26"/>
    <w:p w14:paraId="521B4F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cstheme="minorEastAsia"/>
          <w:sz w:val="28"/>
          <w:szCs w:val="28"/>
          <w:highlight w:val="none"/>
          <w:lang w:val="en-US" w:eastAsia="zh-CN"/>
        </w:rPr>
        <w:t xml:space="preserve"> 高铁南站金融商务中心2号楼6楼</w:t>
      </w:r>
      <w:permEnd w:id="27"/>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李工  孙工   </w:t>
      </w:r>
      <w:permEnd w:id="28"/>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 xml:space="preserve"> 0558-5998967 </w:t>
      </w:r>
      <w:permEnd w:id="29"/>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亳州通恒置业有限公司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 xml:space="preserve">11 </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26</w:t>
      </w:r>
      <w:r>
        <w:rPr>
          <w:rFonts w:hint="eastAsia" w:asciiTheme="minorEastAsia" w:hAnsiTheme="minorEastAsia" w:eastAsiaTheme="minorEastAsia" w:cstheme="minorEastAsia"/>
          <w:color w:val="FF0000"/>
          <w:sz w:val="28"/>
          <w:szCs w:val="28"/>
          <w:highlight w:val="none"/>
          <w:lang w:val="en-US" w:eastAsia="zh-CN"/>
        </w:rPr>
        <w:t xml:space="preserve"> 日</w:t>
      </w:r>
      <w:permEnd w:id="30"/>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12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日前</w:t>
            </w:r>
            <w:permEnd w:id="3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6"/>
            <w:r>
              <w:rPr>
                <w:rFonts w:hint="default" w:ascii="Times New Roman" w:hAnsi="Times New Roman" w:cs="Times New Roman"/>
                <w:szCs w:val="21"/>
                <w:highlight w:val="none"/>
              </w:rPr>
              <w:t>的形式：</w:t>
            </w:r>
            <w:permStart w:id="37" w:edGrp="everyone"/>
            <w:r>
              <w:rPr>
                <w:rFonts w:hint="default" w:ascii="Times New Roman" w:hAnsi="Times New Roman" w:cs="Times New Roman"/>
                <w:color w:val="FF0000"/>
                <w:szCs w:val="21"/>
                <w:highlight w:val="none"/>
              </w:rPr>
              <w:t>银行汇款或转账</w:t>
            </w:r>
            <w:permEnd w:id="3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8" w:edGrp="everyone"/>
            <w:r>
              <w:rPr>
                <w:rFonts w:hint="eastAsia" w:ascii="Times New Roman" w:hAnsi="Times New Roman" w:cs="Times New Roman"/>
                <w:color w:val="auto"/>
                <w:szCs w:val="21"/>
                <w:highlight w:val="none"/>
                <w:u w:val="single"/>
                <w:lang w:val="en-US" w:eastAsia="zh-CN"/>
              </w:rPr>
              <w:t xml:space="preserve">   5000元   </w:t>
            </w:r>
            <w:permEnd w:id="3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default"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建行亳州市分行</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default" w:ascii="Times New Roman" w:hAnsi="Times New Roman" w:cs="Times New Roman"/>
                <w:szCs w:val="21"/>
                <w:highlight w:val="none"/>
                <w:lang w:val="en-US" w:eastAsia="zh-CN"/>
              </w:rPr>
              <w:t>34050188860800002404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BZZC-2025-   016号保证金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0"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开启地址：安徽省亳州市高新技术产业开发区神农大道与酒城大道交叉口西北高铁南站金融商务中心2号楼6楼评标室）</w:t>
            </w:r>
          </w:p>
          <w:p w14:paraId="53CA8F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亳州逸合府项目示范区7#楼202和15#楼202精装样板间施工工程（三次） </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016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4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B64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亳州市交通资产管理有限责任公司 </w:t>
            </w:r>
          </w:p>
          <w:p w14:paraId="199229EA">
            <w:pPr>
              <w:keepNext w:val="0"/>
              <w:keepLines w:val="0"/>
              <w:pageBreakBefore w:val="0"/>
              <w:widowControl w:val="0"/>
              <w:kinsoku/>
              <w:wordWrap w:val="0"/>
              <w:overflowPunct/>
              <w:topLinePunct w:val="0"/>
              <w:autoSpaceDE/>
              <w:autoSpaceDN/>
              <w:bidi w:val="0"/>
              <w:adjustRightInd/>
              <w:snapToGrid/>
              <w:spacing w:line="430" w:lineRule="exact"/>
              <w:ind w:firstLine="630" w:firstLineChars="3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李工、孙工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安徽省亳州市高新技术产业开发区神农大道与酒城大道交叉口西北高铁南站金融商务中心2号楼6楼法务部（招采中心）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4"/>
          </w:p>
          <w:p w14:paraId="3F76899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开户名称：亳州通恒置业有限公司</w:t>
            </w:r>
          </w:p>
          <w:p w14:paraId="5DF1057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开户银行：建行亳州市分行</w:t>
            </w:r>
          </w:p>
          <w:p w14:paraId="39CF9B4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银行账号：34050188860800002404</w:t>
            </w:r>
          </w:p>
          <w:p w14:paraId="6A4EC9A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 xml:space="preserve">   40000 元  </w:t>
            </w:r>
            <w:permEnd w:id="4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921"/>
      <w:bookmarkStart w:id="17" w:name="_Toc179632549"/>
      <w:bookmarkStart w:id="18" w:name="_Toc152045532"/>
      <w:bookmarkStart w:id="19" w:name="_Toc144974500"/>
      <w:bookmarkStart w:id="20" w:name="_Toc246996178"/>
      <w:bookmarkStart w:id="21" w:name="_Toc152042308"/>
      <w:bookmarkStart w:id="22" w:name="_Toc247085692"/>
      <w:bookmarkStart w:id="23" w:name="_Toc296602423"/>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5"/>
      <w:bookmarkStart w:id="25" w:name="_Toc246996181"/>
      <w:bookmarkStart w:id="26" w:name="_Toc152042312"/>
      <w:bookmarkStart w:id="27" w:name="_Toc152045536"/>
      <w:bookmarkStart w:id="28" w:name="_Toc179632553"/>
      <w:bookmarkStart w:id="29" w:name="_Toc246996924"/>
      <w:bookmarkStart w:id="30" w:name="_Toc296602426"/>
      <w:bookmarkStart w:id="31" w:name="_Toc14497450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247085696"/>
      <w:bookmarkStart w:id="35" w:name="_Toc246996182"/>
      <w:bookmarkStart w:id="36" w:name="_Toc296602427"/>
      <w:bookmarkStart w:id="37" w:name="_Toc152045537"/>
      <w:bookmarkStart w:id="38" w:name="_Toc246996925"/>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7085697"/>
      <w:bookmarkStart w:id="42" w:name="_Toc246996183"/>
      <w:bookmarkStart w:id="43" w:name="_Toc179632555"/>
      <w:bookmarkStart w:id="44" w:name="_Toc246996926"/>
      <w:bookmarkStart w:id="45" w:name="_Toc152042314"/>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52042318"/>
      <w:bookmarkStart w:id="49" w:name="_Toc144974510"/>
      <w:bookmarkStart w:id="50" w:name="_Toc247085701"/>
      <w:bookmarkStart w:id="51" w:name="_Toc296602432"/>
      <w:bookmarkStart w:id="52" w:name="_Toc152045542"/>
      <w:bookmarkStart w:id="53" w:name="_Toc179632560"/>
      <w:bookmarkStart w:id="54" w:name="_Toc246996187"/>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246996931"/>
      <w:bookmarkStart w:id="57" w:name="_Toc144974511"/>
      <w:bookmarkStart w:id="58" w:name="_Toc246996188"/>
      <w:bookmarkStart w:id="59" w:name="_Toc179632561"/>
      <w:bookmarkStart w:id="60" w:name="_Toc296602433"/>
      <w:bookmarkStart w:id="61" w:name="_Toc152045543"/>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2"/>
      <w:bookmarkStart w:id="64" w:name="_Toc144974512"/>
      <w:bookmarkStart w:id="65" w:name="_Toc152045544"/>
      <w:bookmarkStart w:id="66" w:name="_Toc246996189"/>
      <w:bookmarkStart w:id="67" w:name="_Toc296602434"/>
      <w:bookmarkStart w:id="68" w:name="_Toc246996932"/>
      <w:bookmarkStart w:id="69" w:name="_Toc152042320"/>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296602435"/>
      <w:bookmarkStart w:id="73" w:name="_Toc144974513"/>
      <w:bookmarkStart w:id="74" w:name="_Toc179632563"/>
      <w:bookmarkStart w:id="75" w:name="_Toc152045545"/>
      <w:bookmarkStart w:id="76" w:name="_Toc152042321"/>
      <w:bookmarkStart w:id="77" w:name="_Toc246996190"/>
      <w:bookmarkStart w:id="78" w:name="_Toc247085704"/>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96602436"/>
      <w:bookmarkStart w:id="80" w:name="_Toc144974514"/>
      <w:bookmarkStart w:id="81" w:name="_Toc152045546"/>
      <w:bookmarkStart w:id="82" w:name="_Toc246996934"/>
      <w:bookmarkStart w:id="83" w:name="_Toc246996191"/>
      <w:bookmarkStart w:id="84" w:name="_Toc152042322"/>
      <w:bookmarkStart w:id="85" w:name="_Toc179632564"/>
      <w:bookmarkStart w:id="86"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179632565"/>
      <w:bookmarkStart w:id="89" w:name="_Toc152045547"/>
      <w:bookmarkStart w:id="90" w:name="_Toc144974515"/>
      <w:bookmarkStart w:id="91" w:name="_Toc296602437"/>
      <w:bookmarkStart w:id="92" w:name="_Toc246996192"/>
      <w:bookmarkStart w:id="93" w:name="_Toc246996935"/>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936"/>
      <w:bookmarkStart w:id="96" w:name="_Toc179632566"/>
      <w:bookmarkStart w:id="97" w:name="_Toc152042324"/>
      <w:bookmarkStart w:id="98" w:name="_Toc144974516"/>
      <w:bookmarkStart w:id="99" w:name="_Toc152045548"/>
      <w:bookmarkStart w:id="100" w:name="_Toc296602438"/>
      <w:bookmarkStart w:id="101" w:name="_Toc247085707"/>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7963256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7085708"/>
      <w:bookmarkStart w:id="109" w:name="_Toc246996937"/>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152045555"/>
      <w:bookmarkStart w:id="113" w:name="_Toc179632573"/>
      <w:bookmarkStart w:id="114" w:name="_Toc246996199"/>
      <w:bookmarkStart w:id="115" w:name="_Toc296602443"/>
      <w:bookmarkStart w:id="116" w:name="_Toc247085713"/>
      <w:bookmarkStart w:id="117" w:name="_Toc152042331"/>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246996943"/>
      <w:bookmarkStart w:id="121" w:name="_Toc144974524"/>
      <w:bookmarkStart w:id="122" w:name="_Toc246996200"/>
      <w:bookmarkStart w:id="123" w:name="_Toc152042332"/>
      <w:bookmarkStart w:id="124" w:name="_Toc179632574"/>
      <w:bookmarkStart w:id="125" w:name="_Toc247085714"/>
      <w:bookmarkStart w:id="126" w:name="_Toc29660244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7085715"/>
      <w:bookmarkStart w:id="129" w:name="_Toc179632575"/>
      <w:bookmarkStart w:id="130" w:name="_Toc152045557"/>
      <w:bookmarkStart w:id="131" w:name="_Toc152042333"/>
      <w:bookmarkStart w:id="132" w:name="_Toc246996944"/>
      <w:bookmarkStart w:id="133"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247085716"/>
      <w:bookmarkStart w:id="136" w:name="_Toc246996945"/>
      <w:bookmarkStart w:id="137" w:name="_Toc152042334"/>
      <w:bookmarkStart w:id="138" w:name="_Toc179632576"/>
      <w:bookmarkStart w:id="139" w:name="_Toc152045558"/>
      <w:bookmarkStart w:id="140" w:name="_Toc296602446"/>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96602447"/>
      <w:bookmarkStart w:id="143" w:name="_Toc179632577"/>
      <w:bookmarkStart w:id="144" w:name="_Toc247085717"/>
      <w:bookmarkStart w:id="145" w:name="_Toc152042335"/>
      <w:bookmarkStart w:id="146" w:name="_Toc246996946"/>
      <w:bookmarkStart w:id="147" w:name="_Toc152045559"/>
      <w:bookmarkStart w:id="148" w:name="_Toc246996203"/>
      <w:bookmarkStart w:id="149" w:name="_Toc14497452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246996204"/>
      <w:bookmarkStart w:id="152" w:name="_Toc152045560"/>
      <w:bookmarkStart w:id="153" w:name="_Toc152042336"/>
      <w:bookmarkStart w:id="154" w:name="_Toc296602448"/>
      <w:bookmarkStart w:id="155" w:name="_Toc179632578"/>
      <w:bookmarkStart w:id="156" w:name="_Toc246996947"/>
      <w:bookmarkStart w:id="157"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47085719"/>
      <w:bookmarkStart w:id="160" w:name="_Toc152042337"/>
      <w:bookmarkStart w:id="161" w:name="_Toc296602449"/>
      <w:bookmarkStart w:id="162" w:name="_Toc246996948"/>
      <w:bookmarkStart w:id="163" w:name="_Toc152045561"/>
      <w:bookmarkStart w:id="164" w:name="_Toc179632579"/>
      <w:bookmarkStart w:id="165" w:name="_Toc14497452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1"/>
      <w:bookmarkStart w:id="167" w:name="_Toc144974531"/>
      <w:bookmarkStart w:id="168" w:name="_Toc296602452"/>
      <w:bookmarkStart w:id="169" w:name="_Toc179632581"/>
      <w:bookmarkStart w:id="170" w:name="_Toc246996207"/>
      <w:bookmarkStart w:id="171" w:name="_Toc152042339"/>
      <w:bookmarkStart w:id="172" w:name="_Toc246996950"/>
      <w:bookmarkStart w:id="173" w:name="_Toc152045563"/>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210"/>
      <w:bookmarkStart w:id="175" w:name="_Toc247085724"/>
      <w:bookmarkStart w:id="176" w:name="_Toc152045566"/>
      <w:bookmarkStart w:id="177" w:name="_Toc179632584"/>
      <w:bookmarkStart w:id="178" w:name="_Toc144974534"/>
      <w:bookmarkStart w:id="179" w:name="_Toc152042342"/>
      <w:bookmarkStart w:id="180" w:name="_Toc296602455"/>
      <w:bookmarkStart w:id="181" w:name="_Toc246996953"/>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6"/>
      <w:bookmarkStart w:id="183" w:name="_Toc152045567"/>
      <w:bookmarkStart w:id="184" w:name="_Toc246996211"/>
      <w:bookmarkStart w:id="185" w:name="_Toc247085725"/>
      <w:bookmarkStart w:id="186" w:name="_Toc179632585"/>
      <w:bookmarkStart w:id="187" w:name="_Toc246996954"/>
      <w:bookmarkStart w:id="188" w:name="_Toc152042343"/>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44974536"/>
      <w:bookmarkStart w:id="192" w:name="_Toc247085726"/>
      <w:bookmarkStart w:id="193" w:name="_Toc179632586"/>
      <w:bookmarkStart w:id="194" w:name="_Toc152042344"/>
      <w:bookmarkStart w:id="195" w:name="_Toc246996955"/>
      <w:bookmarkStart w:id="196" w:name="_Toc246996212"/>
      <w:bookmarkStart w:id="197" w:name="_Toc152045568"/>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5569"/>
      <w:bookmarkStart w:id="200" w:name="_Toc246996213"/>
      <w:bookmarkStart w:id="201" w:name="_Toc247085727"/>
      <w:bookmarkStart w:id="202" w:name="_Toc179632587"/>
      <w:bookmarkStart w:id="203" w:name="_Toc152042345"/>
      <w:bookmarkStart w:id="204" w:name="_Toc296602459"/>
      <w:bookmarkStart w:id="205" w:name="_Toc144974537"/>
      <w:bookmarkStart w:id="206" w:name="_Toc246996956"/>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44974543"/>
      <w:bookmarkStart w:id="209" w:name="_Toc296590983"/>
      <w:bookmarkStart w:id="210" w:name="_Toc179632593"/>
      <w:bookmarkStart w:id="211" w:name="_Toc247085733"/>
      <w:bookmarkStart w:id="212" w:name="_Toc246996962"/>
      <w:bookmarkStart w:id="213" w:name="_Toc152042351"/>
      <w:bookmarkStart w:id="214" w:name="_Toc246996219"/>
      <w:bookmarkStart w:id="215" w:name="_Toc296602462"/>
      <w:bookmarkStart w:id="216" w:name="_Toc152045575"/>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52045576"/>
      <w:bookmarkStart w:id="218" w:name="_Toc179632594"/>
      <w:bookmarkStart w:id="219" w:name="_Toc246996220"/>
      <w:bookmarkStart w:id="220" w:name="_Toc246996963"/>
      <w:bookmarkStart w:id="221" w:name="_Toc247085734"/>
      <w:bookmarkStart w:id="222" w:name="_Toc152042352"/>
      <w:bookmarkStart w:id="223" w:name="_Toc144974544"/>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2353"/>
      <w:bookmarkStart w:id="226" w:name="_Toc246996964"/>
      <w:bookmarkStart w:id="227" w:name="_Toc152045577"/>
      <w:bookmarkStart w:id="228" w:name="_Toc179632595"/>
      <w:bookmarkStart w:id="229" w:name="_Toc247085735"/>
      <w:bookmarkStart w:id="230" w:name="_Toc296602464"/>
      <w:bookmarkStart w:id="231" w:name="_Toc144974545"/>
      <w:bookmarkStart w:id="232" w:name="_Toc246996221"/>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8" w:edGrp="everyone"/>
      <w:r>
        <w:rPr>
          <w:rFonts w:hint="eastAsia" w:ascii="宋体" w:hAnsi="宋体"/>
          <w:color w:val="FF0000"/>
          <w:sz w:val="24"/>
          <w:lang w:val="en-US" w:eastAsia="zh-CN"/>
        </w:rPr>
        <w:t>综合评估法</w:t>
      </w:r>
      <w:permEnd w:id="4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79632607"/>
      <w:bookmarkStart w:id="234" w:name="_Toc246996232"/>
      <w:bookmarkStart w:id="235" w:name="_Toc246996975"/>
      <w:bookmarkStart w:id="236" w:name="_Toc152042366"/>
      <w:bookmarkStart w:id="237" w:name="_Toc247085747"/>
      <w:bookmarkStart w:id="238" w:name="_Toc144974556"/>
      <w:bookmarkStart w:id="239" w:name="_Toc296602477"/>
      <w:bookmarkStart w:id="240" w:name="_Toc152045589"/>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highlight w:val="none"/>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2CAEE3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ermStart w:id="49" w:edGrp="everyone" w:colFirst="0" w:colLast="0"/>
            <w:permStart w:id="50" w:edGrp="everyone" w:colFirst="1" w:colLast="1"/>
            <w:permStart w:id="51" w:edGrp="everyone" w:colFirst="2" w:colLast="2"/>
            <w:r>
              <w:rPr>
                <w:rFonts w:hint="eastAsia" w:ascii="Times New Roman" w:hAnsi="Times New Roman" w:cs="Times New Roman"/>
                <w:i w:val="0"/>
                <w:iCs w:val="0"/>
                <w:kern w:val="0"/>
                <w:sz w:val="24"/>
                <w:szCs w:val="24"/>
                <w:highlight w:val="none"/>
                <w:u w:val="none"/>
                <w:lang w:val="en-US" w:eastAsia="zh-CN"/>
              </w:rPr>
              <w:t>施工方案</w:t>
            </w:r>
          </w:p>
          <w:p w14:paraId="2F6077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评分标准</w:t>
            </w:r>
          </w:p>
          <w:p w14:paraId="16D356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622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施工方案</w:t>
            </w:r>
          </w:p>
          <w:p w14:paraId="5F078D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评分标准</w:t>
            </w:r>
          </w:p>
          <w:p w14:paraId="64317E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44C61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1.总体实施内容描述。针对项目实际情况，表述清晰、完整、严谨、合理，措施具体、有效、成熟，施工段划分呼应总体表述，划分清晰、合理、符合规范要求，工期、质量、安全、文明的标准与目标合理；对项目特殊工艺和或关键工序设想合理。</w:t>
            </w:r>
          </w:p>
          <w:p w14:paraId="26FC77D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施工方案与技术措施。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p>
          <w:p w14:paraId="27F2033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3.质量管理体系与措施。施工项目质量技术管理制度健全，主要工序有质量技术保证措施和手段，自控体系完整，能有效保证技术质量，达到承诺的质量标准。</w:t>
            </w:r>
          </w:p>
          <w:p w14:paraId="0A03B0A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4.安全管理体系与措施。施工项目应有专门的安全管理人员和制度，且人员配备合理，制度健全，各道工序安全技术措施符合要求，有安全保证承诺。现场防火、社会治安安全措施得力、有基本的安全管理体系与措施。</w:t>
            </w:r>
          </w:p>
          <w:p w14:paraId="29DE2F7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5.环境保护管理体系与措施。针对本工程项目特点，有具体的环境保护措施，各项措施周全、具体、有效。</w:t>
            </w:r>
          </w:p>
          <w:p w14:paraId="0E1A311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6.工程进度计划与措施。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14:paraId="70AAD23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7.文明施工措施。针对项目实际情况，有具体、完整、可行、科学的施工计划和实施措施。</w:t>
            </w:r>
          </w:p>
          <w:p w14:paraId="469A454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8.施工现场总平面布置图。总体布置有针对性、合理，满足施工需要，符合安全、文明生产要求。</w:t>
            </w:r>
          </w:p>
          <w:p w14:paraId="50EFAE2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9.资源配备计划。劳动力、材料投入计划及其保证措施，满足施工需要，调配投入计划合理、准确。机械设备投入计划及检测设备，满足施工需要。</w:t>
            </w:r>
          </w:p>
          <w:p w14:paraId="6CC6706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本项满分20分，评审委员会综合考虑，酌情赋分，优秀得15-20分，良好得10-14分，一般得5-9分，差得0-4分。</w:t>
            </w:r>
          </w:p>
          <w:p w14:paraId="340B8B8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注：施工方案原则上不得超过200页，否则酌情扣分。</w:t>
            </w:r>
          </w:p>
        </w:tc>
      </w:tr>
      <w:permEnd w:id="49"/>
      <w:permEnd w:id="50"/>
      <w:permEnd w:id="51"/>
      <w:tr w14:paraId="3A6A9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9" w:hRule="atLeast"/>
        </w:trPr>
        <w:tc>
          <w:tcPr>
            <w:tcW w:w="1700" w:type="dxa"/>
            <w:tcBorders>
              <w:top w:val="single" w:color="auto" w:sz="4" w:space="0"/>
              <w:right w:val="single" w:color="auto" w:sz="4" w:space="0"/>
            </w:tcBorders>
            <w:noWrap w:val="0"/>
            <w:vAlign w:val="center"/>
          </w:tcPr>
          <w:p w14:paraId="78E9A7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permStart w:id="52" w:edGrp="everyone"/>
            <w:r>
              <w:rPr>
                <w:rFonts w:hint="eastAsia" w:ascii="Times New Roman" w:hAnsi="Times New Roman" w:cs="Times New Roman"/>
                <w:i w:val="0"/>
                <w:iCs w:val="0"/>
                <w:kern w:val="0"/>
                <w:sz w:val="24"/>
                <w:szCs w:val="24"/>
                <w:highlight w:val="none"/>
                <w:u w:val="none"/>
                <w:lang w:val="en-US" w:eastAsia="zh-CN"/>
              </w:rPr>
              <w:t xml:space="preserve"> </w:t>
            </w:r>
            <w:r>
              <w:rPr>
                <w:rFonts w:hint="eastAsia" w:ascii="Times New Roman" w:hAnsi="Times New Roman" w:cs="Times New Roman"/>
                <w:i w:val="0"/>
                <w:iCs w:val="0"/>
                <w:color w:val="FF0000"/>
                <w:kern w:val="0"/>
                <w:sz w:val="24"/>
                <w:szCs w:val="24"/>
                <w:highlight w:val="none"/>
                <w:u w:val="none"/>
                <w:lang w:val="en-US" w:eastAsia="zh-CN"/>
              </w:rPr>
              <w:t>企业荣誉</w:t>
            </w:r>
          </w:p>
          <w:p w14:paraId="192182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评分标准</w:t>
            </w:r>
          </w:p>
          <w:p w14:paraId="4879BE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B1B4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14:paraId="2A7ABE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7A354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在满足询比公告类似项目业绩要求的基础上，供应商每额外提供1项所承建的单个合同金额达50万元以上的类似项目样板间装饰装修施工工程业绩得5分，此项满分10分。</w:t>
            </w:r>
          </w:p>
          <w:p w14:paraId="3E561BD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注：提供2022年1月1日至今企业类似项目业绩1个，以竣工验收时间为准；提供业绩合同、竣工验收文件（验收报告、验收备案表或业主证明等）等复印件或扫描件装订入响应文件中。 </w:t>
            </w:r>
          </w:p>
        </w:tc>
      </w:tr>
      <w:tr w14:paraId="2423E1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right w:val="single" w:color="auto" w:sz="4" w:space="0"/>
            </w:tcBorders>
            <w:noWrap w:val="0"/>
            <w:vAlign w:val="center"/>
          </w:tcPr>
          <w:p w14:paraId="75628D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2BF7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w:t>
            </w:r>
          </w:p>
          <w:p w14:paraId="452DCC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负责人业绩</w:t>
            </w:r>
          </w:p>
          <w:p w14:paraId="306E8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CF5EB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提供 2022年1月1日至今（以竣工验收时间为准），拟派建造师以项目负责人身份完成1个单个合同金额达 50万元以上的类似项目样板间装饰装修施工工程业绩得5分，满分10分。</w:t>
            </w:r>
          </w:p>
          <w:p w14:paraId="41C05CB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注：提供2022年1月1日至今企业类似项目业绩1个，以竣工验收时间为准；提供业绩合同、竣工验收文件（验收报告、验收备案表或业主证明等）等复印件或扫描件装订入响应文件中。</w:t>
            </w:r>
          </w:p>
        </w:tc>
      </w:tr>
      <w:permEnd w:id="52"/>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BAD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i w:val="0"/>
                <w:iCs w:val="0"/>
                <w:kern w:val="0"/>
                <w:sz w:val="24"/>
                <w:szCs w:val="24"/>
                <w:highlight w:val="none"/>
                <w:lang w:val="en-US" w:eastAsia="zh-CN"/>
              </w:rPr>
              <w:t>商务评分标准</w:t>
            </w: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60</w:t>
            </w:r>
            <w:r>
              <w:rPr>
                <w:rFonts w:hint="default" w:ascii="Times New Roman" w:hAnsi="Times New Roman" w:cs="Times New Roman"/>
                <w:i w:val="0"/>
                <w:iCs w:val="0"/>
                <w:color w:val="FF0000"/>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ADA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 xml:space="preserve">响应价格 </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（60分）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905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 低于采购人发布的控制价且经评审合格的为有效报价，取有效报价的算术平均值（5家及以上去掉一个最高价和最低价）作为评审基准价，5家以下取所有有效报价的算术平均值作为评审基准价，各供应商的报价得分按以下公式计算：</w:t>
            </w:r>
          </w:p>
          <w:p w14:paraId="64706557">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供应商的报价等于评审基准价得 </w:t>
            </w:r>
          </w:p>
          <w:p w14:paraId="136C74B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60分；</w:t>
            </w:r>
          </w:p>
          <w:p w14:paraId="77E504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w:t>
            </w:r>
          </w:p>
          <w:p w14:paraId="2BA920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60-（供应商报价－评审基准价）/评审基准价*100*0.5；</w:t>
            </w:r>
          </w:p>
          <w:p w14:paraId="4EA485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w:t>
            </w:r>
          </w:p>
          <w:p w14:paraId="70DE4B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60+（供应商报价－评审基准价）/评审基准价*100*0.3；</w:t>
            </w:r>
          </w:p>
          <w:p w14:paraId="19EF75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53"/>
      <w:permEnd w:id="54"/>
      <w:permEnd w:id="55"/>
    </w:tbl>
    <w:p w14:paraId="53B87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bookmarkStart w:id="241" w:name="_Toc144974560"/>
      <w:bookmarkStart w:id="242" w:name="_Toc296602481"/>
      <w:bookmarkStart w:id="243" w:name="_Toc247085751"/>
      <w:bookmarkStart w:id="244" w:name="_Toc152045593"/>
      <w:bookmarkStart w:id="245" w:name="_Toc246996979"/>
      <w:bookmarkStart w:id="246" w:name="_Toc179632611"/>
      <w:bookmarkStart w:id="247" w:name="_Toc246996236"/>
      <w:bookmarkStart w:id="248" w:name="_Toc152042370"/>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246996982"/>
      <w:bookmarkStart w:id="252" w:name="_Toc296602484"/>
      <w:bookmarkStart w:id="253" w:name="_Toc179632614"/>
      <w:bookmarkStart w:id="254" w:name="_Toc247085754"/>
      <w:bookmarkStart w:id="255" w:name="_Toc152045596"/>
      <w:bookmarkStart w:id="256"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5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57"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本工程无预付款，施工完成经竣工验收合格支付已完合格工程审定价款的85%；工程结算审核完成，付至审定金额的97%；余款3%作为质量保证金，待工程质量缺陷责任期结束且无质量问题后，无息退还。 </w:t>
            </w:r>
            <w:permEnd w:id="5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应按照国家税收有关规定开具等额9%增值税专用发票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443FD4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color w:val="FF0000"/>
                <w:kern w:val="0"/>
                <w:sz w:val="24"/>
                <w:szCs w:val="24"/>
                <w:highlight w:val="none"/>
                <w:shd w:val="clear" w:color="auto" w:fill="auto"/>
                <w:vertAlign w:val="baseline"/>
                <w:lang w:val="en-US" w:eastAsia="zh-CN"/>
              </w:rPr>
              <w:t>由采购人委托有资质的审计单位对工程进行结算审核；审减率超过5%，超出部分产生的审计费用（注: 采购人付款前，（成交人应送审金额-审定金额*1.05)*0.05）由承包人承担。应由施工方承担的审计费用在竣工结算时，由采购人从工程款内直接扣除。</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清单编制费用由成交人在合同签订后7日内，一次性支付给清单编制单位。 </w:t>
            </w:r>
            <w:permEnd w:id="5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A68AFD4">
      <w:pPr>
        <w:rPr>
          <w:rFonts w:hint="eastAsia" w:asciiTheme="majorEastAsia" w:hAnsiTheme="majorEastAsia" w:eastAsiaTheme="majorEastAsia" w:cstheme="majorEastAsia"/>
          <w:b/>
          <w:bCs/>
          <w:sz w:val="32"/>
          <w:szCs w:val="32"/>
          <w:highlight w:val="none"/>
          <w:lang w:val="en-US" w:eastAsia="zh-CN"/>
        </w:rPr>
      </w:pPr>
    </w:p>
    <w:p w14:paraId="5F6963F4">
      <w:pPr>
        <w:rPr>
          <w:rFonts w:hint="eastAsia" w:asciiTheme="majorEastAsia" w:hAnsiTheme="majorEastAsia" w:eastAsiaTheme="majorEastAsia" w:cstheme="majorEastAsia"/>
          <w:b/>
          <w:bCs/>
          <w:sz w:val="32"/>
          <w:szCs w:val="32"/>
          <w:highlight w:val="none"/>
          <w:lang w:val="en-US" w:eastAsia="zh-CN"/>
        </w:rPr>
      </w:pPr>
    </w:p>
    <w:p w14:paraId="5AAF7BAB">
      <w:pPr>
        <w:rPr>
          <w:rFonts w:hint="eastAsia" w:asciiTheme="majorEastAsia" w:hAnsiTheme="majorEastAsia" w:eastAsiaTheme="majorEastAsia" w:cstheme="majorEastAsia"/>
          <w:b/>
          <w:bCs/>
          <w:sz w:val="32"/>
          <w:szCs w:val="32"/>
          <w:highlight w:val="none"/>
          <w:lang w:val="en-US" w:eastAsia="zh-CN"/>
        </w:rPr>
      </w:pPr>
    </w:p>
    <w:p w14:paraId="45E6ADB9">
      <w:pPr>
        <w:rPr>
          <w:rFonts w:hint="eastAsia" w:asciiTheme="majorEastAsia" w:hAnsiTheme="majorEastAsia" w:eastAsiaTheme="majorEastAsia" w:cstheme="majorEastAsia"/>
          <w:b/>
          <w:bCs/>
          <w:sz w:val="32"/>
          <w:szCs w:val="32"/>
          <w:highlight w:val="none"/>
          <w:lang w:val="en-US" w:eastAsia="zh-CN"/>
        </w:rPr>
      </w:pPr>
    </w:p>
    <w:p w14:paraId="7281B13D">
      <w:pPr>
        <w:rPr>
          <w:rFonts w:hint="eastAsia" w:asciiTheme="majorEastAsia" w:hAnsiTheme="majorEastAsia" w:eastAsiaTheme="majorEastAsia" w:cstheme="majorEastAsia"/>
          <w:b/>
          <w:bCs/>
          <w:sz w:val="32"/>
          <w:szCs w:val="32"/>
          <w:highlight w:val="none"/>
          <w:lang w:val="en-US" w:eastAsia="zh-CN"/>
        </w:rPr>
      </w:pPr>
    </w:p>
    <w:p w14:paraId="3F59580D">
      <w:pPr>
        <w:rPr>
          <w:rFonts w:hint="eastAsia" w:asciiTheme="majorEastAsia" w:hAnsiTheme="majorEastAsia" w:eastAsiaTheme="majorEastAsia" w:cstheme="majorEastAsia"/>
          <w:b/>
          <w:bCs/>
          <w:sz w:val="32"/>
          <w:szCs w:val="32"/>
          <w:highlight w:val="none"/>
          <w:lang w:val="en-US" w:eastAsia="zh-CN"/>
        </w:rPr>
      </w:pPr>
    </w:p>
    <w:p w14:paraId="10EE7D51">
      <w:pPr>
        <w:rPr>
          <w:rFonts w:hint="eastAsia" w:asciiTheme="majorEastAsia" w:hAnsiTheme="majorEastAsia" w:eastAsiaTheme="majorEastAsia" w:cstheme="majorEastAsia"/>
          <w:b/>
          <w:bCs/>
          <w:sz w:val="32"/>
          <w:szCs w:val="32"/>
          <w:highlight w:val="none"/>
          <w:lang w:val="en-US" w:eastAsia="zh-CN"/>
        </w:rPr>
      </w:pPr>
    </w:p>
    <w:p w14:paraId="2F61825A">
      <w:pPr>
        <w:rPr>
          <w:rFonts w:hint="eastAsia" w:asciiTheme="majorEastAsia" w:hAnsiTheme="majorEastAsia" w:eastAsiaTheme="majorEastAsia" w:cstheme="majorEastAsia"/>
          <w:b/>
          <w:bCs/>
          <w:sz w:val="32"/>
          <w:szCs w:val="32"/>
          <w:highlight w:val="none"/>
          <w:lang w:val="en-US" w:eastAsia="zh-CN"/>
        </w:rPr>
      </w:pPr>
    </w:p>
    <w:p w14:paraId="18DC04AB">
      <w:pPr>
        <w:ind w:firstLine="1441" w:firstLineChars="200"/>
        <w:jc w:val="both"/>
        <w:rPr>
          <w:rFonts w:hint="eastAsia" w:ascii="Times New Roman" w:hAnsi="Times New Roman" w:eastAsia="华文中宋"/>
          <w:b/>
          <w:color w:val="000000"/>
          <w:sz w:val="72"/>
          <w:szCs w:val="52"/>
          <w:lang w:val="en-US" w:eastAsia="zh-CN"/>
        </w:rPr>
      </w:pPr>
      <w:r>
        <w:rPr>
          <w:rFonts w:hint="eastAsia" w:ascii="Times New Roman" w:hAnsi="Times New Roman" w:eastAsia="华文中宋"/>
          <w:b/>
          <w:color w:val="000000"/>
          <w:sz w:val="72"/>
          <w:szCs w:val="52"/>
          <w:lang w:val="en-US" w:eastAsia="zh-CN"/>
        </w:rPr>
        <w:t>建设工程施工合同</w:t>
      </w:r>
    </w:p>
    <w:p w14:paraId="4BABCAE5">
      <w:pPr>
        <w:rPr>
          <w:rFonts w:hint="eastAsia" w:asciiTheme="majorEastAsia" w:hAnsiTheme="majorEastAsia" w:eastAsiaTheme="majorEastAsia" w:cstheme="majorEastAsia"/>
          <w:b/>
          <w:bCs/>
          <w:sz w:val="32"/>
          <w:szCs w:val="32"/>
          <w:highlight w:val="none"/>
          <w:lang w:val="en-US" w:eastAsia="zh-CN"/>
        </w:rPr>
      </w:pPr>
    </w:p>
    <w:p w14:paraId="18938491">
      <w:pPr>
        <w:rPr>
          <w:rFonts w:hint="eastAsia" w:asciiTheme="majorEastAsia" w:hAnsiTheme="majorEastAsia" w:eastAsiaTheme="majorEastAsia" w:cstheme="majorEastAsia"/>
          <w:b/>
          <w:bCs/>
          <w:sz w:val="32"/>
          <w:szCs w:val="32"/>
          <w:highlight w:val="none"/>
          <w:lang w:val="en-US" w:eastAsia="zh-CN"/>
        </w:rPr>
      </w:pPr>
    </w:p>
    <w:p w14:paraId="6E516C30">
      <w:pPr>
        <w:rPr>
          <w:rFonts w:hint="eastAsia" w:asciiTheme="majorEastAsia" w:hAnsiTheme="majorEastAsia" w:eastAsiaTheme="majorEastAsia" w:cstheme="majorEastAsia"/>
          <w:b/>
          <w:bCs/>
          <w:sz w:val="32"/>
          <w:szCs w:val="32"/>
          <w:highlight w:val="none"/>
          <w:lang w:val="en-US" w:eastAsia="zh-CN"/>
        </w:rPr>
      </w:pPr>
    </w:p>
    <w:p w14:paraId="44B07283">
      <w:pPr>
        <w:rPr>
          <w:rFonts w:hint="eastAsia" w:asciiTheme="majorEastAsia" w:hAnsiTheme="majorEastAsia" w:eastAsiaTheme="majorEastAsia" w:cstheme="majorEastAsia"/>
          <w:b/>
          <w:bCs/>
          <w:sz w:val="32"/>
          <w:szCs w:val="32"/>
          <w:highlight w:val="none"/>
          <w:lang w:val="en-US" w:eastAsia="zh-CN"/>
        </w:rPr>
      </w:pPr>
    </w:p>
    <w:p w14:paraId="4025D5D8">
      <w:pPr>
        <w:rPr>
          <w:rFonts w:hint="eastAsia" w:asciiTheme="majorEastAsia" w:hAnsiTheme="majorEastAsia" w:eastAsiaTheme="majorEastAsia" w:cstheme="majorEastAsia"/>
          <w:b/>
          <w:bCs/>
          <w:sz w:val="32"/>
          <w:szCs w:val="32"/>
          <w:highlight w:val="none"/>
          <w:lang w:val="en-US" w:eastAsia="zh-CN"/>
        </w:rPr>
      </w:pPr>
    </w:p>
    <w:p w14:paraId="06899989">
      <w:pPr>
        <w:rPr>
          <w:rFonts w:hint="eastAsia" w:asciiTheme="majorEastAsia" w:hAnsiTheme="majorEastAsia" w:eastAsiaTheme="majorEastAsia" w:cstheme="majorEastAsia"/>
          <w:b/>
          <w:bCs/>
          <w:sz w:val="32"/>
          <w:szCs w:val="32"/>
          <w:highlight w:val="none"/>
          <w:lang w:val="en-US" w:eastAsia="zh-CN"/>
        </w:rPr>
      </w:pPr>
    </w:p>
    <w:p w14:paraId="67D3DCFB">
      <w:pPr>
        <w:rPr>
          <w:rFonts w:hint="eastAsia" w:asciiTheme="majorEastAsia" w:hAnsiTheme="majorEastAsia" w:eastAsiaTheme="majorEastAsia" w:cstheme="majorEastAsia"/>
          <w:b/>
          <w:bCs/>
          <w:sz w:val="32"/>
          <w:szCs w:val="32"/>
          <w:highlight w:val="none"/>
          <w:lang w:val="en-US" w:eastAsia="zh-CN"/>
        </w:rPr>
      </w:pPr>
    </w:p>
    <w:p w14:paraId="209BC74E">
      <w:pPr>
        <w:rPr>
          <w:rFonts w:hint="eastAsia" w:asciiTheme="majorEastAsia" w:hAnsiTheme="majorEastAsia" w:eastAsiaTheme="majorEastAsia" w:cstheme="majorEastAsia"/>
          <w:b/>
          <w:bCs/>
          <w:sz w:val="32"/>
          <w:szCs w:val="32"/>
          <w:highlight w:val="none"/>
          <w:lang w:val="en-US" w:eastAsia="zh-CN"/>
        </w:rPr>
      </w:pPr>
    </w:p>
    <w:p w14:paraId="1339AFDD">
      <w:pPr>
        <w:rPr>
          <w:rFonts w:hint="eastAsia" w:asciiTheme="majorEastAsia" w:hAnsiTheme="majorEastAsia" w:eastAsiaTheme="majorEastAsia" w:cstheme="majorEastAsia"/>
          <w:b/>
          <w:bCs/>
          <w:sz w:val="32"/>
          <w:szCs w:val="32"/>
          <w:highlight w:val="none"/>
          <w:lang w:val="en-US" w:eastAsia="zh-CN"/>
        </w:rPr>
      </w:pPr>
    </w:p>
    <w:p w14:paraId="271C716D">
      <w:pPr>
        <w:rPr>
          <w:rFonts w:hint="eastAsia" w:asciiTheme="majorEastAsia" w:hAnsiTheme="majorEastAsia" w:eastAsiaTheme="majorEastAsia" w:cstheme="majorEastAsia"/>
          <w:b/>
          <w:bCs/>
          <w:sz w:val="32"/>
          <w:szCs w:val="32"/>
          <w:highlight w:val="none"/>
          <w:lang w:val="en-US" w:eastAsia="zh-CN"/>
        </w:rPr>
      </w:pPr>
    </w:p>
    <w:p w14:paraId="093828A9">
      <w:pPr>
        <w:ind w:right="2719" w:rightChars="1295" w:firstLine="2750" w:firstLineChars="856"/>
        <w:jc w:val="distribute"/>
        <w:rPr>
          <w:rFonts w:hint="eastAsia" w:ascii="Times New Roman" w:hAnsi="Times New Roman"/>
          <w:b/>
          <w:color w:val="000000"/>
          <w:sz w:val="32"/>
          <w:szCs w:val="28"/>
          <w:lang w:val="en-US" w:eastAsia="zh-CN"/>
        </w:rPr>
      </w:pPr>
      <w:r>
        <w:rPr>
          <w:rFonts w:hint="eastAsia" w:ascii="Times New Roman" w:hAnsi="Times New Roman"/>
          <w:b/>
          <w:color w:val="000000"/>
          <w:sz w:val="32"/>
          <w:szCs w:val="28"/>
          <w:lang w:val="en-US" w:eastAsia="zh-CN"/>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14:paraId="36DCCD63">
                            <w:pPr>
                              <w:rPr>
                                <w:b/>
                                <w:bCs/>
                                <w:sz w:val="32"/>
                              </w:rPr>
                            </w:pPr>
                            <w:permStart w:id="190" w:edGrp="everyone"/>
                            <w:r>
                              <w:rPr>
                                <w:rFonts w:hint="eastAsia"/>
                                <w:b/>
                                <w:bCs/>
                                <w:sz w:val="32"/>
                              </w:rPr>
                              <w:t>制定</w:t>
                            </w:r>
                            <w:permEnd w:id="190"/>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c0tcdgAAAAJAQAADwAAAAAAAAABACAAAAAiAAAAZHJz&#10;L2Rvd25yZXYueG1sUEsBAhQAFAAAAAgAh07iQBMA6w8EAgAADAQAAA4AAAAAAAAAAQAgAAAAJwEA&#10;AGRycy9lMm9Eb2MueG1sUEsFBgAAAAAGAAYAWQEAAJ0FAAAAAA==&#10;">
                <v:fill on="f" focussize="0,0"/>
                <v:stroke color="#FFFFFF" joinstyle="miter"/>
                <v:imagedata o:title=""/>
                <o:lock v:ext="edit" aspectratio="f"/>
                <v:textbox>
                  <w:txbxContent>
                    <w:p w14:paraId="36DCCD63">
                      <w:pPr>
                        <w:rPr>
                          <w:b/>
                          <w:bCs/>
                          <w:sz w:val="32"/>
                        </w:rPr>
                      </w:pPr>
                      <w:permStart w:id="190" w:edGrp="everyone"/>
                      <w:r>
                        <w:rPr>
                          <w:rFonts w:hint="eastAsia"/>
                          <w:b/>
                          <w:bCs/>
                          <w:sz w:val="32"/>
                        </w:rPr>
                        <w:t>制定</w:t>
                      </w:r>
                      <w:permEnd w:id="190"/>
                    </w:p>
                  </w:txbxContent>
                </v:textbox>
              </v:shape>
            </w:pict>
          </mc:Fallback>
        </mc:AlternateContent>
      </w:r>
      <w:r>
        <w:rPr>
          <w:rFonts w:hint="eastAsia" w:ascii="Times New Roman" w:hAnsi="Times New Roman"/>
          <w:b/>
          <w:color w:val="000000"/>
          <w:sz w:val="32"/>
          <w:szCs w:val="28"/>
          <w:lang w:val="en-US" w:eastAsia="zh-CN"/>
        </w:rPr>
        <w:t>住房城乡建设部</w:t>
      </w:r>
    </w:p>
    <w:p w14:paraId="084DC088">
      <w:pPr>
        <w:ind w:right="2719" w:rightChars="1295" w:firstLine="2750" w:firstLineChars="856"/>
        <w:jc w:val="distribute"/>
        <w:rPr>
          <w:rFonts w:hint="eastAsia" w:asciiTheme="majorEastAsia" w:hAnsiTheme="majorEastAsia" w:eastAsiaTheme="majorEastAsia" w:cstheme="majorEastAsia"/>
          <w:b/>
          <w:bCs/>
          <w:sz w:val="32"/>
          <w:szCs w:val="32"/>
          <w:highlight w:val="none"/>
          <w:lang w:val="en-US" w:eastAsia="zh-CN"/>
        </w:rPr>
        <w:sectPr>
          <w:footerReference r:id="rId5" w:type="first"/>
          <w:footerReference r:id="rId4" w:type="default"/>
          <w:pgSz w:w="11906" w:h="16838"/>
          <w:pgMar w:top="1418" w:right="1555" w:bottom="1418" w:left="1531" w:header="851" w:footer="992" w:gutter="0"/>
          <w:pgNumType w:start="1"/>
          <w:cols w:space="720" w:num="1"/>
          <w:titlePg/>
          <w:docGrid w:type="lines" w:linePitch="312" w:charSpace="0"/>
        </w:sectPr>
      </w:pPr>
      <w:r>
        <w:rPr>
          <w:rFonts w:hint="eastAsia" w:ascii="Times New Roman" w:hAnsi="Times New Roman"/>
          <w:b/>
          <w:color w:val="000000"/>
          <w:sz w:val="32"/>
          <w:szCs w:val="28"/>
          <w:lang w:val="en-US" w:eastAsia="zh-CN"/>
        </w:rPr>
        <w:t>国家工商行政管理总</w:t>
      </w:r>
      <w:bookmarkStart w:id="257" w:name="_Toc296503025"/>
      <w:bookmarkStart w:id="258" w:name="_Toc296890982"/>
    </w:p>
    <w:bookmarkEnd w:id="257"/>
    <w:bookmarkEnd w:id="258"/>
    <w:p w14:paraId="268D7DAE">
      <w:pPr>
        <w:ind w:firstLine="1920" w:firstLineChars="600"/>
        <w:jc w:val="cente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Arial" w:hAnsi="Arial" w:eastAsia="黑体" w:cstheme="minorBidi"/>
          <w:b w:val="0"/>
          <w:bCs/>
          <w:kern w:val="2"/>
          <w:sz w:val="32"/>
          <w:szCs w:val="32"/>
          <w:lang w:val="en-US" w:eastAsia="zh-CN" w:bidi="ar-SA"/>
        </w:rPr>
        <w:t>第一部分  合同协议书</w:t>
      </w:r>
    </w:p>
    <w:p w14:paraId="1D1B344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发包人（全称）：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eastAsia="宋体" w:cs="Times New Roman"/>
          <w:b/>
          <w:sz w:val="28"/>
          <w:szCs w:val="28"/>
          <w:u w:val="single"/>
          <w:lang w:val="en-US" w:eastAsia="zh-CN"/>
        </w:rPr>
        <w:t xml:space="preserve"> </w:t>
      </w:r>
      <w:permStart w:id="59" w:edGrp="everyone"/>
      <w:r>
        <w:rPr>
          <w:rFonts w:hint="eastAsia" w:ascii="Times New Roman" w:hAnsi="Times New Roman" w:eastAsia="宋体" w:cs="Times New Roman"/>
          <w:b/>
          <w:sz w:val="28"/>
          <w:szCs w:val="28"/>
          <w:u w:val="single"/>
          <w:lang w:val="en-US" w:eastAsia="zh-CN"/>
        </w:rPr>
        <w:t>亳州通恒置业有限公司</w:t>
      </w:r>
      <w:permEnd w:id="59"/>
      <w:r>
        <w:rPr>
          <w:rFonts w:hint="eastAsia" w:ascii="Times New Roman" w:hAnsi="Times New Roman" w:eastAsia="宋体" w:cs="Times New Roman"/>
          <w:b/>
          <w:sz w:val="28"/>
          <w:szCs w:val="28"/>
          <w:u w:val="single"/>
          <w:lang w:val="en-US" w:eastAsia="zh-CN"/>
        </w:rPr>
        <w:t xml:space="preserve">  </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37B09C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承包人（全称）：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p>
    <w:p w14:paraId="0D792965">
      <w:pPr>
        <w:rPr>
          <w:rFonts w:hint="eastAsia" w:ascii="Times New Roman" w:hAnsi="Times New Roman" w:cs="Times New Roman"/>
          <w:kern w:val="0"/>
          <w:sz w:val="24"/>
          <w:szCs w:val="24"/>
          <w:highlight w:val="none"/>
          <w:shd w:val="clear" w:color="auto" w:fill="auto"/>
          <w:vertAlign w:val="baseline"/>
          <w:lang w:val="en-US" w:eastAsia="zh-CN"/>
        </w:rPr>
      </w:pPr>
    </w:p>
    <w:p w14:paraId="7C35C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根据《中华人民共和国民法典》、《中华人民共和国建筑法》及有关法律规定，遵循平等、自愿、公平和诚实信用的原则，双方就</w:t>
      </w:r>
      <w:r>
        <w:rPr>
          <w:rFonts w:hint="eastAsia" w:ascii="Times New Roman" w:hAnsi="Times New Roman" w:eastAsia="宋体" w:cs="Times New Roman"/>
          <w:sz w:val="28"/>
          <w:szCs w:val="28"/>
          <w:u w:val="single"/>
          <w:lang w:val="en-US" w:eastAsia="zh-CN"/>
        </w:rPr>
        <w:t xml:space="preserve"> 亳州逸合府项目示范区7#楼202和15#楼202精装样板间施工工程（三次）</w:t>
      </w:r>
      <w:r>
        <w:rPr>
          <w:rFonts w:hint="eastAsia" w:ascii="Times New Roman" w:hAnsi="Times New Roman" w:eastAsia="宋体" w:cs="Times New Roman"/>
          <w:sz w:val="28"/>
          <w:szCs w:val="28"/>
          <w:lang w:val="en-US" w:eastAsia="zh-CN"/>
        </w:rPr>
        <w:t>工程施工及有关事项协商一致，共同达成如下协议：</w:t>
      </w:r>
    </w:p>
    <w:p w14:paraId="36095E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59" w:name="_Toc351203481"/>
      <w:r>
        <w:rPr>
          <w:rFonts w:hint="eastAsia" w:ascii="Times New Roman" w:hAnsi="Times New Roman" w:eastAsia="宋体" w:cs="Times New Roman"/>
          <w:sz w:val="28"/>
          <w:szCs w:val="28"/>
          <w:lang w:val="en-US" w:eastAsia="zh-CN"/>
        </w:rPr>
        <w:t>一、工程概况</w:t>
      </w:r>
      <w:bookmarkEnd w:id="259"/>
    </w:p>
    <w:p w14:paraId="208A4C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1.工程名称：</w:t>
      </w:r>
      <w:r>
        <w:rPr>
          <w:rFonts w:hint="eastAsia" w:ascii="Times New Roman" w:hAnsi="Times New Roman" w:eastAsia="宋体" w:cs="Times New Roman"/>
          <w:sz w:val="28"/>
          <w:szCs w:val="28"/>
          <w:u w:val="single"/>
          <w:lang w:val="en-US" w:eastAsia="zh-CN"/>
        </w:rPr>
        <w:t xml:space="preserve"> 亳州逸合府项目示范区7#楼202和15#楼202精装样板间施工工程（三次）</w:t>
      </w:r>
    </w:p>
    <w:p w14:paraId="749B79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2.工程地点：亳州市谯城经济技术产业开发区华佗大道与利辛路交叉口</w:t>
      </w:r>
    </w:p>
    <w:p w14:paraId="0B9E9B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3.工程立项批准文号：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EB303DA">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4.资金来源：</w:t>
      </w:r>
      <w:r>
        <w:rPr>
          <w:rFonts w:hint="eastAsia" w:ascii="Times New Roman" w:hAnsi="Times New Roman" w:eastAsia="宋体" w:cs="Times New Roman"/>
          <w:sz w:val="28"/>
          <w:szCs w:val="28"/>
          <w:u w:val="single"/>
          <w:lang w:val="en-US" w:eastAsia="zh-CN"/>
        </w:rPr>
        <w:t xml:space="preserve">企业自筹               </w:t>
      </w:r>
    </w:p>
    <w:p w14:paraId="14A7B67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5.工程内容：</w:t>
      </w:r>
      <w:r>
        <w:rPr>
          <w:rFonts w:hint="eastAsia" w:ascii="Times New Roman" w:hAnsi="Times New Roman" w:eastAsia="宋体" w:cs="Times New Roman"/>
          <w:sz w:val="28"/>
          <w:szCs w:val="28"/>
          <w:u w:val="single"/>
          <w:lang w:val="en-US" w:eastAsia="zh-CN"/>
        </w:rPr>
        <w:t>具体施工内容详见施工图纸、工程量清单、物料表、合同相关附件及发包人要求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011089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6.工程承包范围及相关要求：</w:t>
      </w:r>
    </w:p>
    <w:p w14:paraId="726F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u w:val="single"/>
          <w:lang w:val="en-US" w:eastAsia="zh-CN"/>
        </w:rPr>
        <w:t>具体施工内容及相关要求详见施工图纸、工程量清单、物料表、合同相关附件及发包人要求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42FFE7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0" w:name="_Toc351203482"/>
      <w:r>
        <w:rPr>
          <w:rFonts w:hint="eastAsia" w:ascii="Times New Roman" w:hAnsi="Times New Roman" w:eastAsia="宋体" w:cs="Times New Roman"/>
          <w:sz w:val="28"/>
          <w:szCs w:val="28"/>
          <w:lang w:val="en-US" w:eastAsia="zh-CN"/>
        </w:rPr>
        <w:t xml:space="preserve">   二、合同工期</w:t>
      </w:r>
      <w:bookmarkEnd w:id="260"/>
    </w:p>
    <w:p w14:paraId="6E5B55E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计划开工日期</w:t>
      </w:r>
      <w:r>
        <w:rPr>
          <w:rFonts w:hint="eastAsia" w:ascii="Times New Roman" w:hAnsi="Times New Roman" w:eastAsia="宋体" w:cs="Times New Roman"/>
          <w:sz w:val="28"/>
          <w:szCs w:val="28"/>
          <w:u w:val="single"/>
          <w:lang w:val="en-US" w:eastAsia="zh-CN"/>
        </w:rPr>
        <w:t xml:space="preserve">  2025年 /   月   / 日</w:t>
      </w:r>
      <w:r>
        <w:rPr>
          <w:rFonts w:hint="eastAsia" w:ascii="Times New Roman" w:hAnsi="Times New Roman" w:eastAsia="宋体" w:cs="Times New Roman"/>
          <w:sz w:val="28"/>
          <w:szCs w:val="28"/>
          <w:lang w:val="en-US" w:eastAsia="zh-CN"/>
        </w:rPr>
        <w:t>（实际开工时间以开工令为准）。</w:t>
      </w:r>
    </w:p>
    <w:p w14:paraId="40FBD34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工期总日历天数：</w:t>
      </w:r>
      <w:r>
        <w:rPr>
          <w:rFonts w:hint="eastAsia" w:ascii="Times New Roman" w:hAnsi="Times New Roman" w:eastAsia="宋体" w:cs="Times New Roman"/>
          <w:sz w:val="28"/>
          <w:szCs w:val="28"/>
          <w:u w:val="single"/>
          <w:lang w:val="en-US" w:eastAsia="zh-CN"/>
        </w:rPr>
        <w:t xml:space="preserve"> 40天</w:t>
      </w:r>
      <w:r>
        <w:rPr>
          <w:rFonts w:hint="eastAsia" w:ascii="Times New Roman" w:hAnsi="Times New Roman" w:eastAsia="宋体" w:cs="Times New Roman"/>
          <w:sz w:val="28"/>
          <w:szCs w:val="28"/>
          <w:lang w:val="en-US" w:eastAsia="zh-CN"/>
        </w:rPr>
        <w:t>。工期总日历天数与根据前述计划开竣工日期计算的工期天数不一致的，以工期总日历天数为准。</w:t>
      </w:r>
    </w:p>
    <w:p w14:paraId="17E4A8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1" w:name="_Toc351203483"/>
      <w:r>
        <w:rPr>
          <w:rFonts w:hint="eastAsia" w:ascii="Times New Roman" w:hAnsi="Times New Roman" w:eastAsia="宋体" w:cs="Times New Roman"/>
          <w:sz w:val="28"/>
          <w:szCs w:val="28"/>
          <w:lang w:val="en-US" w:eastAsia="zh-CN"/>
        </w:rPr>
        <w:t>三、质量标准</w:t>
      </w:r>
      <w:bookmarkEnd w:id="261"/>
    </w:p>
    <w:p w14:paraId="3A2E82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工程质量符合  </w:t>
      </w:r>
      <w:r>
        <w:rPr>
          <w:rFonts w:hint="eastAsia" w:ascii="Times New Roman" w:hAnsi="Times New Roman" w:eastAsia="宋体" w:cs="Times New Roman"/>
          <w:sz w:val="28"/>
          <w:szCs w:val="28"/>
          <w:u w:val="single"/>
          <w:lang w:val="en-US" w:eastAsia="zh-CN"/>
        </w:rPr>
        <w:t xml:space="preserve">    合格   </w:t>
      </w:r>
      <w:r>
        <w:rPr>
          <w:rFonts w:hint="eastAsia" w:ascii="Times New Roman" w:hAnsi="Times New Roman" w:eastAsia="宋体" w:cs="Times New Roman"/>
          <w:sz w:val="28"/>
          <w:szCs w:val="28"/>
          <w:lang w:val="en-US" w:eastAsia="zh-CN"/>
        </w:rPr>
        <w:t xml:space="preserve">     标准。</w:t>
      </w:r>
    </w:p>
    <w:p w14:paraId="254496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2" w:name="_Toc351203484"/>
      <w:r>
        <w:rPr>
          <w:rFonts w:hint="eastAsia" w:ascii="Times New Roman" w:hAnsi="Times New Roman" w:eastAsia="宋体" w:cs="Times New Roman"/>
          <w:sz w:val="28"/>
          <w:szCs w:val="28"/>
          <w:lang w:val="en-US" w:eastAsia="zh-CN"/>
        </w:rPr>
        <w:t>四、签约合同价与合同价格形式</w:t>
      </w:r>
      <w:bookmarkEnd w:id="262"/>
      <w:r>
        <w:rPr>
          <w:rFonts w:hint="eastAsia" w:ascii="Times New Roman" w:hAnsi="Times New Roman" w:eastAsia="宋体" w:cs="Times New Roman"/>
          <w:sz w:val="28"/>
          <w:szCs w:val="28"/>
          <w:lang w:val="en-US" w:eastAsia="zh-CN"/>
        </w:rPr>
        <w:tab/>
      </w:r>
    </w:p>
    <w:p w14:paraId="5355F3CB">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1.签约合同价为：</w:t>
      </w:r>
      <w:r>
        <w:rPr>
          <w:rFonts w:hint="eastAsia" w:ascii="Times New Roman" w:hAnsi="Times New Roman" w:eastAsia="宋体" w:cs="Times New Roman"/>
          <w:sz w:val="28"/>
          <w:szCs w:val="28"/>
          <w:u w:val="single"/>
          <w:lang w:val="en-US" w:eastAsia="zh-CN"/>
        </w:rPr>
        <w:t xml:space="preserve">                          </w:t>
      </w:r>
    </w:p>
    <w:p w14:paraId="23769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179A15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其中：</w:t>
      </w:r>
    </w:p>
    <w:p w14:paraId="0D393CE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w:t>
      </w:r>
    </w:p>
    <w:p w14:paraId="67E247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6EE694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（2）材料和工程设备暂估价金额：</w:t>
      </w:r>
    </w:p>
    <w:p w14:paraId="1ED3E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人民币（大写）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423AB9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（3）专业工程暂估价金额：</w:t>
      </w:r>
    </w:p>
    <w:p w14:paraId="61E304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5D2BD5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（4）暂列金额：</w:t>
      </w:r>
    </w:p>
    <w:p w14:paraId="75A7AE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3CE915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2.合同价格形式：</w:t>
      </w:r>
      <w:r>
        <w:rPr>
          <w:rFonts w:hint="eastAsia" w:ascii="Times New Roman" w:hAnsi="Times New Roman" w:eastAsia="宋体" w:cs="Times New Roman"/>
          <w:sz w:val="28"/>
          <w:szCs w:val="28"/>
          <w:u w:val="single"/>
          <w:lang w:val="en-US" w:eastAsia="zh-CN"/>
        </w:rPr>
        <w:t xml:space="preserve">  固定总价合同   </w:t>
      </w:r>
      <w:r>
        <w:rPr>
          <w:rFonts w:hint="eastAsia" w:ascii="Times New Roman" w:hAnsi="Times New Roman" w:eastAsia="宋体" w:cs="Times New Roman"/>
          <w:sz w:val="28"/>
          <w:szCs w:val="28"/>
          <w:lang w:val="en-US" w:eastAsia="zh-CN"/>
        </w:rPr>
        <w:t xml:space="preserve"> 。（含清单编制费用</w:t>
      </w:r>
      <w:r>
        <w:rPr>
          <w:rFonts w:hint="eastAsia" w:ascii="Times New Roman" w:hAnsi="Times New Roman" w:eastAsia="宋体" w:cs="Times New Roman"/>
          <w:sz w:val="28"/>
          <w:szCs w:val="28"/>
          <w:u w:val="single"/>
          <w:lang w:val="en-US" w:eastAsia="zh-CN"/>
        </w:rPr>
        <w:t>2000</w:t>
      </w:r>
      <w:r>
        <w:rPr>
          <w:rFonts w:hint="eastAsia" w:ascii="Times New Roman" w:hAnsi="Times New Roman" w:eastAsia="宋体" w:cs="Times New Roman"/>
          <w:sz w:val="28"/>
          <w:szCs w:val="28"/>
          <w:lang w:val="en-US" w:eastAsia="zh-CN"/>
        </w:rPr>
        <w:t>元。此费用在合同签订后7日内，由承包人一次性支付给清单编制单位）。</w:t>
      </w:r>
    </w:p>
    <w:p w14:paraId="54FD2A9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3" w:name="_Toc351203485"/>
      <w:r>
        <w:rPr>
          <w:rFonts w:hint="eastAsia" w:ascii="Times New Roman" w:hAnsi="Times New Roman" w:eastAsia="宋体" w:cs="Times New Roman"/>
          <w:sz w:val="28"/>
          <w:szCs w:val="28"/>
          <w:lang w:val="en-US" w:eastAsia="zh-CN"/>
        </w:rPr>
        <w:t xml:space="preserve">    五、</w:t>
      </w:r>
      <w:bookmarkEnd w:id="263"/>
      <w:r>
        <w:rPr>
          <w:rFonts w:hint="eastAsia" w:ascii="Times New Roman" w:hAnsi="Times New Roman" w:eastAsia="宋体" w:cs="Times New Roman"/>
          <w:sz w:val="28"/>
          <w:szCs w:val="28"/>
          <w:lang w:val="en-US" w:eastAsia="zh-CN"/>
        </w:rPr>
        <w:t>项目经理</w:t>
      </w:r>
    </w:p>
    <w:p w14:paraId="0F584F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承包人项目经理：                 。</w:t>
      </w:r>
    </w:p>
    <w:p w14:paraId="49F96C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4" w:name="_Toc351203486"/>
      <w:r>
        <w:rPr>
          <w:rFonts w:hint="eastAsia" w:ascii="Times New Roman" w:hAnsi="Times New Roman" w:eastAsia="宋体" w:cs="Times New Roman"/>
          <w:sz w:val="28"/>
          <w:szCs w:val="28"/>
          <w:lang w:val="en-US" w:eastAsia="zh-CN"/>
        </w:rPr>
        <w:t>六、合同文件构成</w:t>
      </w:r>
      <w:bookmarkEnd w:id="264"/>
    </w:p>
    <w:p w14:paraId="00C316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本协议书与下列文件一起构成合同文件：</w:t>
      </w:r>
    </w:p>
    <w:p w14:paraId="572FF9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（1）中标通知书（如果有）；</w:t>
      </w:r>
    </w:p>
    <w:p w14:paraId="66746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（2）投标函及其附录（如果有）； </w:t>
      </w:r>
    </w:p>
    <w:p w14:paraId="1B4772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（3）专用合同条款及其附件；</w:t>
      </w:r>
    </w:p>
    <w:p w14:paraId="1F0451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（4）通用合同条款；</w:t>
      </w:r>
    </w:p>
    <w:p w14:paraId="03A5D7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（5）技术标准和要求；</w:t>
      </w:r>
    </w:p>
    <w:p w14:paraId="0C42A4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（6）图纸；</w:t>
      </w:r>
    </w:p>
    <w:p w14:paraId="73AEC8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（7）已标价工程量清单或预算书；</w:t>
      </w:r>
    </w:p>
    <w:p w14:paraId="134621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（8）其他合同文件。</w:t>
      </w:r>
    </w:p>
    <w:p w14:paraId="048350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在合同订立及履行过程中形成的与合同有关的文件均构成合同文件组成部分。</w:t>
      </w:r>
    </w:p>
    <w:p w14:paraId="3CB73C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上述各项合同文件包括合同当事人就该项合同文件所作出的补充和修改，属于同一类内容的文件，应以最新签署的为准。专用合同条款及其附件须经合同当事人签字或盖章。</w:t>
      </w:r>
    </w:p>
    <w:p w14:paraId="5CA606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5" w:name="_Toc351203487"/>
      <w:r>
        <w:rPr>
          <w:rFonts w:hint="eastAsia" w:ascii="Times New Roman" w:hAnsi="Times New Roman" w:eastAsia="宋体" w:cs="Times New Roman"/>
          <w:sz w:val="28"/>
          <w:szCs w:val="28"/>
          <w:lang w:val="en-US" w:eastAsia="zh-CN"/>
        </w:rPr>
        <w:t>七、承诺</w:t>
      </w:r>
      <w:bookmarkEnd w:id="265"/>
    </w:p>
    <w:p w14:paraId="685C18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1.发包人承诺按照法律规定履行项目审批手续、筹集工程建设资金并按照合同约定的期限和方式支付合同价款。</w:t>
      </w:r>
    </w:p>
    <w:p w14:paraId="301A7E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2.承包人承诺按照法律规定及合同约定组织完成工程施工，确保工程质量和安全，不进行转包及违法分包，并在缺陷责任期及保修期内承担相应的工程维修责任。</w:t>
      </w:r>
    </w:p>
    <w:p w14:paraId="03700FA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3.发包人和承包人通过招投标形式签订合同的，双方理解并承诺不再就同一工程另行签订与合同实质性内容相背离的协议。</w:t>
      </w:r>
    </w:p>
    <w:p w14:paraId="7D1488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6" w:name="_Toc351203488"/>
      <w:r>
        <w:rPr>
          <w:rFonts w:hint="eastAsia" w:ascii="Times New Roman" w:hAnsi="Times New Roman" w:eastAsia="宋体" w:cs="Times New Roman"/>
          <w:sz w:val="28"/>
          <w:szCs w:val="28"/>
          <w:lang w:val="en-US" w:eastAsia="zh-CN"/>
        </w:rPr>
        <w:t xml:space="preserve">    八、词语含义</w:t>
      </w:r>
      <w:bookmarkEnd w:id="266"/>
    </w:p>
    <w:p w14:paraId="17B25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本协议书中词语含义与第二部分通用合同条款中赋予的含义相同。</w:t>
      </w:r>
    </w:p>
    <w:p w14:paraId="2F2CA90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7" w:name="_Toc351203489"/>
      <w:r>
        <w:rPr>
          <w:rFonts w:hint="eastAsia" w:ascii="Times New Roman" w:hAnsi="Times New Roman" w:eastAsia="宋体" w:cs="Times New Roman"/>
          <w:sz w:val="28"/>
          <w:szCs w:val="28"/>
          <w:lang w:val="en-US" w:eastAsia="zh-CN"/>
        </w:rPr>
        <w:t xml:space="preserve"> 九、签订时间</w:t>
      </w:r>
      <w:bookmarkEnd w:id="267"/>
    </w:p>
    <w:p w14:paraId="5F5E46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本合同于 </w:t>
      </w:r>
      <w:r>
        <w:rPr>
          <w:rFonts w:hint="eastAsia" w:ascii="Times New Roman" w:hAnsi="Times New Roman" w:eastAsia="宋体" w:cs="Times New Roman"/>
          <w:sz w:val="28"/>
          <w:szCs w:val="28"/>
          <w:u w:val="single"/>
          <w:lang w:val="en-US" w:eastAsia="zh-CN"/>
        </w:rPr>
        <w:t xml:space="preserve"> 2025 年     月     日</w:t>
      </w:r>
      <w:r>
        <w:rPr>
          <w:rFonts w:hint="eastAsia" w:ascii="Times New Roman" w:hAnsi="Times New Roman" w:eastAsia="宋体" w:cs="Times New Roman"/>
          <w:sz w:val="28"/>
          <w:szCs w:val="28"/>
          <w:lang w:val="en-US" w:eastAsia="zh-CN"/>
        </w:rPr>
        <w:t>签订。</w:t>
      </w:r>
    </w:p>
    <w:p w14:paraId="3EB6AF6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8" w:name="_Toc351203490"/>
      <w:r>
        <w:rPr>
          <w:rFonts w:hint="eastAsia" w:ascii="Times New Roman" w:hAnsi="Times New Roman" w:eastAsia="宋体" w:cs="Times New Roman"/>
          <w:sz w:val="28"/>
          <w:szCs w:val="28"/>
          <w:lang w:val="en-US" w:eastAsia="zh-CN"/>
        </w:rPr>
        <w:t>十、签订地点</w:t>
      </w:r>
      <w:bookmarkEnd w:id="268"/>
    </w:p>
    <w:p w14:paraId="017486D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本合同在   </w:t>
      </w:r>
      <w:r>
        <w:rPr>
          <w:rFonts w:hint="eastAsia" w:ascii="Times New Roman" w:hAnsi="Times New Roman" w:eastAsia="宋体" w:cs="Times New Roman"/>
          <w:sz w:val="28"/>
          <w:szCs w:val="28"/>
          <w:u w:val="single"/>
          <w:lang w:val="en-US" w:eastAsia="zh-CN"/>
        </w:rPr>
        <w:t xml:space="preserve">      亳州      </w:t>
      </w:r>
      <w:r>
        <w:rPr>
          <w:rFonts w:hint="eastAsia" w:ascii="Times New Roman" w:hAnsi="Times New Roman" w:eastAsia="宋体" w:cs="Times New Roman"/>
          <w:sz w:val="28"/>
          <w:szCs w:val="28"/>
          <w:lang w:val="en-US" w:eastAsia="zh-CN"/>
        </w:rPr>
        <w:t xml:space="preserve">    签订。</w:t>
      </w:r>
    </w:p>
    <w:p w14:paraId="6E66DB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9" w:name="_Toc351203491"/>
      <w:r>
        <w:rPr>
          <w:rFonts w:hint="eastAsia" w:ascii="Times New Roman" w:hAnsi="Times New Roman" w:eastAsia="宋体" w:cs="Times New Roman"/>
          <w:sz w:val="28"/>
          <w:szCs w:val="28"/>
          <w:lang w:val="en-US" w:eastAsia="zh-CN"/>
        </w:rPr>
        <w:t>十一、补充协议</w:t>
      </w:r>
      <w:bookmarkEnd w:id="269"/>
    </w:p>
    <w:p w14:paraId="7AF30FB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合同未尽事宜，合同当事人另行签订补充协议，补充协议是合同的组成部分。</w:t>
      </w:r>
    </w:p>
    <w:p w14:paraId="59AF82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0" w:name="_Toc351203492"/>
      <w:r>
        <w:rPr>
          <w:rFonts w:hint="eastAsia" w:ascii="Times New Roman" w:hAnsi="Times New Roman" w:eastAsia="宋体" w:cs="Times New Roman"/>
          <w:sz w:val="28"/>
          <w:szCs w:val="28"/>
          <w:lang w:val="en-US" w:eastAsia="zh-CN"/>
        </w:rPr>
        <w:t>十二、合同生效</w:t>
      </w:r>
      <w:bookmarkEnd w:id="270"/>
    </w:p>
    <w:p w14:paraId="3D1FF5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本合同自  </w:t>
      </w:r>
      <w:r>
        <w:rPr>
          <w:rFonts w:hint="eastAsia" w:ascii="Times New Roman" w:hAnsi="Times New Roman" w:eastAsia="宋体" w:cs="Times New Roman"/>
          <w:sz w:val="28"/>
          <w:szCs w:val="28"/>
          <w:u w:val="single"/>
          <w:lang w:val="en-US" w:eastAsia="zh-CN"/>
        </w:rPr>
        <w:t xml:space="preserve">   签字盖章之日起  </w:t>
      </w:r>
      <w:r>
        <w:rPr>
          <w:rFonts w:hint="eastAsia" w:ascii="Times New Roman" w:hAnsi="Times New Roman" w:eastAsia="宋体" w:cs="Times New Roman"/>
          <w:sz w:val="28"/>
          <w:szCs w:val="28"/>
          <w:lang w:val="en-US" w:eastAsia="zh-CN"/>
        </w:rPr>
        <w:t xml:space="preserve">  生效。</w:t>
      </w:r>
    </w:p>
    <w:p w14:paraId="0E2B03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1" w:name="_Toc351203493"/>
      <w:r>
        <w:rPr>
          <w:rFonts w:hint="eastAsia" w:ascii="Times New Roman" w:hAnsi="Times New Roman" w:eastAsia="宋体" w:cs="Times New Roman"/>
          <w:sz w:val="28"/>
          <w:szCs w:val="28"/>
          <w:lang w:val="en-US" w:eastAsia="zh-CN"/>
        </w:rPr>
        <w:t>十三、合同份数</w:t>
      </w:r>
      <w:bookmarkEnd w:id="271"/>
    </w:p>
    <w:p w14:paraId="2322F38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本合同一式</w:t>
      </w:r>
      <w:r>
        <w:rPr>
          <w:rFonts w:hint="eastAsia" w:ascii="Times New Roman" w:hAnsi="Times New Roman" w:eastAsia="宋体" w:cs="Times New Roman"/>
          <w:sz w:val="28"/>
          <w:szCs w:val="28"/>
          <w:u w:val="single"/>
          <w:lang w:val="en-US" w:eastAsia="zh-CN"/>
        </w:rPr>
        <w:t xml:space="preserve">  陆 </w:t>
      </w:r>
      <w:r>
        <w:rPr>
          <w:rFonts w:hint="eastAsia" w:ascii="Times New Roman" w:hAnsi="Times New Roman" w:eastAsia="宋体" w:cs="Times New Roman"/>
          <w:sz w:val="28"/>
          <w:szCs w:val="28"/>
          <w:lang w:val="en-US" w:eastAsia="zh-CN"/>
        </w:rPr>
        <w:t xml:space="preserve"> 份，均具有同等法律效力，发包人执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份，承包人执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w:t>
      </w:r>
    </w:p>
    <w:p w14:paraId="0EE48D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02D7F91">
      <w:pPr>
        <w:pageBreakBefore w:val="0"/>
        <w:kinsoku/>
        <w:overflowPunct/>
        <w:topLinePunct w:val="0"/>
        <w:bidi w:val="0"/>
        <w:spacing w:line="520" w:lineRule="exact"/>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发包人：亳州通恒置业有限公司 (公章)    承包人：(公章)          </w:t>
      </w:r>
    </w:p>
    <w:p w14:paraId="6F07CCF1">
      <w:pPr>
        <w:pageBreakBefore w:val="0"/>
        <w:kinsoku/>
        <w:overflowPunct/>
        <w:topLinePunct w:val="0"/>
        <w:bidi w:val="0"/>
        <w:spacing w:line="520" w:lineRule="exact"/>
        <w:ind w:left="840" w:hanging="840" w:hangingChars="3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法定代表人或其委托代理人：           法定代表人或其委托代理人：（签字）                                   （签字）                    </w:t>
      </w:r>
    </w:p>
    <w:p w14:paraId="006B00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组织机构代码：                        组织机构代码：                        </w:t>
      </w:r>
    </w:p>
    <w:p w14:paraId="31E658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地址：                                地 址：                              </w:t>
      </w:r>
    </w:p>
    <w:p w14:paraId="584B60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邮政编码：                            邮政编码：              </w:t>
      </w:r>
    </w:p>
    <w:p w14:paraId="634430E5">
      <w:pPr>
        <w:pageBreakBefore w:val="0"/>
        <w:kinsoku/>
        <w:overflowPunct/>
        <w:topLinePunct w:val="0"/>
        <w:bidi w:val="0"/>
        <w:spacing w:line="520" w:lineRule="exact"/>
        <w:ind w:left="559" w:leftChars="266" w:firstLine="0" w:firstLineChars="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                          法定代表人：               </w:t>
      </w:r>
      <w:r>
        <w:rPr>
          <w:rFonts w:hint="eastAsia" w:ascii="Times New Roman" w:hAnsi="Times New Roman" w:eastAsia="宋体" w:cs="Times New Roman"/>
          <w:sz w:val="28"/>
          <w:szCs w:val="28"/>
          <w:lang w:val="en-US" w:eastAsia="zh-CN"/>
        </w:rPr>
        <w:br w:type="textWrapping"/>
      </w:r>
      <w:r>
        <w:rPr>
          <w:rFonts w:hint="eastAsia" w:ascii="Times New Roman" w:hAnsi="Times New Roman" w:eastAsia="宋体" w:cs="Times New Roman"/>
          <w:sz w:val="28"/>
          <w:szCs w:val="28"/>
          <w:lang w:val="en-US" w:eastAsia="zh-CN"/>
        </w:rPr>
        <w:t xml:space="preserve">电 话：                               电  话：                                                                                          </w:t>
      </w:r>
    </w:p>
    <w:p w14:paraId="4A149B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开户银行：                            开户银行：                         </w:t>
      </w:r>
    </w:p>
    <w:p w14:paraId="139D92C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账号：                                账号                              </w:t>
      </w:r>
    </w:p>
    <w:p w14:paraId="1F15A9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D146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CD4A7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B6BE8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4597C1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79984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F5D3B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4A7F2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F515C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C9570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26900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A906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99247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49015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ED162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3BE89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7D66A99">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第二部分 通用合同条款</w:t>
      </w:r>
    </w:p>
    <w:p w14:paraId="57C467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本项目使用住房和城乡建设部、国家工商行政管理总局2017年发布的《建设工程施工合同（示范文本）》 （GF-2017-0201)。（略）</w:t>
      </w:r>
    </w:p>
    <w:p w14:paraId="24BF522E">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第三部分 专用合同条款</w:t>
      </w:r>
    </w:p>
    <w:p w14:paraId="5AC062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72" w:name="_Toc351203633"/>
      <w:r>
        <w:rPr>
          <w:rFonts w:hint="eastAsia" w:ascii="Times New Roman" w:hAnsi="Times New Roman" w:eastAsia="宋体" w:cs="Times New Roman"/>
          <w:sz w:val="28"/>
          <w:szCs w:val="28"/>
          <w:lang w:val="en-US" w:eastAsia="zh-CN"/>
        </w:rPr>
        <w:t>1</w:t>
      </w:r>
      <w:bookmarkStart w:id="273" w:name="_Toc297120456"/>
      <w:bookmarkStart w:id="274" w:name="_Toc296944495"/>
      <w:bookmarkStart w:id="275" w:name="_Toc296346657"/>
      <w:bookmarkStart w:id="276" w:name="_Toc297048342"/>
      <w:bookmarkStart w:id="277" w:name="_Toc296503156"/>
      <w:bookmarkStart w:id="278" w:name="_Toc296347155"/>
      <w:bookmarkStart w:id="279" w:name="_Toc292559866"/>
      <w:bookmarkStart w:id="280" w:name="_Toc292559361"/>
      <w:bookmarkStart w:id="281" w:name="_Toc296891196"/>
      <w:bookmarkStart w:id="282" w:name="_Toc296890984"/>
      <w:r>
        <w:rPr>
          <w:rFonts w:hint="eastAsia" w:ascii="Times New Roman" w:hAnsi="Times New Roman" w:eastAsia="宋体" w:cs="Times New Roman"/>
          <w:sz w:val="28"/>
          <w:szCs w:val="28"/>
          <w:lang w:val="en-US" w:eastAsia="zh-CN"/>
        </w:rPr>
        <w:t>. 一般约定</w:t>
      </w:r>
      <w:bookmarkEnd w:id="272"/>
    </w:p>
    <w:bookmarkEnd w:id="273"/>
    <w:bookmarkEnd w:id="274"/>
    <w:bookmarkEnd w:id="275"/>
    <w:bookmarkEnd w:id="276"/>
    <w:bookmarkEnd w:id="277"/>
    <w:bookmarkEnd w:id="278"/>
    <w:bookmarkEnd w:id="279"/>
    <w:bookmarkEnd w:id="280"/>
    <w:bookmarkEnd w:id="281"/>
    <w:bookmarkEnd w:id="282"/>
    <w:p w14:paraId="21A05B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词语定义</w:t>
      </w:r>
    </w:p>
    <w:p w14:paraId="1FEF37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1.1.1合同</w:t>
      </w:r>
    </w:p>
    <w:p w14:paraId="372FC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1.1.1.1其他合同文件包括：</w:t>
      </w:r>
      <w:permStart w:id="60" w:edGrp="everyone"/>
      <w:r>
        <w:rPr>
          <w:rFonts w:hint="eastAsia" w:ascii="Times New Roman" w:hAnsi="Times New Roman" w:eastAsia="宋体" w:cs="Times New Roman"/>
          <w:sz w:val="28"/>
          <w:szCs w:val="28"/>
          <w:lang w:val="en-US" w:eastAsia="zh-CN"/>
        </w:rPr>
        <w:t>招标文件（含招标答疑、澄清、修改、补充文件及相关招标资料）、投标文件、双方有关工程的洽商、变更等书面协议或文件、政策性文件、会议纪要、来往函件、邮件等</w:t>
      </w:r>
      <w:permEnd w:id="60"/>
      <w:r>
        <w:rPr>
          <w:rFonts w:hint="eastAsia" w:ascii="Times New Roman" w:hAnsi="Times New Roman" w:eastAsia="宋体" w:cs="Times New Roman"/>
          <w:sz w:val="28"/>
          <w:szCs w:val="28"/>
          <w:lang w:val="en-US" w:eastAsia="zh-CN"/>
        </w:rPr>
        <w:t xml:space="preserve"> </w:t>
      </w:r>
    </w:p>
    <w:p w14:paraId="3F2E31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1.2法律 </w:t>
      </w:r>
    </w:p>
    <w:p w14:paraId="6A30B8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适用于合同的其他规范性文件：</w:t>
      </w:r>
      <w:permStart w:id="61" w:edGrp="everyone"/>
      <w:r>
        <w:rPr>
          <w:rFonts w:hint="eastAsia" w:ascii="Times New Roman" w:hAnsi="Times New Roman" w:eastAsia="宋体" w:cs="Times New Roman"/>
          <w:sz w:val="28"/>
          <w:szCs w:val="28"/>
          <w:lang w:val="en-US" w:eastAsia="zh-CN"/>
        </w:rPr>
        <w:t>《中华人民共和国民法典》、《中华人民共和国建筑法》、《中华人民共和国招标投标法》、《中华人民共和国招标投标法实施条例》、《电子招标投标办法》、《建设工程质量管理条例》、《建设工程安全生产管理条例》等国家及工程所在地现行有效的法律法规和规章。</w:t>
      </w:r>
    </w:p>
    <w:permEnd w:id="61"/>
    <w:p w14:paraId="6A2320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 标准和规范</w:t>
      </w:r>
    </w:p>
    <w:p w14:paraId="60A1CC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1.3.1适用于工程的标准规范包括：</w:t>
      </w:r>
      <w:permStart w:id="62" w:edGrp="everyone"/>
      <w:r>
        <w:rPr>
          <w:rFonts w:hint="eastAsia" w:ascii="Times New Roman" w:hAnsi="Times New Roman" w:eastAsia="宋体" w:cs="Times New Roman"/>
          <w:sz w:val="28"/>
          <w:szCs w:val="28"/>
          <w:lang w:val="en-US" w:eastAsia="zh-CN"/>
        </w:rPr>
        <w:t>执行通用条款。</w:t>
      </w:r>
      <w:permEnd w:id="62"/>
    </w:p>
    <w:p w14:paraId="3A31FE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合同文件的优先顺序</w:t>
      </w:r>
    </w:p>
    <w:p w14:paraId="2B00C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合同文件组成及优先顺序为：</w:t>
      </w:r>
      <w:permStart w:id="63" w:edGrp="everyone"/>
      <w:r>
        <w:rPr>
          <w:rFonts w:hint="eastAsia" w:ascii="Times New Roman" w:hAnsi="Times New Roman" w:eastAsia="宋体" w:cs="Times New Roman"/>
          <w:sz w:val="28"/>
          <w:szCs w:val="28"/>
          <w:lang w:val="en-US" w:eastAsia="zh-CN"/>
        </w:rPr>
        <w:t>１、本合同协议书；２、补充条款、本合同专用条款3.中标通知书；4、招标文件（含招标答疑、澄清、修改、补充文件及相关招标资料）；5、投标文件及其附件；；6、本合同通用条款；7、技术标准和要求；8、图纸；9、已标价工程量清单；10、其他合同文件 。</w:t>
      </w:r>
      <w:permEnd w:id="63"/>
    </w:p>
    <w:p w14:paraId="57409A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图纸和承包人文件</w:t>
      </w:r>
      <w:r>
        <w:rPr>
          <w:rFonts w:hint="eastAsia" w:ascii="Times New Roman" w:hAnsi="Times New Roman" w:eastAsia="宋体" w:cs="Times New Roman"/>
          <w:sz w:val="28"/>
          <w:szCs w:val="28"/>
          <w:lang w:val="en-US" w:eastAsia="zh-CN"/>
        </w:rPr>
        <w:tab/>
      </w:r>
    </w:p>
    <w:p w14:paraId="64774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图纸的提供</w:t>
      </w:r>
    </w:p>
    <w:p w14:paraId="4E1724F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发包人向承包人提供图纸的期限：</w:t>
      </w:r>
      <w:permStart w:id="64" w:edGrp="everyone"/>
      <w:r>
        <w:rPr>
          <w:rFonts w:hint="eastAsia" w:ascii="Times New Roman" w:hAnsi="Times New Roman" w:eastAsia="宋体" w:cs="Times New Roman"/>
          <w:sz w:val="28"/>
          <w:szCs w:val="28"/>
          <w:lang w:val="en-US" w:eastAsia="zh-CN"/>
        </w:rPr>
        <w:t>执行通用条款；</w:t>
      </w:r>
    </w:p>
    <w:permEnd w:id="64"/>
    <w:p w14:paraId="68F1A3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发包人向承包人提供图纸的数量</w:t>
      </w:r>
      <w:permStart w:id="65" w:edGrp="everyone"/>
      <w:r>
        <w:rPr>
          <w:rFonts w:hint="eastAsia" w:ascii="Times New Roman" w:hAnsi="Times New Roman" w:eastAsia="宋体" w:cs="Times New Roman"/>
          <w:sz w:val="28"/>
          <w:szCs w:val="28"/>
          <w:lang w:val="en-US" w:eastAsia="zh-CN"/>
        </w:rPr>
        <w:t>：提供电子图，由承包人自行印制，费用自理；</w:t>
      </w:r>
      <w:permEnd w:id="65"/>
    </w:p>
    <w:p w14:paraId="1922A61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发包人向承包人提供图纸的内容：</w:t>
      </w:r>
      <w:permStart w:id="66" w:edGrp="everyone"/>
      <w:r>
        <w:rPr>
          <w:rFonts w:hint="eastAsia" w:ascii="Times New Roman" w:hAnsi="Times New Roman" w:eastAsia="宋体" w:cs="Times New Roman"/>
          <w:sz w:val="28"/>
          <w:szCs w:val="28"/>
          <w:lang w:val="en-US" w:eastAsia="zh-CN"/>
        </w:rPr>
        <w:t>详见图纸。</w:t>
      </w:r>
    </w:p>
    <w:permEnd w:id="66"/>
    <w:p w14:paraId="614A3E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承包人文件</w:t>
      </w:r>
    </w:p>
    <w:p w14:paraId="783D80C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需要由承包人提供的文件，包括：</w:t>
      </w:r>
      <w:permStart w:id="67" w:edGrp="everyone"/>
      <w:r>
        <w:rPr>
          <w:rFonts w:hint="eastAsia" w:ascii="Times New Roman" w:hAnsi="Times New Roman" w:eastAsia="宋体" w:cs="Times New Roman"/>
          <w:sz w:val="28"/>
          <w:szCs w:val="28"/>
          <w:lang w:val="en-US" w:eastAsia="zh-CN"/>
        </w:rPr>
        <w:t>按照毫州市住房和城乡建设局相关规定、监理人要求和施工需要提供相关文件，包括不限于施工组织设计、专项施工方案 (含专家论证)、企业标准、重大危险源清单以及竣工图等；</w:t>
      </w:r>
      <w:permEnd w:id="67"/>
    </w:p>
    <w:p w14:paraId="6A822C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承包人提供的文件的期限为：</w:t>
      </w:r>
      <w:permStart w:id="68" w:edGrp="everyone"/>
      <w:r>
        <w:rPr>
          <w:rFonts w:hint="eastAsia" w:ascii="Times New Roman" w:hAnsi="Times New Roman" w:eastAsia="宋体" w:cs="Times New Roman"/>
          <w:sz w:val="28"/>
          <w:szCs w:val="28"/>
          <w:lang w:val="en-US" w:eastAsia="zh-CN"/>
        </w:rPr>
        <w:t> 接监理人通知后 7日内交由监理人报送发包人；</w:t>
      </w:r>
      <w:permEnd w:id="68"/>
    </w:p>
    <w:p w14:paraId="1EF245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承包人提供的文件的数量为：</w:t>
      </w:r>
      <w:r>
        <w:rPr>
          <w:rFonts w:hint="eastAsia" w:ascii="Times New Roman" w:hAnsi="Times New Roman" w:eastAsia="宋体" w:cs="Times New Roman"/>
          <w:sz w:val="28"/>
          <w:szCs w:val="28"/>
          <w:u w:val="single"/>
          <w:lang w:val="en-US" w:eastAsia="zh-CN"/>
        </w:rPr>
        <w:t xml:space="preserve"> 一式三份</w:t>
      </w:r>
      <w:r>
        <w:rPr>
          <w:rFonts w:hint="eastAsia" w:ascii="Times New Roman" w:hAnsi="Times New Roman" w:eastAsia="宋体" w:cs="Times New Roman"/>
          <w:sz w:val="28"/>
          <w:szCs w:val="28"/>
          <w:lang w:val="en-US" w:eastAsia="zh-CN"/>
        </w:rPr>
        <w:t>(承包人、监理人、发包人各一份)  ；</w:t>
      </w:r>
    </w:p>
    <w:p w14:paraId="4F5C5F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承包人提供的文件的形式为：  书面形式。承包人提交发包人的任何文件，发包人都认为该文件已经承包人内部程序批准:承包人提交的文件发生修改的，应及时将最新版本提交发包人代表。   </w:t>
      </w:r>
    </w:p>
    <w:p w14:paraId="25B639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发包人审批承包人文件的期限：</w:t>
      </w:r>
      <w:permStart w:id="69" w:edGrp="everyone"/>
      <w:r>
        <w:rPr>
          <w:rFonts w:hint="eastAsia" w:ascii="Times New Roman" w:hAnsi="Times New Roman" w:eastAsia="宋体" w:cs="Times New Roman"/>
          <w:sz w:val="28"/>
          <w:szCs w:val="28"/>
          <w:lang w:val="en-US" w:eastAsia="zh-CN"/>
        </w:rPr>
        <w:t> /      。</w:t>
      </w:r>
      <w:permEnd w:id="69"/>
    </w:p>
    <w:p w14:paraId="5AC039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1.5.3 现场图纸准备</w:t>
      </w:r>
    </w:p>
    <w:p w14:paraId="1B6317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关于现场图纸准备的约定：执行通用条款；</w:t>
      </w:r>
    </w:p>
    <w:p w14:paraId="4376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 联络</w:t>
      </w:r>
    </w:p>
    <w:p w14:paraId="3C8AAA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1.6.1发包人和承包人应当在</w:t>
      </w:r>
      <w:permStart w:id="70" w:edGrp="everyone"/>
      <w:r>
        <w:rPr>
          <w:rFonts w:hint="eastAsia" w:ascii="Times New Roman" w:hAnsi="Times New Roman" w:eastAsia="宋体" w:cs="Times New Roman"/>
          <w:sz w:val="28"/>
          <w:szCs w:val="28"/>
          <w:u w:val="single"/>
          <w:lang w:val="en-US" w:eastAsia="zh-CN"/>
        </w:rPr>
        <w:t xml:space="preserve">7   </w:t>
      </w:r>
      <w:r>
        <w:rPr>
          <w:rFonts w:hint="eastAsia" w:ascii="Times New Roman" w:hAnsi="Times New Roman" w:eastAsia="宋体" w:cs="Times New Roman"/>
          <w:sz w:val="28"/>
          <w:szCs w:val="28"/>
          <w:lang w:val="en-US" w:eastAsia="zh-CN"/>
        </w:rPr>
        <w:t>天内</w:t>
      </w:r>
      <w:permEnd w:id="70"/>
      <w:r>
        <w:rPr>
          <w:rFonts w:hint="eastAsia" w:ascii="Times New Roman" w:hAnsi="Times New Roman" w:eastAsia="宋体" w:cs="Times New Roman"/>
          <w:sz w:val="28"/>
          <w:szCs w:val="28"/>
          <w:lang w:val="en-US" w:eastAsia="zh-CN"/>
        </w:rPr>
        <w:t>将与合同有关的通知、批准、证明、证书、指示、指令、要求、请求、同意、意见、确定和决定等书面函件送达对方当事人。</w:t>
      </w:r>
    </w:p>
    <w:p w14:paraId="2EC7B2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 交通运输</w:t>
      </w:r>
    </w:p>
    <w:p w14:paraId="3E230F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83" w:name="_Toc304295521"/>
      <w:bookmarkStart w:id="284" w:name="_Toc300934943"/>
      <w:bookmarkStart w:id="285" w:name="_Toc312677986"/>
      <w:bookmarkStart w:id="286" w:name="_Toc303539100"/>
      <w:bookmarkStart w:id="287" w:name="_Toc318581155"/>
      <w:r>
        <w:rPr>
          <w:rFonts w:hint="eastAsia" w:ascii="Times New Roman" w:hAnsi="Times New Roman" w:eastAsia="宋体" w:cs="Times New Roman"/>
          <w:sz w:val="28"/>
          <w:szCs w:val="28"/>
          <w:lang w:val="en-US" w:eastAsia="zh-CN"/>
        </w:rPr>
        <w:t>.7.1 出入现场的权利</w:t>
      </w:r>
    </w:p>
    <w:p w14:paraId="621C67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关于出入现场的权利的约定：</w:t>
      </w:r>
      <w:permStart w:id="71" w:edGrp="everyone"/>
      <w:r>
        <w:rPr>
          <w:rFonts w:hint="eastAsia" w:ascii="Times New Roman" w:hAnsi="Times New Roman" w:eastAsia="宋体" w:cs="Times New Roman"/>
          <w:sz w:val="28"/>
          <w:szCs w:val="28"/>
          <w:lang w:val="en-US" w:eastAsia="zh-CN"/>
        </w:rPr>
        <w:t>执行通用条款。</w:t>
      </w:r>
      <w:permEnd w:id="71"/>
    </w:p>
    <w:bookmarkEnd w:id="283"/>
    <w:bookmarkEnd w:id="284"/>
    <w:bookmarkEnd w:id="285"/>
    <w:bookmarkEnd w:id="286"/>
    <w:bookmarkEnd w:id="287"/>
    <w:p w14:paraId="76C770D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88" w:name="_Toc312677987"/>
      <w:bookmarkStart w:id="289" w:name="_Toc303539101"/>
      <w:bookmarkStart w:id="290" w:name="_Toc304295522"/>
      <w:bookmarkStart w:id="291" w:name="_Toc300934944"/>
      <w:bookmarkStart w:id="292" w:name="_Toc318581156"/>
      <w:r>
        <w:rPr>
          <w:rFonts w:hint="eastAsia" w:ascii="Times New Roman" w:hAnsi="Times New Roman" w:eastAsia="宋体" w:cs="Times New Roman"/>
          <w:sz w:val="28"/>
          <w:szCs w:val="28"/>
          <w:lang w:val="en-US" w:eastAsia="zh-CN"/>
        </w:rPr>
        <w:t>.7.2 场内交通</w:t>
      </w:r>
    </w:p>
    <w:p w14:paraId="5C41305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关于场外交通和场内交通的边界的约定：</w:t>
      </w:r>
      <w:permStart w:id="72" w:edGrp="everyone"/>
      <w:r>
        <w:rPr>
          <w:rFonts w:hint="eastAsia" w:ascii="Times New Roman" w:hAnsi="Times New Roman" w:eastAsia="宋体" w:cs="Times New Roman"/>
          <w:sz w:val="28"/>
          <w:szCs w:val="28"/>
          <w:lang w:val="en-US" w:eastAsia="zh-CN"/>
        </w:rPr>
        <w:t>执行通用条款。</w:t>
      </w:r>
    </w:p>
    <w:permEnd w:id="72"/>
    <w:p w14:paraId="4BE754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关于发包人向承包人免费提供满足工程施工需要的场内道路和交通设施的约定：</w:t>
      </w:r>
      <w:bookmarkEnd w:id="288"/>
      <w:bookmarkEnd w:id="289"/>
      <w:bookmarkEnd w:id="290"/>
      <w:bookmarkEnd w:id="291"/>
      <w:bookmarkEnd w:id="292"/>
      <w:bookmarkStart w:id="293" w:name="_Toc318581157"/>
      <w:permStart w:id="73" w:edGrp="everyone"/>
      <w:r>
        <w:rPr>
          <w:rFonts w:hint="eastAsia" w:ascii="Times New Roman" w:hAnsi="Times New Roman" w:eastAsia="宋体" w:cs="Times New Roman"/>
          <w:sz w:val="28"/>
          <w:szCs w:val="28"/>
          <w:lang w:val="en-US" w:eastAsia="zh-CN"/>
        </w:rPr>
        <w:t>执行通用条款。</w:t>
      </w:r>
    </w:p>
    <w:permEnd w:id="73"/>
    <w:p w14:paraId="0491C6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1.7.3超大件和超重件的运输</w:t>
      </w:r>
    </w:p>
    <w:p w14:paraId="678590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运输超大件或超重件所需的道路和桥梁临时加固改造费用和其他有关费用由</w:t>
      </w:r>
      <w:permStart w:id="74" w:edGrp="everyone"/>
      <w:r>
        <w:rPr>
          <w:rFonts w:hint="eastAsia" w:ascii="Times New Roman" w:hAnsi="Times New Roman" w:eastAsia="宋体" w:cs="Times New Roman"/>
          <w:sz w:val="28"/>
          <w:szCs w:val="28"/>
          <w:lang w:val="en-US" w:eastAsia="zh-CN"/>
        </w:rPr>
        <w:t>执行通用条款</w:t>
      </w:r>
    </w:p>
    <w:permEnd w:id="74"/>
    <w:p w14:paraId="09F239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承担。</w:t>
      </w:r>
    </w:p>
    <w:bookmarkEnd w:id="293"/>
    <w:p w14:paraId="2CA033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1.8工程量清单错误的修正</w:t>
      </w:r>
    </w:p>
    <w:p w14:paraId="18DA3C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出现工程量清单错误时，是否调整合同价格： </w:t>
      </w:r>
      <w:permStart w:id="75" w:edGrp="everyone"/>
      <w:r>
        <w:rPr>
          <w:rFonts w:hint="eastAsia" w:ascii="Times New Roman" w:hAnsi="Times New Roman" w:eastAsia="宋体" w:cs="Times New Roman"/>
          <w:sz w:val="28"/>
          <w:szCs w:val="28"/>
          <w:lang w:val="en-US" w:eastAsia="zh-CN"/>
        </w:rPr>
        <w:t xml:space="preserve"> 不采用通用条款，按下列规定办理：除补充条款规定以外，工程总造价在招标范围内一次性包死。</w:t>
      </w:r>
    </w:p>
    <w:permEnd w:id="75"/>
    <w:p w14:paraId="074BBF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允许调整合同价格的工程量偏差范围</w:t>
      </w:r>
      <w:permStart w:id="76" w:edGrp="everyone"/>
      <w:r>
        <w:rPr>
          <w:rFonts w:hint="eastAsia" w:ascii="Times New Roman" w:hAnsi="Times New Roman" w:eastAsia="宋体" w:cs="Times New Roman"/>
          <w:sz w:val="28"/>
          <w:szCs w:val="28"/>
          <w:lang w:val="en-US" w:eastAsia="zh-CN"/>
        </w:rPr>
        <w:t>：       /             。</w:t>
      </w:r>
      <w:permEnd w:id="76"/>
    </w:p>
    <w:p w14:paraId="001129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94" w:name="_Toc351203634"/>
      <w:r>
        <w:rPr>
          <w:rFonts w:hint="eastAsia" w:ascii="Times New Roman" w:hAnsi="Times New Roman" w:eastAsia="宋体" w:cs="Times New Roman"/>
          <w:sz w:val="28"/>
          <w:szCs w:val="28"/>
          <w:lang w:val="en-US" w:eastAsia="zh-CN"/>
        </w:rPr>
        <w:t>2</w:t>
      </w:r>
      <w:bookmarkStart w:id="295" w:name="_Toc296890985"/>
      <w:bookmarkStart w:id="296" w:name="_Toc296346658"/>
      <w:bookmarkStart w:id="297" w:name="_Toc292559362"/>
      <w:bookmarkStart w:id="298" w:name="_Toc292559867"/>
      <w:bookmarkStart w:id="299" w:name="_Toc297120457"/>
      <w:bookmarkStart w:id="300" w:name="_Toc297048343"/>
      <w:bookmarkStart w:id="301" w:name="_Toc296503157"/>
      <w:bookmarkStart w:id="302" w:name="_Toc296347156"/>
      <w:bookmarkStart w:id="303" w:name="_Toc296944496"/>
      <w:bookmarkStart w:id="304" w:name="_Toc296891197"/>
      <w:r>
        <w:rPr>
          <w:rFonts w:hint="eastAsia" w:ascii="Times New Roman" w:hAnsi="Times New Roman" w:eastAsia="宋体" w:cs="Times New Roman"/>
          <w:sz w:val="28"/>
          <w:szCs w:val="28"/>
          <w:lang w:val="en-US" w:eastAsia="zh-CN"/>
        </w:rPr>
        <w:t>. 发包人</w:t>
      </w:r>
      <w:bookmarkEnd w:id="294"/>
    </w:p>
    <w:bookmarkEnd w:id="295"/>
    <w:bookmarkEnd w:id="296"/>
    <w:bookmarkEnd w:id="297"/>
    <w:bookmarkEnd w:id="298"/>
    <w:bookmarkEnd w:id="299"/>
    <w:bookmarkEnd w:id="300"/>
    <w:bookmarkEnd w:id="301"/>
    <w:bookmarkEnd w:id="302"/>
    <w:bookmarkEnd w:id="303"/>
    <w:bookmarkEnd w:id="304"/>
    <w:p w14:paraId="2D7E401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 发包人代表</w:t>
      </w:r>
    </w:p>
    <w:p w14:paraId="5F6EAF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发包人代表：</w:t>
      </w:r>
    </w:p>
    <w:p w14:paraId="3441E3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5EB9D8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1AA1D4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职    务：</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4D4F9C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02296A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09DA81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1EB49C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发包人对发包人代表的授权范围如下：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11D2B7D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 施工现场、施工条件和基础资料的提供</w:t>
      </w:r>
    </w:p>
    <w:p w14:paraId="5BE36E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2.2.1 提供施工现场</w:t>
      </w:r>
    </w:p>
    <w:p w14:paraId="3F1835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关于发包人移交施工现场的期限要求：</w:t>
      </w:r>
      <w:permStart w:id="77" w:edGrp="everyone"/>
      <w:r>
        <w:rPr>
          <w:rFonts w:hint="eastAsia" w:ascii="Times New Roman" w:hAnsi="Times New Roman" w:eastAsia="宋体" w:cs="Times New Roman"/>
          <w:sz w:val="28"/>
          <w:szCs w:val="28"/>
          <w:lang w:val="en-US" w:eastAsia="zh-CN"/>
        </w:rPr>
        <w:t>开工日期7天前（执行通用条款）。</w:t>
      </w:r>
      <w:permEnd w:id="77"/>
    </w:p>
    <w:p w14:paraId="1ED8901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2.2.2 提供施工条件</w:t>
      </w:r>
    </w:p>
    <w:p w14:paraId="49C83C9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关于发包人应负责提供施工所需要的条件，包括：</w:t>
      </w:r>
      <w:permStart w:id="78" w:edGrp="everyone"/>
      <w:r>
        <w:rPr>
          <w:rFonts w:hint="eastAsia" w:ascii="Times New Roman" w:hAnsi="Times New Roman" w:eastAsia="宋体" w:cs="Times New Roman"/>
          <w:sz w:val="28"/>
          <w:szCs w:val="28"/>
          <w:lang w:val="en-US" w:eastAsia="zh-CN"/>
        </w:rPr>
        <w:t>执行通用条款。</w:t>
      </w:r>
      <w:permEnd w:id="78"/>
    </w:p>
    <w:p w14:paraId="21C8497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05" w:name="_Toc351203635"/>
      <w:bookmarkStart w:id="306" w:name="_Toc351203636"/>
      <w:r>
        <w:rPr>
          <w:rFonts w:hint="eastAsia" w:ascii="Times New Roman" w:hAnsi="Times New Roman" w:eastAsia="宋体" w:cs="Times New Roman"/>
          <w:sz w:val="28"/>
          <w:szCs w:val="28"/>
          <w:lang w:val="en-US" w:eastAsia="zh-CN"/>
        </w:rPr>
        <w:t>3</w:t>
      </w:r>
      <w:bookmarkStart w:id="307" w:name="_Toc296346659"/>
      <w:bookmarkStart w:id="308" w:name="_Toc292559363"/>
      <w:bookmarkStart w:id="309" w:name="_Toc296944497"/>
      <w:bookmarkStart w:id="310" w:name="_Toc296347157"/>
      <w:bookmarkStart w:id="311" w:name="_Toc292559868"/>
      <w:bookmarkStart w:id="312" w:name="_Toc296503158"/>
      <w:bookmarkStart w:id="313" w:name="_Toc297048344"/>
      <w:bookmarkStart w:id="314" w:name="_Toc296890986"/>
      <w:bookmarkStart w:id="315" w:name="_Toc297120458"/>
      <w:bookmarkStart w:id="316" w:name="_Toc296891198"/>
      <w:r>
        <w:rPr>
          <w:rFonts w:hint="eastAsia" w:ascii="Times New Roman" w:hAnsi="Times New Roman" w:eastAsia="宋体" w:cs="Times New Roman"/>
          <w:sz w:val="28"/>
          <w:szCs w:val="28"/>
          <w:lang w:val="en-US" w:eastAsia="zh-CN"/>
        </w:rPr>
        <w:t>. 承包人</w:t>
      </w:r>
      <w:bookmarkEnd w:id="305"/>
    </w:p>
    <w:bookmarkEnd w:id="307"/>
    <w:bookmarkEnd w:id="308"/>
    <w:bookmarkEnd w:id="309"/>
    <w:bookmarkEnd w:id="310"/>
    <w:bookmarkEnd w:id="311"/>
    <w:bookmarkEnd w:id="312"/>
    <w:bookmarkEnd w:id="313"/>
    <w:bookmarkEnd w:id="314"/>
    <w:bookmarkEnd w:id="315"/>
    <w:bookmarkEnd w:id="316"/>
    <w:p w14:paraId="1BB621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3.1 承包人的一般义务</w:t>
      </w:r>
    </w:p>
    <w:p w14:paraId="352E62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（1）承包人提交的竣工资料的内容：</w:t>
      </w:r>
      <w:permStart w:id="79" w:edGrp="everyone"/>
      <w:r>
        <w:rPr>
          <w:rFonts w:hint="eastAsia" w:ascii="Times New Roman" w:hAnsi="Times New Roman" w:eastAsia="宋体" w:cs="Times New Roman"/>
          <w:sz w:val="28"/>
          <w:szCs w:val="28"/>
          <w:lang w:val="en-US" w:eastAsia="zh-CN"/>
        </w:rPr>
        <w:t>工程施工技术资料、工程质量控制资料、工程检验评定资料、竣工图（应为新图纸），规定的其他应交资料及业主、档案管理部门要求提供的资料。以上资料必须分类立卷成册 。</w:t>
      </w:r>
    </w:p>
    <w:permEnd w:id="79"/>
    <w:p w14:paraId="4F79BF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承包人需要提交的竣工资料套数：</w:t>
      </w:r>
      <w:permStart w:id="8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肆套  </w:t>
      </w:r>
      <w:r>
        <w:rPr>
          <w:rFonts w:hint="eastAsia" w:ascii="Times New Roman" w:hAnsi="Times New Roman" w:eastAsia="宋体" w:cs="Times New Roman"/>
          <w:sz w:val="28"/>
          <w:szCs w:val="28"/>
          <w:lang w:val="en-US" w:eastAsia="zh-CN"/>
        </w:rPr>
        <w:t xml:space="preserve">     </w:t>
      </w:r>
      <w:permEnd w:id="80"/>
      <w:r>
        <w:rPr>
          <w:rFonts w:hint="eastAsia" w:ascii="Times New Roman" w:hAnsi="Times New Roman" w:eastAsia="宋体" w:cs="Times New Roman"/>
          <w:sz w:val="28"/>
          <w:szCs w:val="28"/>
          <w:lang w:val="en-US" w:eastAsia="zh-CN"/>
        </w:rPr>
        <w:t>。</w:t>
      </w:r>
    </w:p>
    <w:p w14:paraId="0CBD18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承包人提交的竣工资料的费用承担：</w:t>
      </w:r>
      <w:permStart w:id="81" w:edGrp="everyone"/>
      <w:r>
        <w:rPr>
          <w:rFonts w:hint="eastAsia" w:ascii="Times New Roman" w:hAnsi="Times New Roman" w:eastAsia="宋体" w:cs="Times New Roman"/>
          <w:sz w:val="28"/>
          <w:szCs w:val="28"/>
          <w:lang w:val="en-US" w:eastAsia="zh-CN"/>
        </w:rPr>
        <w:t xml:space="preserve">   承包人自行承担   。</w:t>
      </w:r>
      <w:permEnd w:id="81"/>
    </w:p>
    <w:p w14:paraId="4D6DC0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承包人提交的竣工资料移交时间： </w:t>
      </w:r>
      <w:permStart w:id="82" w:edGrp="everyone"/>
      <w:r>
        <w:rPr>
          <w:rFonts w:hint="eastAsia" w:ascii="Times New Roman" w:hAnsi="Times New Roman" w:eastAsia="宋体" w:cs="Times New Roman"/>
          <w:sz w:val="28"/>
          <w:szCs w:val="28"/>
          <w:lang w:val="en-US" w:eastAsia="zh-CN"/>
        </w:rPr>
        <w:t>竣工验收合格后15日内。</w:t>
      </w:r>
      <w:permEnd w:id="82"/>
    </w:p>
    <w:p w14:paraId="066C85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承包人提交的竣工资料形式要求：</w:t>
      </w:r>
      <w:permStart w:id="83" w:edGrp="everyone"/>
      <w:r>
        <w:rPr>
          <w:rFonts w:hint="eastAsia" w:ascii="Times New Roman" w:hAnsi="Times New Roman" w:eastAsia="宋体" w:cs="Times New Roman"/>
          <w:sz w:val="28"/>
          <w:szCs w:val="28"/>
          <w:lang w:val="en-US" w:eastAsia="zh-CN"/>
        </w:rPr>
        <w:t>纸质和电子版（.doc格式）同时提供 。</w:t>
      </w:r>
      <w:permEnd w:id="83"/>
    </w:p>
    <w:p w14:paraId="0C4CC7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（2）承包人应履行的其他义务：</w:t>
      </w:r>
      <w:permStart w:id="84" w:edGrp="everyone"/>
      <w:r>
        <w:rPr>
          <w:rFonts w:hint="eastAsia" w:ascii="Times New Roman" w:hAnsi="Times New Roman" w:eastAsia="宋体" w:cs="Times New Roman"/>
          <w:sz w:val="28"/>
          <w:szCs w:val="28"/>
          <w:lang w:val="en-US" w:eastAsia="zh-CN"/>
        </w:rPr>
        <w:t>每月25日提交本月工程报表和下月工程计划表（报表和计划表应包括质量、进度、安全、投资、材料计划等内容，反映存在的问题和应对措施；一</w:t>
      </w:r>
      <w:r>
        <w:rPr>
          <w:rFonts w:hint="eastAsia" w:ascii="Times New Roman" w:hAnsi="Times New Roman" w:eastAsia="宋体" w:cs="Times New Roman"/>
          <w:sz w:val="28"/>
          <w:szCs w:val="28"/>
          <w:u w:val="single"/>
          <w:lang w:val="en-US" w:eastAsia="zh-CN"/>
        </w:rPr>
        <w:t>式叁份</w:t>
      </w:r>
      <w:r>
        <w:rPr>
          <w:rFonts w:hint="eastAsia" w:ascii="Times New Roman" w:hAnsi="Times New Roman" w:eastAsia="宋体" w:cs="Times New Roman"/>
          <w:sz w:val="28"/>
          <w:szCs w:val="28"/>
          <w:lang w:val="en-US" w:eastAsia="zh-CN"/>
        </w:rPr>
        <w:t>提交发包人)   。</w:t>
      </w:r>
    </w:p>
    <w:permEnd w:id="84"/>
    <w:p w14:paraId="789E5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 项目经理</w:t>
      </w:r>
    </w:p>
    <w:p w14:paraId="6E7DD2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3.2.1 项目经理：</w:t>
      </w:r>
    </w:p>
    <w:p w14:paraId="6C09173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33CD3C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397D7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建造师执业资格等级：</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53421F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建造师注册证书号：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AB7557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建造师执业印章号：</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565597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安全生产考核合格证书号：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CA8E0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5C9C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080F8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57724F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承包人对项目经理的授权范围如下：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7542A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3.2.3 承包人擅自更换项目经理的违约责任：  </w:t>
      </w:r>
      <w:permStart w:id="85" w:edGrp="everyone"/>
      <w:r>
        <w:rPr>
          <w:rFonts w:hint="eastAsia" w:ascii="Times New Roman" w:hAnsi="Times New Roman" w:eastAsia="宋体" w:cs="Times New Roman"/>
          <w:sz w:val="28"/>
          <w:szCs w:val="28"/>
          <w:lang w:val="en-US" w:eastAsia="zh-CN"/>
        </w:rPr>
        <w:t xml:space="preserve">见补充条款  </w:t>
      </w:r>
    </w:p>
    <w:permEnd w:id="85"/>
    <w:p w14:paraId="52FB79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3.2.4 承包人无正当理由拒绝更换项目经理的违约责任：</w:t>
      </w:r>
      <w:permStart w:id="86" w:edGrp="everyone"/>
      <w:r>
        <w:rPr>
          <w:rFonts w:hint="eastAsia" w:ascii="Times New Roman" w:hAnsi="Times New Roman" w:eastAsia="宋体" w:cs="Times New Roman"/>
          <w:sz w:val="28"/>
          <w:szCs w:val="28"/>
          <w:lang w:val="en-US" w:eastAsia="zh-CN"/>
        </w:rPr>
        <w:t xml:space="preserve">见补充条款 </w:t>
      </w:r>
    </w:p>
    <w:permEnd w:id="86"/>
    <w:p w14:paraId="148354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 承包人人员</w:t>
      </w:r>
    </w:p>
    <w:p w14:paraId="0D58DB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3.3.1 承包人提交项目管理机构及施工现场管理人员安排报告的期限：</w:t>
      </w:r>
      <w:permStart w:id="87" w:edGrp="everyone"/>
      <w:r>
        <w:rPr>
          <w:rFonts w:hint="eastAsia" w:ascii="Times New Roman" w:hAnsi="Times New Roman" w:eastAsia="宋体" w:cs="Times New Roman"/>
          <w:sz w:val="28"/>
          <w:szCs w:val="28"/>
          <w:lang w:val="en-US" w:eastAsia="zh-CN"/>
        </w:rPr>
        <w:t>接到开工通知后7天内（执行通用条款）。</w:t>
      </w:r>
    </w:p>
    <w:permEnd w:id="87"/>
    <w:p w14:paraId="24FA91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3.3.2 承包人无正当理由拒绝撤换主要施工管理人员的违约责任：</w:t>
      </w:r>
      <w:permStart w:id="88" w:edGrp="everyone"/>
      <w:r>
        <w:rPr>
          <w:rFonts w:hint="eastAsia" w:ascii="Times New Roman" w:hAnsi="Times New Roman" w:eastAsia="宋体" w:cs="Times New Roman"/>
          <w:sz w:val="28"/>
          <w:szCs w:val="28"/>
          <w:lang w:val="en-US" w:eastAsia="zh-CN"/>
        </w:rPr>
        <w:t xml:space="preserve">见补充条款 </w:t>
      </w:r>
    </w:p>
    <w:permEnd w:id="88"/>
    <w:p w14:paraId="3BABE8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3.3.3 承包人主要施工管理人员离开施工现场的批准要求：</w:t>
      </w:r>
      <w:permStart w:id="89" w:edGrp="everyone"/>
      <w:r>
        <w:rPr>
          <w:rFonts w:hint="eastAsia" w:ascii="Times New Roman" w:hAnsi="Times New Roman" w:eastAsia="宋体" w:cs="Times New Roman"/>
          <w:sz w:val="28"/>
          <w:szCs w:val="28"/>
          <w:lang w:val="en-US" w:eastAsia="zh-CN"/>
        </w:rPr>
        <w:t>执行通用条款</w:t>
      </w:r>
      <w:permEnd w:id="89"/>
      <w:r>
        <w:rPr>
          <w:rFonts w:hint="eastAsia" w:ascii="Times New Roman" w:hAnsi="Times New Roman" w:eastAsia="宋体" w:cs="Times New Roman"/>
          <w:sz w:val="28"/>
          <w:szCs w:val="28"/>
          <w:lang w:val="en-US" w:eastAsia="zh-CN"/>
        </w:rPr>
        <w:t>。</w:t>
      </w:r>
    </w:p>
    <w:p w14:paraId="4D111D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3.3.4承包人擅自更换主要施工管理人员的违约责任：</w:t>
      </w:r>
      <w:permStart w:id="90" w:edGrp="everyone"/>
      <w:r>
        <w:rPr>
          <w:rFonts w:hint="eastAsia" w:ascii="Times New Roman" w:hAnsi="Times New Roman" w:eastAsia="宋体" w:cs="Times New Roman"/>
          <w:sz w:val="28"/>
          <w:szCs w:val="28"/>
          <w:lang w:val="en-US" w:eastAsia="zh-CN"/>
        </w:rPr>
        <w:t xml:space="preserve">见补充条款。 </w:t>
      </w:r>
    </w:p>
    <w:permEnd w:id="90"/>
    <w:p w14:paraId="249A59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承包人主要施工管理人员擅自离开施工现场的违约责任：见补充条款 。</w:t>
      </w:r>
    </w:p>
    <w:p w14:paraId="506AC4F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17" w:name="_Toc312677988"/>
      <w:bookmarkStart w:id="318" w:name="_Toc296503159"/>
      <w:bookmarkStart w:id="319" w:name="_Toc297048345"/>
      <w:bookmarkStart w:id="320" w:name="_Toc297123492"/>
      <w:bookmarkStart w:id="321" w:name="_Toc292559869"/>
      <w:bookmarkStart w:id="322" w:name="_Toc296890987"/>
      <w:bookmarkStart w:id="323" w:name="_Toc296891199"/>
      <w:bookmarkStart w:id="324" w:name="_Toc303539102"/>
      <w:bookmarkStart w:id="325" w:name="_Toc297120459"/>
      <w:bookmarkStart w:id="326" w:name="_Toc297216151"/>
      <w:bookmarkStart w:id="327" w:name="_Toc292559364"/>
      <w:bookmarkStart w:id="328" w:name="_Toc300934945"/>
      <w:bookmarkStart w:id="329" w:name="_Toc296944498"/>
      <w:bookmarkStart w:id="330" w:name="_Toc296347158"/>
      <w:bookmarkStart w:id="331" w:name="_Toc296346660"/>
      <w:bookmarkStart w:id="332" w:name="_Toc304295523"/>
      <w:r>
        <w:rPr>
          <w:rFonts w:hint="eastAsia" w:ascii="Times New Roman" w:hAnsi="Times New Roman" w:eastAsia="宋体" w:cs="Times New Roman"/>
          <w:sz w:val="28"/>
          <w:szCs w:val="28"/>
          <w:lang w:val="en-US" w:eastAsia="zh-CN"/>
        </w:rPr>
        <w:t>.4 分包</w:t>
      </w:r>
    </w:p>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14:paraId="2B127D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33" w:name="_Toc304295524"/>
      <w:bookmarkStart w:id="334" w:name="_Toc303539103"/>
      <w:bookmarkStart w:id="335" w:name="_Toc296347159"/>
      <w:bookmarkStart w:id="336" w:name="_Toc297048346"/>
      <w:bookmarkStart w:id="337" w:name="_Toc300934946"/>
      <w:bookmarkStart w:id="338" w:name="_Toc297123493"/>
      <w:bookmarkStart w:id="339" w:name="_Toc296346661"/>
      <w:bookmarkStart w:id="340" w:name="_Toc297216152"/>
      <w:bookmarkStart w:id="341" w:name="_Toc292559365"/>
      <w:bookmarkStart w:id="342" w:name="_Toc292559870"/>
      <w:bookmarkStart w:id="343" w:name="_Toc296503160"/>
      <w:bookmarkStart w:id="344" w:name="_Toc296944499"/>
      <w:bookmarkStart w:id="345" w:name="_Toc296891200"/>
      <w:bookmarkStart w:id="346" w:name="_Toc297120460"/>
      <w:bookmarkStart w:id="347" w:name="_Toc296890988"/>
      <w:bookmarkStart w:id="348" w:name="_Toc312677989"/>
      <w:bookmarkStart w:id="349" w:name="_Toc318581158"/>
      <w:r>
        <w:rPr>
          <w:rFonts w:hint="eastAsia" w:ascii="Times New Roman" w:hAnsi="Times New Roman" w:eastAsia="宋体" w:cs="Times New Roman"/>
          <w:sz w:val="28"/>
          <w:szCs w:val="28"/>
          <w:lang w:val="en-US" w:eastAsia="zh-CN"/>
        </w:rPr>
        <w:t>.4.1 分包的一般约定</w:t>
      </w:r>
    </w:p>
    <w:p w14:paraId="7F6E7E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禁止分包的工程包括：</w:t>
      </w:r>
      <w:permStart w:id="91" w:edGrp="everyone"/>
      <w:r>
        <w:rPr>
          <w:rFonts w:hint="eastAsia" w:ascii="Times New Roman" w:hAnsi="Times New Roman" w:eastAsia="宋体" w:cs="Times New Roman"/>
          <w:sz w:val="28"/>
          <w:szCs w:val="28"/>
          <w:lang w:val="en-US" w:eastAsia="zh-CN"/>
        </w:rPr>
        <w:t>执行通用条款。</w:t>
      </w:r>
    </w:p>
    <w:permEnd w:id="91"/>
    <w:p w14:paraId="4D06083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主体结构、关键性工作的范围：</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ermStart w:id="92" w:edGrp="everyone"/>
      <w:bookmarkStart w:id="350" w:name="_Toc296503161"/>
      <w:bookmarkStart w:id="351" w:name="_Toc296346662"/>
      <w:bookmarkStart w:id="352" w:name="_Toc296944500"/>
      <w:bookmarkStart w:id="353" w:name="_Toc297216153"/>
      <w:bookmarkStart w:id="354" w:name="_Toc296890989"/>
      <w:bookmarkStart w:id="355" w:name="_Toc296347160"/>
      <w:bookmarkStart w:id="356" w:name="_Toc297123494"/>
      <w:bookmarkStart w:id="357" w:name="_Toc304295525"/>
      <w:bookmarkStart w:id="358" w:name="_Toc296891201"/>
      <w:bookmarkStart w:id="359" w:name="_Toc297120461"/>
      <w:bookmarkStart w:id="360" w:name="_Toc303539104"/>
      <w:bookmarkStart w:id="361" w:name="_Toc300934947"/>
      <w:bookmarkStart w:id="362" w:name="_Toc297048347"/>
      <w:r>
        <w:rPr>
          <w:rFonts w:hint="eastAsia" w:ascii="Times New Roman" w:hAnsi="Times New Roman" w:eastAsia="宋体" w:cs="Times New Roman"/>
          <w:sz w:val="28"/>
          <w:szCs w:val="28"/>
          <w:lang w:val="en-US" w:eastAsia="zh-CN"/>
        </w:rPr>
        <w:t>主体结构及影响施工进度的关键工作    。</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ermEnd w:id="92"/>
      <w:bookmarkStart w:id="363" w:name="_Toc312677990"/>
      <w:bookmarkStart w:id="364" w:name="_Toc318581159"/>
    </w:p>
    <w:bookmarkEnd w:id="363"/>
    <w:bookmarkEnd w:id="364"/>
    <w:p w14:paraId="7B7683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3.5 工程照管与成品、半成品保护</w:t>
      </w:r>
    </w:p>
    <w:p w14:paraId="0C9B89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承包人负责照管工程及工程相关的材料、工程设备的起始时间：</w:t>
      </w:r>
      <w:permStart w:id="93" w:edGrp="everyone"/>
      <w:r>
        <w:rPr>
          <w:rFonts w:hint="eastAsia" w:ascii="Times New Roman" w:hAnsi="Times New Roman" w:eastAsia="宋体" w:cs="Times New Roman"/>
          <w:sz w:val="28"/>
          <w:szCs w:val="28"/>
          <w:lang w:val="en-US" w:eastAsia="zh-CN"/>
        </w:rPr>
        <w:t xml:space="preserve">  自发包人向承包人移交施工现场之日起，承包人应负责照管工程及工程相关的材料、工程设备，直到颁发工程接收证书之日止  。</w:t>
      </w:r>
    </w:p>
    <w:permEnd w:id="93"/>
    <w:p w14:paraId="4604CAE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3.6 履约担保</w:t>
      </w:r>
    </w:p>
    <w:p w14:paraId="40E92E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承包人是否提供履约担保：</w:t>
      </w:r>
      <w:permStart w:id="94" w:edGrp="everyone"/>
      <w:r>
        <w:rPr>
          <w:rFonts w:hint="eastAsia" w:ascii="Times New Roman" w:hAnsi="Times New Roman" w:eastAsia="宋体" w:cs="Times New Roman"/>
          <w:sz w:val="28"/>
          <w:szCs w:val="28"/>
          <w:lang w:val="en-US" w:eastAsia="zh-CN"/>
        </w:rPr>
        <w:t xml:space="preserve">      是       。</w:t>
      </w:r>
      <w:permEnd w:id="94"/>
    </w:p>
    <w:p w14:paraId="4CA9C6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承包人提供履约担保的形式、金额及期限的：</w:t>
      </w:r>
      <w:permStart w:id="95" w:edGrp="everyone"/>
      <w:r>
        <w:rPr>
          <w:rFonts w:hint="eastAsia" w:ascii="Times New Roman" w:hAnsi="Times New Roman" w:eastAsia="宋体" w:cs="Times New Roman"/>
          <w:sz w:val="28"/>
          <w:szCs w:val="28"/>
          <w:lang w:val="en-US" w:eastAsia="zh-CN"/>
        </w:rPr>
        <w:t xml:space="preserve"> 中标后，投标保证金自动转为履约保证金，履约保证金不足部分由中标人在收到中标通知书后10日内从其基本账户开户行银行汇款。</w:t>
      </w:r>
    </w:p>
    <w:p w14:paraId="283F92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履约担保的金额：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29E561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履约担保的退还：无违约行为发生或违约行为已处理的情况下，工程竣工验收合格后退还全部履约保证金（本金无息）。</w:t>
      </w:r>
      <w:bookmarkEnd w:id="306"/>
    </w:p>
    <w:permEnd w:id="95"/>
    <w:p w14:paraId="5FE2A2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65" w:name="_Toc351203637"/>
      <w:bookmarkStart w:id="366" w:name="_Toc292559367"/>
      <w:bookmarkStart w:id="367" w:name="_Toc297120463"/>
      <w:bookmarkStart w:id="368" w:name="_Toc296891203"/>
      <w:bookmarkStart w:id="369" w:name="_Toc296503163"/>
      <w:bookmarkStart w:id="370" w:name="_Toc296944502"/>
      <w:bookmarkStart w:id="371" w:name="_Toc296890991"/>
      <w:bookmarkStart w:id="372" w:name="_Toc296347162"/>
      <w:bookmarkStart w:id="373" w:name="_Toc297048349"/>
      <w:bookmarkStart w:id="374" w:name="_Toc292559872"/>
      <w:bookmarkStart w:id="375" w:name="_Toc296346664"/>
      <w:r>
        <w:rPr>
          <w:rFonts w:hint="eastAsia" w:ascii="Times New Roman" w:hAnsi="Times New Roman" w:eastAsia="宋体" w:cs="Times New Roman"/>
          <w:sz w:val="28"/>
          <w:szCs w:val="28"/>
          <w:lang w:val="en-US" w:eastAsia="zh-CN"/>
        </w:rPr>
        <w:t>4. 工程质量</w:t>
      </w:r>
      <w:bookmarkEnd w:id="365"/>
    </w:p>
    <w:p w14:paraId="147D9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4.1 质量要求</w:t>
      </w:r>
    </w:p>
    <w:p w14:paraId="31F4DA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76" w:name="_Toc300934949"/>
      <w:bookmarkStart w:id="377" w:name="_Toc297216155"/>
      <w:bookmarkStart w:id="378" w:name="_Toc304295527"/>
      <w:bookmarkStart w:id="379" w:name="_Toc318581164"/>
      <w:bookmarkStart w:id="380" w:name="_Toc297123496"/>
      <w:bookmarkStart w:id="381" w:name="_Toc312677997"/>
      <w:bookmarkStart w:id="382" w:name="_Toc303539106"/>
      <w:r>
        <w:rPr>
          <w:rFonts w:hint="eastAsia" w:ascii="Times New Roman" w:hAnsi="Times New Roman" w:eastAsia="宋体" w:cs="Times New Roman"/>
          <w:sz w:val="28"/>
          <w:szCs w:val="28"/>
          <w:lang w:val="en-US" w:eastAsia="zh-CN"/>
        </w:rPr>
        <w:t>4.1.1 特殊质量标准和要求：</w:t>
      </w:r>
      <w:permStart w:id="96" w:edGrp="everyone"/>
      <w:r>
        <w:rPr>
          <w:rFonts w:hint="eastAsia" w:ascii="Times New Roman" w:hAnsi="Times New Roman" w:eastAsia="宋体" w:cs="Times New Roman"/>
          <w:sz w:val="28"/>
          <w:szCs w:val="28"/>
          <w:lang w:val="en-US" w:eastAsia="zh-CN"/>
        </w:rPr>
        <w:t xml:space="preserve">               合格         。</w:t>
      </w:r>
    </w:p>
    <w:permEnd w:id="96"/>
    <w:p w14:paraId="197DE0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关于工程奖项的约定：</w:t>
      </w:r>
      <w:permStart w:id="97"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97"/>
    </w:p>
    <w:p w14:paraId="0D14A4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 隐蔽工程检查</w:t>
      </w:r>
    </w:p>
    <w:p w14:paraId="6C0236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4.2.1承包人提前通知监理人隐蔽工程检查的期限的约定：</w:t>
      </w:r>
      <w:permStart w:id="98" w:edGrp="everyone"/>
      <w:r>
        <w:rPr>
          <w:rFonts w:hint="eastAsia" w:ascii="Times New Roman" w:hAnsi="Times New Roman" w:eastAsia="宋体" w:cs="Times New Roman"/>
          <w:sz w:val="28"/>
          <w:szCs w:val="28"/>
          <w:lang w:val="en-US" w:eastAsia="zh-CN"/>
        </w:rPr>
        <w:t xml:space="preserve">   共同检查前48小时（执行通用条款）  。</w:t>
      </w:r>
    </w:p>
    <w:permEnd w:id="98"/>
    <w:p w14:paraId="2BE1F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监理人不能按时进行检查时，应提前 </w:t>
      </w:r>
      <w:permStart w:id="99" w:edGrp="everyone"/>
      <w:r>
        <w:rPr>
          <w:rFonts w:hint="eastAsia" w:ascii="Times New Roman" w:hAnsi="Times New Roman" w:eastAsia="宋体" w:cs="Times New Roman"/>
          <w:sz w:val="28"/>
          <w:szCs w:val="28"/>
          <w:lang w:val="en-US" w:eastAsia="zh-CN"/>
        </w:rPr>
        <w:t xml:space="preserve">  执行通用条款）24  </w:t>
      </w:r>
      <w:permEnd w:id="99"/>
      <w:r>
        <w:rPr>
          <w:rFonts w:hint="eastAsia" w:ascii="Times New Roman" w:hAnsi="Times New Roman" w:eastAsia="宋体" w:cs="Times New Roman"/>
          <w:sz w:val="28"/>
          <w:szCs w:val="28"/>
          <w:lang w:val="en-US" w:eastAsia="zh-CN"/>
        </w:rPr>
        <w:t>小时提交书面延期要求。</w:t>
      </w:r>
    </w:p>
    <w:p w14:paraId="177494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00" w:edGrp="everyone"/>
      <w:r>
        <w:rPr>
          <w:rFonts w:hint="eastAsia" w:ascii="Times New Roman" w:hAnsi="Times New Roman" w:eastAsia="宋体" w:cs="Times New Roman"/>
          <w:sz w:val="28"/>
          <w:szCs w:val="28"/>
          <w:lang w:val="en-US" w:eastAsia="zh-CN"/>
        </w:rPr>
        <w:t>（执行通用条款）48</w:t>
      </w:r>
      <w:permEnd w:id="100"/>
      <w:r>
        <w:rPr>
          <w:rFonts w:hint="eastAsia" w:ascii="Times New Roman" w:hAnsi="Times New Roman" w:eastAsia="宋体" w:cs="Times New Roman"/>
          <w:sz w:val="28"/>
          <w:szCs w:val="28"/>
          <w:lang w:val="en-US" w:eastAsia="zh-CN"/>
        </w:rPr>
        <w:t xml:space="preserve"> 小时。</w:t>
      </w:r>
    </w:p>
    <w:p w14:paraId="6E6711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3" w:name="_Toc351203638"/>
      <w:r>
        <w:rPr>
          <w:rFonts w:hint="eastAsia" w:ascii="Times New Roman" w:hAnsi="Times New Roman" w:eastAsia="宋体" w:cs="Times New Roman"/>
          <w:sz w:val="28"/>
          <w:szCs w:val="28"/>
          <w:lang w:val="en-US" w:eastAsia="zh-CN"/>
        </w:rPr>
        <w:t>5. 安全文明施工与环境保护</w:t>
      </w:r>
      <w:bookmarkEnd w:id="383"/>
    </w:p>
    <w:p w14:paraId="03079D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5.1安全文明施工</w:t>
      </w:r>
    </w:p>
    <w:p w14:paraId="561F47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5.1.1 项目安全生产的达标目标及相应事项的约定：</w:t>
      </w:r>
      <w:permStart w:id="101" w:edGrp="everyone"/>
      <w:r>
        <w:rPr>
          <w:rFonts w:hint="eastAsia" w:ascii="Times New Roman" w:hAnsi="Times New Roman" w:eastAsia="宋体" w:cs="Times New Roman"/>
          <w:sz w:val="28"/>
          <w:szCs w:val="28"/>
          <w:lang w:val="en-US" w:eastAsia="zh-CN"/>
        </w:rPr>
        <w:t>项目施工期间不出现安全生产事故 。</w:t>
      </w:r>
      <w:permEnd w:id="101"/>
    </w:p>
    <w:p w14:paraId="08F736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5.1.2 关于治安保卫的特别约定：</w:t>
      </w:r>
      <w:permStart w:id="102" w:edGrp="everyone"/>
      <w:r>
        <w:rPr>
          <w:rFonts w:hint="eastAsia" w:ascii="Times New Roman" w:hAnsi="Times New Roman" w:eastAsia="宋体" w:cs="Times New Roman"/>
          <w:sz w:val="28"/>
          <w:szCs w:val="28"/>
          <w:lang w:val="en-US" w:eastAsia="zh-CN"/>
        </w:rPr>
        <w:t>执行通用条款。</w:t>
      </w:r>
      <w:permEnd w:id="102"/>
    </w:p>
    <w:p w14:paraId="0EFBEB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关于编制施工场地治安管理计划的约定：</w:t>
      </w:r>
      <w:permStart w:id="103" w:edGrp="everyone"/>
      <w:r>
        <w:rPr>
          <w:rFonts w:hint="eastAsia" w:ascii="Times New Roman" w:hAnsi="Times New Roman" w:eastAsia="宋体" w:cs="Times New Roman"/>
          <w:sz w:val="28"/>
          <w:szCs w:val="28"/>
          <w:lang w:val="en-US" w:eastAsia="zh-CN"/>
        </w:rPr>
        <w:t>执行通用条款。</w:t>
      </w:r>
    </w:p>
    <w:permEnd w:id="103"/>
    <w:p w14:paraId="718249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5.1.3 文明施工</w:t>
      </w:r>
    </w:p>
    <w:p w14:paraId="2E46A1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合同当事人对文明施工的要求：</w:t>
      </w:r>
      <w:permStart w:id="104" w:edGrp="everyone"/>
      <w:r>
        <w:rPr>
          <w:rFonts w:hint="eastAsia" w:ascii="Times New Roman" w:hAnsi="Times New Roman" w:eastAsia="宋体" w:cs="Times New Roman"/>
          <w:sz w:val="28"/>
          <w:szCs w:val="28"/>
          <w:lang w:val="en-US" w:eastAsia="zh-CN"/>
        </w:rPr>
        <w:t>必须按文明施工相关规定进行作业，扬尘治理必须满足安徽省扬尘治理规定 。</w:t>
      </w:r>
    </w:p>
    <w:permEnd w:id="104"/>
    <w:p w14:paraId="66A9B9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5.1.4 关于安全文明施工费支付比例和支付期限的约定： </w:t>
      </w:r>
      <w:permStart w:id="105"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ermEnd w:id="105"/>
    </w:p>
    <w:bookmarkEnd w:id="376"/>
    <w:bookmarkEnd w:id="377"/>
    <w:bookmarkEnd w:id="378"/>
    <w:bookmarkEnd w:id="379"/>
    <w:bookmarkEnd w:id="380"/>
    <w:bookmarkEnd w:id="381"/>
    <w:bookmarkEnd w:id="382"/>
    <w:p w14:paraId="182F74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4" w:name="_Toc351203639"/>
      <w:r>
        <w:rPr>
          <w:rFonts w:hint="eastAsia" w:ascii="Times New Roman" w:hAnsi="Times New Roman" w:eastAsia="宋体" w:cs="Times New Roman"/>
          <w:sz w:val="28"/>
          <w:szCs w:val="28"/>
          <w:lang w:val="en-US" w:eastAsia="zh-CN"/>
        </w:rPr>
        <w:t>6. 工期和进度</w:t>
      </w:r>
      <w:bookmarkEnd w:id="384"/>
    </w:p>
    <w:p w14:paraId="6F89296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 施工组织设计</w:t>
      </w:r>
    </w:p>
    <w:p w14:paraId="0A33D9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6.1.1 合同当事人约定的施工组织设计应包括的其他内容：</w:t>
      </w:r>
      <w:permStart w:id="106" w:edGrp="everyone"/>
      <w:r>
        <w:rPr>
          <w:rFonts w:hint="eastAsia" w:ascii="Times New Roman" w:hAnsi="Times New Roman" w:eastAsia="宋体" w:cs="Times New Roman"/>
          <w:sz w:val="28"/>
          <w:szCs w:val="28"/>
          <w:lang w:val="en-US" w:eastAsia="zh-CN"/>
        </w:rPr>
        <w:t>总进度计划须含网络图、横道图 。</w:t>
      </w:r>
    </w:p>
    <w:p w14:paraId="7C07528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w:t>
      </w:r>
      <w:permEnd w:id="106"/>
      <w:r>
        <w:rPr>
          <w:rFonts w:hint="eastAsia" w:ascii="Times New Roman" w:hAnsi="Times New Roman" w:eastAsia="宋体" w:cs="Times New Roman"/>
          <w:sz w:val="28"/>
          <w:szCs w:val="28"/>
          <w:lang w:val="en-US" w:eastAsia="zh-CN"/>
        </w:rPr>
        <w:t>.1.2 施工组织设计的提交和修改</w:t>
      </w:r>
    </w:p>
    <w:p w14:paraId="3FF6D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承包人提交详细施工组织设计的期限的约定：</w:t>
      </w:r>
      <w:permStart w:id="107" w:edGrp="everyone"/>
      <w:r>
        <w:rPr>
          <w:rFonts w:hint="eastAsia" w:ascii="Times New Roman" w:hAnsi="Times New Roman" w:eastAsia="宋体" w:cs="Times New Roman"/>
          <w:sz w:val="28"/>
          <w:szCs w:val="28"/>
          <w:lang w:val="en-US" w:eastAsia="zh-CN"/>
        </w:rPr>
        <w:t xml:space="preserve"> 合同签订后3天内，但至迟不得晚于第7.3.2项〔开工通知〕载明的开工日期前3天(执行通用条款)   。</w:t>
      </w:r>
    </w:p>
    <w:permEnd w:id="107"/>
    <w:p w14:paraId="7B0F30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发包人和监理人在收到详细的施工组织设计后确认或提出修改意见的期限：</w:t>
      </w:r>
      <w:permStart w:id="108" w:edGrp="everyone"/>
      <w:r>
        <w:rPr>
          <w:rFonts w:hint="eastAsia" w:ascii="Times New Roman" w:hAnsi="Times New Roman" w:eastAsia="宋体" w:cs="Times New Roman"/>
          <w:sz w:val="28"/>
          <w:szCs w:val="28"/>
          <w:lang w:val="en-US" w:eastAsia="zh-CN"/>
        </w:rPr>
        <w:t xml:space="preserve">  收到施工组织设计后7天内（执行通用条款） 。</w:t>
      </w:r>
    </w:p>
    <w:permEnd w:id="108"/>
    <w:p w14:paraId="10BAB9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5" w:name="_Toc297123514"/>
      <w:bookmarkStart w:id="386" w:name="_Toc297216173"/>
      <w:bookmarkStart w:id="387" w:name="_Toc303539123"/>
      <w:bookmarkStart w:id="388" w:name="_Toc312677479"/>
      <w:bookmarkStart w:id="389" w:name="_Toc300934966"/>
      <w:bookmarkStart w:id="390" w:name="_Toc312678005"/>
      <w:bookmarkStart w:id="391" w:name="_Toc304295541"/>
      <w:r>
        <w:rPr>
          <w:rFonts w:hint="eastAsia" w:ascii="Times New Roman" w:hAnsi="Times New Roman" w:eastAsia="宋体" w:cs="Times New Roman"/>
          <w:sz w:val="28"/>
          <w:szCs w:val="28"/>
          <w:lang w:val="en-US" w:eastAsia="zh-CN"/>
        </w:rPr>
        <w:t>6.2 施工进度计划</w:t>
      </w:r>
    </w:p>
    <w:p w14:paraId="6674E51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6.2.1 施工进度计划的修订</w:t>
      </w:r>
    </w:p>
    <w:p w14:paraId="2D84DA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发包人和监理人在收到修订的施工进度计划后确认或提出修改意见的期限：</w:t>
      </w:r>
      <w:permStart w:id="109" w:edGrp="everyone"/>
      <w:r>
        <w:rPr>
          <w:rFonts w:hint="eastAsia" w:ascii="Times New Roman" w:hAnsi="Times New Roman" w:eastAsia="宋体" w:cs="Times New Roman"/>
          <w:sz w:val="28"/>
          <w:szCs w:val="28"/>
          <w:lang w:val="en-US" w:eastAsia="zh-CN"/>
        </w:rPr>
        <w:t xml:space="preserve">  收到修订的施工进度计划后7天内(执行通用条款)  。</w:t>
      </w:r>
    </w:p>
    <w:permEnd w:id="109"/>
    <w:p w14:paraId="5CAEF2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 开工</w:t>
      </w:r>
    </w:p>
    <w:p w14:paraId="3E95472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6.3.1 开工准备</w:t>
      </w:r>
    </w:p>
    <w:p w14:paraId="7FD7B42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关于承包人提交工程开工报审表的期限：</w:t>
      </w:r>
      <w:permStart w:id="110" w:edGrp="everyone"/>
      <w:r>
        <w:rPr>
          <w:rFonts w:hint="eastAsia" w:ascii="Times New Roman" w:hAnsi="Times New Roman" w:eastAsia="宋体" w:cs="Times New Roman"/>
          <w:sz w:val="28"/>
          <w:szCs w:val="28"/>
          <w:lang w:val="en-US" w:eastAsia="zh-CN"/>
        </w:rPr>
        <w:t>开工前7天内  。</w:t>
      </w:r>
    </w:p>
    <w:permEnd w:id="110"/>
    <w:p w14:paraId="1127283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关于发包人应完成的其他开工准备工作及期限：</w:t>
      </w:r>
      <w:permStart w:id="111" w:edGrp="everyone"/>
      <w:r>
        <w:rPr>
          <w:rFonts w:hint="eastAsia" w:ascii="Times New Roman" w:hAnsi="Times New Roman" w:eastAsia="宋体" w:cs="Times New Roman"/>
          <w:sz w:val="28"/>
          <w:szCs w:val="28"/>
          <w:lang w:val="en-US" w:eastAsia="zh-CN"/>
        </w:rPr>
        <w:t>开工前7天内  。</w:t>
      </w:r>
    </w:p>
    <w:permEnd w:id="111"/>
    <w:p w14:paraId="263E9D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关于承包人应完成的其他开工准备工作及期限：</w:t>
      </w:r>
      <w:permStart w:id="112" w:edGrp="everyone"/>
      <w:r>
        <w:rPr>
          <w:rFonts w:hint="eastAsia" w:ascii="Times New Roman" w:hAnsi="Times New Roman" w:eastAsia="宋体" w:cs="Times New Roman"/>
          <w:sz w:val="28"/>
          <w:szCs w:val="28"/>
          <w:lang w:val="en-US" w:eastAsia="zh-CN"/>
        </w:rPr>
        <w:t>开工前7天内  。</w:t>
      </w:r>
      <w:permEnd w:id="112"/>
    </w:p>
    <w:p w14:paraId="4B1E91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6.3.2开工通知</w:t>
      </w:r>
    </w:p>
    <w:p w14:paraId="6EC52E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因发包人原因造成监理人未能在计划开工日期之日起 </w:t>
      </w:r>
      <w:permStart w:id="113" w:edGrp="everyone"/>
      <w:r>
        <w:rPr>
          <w:rFonts w:hint="eastAsia" w:ascii="Times New Roman" w:hAnsi="Times New Roman" w:eastAsia="宋体" w:cs="Times New Roman"/>
          <w:sz w:val="28"/>
          <w:szCs w:val="28"/>
          <w:lang w:val="en-US" w:eastAsia="zh-CN"/>
        </w:rPr>
        <w:t xml:space="preserve"> \（执行通用条款）</w:t>
      </w:r>
      <w:permEnd w:id="113"/>
      <w:r>
        <w:rPr>
          <w:rFonts w:hint="eastAsia" w:ascii="Times New Roman" w:hAnsi="Times New Roman" w:eastAsia="宋体" w:cs="Times New Roman"/>
          <w:sz w:val="28"/>
          <w:szCs w:val="28"/>
          <w:lang w:val="en-US" w:eastAsia="zh-CN"/>
        </w:rPr>
        <w:t>天内发出开工通知的，承包人有权提出价格调整要求，或者解除合同。</w:t>
      </w:r>
    </w:p>
    <w:bookmarkEnd w:id="385"/>
    <w:bookmarkEnd w:id="386"/>
    <w:bookmarkEnd w:id="387"/>
    <w:bookmarkEnd w:id="388"/>
    <w:bookmarkEnd w:id="389"/>
    <w:bookmarkEnd w:id="390"/>
    <w:bookmarkEnd w:id="391"/>
    <w:p w14:paraId="1D9D23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 测量放线</w:t>
      </w:r>
    </w:p>
    <w:p w14:paraId="3063FD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6.4.1发包人通过监理人向承包人提供测量基准点、基准线和水准点及其书面资料的期限：</w:t>
      </w:r>
      <w:permStart w:id="114" w:edGrp="everyone"/>
      <w:r>
        <w:rPr>
          <w:rFonts w:hint="eastAsia" w:ascii="Times New Roman" w:hAnsi="Times New Roman" w:eastAsia="宋体" w:cs="Times New Roman"/>
          <w:sz w:val="28"/>
          <w:szCs w:val="28"/>
          <w:lang w:val="en-US" w:eastAsia="zh-CN"/>
        </w:rPr>
        <w:t>开工前7天内(执行通用条款)  。</w:t>
      </w:r>
    </w:p>
    <w:permEnd w:id="114"/>
    <w:p w14:paraId="070EB9C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92" w:name="_Toc297123516"/>
      <w:bookmarkStart w:id="393" w:name="_Toc303539125"/>
      <w:bookmarkStart w:id="394" w:name="_Toc312677484"/>
      <w:bookmarkStart w:id="395" w:name="_Toc300934968"/>
      <w:bookmarkStart w:id="396" w:name="_Toc312678010"/>
      <w:bookmarkStart w:id="397" w:name="_Toc304295546"/>
      <w:bookmarkStart w:id="398" w:name="_Toc297216175"/>
      <w:r>
        <w:rPr>
          <w:rFonts w:hint="eastAsia" w:ascii="Times New Roman" w:hAnsi="Times New Roman" w:eastAsia="宋体" w:cs="Times New Roman"/>
          <w:sz w:val="28"/>
          <w:szCs w:val="28"/>
          <w:lang w:val="en-US" w:eastAsia="zh-CN"/>
        </w:rPr>
        <w:t>6.5 工期延误</w:t>
      </w:r>
    </w:p>
    <w:bookmarkEnd w:id="392"/>
    <w:bookmarkEnd w:id="393"/>
    <w:bookmarkEnd w:id="394"/>
    <w:bookmarkEnd w:id="395"/>
    <w:bookmarkEnd w:id="396"/>
    <w:bookmarkEnd w:id="397"/>
    <w:bookmarkEnd w:id="398"/>
    <w:p w14:paraId="5AFA3E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6.5.1 因发包人原因导致工期延误</w:t>
      </w:r>
    </w:p>
    <w:p w14:paraId="4D30C6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（7）因发包人原因导致工期延误的其他情形：</w:t>
      </w:r>
      <w:permStart w:id="115" w:edGrp="everyone"/>
      <w:r>
        <w:rPr>
          <w:rFonts w:hint="eastAsia" w:ascii="Times New Roman" w:hAnsi="Times New Roman" w:eastAsia="宋体" w:cs="Times New Roman"/>
          <w:sz w:val="28"/>
          <w:szCs w:val="28"/>
          <w:lang w:val="en-US" w:eastAsia="zh-CN"/>
        </w:rPr>
        <w:t>因征地拆迁、工程款支付等原因导致的工期延误，由监理单位确认后，工期给予顺延，费用不予补偿 。</w:t>
      </w:r>
      <w:permEnd w:id="115"/>
    </w:p>
    <w:p w14:paraId="633826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99" w:name="_Toc318581169"/>
      <w:bookmarkStart w:id="400" w:name="_Toc312678012"/>
      <w:bookmarkStart w:id="401" w:name="_Toc312677486"/>
      <w:bookmarkStart w:id="402" w:name="_Toc297216177"/>
      <w:bookmarkStart w:id="403" w:name="_Toc303539127"/>
      <w:bookmarkStart w:id="404" w:name="_Toc300934970"/>
      <w:bookmarkStart w:id="405" w:name="_Toc304295548"/>
      <w:bookmarkStart w:id="406" w:name="_Toc297123518"/>
      <w:r>
        <w:rPr>
          <w:rFonts w:hint="eastAsia" w:ascii="Times New Roman" w:hAnsi="Times New Roman" w:eastAsia="宋体" w:cs="Times New Roman"/>
          <w:sz w:val="28"/>
          <w:szCs w:val="28"/>
          <w:lang w:val="en-US" w:eastAsia="zh-CN"/>
        </w:rPr>
        <w:t>6.5.2 因承包人原因导致工期延误</w:t>
      </w:r>
    </w:p>
    <w:bookmarkEnd w:id="399"/>
    <w:bookmarkEnd w:id="400"/>
    <w:bookmarkEnd w:id="401"/>
    <w:p w14:paraId="7C344D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w:t>
      </w:r>
      <w:bookmarkStart w:id="407" w:name="_Toc312677487"/>
      <w:bookmarkStart w:id="408" w:name="_Toc312678013"/>
      <w:bookmarkStart w:id="409" w:name="_Toc318581170"/>
      <w:r>
        <w:rPr>
          <w:rFonts w:hint="eastAsia" w:ascii="Times New Roman" w:hAnsi="Times New Roman" w:eastAsia="宋体" w:cs="Times New Roman"/>
          <w:sz w:val="28"/>
          <w:szCs w:val="28"/>
          <w:lang w:val="en-US" w:eastAsia="zh-CN"/>
        </w:rPr>
        <w:t>承包人原因造成工期延误，逾期竣工违约金的计算方法为：</w:t>
      </w:r>
      <w:bookmarkEnd w:id="402"/>
      <w:bookmarkEnd w:id="403"/>
      <w:bookmarkEnd w:id="404"/>
      <w:bookmarkEnd w:id="405"/>
      <w:bookmarkEnd w:id="406"/>
      <w:bookmarkEnd w:id="407"/>
      <w:bookmarkEnd w:id="408"/>
      <w:bookmarkEnd w:id="409"/>
      <w:r>
        <w:rPr>
          <w:rFonts w:hint="eastAsia" w:ascii="Times New Roman" w:hAnsi="Times New Roman" w:eastAsia="宋体" w:cs="Times New Roman"/>
          <w:sz w:val="28"/>
          <w:szCs w:val="28"/>
          <w:lang w:val="en-US" w:eastAsia="zh-CN"/>
        </w:rPr>
        <w:t xml:space="preserve">见补充条款 </w:t>
      </w:r>
    </w:p>
    <w:p w14:paraId="7D7EA9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因承包人原因造成工期延误，逾</w:t>
      </w:r>
      <w:bookmarkStart w:id="410" w:name="_Toc312678014"/>
      <w:bookmarkStart w:id="411" w:name="_Toc318581171"/>
      <w:r>
        <w:rPr>
          <w:rFonts w:hint="eastAsia" w:ascii="Times New Roman" w:hAnsi="Times New Roman" w:eastAsia="宋体" w:cs="Times New Roman"/>
          <w:sz w:val="28"/>
          <w:szCs w:val="28"/>
          <w:lang w:val="en-US" w:eastAsia="zh-CN"/>
        </w:rPr>
        <w:t>期竣工违约金的上限：</w:t>
      </w:r>
      <w:permStart w:id="116" w:edGrp="everyone"/>
      <w:r>
        <w:rPr>
          <w:rFonts w:hint="eastAsia" w:ascii="Times New Roman" w:hAnsi="Times New Roman" w:eastAsia="宋体" w:cs="Times New Roman"/>
          <w:sz w:val="28"/>
          <w:szCs w:val="28"/>
          <w:lang w:val="en-US" w:eastAsia="zh-CN"/>
        </w:rPr>
        <w:t xml:space="preserve">   /       。</w:t>
      </w:r>
      <w:bookmarkEnd w:id="410"/>
      <w:bookmarkEnd w:id="411"/>
    </w:p>
    <w:permEnd w:id="116"/>
    <w:p w14:paraId="7F42F3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12" w:name="_Toc312678015"/>
      <w:bookmarkStart w:id="413" w:name="_Toc304295549"/>
      <w:bookmarkStart w:id="414" w:name="_Toc300934971"/>
      <w:bookmarkStart w:id="415" w:name="_Toc303539128"/>
      <w:bookmarkStart w:id="416" w:name="_Toc297123519"/>
      <w:bookmarkStart w:id="417" w:name="_Toc297216178"/>
      <w:r>
        <w:rPr>
          <w:rFonts w:hint="eastAsia" w:ascii="Times New Roman" w:hAnsi="Times New Roman" w:eastAsia="宋体" w:cs="Times New Roman"/>
          <w:sz w:val="28"/>
          <w:szCs w:val="28"/>
          <w:lang w:val="en-US" w:eastAsia="zh-CN"/>
        </w:rPr>
        <w:t>6.6 不</w:t>
      </w:r>
      <w:bookmarkEnd w:id="412"/>
      <w:bookmarkEnd w:id="413"/>
      <w:bookmarkEnd w:id="414"/>
      <w:bookmarkEnd w:id="415"/>
      <w:bookmarkEnd w:id="416"/>
      <w:bookmarkEnd w:id="417"/>
      <w:r>
        <w:rPr>
          <w:rFonts w:hint="eastAsia" w:ascii="Times New Roman" w:hAnsi="Times New Roman" w:eastAsia="宋体" w:cs="Times New Roman"/>
          <w:sz w:val="28"/>
          <w:szCs w:val="28"/>
          <w:lang w:val="en-US" w:eastAsia="zh-CN"/>
        </w:rPr>
        <w:t>利物质条件</w:t>
      </w:r>
    </w:p>
    <w:p w14:paraId="467EC45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18" w:name="_Toc304295550"/>
      <w:bookmarkStart w:id="419" w:name="_Toc297123520"/>
      <w:bookmarkStart w:id="420" w:name="_Toc318581172"/>
      <w:bookmarkStart w:id="421" w:name="_Toc300934972"/>
      <w:bookmarkStart w:id="422" w:name="_Toc303539129"/>
      <w:bookmarkStart w:id="423" w:name="_Toc312678016"/>
      <w:bookmarkStart w:id="424" w:name="_Toc297216179"/>
      <w:r>
        <w:rPr>
          <w:rFonts w:hint="eastAsia" w:ascii="Times New Roman" w:hAnsi="Times New Roman" w:eastAsia="宋体" w:cs="Times New Roman"/>
          <w:sz w:val="28"/>
          <w:szCs w:val="28"/>
          <w:lang w:val="en-US" w:eastAsia="zh-CN"/>
        </w:rPr>
        <w:t>不利物质条件的其他情形和有关约定：</w:t>
      </w:r>
      <w:permStart w:id="117" w:edGrp="everyone"/>
      <w:r>
        <w:rPr>
          <w:rFonts w:hint="eastAsia" w:ascii="Times New Roman" w:hAnsi="Times New Roman" w:eastAsia="宋体" w:cs="Times New Roman"/>
          <w:sz w:val="28"/>
          <w:szCs w:val="28"/>
          <w:lang w:val="en-US" w:eastAsia="zh-CN"/>
        </w:rPr>
        <w:t>执行通用条款。</w:t>
      </w:r>
      <w:permEnd w:id="117"/>
    </w:p>
    <w:bookmarkEnd w:id="418"/>
    <w:bookmarkEnd w:id="419"/>
    <w:bookmarkEnd w:id="420"/>
    <w:bookmarkEnd w:id="421"/>
    <w:bookmarkEnd w:id="422"/>
    <w:bookmarkEnd w:id="423"/>
    <w:bookmarkEnd w:id="424"/>
    <w:p w14:paraId="083F5F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25" w:name="_Toc304295551"/>
      <w:bookmarkStart w:id="426" w:name="_Toc300934973"/>
      <w:bookmarkStart w:id="427" w:name="_Toc312678017"/>
      <w:bookmarkStart w:id="428" w:name="_Toc297216180"/>
      <w:bookmarkStart w:id="429" w:name="_Toc297123521"/>
      <w:bookmarkStart w:id="430" w:name="_Toc303539130"/>
      <w:r>
        <w:rPr>
          <w:rFonts w:hint="eastAsia" w:ascii="Times New Roman" w:hAnsi="Times New Roman" w:eastAsia="宋体" w:cs="Times New Roman"/>
          <w:sz w:val="28"/>
          <w:szCs w:val="28"/>
          <w:lang w:val="en-US" w:eastAsia="zh-CN"/>
        </w:rPr>
        <w:t>6.7异常恶劣的气候条件</w:t>
      </w:r>
    </w:p>
    <w:bookmarkEnd w:id="425"/>
    <w:bookmarkEnd w:id="426"/>
    <w:bookmarkEnd w:id="427"/>
    <w:bookmarkEnd w:id="428"/>
    <w:bookmarkEnd w:id="429"/>
    <w:bookmarkEnd w:id="430"/>
    <w:p w14:paraId="024085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发包人和承包人同意以下情形视为异常恶劣的气候条件：</w:t>
      </w:r>
    </w:p>
    <w:p w14:paraId="00550A3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8" w:edGrp="everyone"/>
      <w:r>
        <w:rPr>
          <w:rFonts w:hint="eastAsia" w:ascii="Times New Roman" w:hAnsi="Times New Roman" w:eastAsia="宋体" w:cs="Times New Roman"/>
          <w:sz w:val="28"/>
          <w:szCs w:val="28"/>
          <w:lang w:val="en-US" w:eastAsia="zh-CN"/>
        </w:rPr>
        <w:t xml:space="preserve">（1）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97523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7DEEB8B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18"/>
    <w:p w14:paraId="4A320F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1" w:name="_Toc351203640"/>
      <w:r>
        <w:rPr>
          <w:rFonts w:hint="eastAsia" w:ascii="Times New Roman" w:hAnsi="Times New Roman" w:eastAsia="宋体" w:cs="Times New Roman"/>
          <w:sz w:val="28"/>
          <w:szCs w:val="28"/>
          <w:lang w:val="en-US" w:eastAsia="zh-CN"/>
        </w:rPr>
        <w:t>7. 材料与设备</w:t>
      </w:r>
      <w:bookmarkEnd w:id="431"/>
    </w:p>
    <w:bookmarkEnd w:id="366"/>
    <w:bookmarkEnd w:id="367"/>
    <w:bookmarkEnd w:id="368"/>
    <w:bookmarkEnd w:id="369"/>
    <w:bookmarkEnd w:id="370"/>
    <w:bookmarkEnd w:id="371"/>
    <w:bookmarkEnd w:id="372"/>
    <w:bookmarkEnd w:id="373"/>
    <w:bookmarkEnd w:id="374"/>
    <w:bookmarkEnd w:id="375"/>
    <w:p w14:paraId="7D7E81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2" w:name="_Toc303539136"/>
      <w:bookmarkStart w:id="433" w:name="_Toc296347166"/>
      <w:bookmarkStart w:id="434" w:name="_Toc297123527"/>
      <w:bookmarkStart w:id="435" w:name="_Toc296346668"/>
      <w:bookmarkStart w:id="436" w:name="_Toc296891207"/>
      <w:bookmarkStart w:id="437" w:name="_Toc312677493"/>
      <w:bookmarkStart w:id="438" w:name="_Toc292559877"/>
      <w:bookmarkStart w:id="439" w:name="_Toc300934979"/>
      <w:bookmarkStart w:id="440" w:name="_Toc296944506"/>
      <w:bookmarkStart w:id="441" w:name="_Toc296890995"/>
      <w:bookmarkStart w:id="442" w:name="_Toc312678019"/>
      <w:bookmarkStart w:id="443" w:name="_Toc304295556"/>
      <w:bookmarkStart w:id="444" w:name="_Toc297048353"/>
      <w:bookmarkStart w:id="445" w:name="_Toc297120467"/>
      <w:bookmarkStart w:id="446" w:name="_Toc297216186"/>
      <w:bookmarkStart w:id="447" w:name="_Toc280868654"/>
      <w:bookmarkStart w:id="448" w:name="_Toc292559372"/>
      <w:bookmarkStart w:id="449" w:name="_Toc296503167"/>
      <w:bookmarkStart w:id="450" w:name="_Toc280868655"/>
      <w:bookmarkStart w:id="451" w:name="_Toc267251424"/>
      <w:bookmarkStart w:id="452" w:name="_Toc280868656"/>
      <w:r>
        <w:rPr>
          <w:rFonts w:hint="eastAsia" w:ascii="Times New Roman" w:hAnsi="Times New Roman" w:eastAsia="宋体" w:cs="Times New Roman"/>
          <w:sz w:val="28"/>
          <w:szCs w:val="28"/>
          <w:lang w:val="en-US" w:eastAsia="zh-CN"/>
        </w:rPr>
        <w:t>7.1材料与工程设备的保管与使用</w:t>
      </w:r>
    </w:p>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14:paraId="79477B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53" w:name="_Toc292559878"/>
      <w:bookmarkStart w:id="454" w:name="_Toc292559373"/>
      <w:bookmarkStart w:id="455" w:name="_Toc312677494"/>
      <w:bookmarkStart w:id="456" w:name="_Toc300934980"/>
      <w:bookmarkStart w:id="457" w:name="_Toc296346669"/>
      <w:bookmarkStart w:id="458" w:name="_Toc296890996"/>
      <w:bookmarkStart w:id="459" w:name="_Toc297123528"/>
      <w:bookmarkStart w:id="460" w:name="_Toc296944507"/>
      <w:bookmarkStart w:id="461" w:name="_Toc304295557"/>
      <w:bookmarkStart w:id="462" w:name="_Toc296347167"/>
      <w:bookmarkStart w:id="463" w:name="_Toc297216187"/>
      <w:bookmarkStart w:id="464" w:name="_Toc312678020"/>
      <w:bookmarkStart w:id="465" w:name="_Toc296891208"/>
      <w:bookmarkStart w:id="466" w:name="_Toc296503168"/>
      <w:bookmarkStart w:id="467" w:name="_Toc303539137"/>
      <w:bookmarkStart w:id="468" w:name="_Toc297120468"/>
      <w:bookmarkStart w:id="469" w:name="_Toc318581173"/>
      <w:bookmarkStart w:id="470" w:name="_Toc297048354"/>
      <w:r>
        <w:rPr>
          <w:rFonts w:hint="eastAsia" w:ascii="Times New Roman" w:hAnsi="Times New Roman" w:eastAsia="宋体" w:cs="Times New Roman"/>
          <w:sz w:val="28"/>
          <w:szCs w:val="28"/>
          <w:lang w:val="en-US" w:eastAsia="zh-CN"/>
        </w:rPr>
        <w:t>7.1.1</w:t>
      </w:r>
    </w:p>
    <w:bookmarkEnd w:id="453"/>
    <w:bookmarkEnd w:id="454"/>
    <w:p w14:paraId="4658F3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9" w:edGrp="everyone"/>
      <w:r>
        <w:rPr>
          <w:rFonts w:hint="eastAsia" w:ascii="Times New Roman" w:hAnsi="Times New Roman" w:eastAsia="宋体" w:cs="Times New Roman"/>
          <w:sz w:val="28"/>
          <w:szCs w:val="28"/>
          <w:lang w:val="en-US" w:eastAsia="zh-CN"/>
        </w:rPr>
        <w:t>发包人供应的材料与工程设备由承包人负保管，费用由承包人在合同价款中考虑，不再另行计取。如有丢失、损坏，按价赔偿。</w:t>
      </w:r>
    </w:p>
    <w:p w14:paraId="5D70292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发包人供应的材料进入现场即视为供应到位，由承包人负责卸货入库等其他工作，费用由承包人在合同价款中考虑，不再另行计取。</w:t>
      </w:r>
    </w:p>
    <w:permEnd w:id="119"/>
    <w:p w14:paraId="32E8E1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 样品</w:t>
      </w:r>
    </w:p>
    <w:p w14:paraId="2B205E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7.2.1</w:t>
      </w:r>
      <w:r>
        <w:rPr>
          <w:rFonts w:hint="eastAsia" w:ascii="Times New Roman" w:hAnsi="Times New Roman" w:eastAsia="宋体" w:cs="Times New Roman"/>
          <w:sz w:val="28"/>
          <w:szCs w:val="28"/>
          <w:lang w:val="en-US" w:eastAsia="zh-CN"/>
        </w:rPr>
        <w:tab/>
      </w:r>
      <w:r>
        <w:rPr>
          <w:rFonts w:hint="eastAsia" w:ascii="Times New Roman" w:hAnsi="Times New Roman" w:eastAsia="宋体" w:cs="Times New Roman"/>
          <w:sz w:val="28"/>
          <w:szCs w:val="28"/>
          <w:lang w:val="en-US" w:eastAsia="zh-CN"/>
        </w:rPr>
        <w:t>样品的报送与封存</w:t>
      </w:r>
    </w:p>
    <w:p w14:paraId="253CAD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需要承包人报送样品的材料或工程设备，样品的种类、名称、规格、数量要求：</w:t>
      </w:r>
      <w:permStart w:id="12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20"/>
    <w:p w14:paraId="4264F2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7.2.2施工所需材料相应样品需经发包人认可后方可进场，否则发包人有权要求承包人支付2000元/次/处的违约金，相关材料及时退场。</w:t>
      </w:r>
    </w:p>
    <w:p w14:paraId="23C74DF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 施工设备和临时设施</w:t>
      </w:r>
    </w:p>
    <w:p w14:paraId="30070E2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7.3.1 承包人提供的施工设备和临时设施</w:t>
      </w:r>
    </w:p>
    <w:p w14:paraId="19B750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关于修建临时设施费用承担的约定： </w:t>
      </w:r>
      <w:permStart w:id="121" w:edGrp="everyone"/>
      <w:r>
        <w:rPr>
          <w:rFonts w:hint="eastAsia" w:ascii="Times New Roman" w:hAnsi="Times New Roman" w:eastAsia="宋体" w:cs="Times New Roman"/>
          <w:sz w:val="28"/>
          <w:szCs w:val="28"/>
          <w:lang w:val="en-US" w:eastAsia="zh-CN"/>
        </w:rPr>
        <w:t xml:space="preserve">  承包人承担（执行通用条款）。</w:t>
      </w:r>
      <w:permEnd w:id="121"/>
    </w:p>
    <w:bookmarkEnd w:id="450"/>
    <w:bookmarkEnd w:id="451"/>
    <w:bookmarkEnd w:id="452"/>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14:paraId="28A1BA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71" w:name="_Toc303539146"/>
      <w:bookmarkStart w:id="472" w:name="_Toc296347192"/>
      <w:bookmarkStart w:id="473" w:name="_Toc297216199"/>
      <w:bookmarkStart w:id="474" w:name="_Toc296503193"/>
      <w:bookmarkStart w:id="475" w:name="_Toc296346694"/>
      <w:bookmarkStart w:id="476" w:name="_Toc296944532"/>
      <w:bookmarkStart w:id="477" w:name="_Toc296891021"/>
      <w:bookmarkStart w:id="478" w:name="_Toc297048379"/>
      <w:bookmarkStart w:id="479" w:name="_Toc304295566"/>
      <w:bookmarkStart w:id="480" w:name="_Toc297123540"/>
      <w:bookmarkStart w:id="481" w:name="_Toc300934989"/>
      <w:bookmarkStart w:id="482" w:name="_Toc292559903"/>
      <w:bookmarkStart w:id="483" w:name="_Toc351203642"/>
      <w:bookmarkStart w:id="484" w:name="_Toc296891233"/>
      <w:bookmarkStart w:id="485" w:name="_Toc297120493"/>
      <w:bookmarkStart w:id="486" w:name="_Toc292559398"/>
      <w:bookmarkStart w:id="487" w:name="_Toc312678025"/>
      <w:bookmarkStart w:id="488" w:name="_Toc312677499"/>
      <w:bookmarkStart w:id="489" w:name="_Toc267251437"/>
      <w:bookmarkStart w:id="490" w:name="_Toc267251440"/>
      <w:bookmarkStart w:id="491" w:name="_Toc267251435"/>
      <w:bookmarkStart w:id="492" w:name="_Toc267251433"/>
      <w:bookmarkStart w:id="493" w:name="_Toc267251441"/>
      <w:bookmarkStart w:id="494" w:name="_Toc267251439"/>
      <w:bookmarkStart w:id="495" w:name="_Toc267251442"/>
      <w:r>
        <w:rPr>
          <w:rFonts w:hint="eastAsia" w:ascii="Times New Roman" w:hAnsi="Times New Roman" w:eastAsia="宋体" w:cs="Times New Roman"/>
          <w:sz w:val="28"/>
          <w:szCs w:val="28"/>
          <w:lang w:val="en-US" w:eastAsia="zh-CN"/>
        </w:rPr>
        <w:t>8. 变更</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bookmarkEnd w:id="487"/>
    <w:bookmarkEnd w:id="488"/>
    <w:p w14:paraId="5F77F2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96" w:name="_Toc296944533"/>
      <w:bookmarkStart w:id="497" w:name="_Toc297120494"/>
      <w:bookmarkStart w:id="498" w:name="_Toc292559904"/>
      <w:bookmarkStart w:id="499" w:name="_Toc300934990"/>
      <w:bookmarkStart w:id="500" w:name="_Toc303539147"/>
      <w:bookmarkStart w:id="501" w:name="_Toc312677500"/>
      <w:bookmarkStart w:id="502" w:name="_Toc296891234"/>
      <w:bookmarkStart w:id="503" w:name="_Toc304295567"/>
      <w:bookmarkStart w:id="504" w:name="_Toc297048380"/>
      <w:bookmarkStart w:id="505" w:name="_Toc296503194"/>
      <w:bookmarkStart w:id="506" w:name="_Toc296347193"/>
      <w:bookmarkStart w:id="507" w:name="_Toc297123541"/>
      <w:bookmarkStart w:id="508" w:name="_Toc297216200"/>
      <w:bookmarkStart w:id="509" w:name="_Toc292559399"/>
      <w:bookmarkStart w:id="510" w:name="_Toc296891022"/>
      <w:bookmarkStart w:id="511" w:name="_Toc296346695"/>
      <w:bookmarkStart w:id="512" w:name="_Toc312678026"/>
      <w:r>
        <w:rPr>
          <w:rFonts w:hint="eastAsia" w:ascii="Times New Roman" w:hAnsi="Times New Roman" w:eastAsia="宋体" w:cs="Times New Roman"/>
          <w:sz w:val="28"/>
          <w:szCs w:val="28"/>
          <w:lang w:val="en-US" w:eastAsia="zh-CN"/>
        </w:rPr>
        <w:t>8.1变更的范围</w:t>
      </w:r>
    </w:p>
    <w:p w14:paraId="17AE75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关于变更的范围的约定：</w:t>
      </w:r>
      <w:permStart w:id="122" w:edGrp="everyone"/>
      <w:r>
        <w:rPr>
          <w:rFonts w:hint="eastAsia" w:ascii="Times New Roman" w:hAnsi="Times New Roman" w:eastAsia="宋体" w:cs="Times New Roman"/>
          <w:sz w:val="28"/>
          <w:szCs w:val="28"/>
          <w:lang w:val="en-US" w:eastAsia="zh-CN"/>
        </w:rPr>
        <w:t xml:space="preserve"> 设计变更及签证增加的费用按控制价规则计算 。</w:t>
      </w:r>
    </w:p>
    <w:permEnd w:id="122"/>
    <w:p w14:paraId="1AE5BEC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 变更估价</w:t>
      </w:r>
    </w:p>
    <w:p w14:paraId="7AD38F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 变更估价原则</w:t>
      </w:r>
    </w:p>
    <w:p w14:paraId="21260A5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关于变更估价的约定：</w:t>
      </w:r>
    </w:p>
    <w:p w14:paraId="4B66F4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8.2.1.1</w:t>
      </w:r>
      <w:permStart w:id="123" w:edGrp="everyone"/>
      <w:r>
        <w:rPr>
          <w:rFonts w:hint="eastAsia" w:ascii="Times New Roman" w:hAnsi="Times New Roman" w:eastAsia="宋体" w:cs="Times New Roman"/>
          <w:sz w:val="28"/>
          <w:szCs w:val="28"/>
          <w:lang w:val="en-US" w:eastAsia="zh-CN"/>
        </w:rPr>
        <w:t>因工程变更引起已标价工程量清单项目或其工程数量发生变化时，按下列规定调整：</w:t>
      </w:r>
    </w:p>
    <w:p w14:paraId="47BA32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已标价工程量清单中有适用于变更工程项目的，采用该项目的单价；但对于分部分项工程项目的单价投标报价高于控制价相应子目的单价的清单项目，工程量增加幅度超过本项目工程数量15%（不含15%）的，超过15%的增加部分工程量的单价按控制价相应子目的单价与投标总价降幅同比下浮标准，作为结算的依据；对于分部分项的单价投标报价降幅低于控制价相应子目的单价30%以上的清单项目，工程量减少幅度超过本项目工程数量15%（不含15%）的，超过15%的减少部分工程量的单价按控制价相应子目的单价与投标总价降幅同比下浮标准，提出变更工程项目的单价，作为结算的依据。</w:t>
      </w:r>
    </w:p>
    <w:p w14:paraId="4D2EB1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2、已标价工程量清单中没有适用但有类似于变更工程项目的，可在合理范围内参照类似项目的单价。</w:t>
      </w:r>
    </w:p>
    <w:p w14:paraId="134B5E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已标价工程量清单中没有适用也没有类似于变更工程项目的，由承包人根据变更工程资料、招标时的计量规则和计价办法、当期的工程造价管理机构发布的信息价格和承包人投标总价降幅同比下浮标准，提出变更工程项目的单价。</w:t>
      </w:r>
    </w:p>
    <w:p w14:paraId="4D6C64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已标价工程量清单中没有适用也没有类似于变更工程项目的，且工程造价管理机构发布的信息价缺价的，应由承包人根据变更工程资料、招标时的计量规则和计价办法和通过市场调查等取得有合法依据的市场价格和承包人投标总价降幅同比下浮标准，提出变更工程项目的单价，作为工程进度款支付的依据，最终结算价以审计为准。</w:t>
      </w:r>
    </w:p>
    <w:p w14:paraId="52543C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8.2.1.2工程变更引起施工方案改变并使措施项目发生变化时，承包人提出调整措施项目费的，应事前将拟实施的方案提交发包人确认，并应详细说明与原方案措施项目相比的变化情况。拟实施的方案经发承包双方确认后执行，并应按照下列规定调整措施项目费：</w:t>
      </w:r>
    </w:p>
    <w:p w14:paraId="04A885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1、安全文明施工费应按照实际发生变化的措施项目依据原招标文件规定的费率计算；</w:t>
      </w:r>
    </w:p>
    <w:p w14:paraId="501092A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2、按照单价计算的措施项目费，应按照实际发生变化的措施项目，按本合同专用条款第10.4.1.1条计算；</w:t>
      </w:r>
    </w:p>
    <w:p w14:paraId="26D608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3、按总价（或系数）计算的措施项目费，应按照实际发生变化的措施项目和承包人投标总价降幅同比下浮标准，提出新的措施项目费，作为结算的依据；</w:t>
      </w:r>
    </w:p>
    <w:p w14:paraId="7C11D4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4、如果承包人未事前将拟实施的方案提交给发包人确认，则应视为工程变更不引起措施项目费的调整或承包人放弃调整措施项目费的权利。</w:t>
      </w:r>
    </w:p>
    <w:permEnd w:id="123"/>
    <w:p w14:paraId="532320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8.2.1.3 设计变更及现场签证的资料要求:</w:t>
      </w:r>
    </w:p>
    <w:p w14:paraId="05AA7C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签证资料应及时办理报审手续。施工单位应在待签证事项发生后 7日内向建设单位发出《工程施工联系函》；能够在发出《工程施工联系函》时计算出报价费用的在《工程施工联系函》中列明报价费用的计算方式及报价数额，不能够在发出《工程施工联系函》时计算出报价费用的在《工程施工联系函》中列明报价计算方式及后期正式报价时间；</w:t>
      </w:r>
    </w:p>
    <w:p w14:paraId="787D9FC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因中标人 (承包人)原因在事件发生后 14日内不发起办理报审手续时，按下列办法处理；逾期报送且无法事后查明做法或工程量者视为施工单位放弃该项费用；逾期报送但可以在事后查明做法及工程量者，可以给予结算。</w:t>
      </w:r>
    </w:p>
    <w:p w14:paraId="0668B3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审核资料的发起、审批情况等以可留下痕迹的纸质、电子资料为准，包括但不限于由当事人签字的会议记录(纪要)、收发文登记表、联系函、回函、快件邮递标签、回复意见、电子邮件、聊天记录等可留下痕迹的纸质、电子文档或录音资料，无上述资料时视为未发起。</w:t>
      </w:r>
    </w:p>
    <w:p w14:paraId="79B80D5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8.2.1.4 根据工程建设需要，发包人可以随时调整承包人的实际承包内容。调增或调减承包人的施工内容时，调增和调减均按“工程变更”条款调整。</w:t>
      </w:r>
    </w:p>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p w14:paraId="24E5FF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13" w:name="_Toc296346698"/>
      <w:bookmarkStart w:id="514" w:name="_Toc297048383"/>
      <w:bookmarkStart w:id="515" w:name="_Toc296891025"/>
      <w:bookmarkStart w:id="516" w:name="_Toc297216203"/>
      <w:bookmarkStart w:id="517" w:name="_Toc296944536"/>
      <w:bookmarkStart w:id="518" w:name="_Toc303539150"/>
      <w:bookmarkStart w:id="519" w:name="_Toc292559907"/>
      <w:bookmarkStart w:id="520" w:name="_Toc296347196"/>
      <w:bookmarkStart w:id="521" w:name="_Toc297120497"/>
      <w:bookmarkStart w:id="522" w:name="_Toc296503197"/>
      <w:bookmarkStart w:id="523" w:name="_Toc292559402"/>
      <w:bookmarkStart w:id="524" w:name="_Toc296891237"/>
      <w:bookmarkStart w:id="525" w:name="_Toc297123544"/>
      <w:bookmarkStart w:id="526" w:name="_Toc300934993"/>
      <w:bookmarkStart w:id="527" w:name="_Toc304295570"/>
      <w:bookmarkStart w:id="528" w:name="_Toc312677503"/>
      <w:bookmarkStart w:id="529" w:name="_Toc312678029"/>
      <w:r>
        <w:rPr>
          <w:rFonts w:hint="eastAsia" w:ascii="Times New Roman" w:hAnsi="Times New Roman" w:eastAsia="宋体" w:cs="Times New Roman"/>
          <w:sz w:val="28"/>
          <w:szCs w:val="28"/>
          <w:lang w:val="en-US" w:eastAsia="zh-CN"/>
        </w:rPr>
        <w:t>8.3承</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Start w:id="530" w:name="_Toc292559408"/>
      <w:bookmarkStart w:id="531" w:name="_Toc296944542"/>
      <w:bookmarkStart w:id="532" w:name="_Toc296503203"/>
      <w:bookmarkStart w:id="533" w:name="_Toc296347202"/>
      <w:bookmarkStart w:id="534" w:name="_Toc296891031"/>
      <w:bookmarkStart w:id="535" w:name="_Toc303539151"/>
      <w:bookmarkStart w:id="536" w:name="_Toc292559913"/>
      <w:bookmarkStart w:id="537" w:name="_Toc296891243"/>
      <w:bookmarkStart w:id="538" w:name="_Toc297048389"/>
      <w:bookmarkStart w:id="539" w:name="_Toc297120503"/>
      <w:bookmarkStart w:id="540" w:name="_Toc296346704"/>
      <w:bookmarkStart w:id="541" w:name="_Toc297123545"/>
      <w:bookmarkStart w:id="542" w:name="_Toc300934994"/>
      <w:bookmarkStart w:id="543" w:name="_Toc297216204"/>
      <w:r>
        <w:rPr>
          <w:rFonts w:hint="eastAsia" w:ascii="Times New Roman" w:hAnsi="Times New Roman" w:eastAsia="宋体" w:cs="Times New Roman"/>
          <w:sz w:val="28"/>
          <w:szCs w:val="28"/>
          <w:lang w:val="en-US" w:eastAsia="zh-CN"/>
        </w:rPr>
        <w:t>包人的合理化建议</w:t>
      </w:r>
    </w:p>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14:paraId="267D4E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监理人审查承包人合理化建议的期限：  </w:t>
      </w:r>
      <w:permStart w:id="124" w:edGrp="everyone"/>
      <w:r>
        <w:rPr>
          <w:rFonts w:hint="eastAsia" w:ascii="Times New Roman" w:hAnsi="Times New Roman" w:eastAsia="宋体" w:cs="Times New Roman"/>
          <w:sz w:val="28"/>
          <w:szCs w:val="28"/>
          <w:lang w:val="en-US" w:eastAsia="zh-CN"/>
        </w:rPr>
        <w:t xml:space="preserve"> 收到承包人提交的合理化建议后3天内审查完毕（执行通用条款 。</w:t>
      </w:r>
    </w:p>
    <w:permEnd w:id="124"/>
    <w:p w14:paraId="3047DC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发包人审批承包人合理化建议的期限：  </w:t>
      </w:r>
      <w:permStart w:id="125" w:edGrp="everyone"/>
      <w:r>
        <w:rPr>
          <w:rFonts w:hint="eastAsia" w:ascii="Times New Roman" w:hAnsi="Times New Roman" w:eastAsia="宋体" w:cs="Times New Roman"/>
          <w:sz w:val="28"/>
          <w:szCs w:val="28"/>
          <w:lang w:val="en-US" w:eastAsia="zh-CN"/>
        </w:rPr>
        <w:t>收到监理人报送的合理化建议后3天内审批完毕（执行通用条款） 。</w:t>
      </w:r>
    </w:p>
    <w:permEnd w:id="125"/>
    <w:p w14:paraId="4FDF9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w:t>
      </w:r>
      <w:bookmarkStart w:id="544" w:name="_Toc318581175"/>
      <w:bookmarkStart w:id="545" w:name="_Toc292559409"/>
      <w:bookmarkStart w:id="546" w:name="_Toc312678030"/>
      <w:bookmarkStart w:id="547" w:name="_Toc297048390"/>
      <w:bookmarkStart w:id="548" w:name="_Toc304295571"/>
      <w:bookmarkStart w:id="549" w:name="_Toc296346705"/>
      <w:bookmarkStart w:id="550" w:name="_Toc297120504"/>
      <w:bookmarkStart w:id="551" w:name="_Toc296944543"/>
      <w:bookmarkStart w:id="552" w:name="_Toc303539152"/>
      <w:bookmarkStart w:id="553" w:name="_Toc296891244"/>
      <w:bookmarkStart w:id="554" w:name="_Toc292559914"/>
      <w:bookmarkStart w:id="555" w:name="_Toc297216205"/>
      <w:bookmarkStart w:id="556" w:name="_Toc300934995"/>
      <w:bookmarkStart w:id="557" w:name="_Toc312677504"/>
      <w:bookmarkStart w:id="558" w:name="_Toc297123546"/>
      <w:bookmarkStart w:id="559" w:name="_Toc296891032"/>
      <w:bookmarkStart w:id="560" w:name="_Toc296503204"/>
      <w:bookmarkStart w:id="561" w:name="_Toc296347203"/>
      <w:r>
        <w:rPr>
          <w:rFonts w:hint="eastAsia" w:ascii="Times New Roman" w:hAnsi="Times New Roman" w:eastAsia="宋体" w:cs="Times New Roman"/>
          <w:sz w:val="28"/>
          <w:szCs w:val="28"/>
          <w:lang w:val="en-US" w:eastAsia="zh-CN"/>
        </w:rPr>
        <w:t>包人提出的合理化建议降低了合同价格或者提高了工程经济效益的奖励的方法和金额为</w:t>
      </w:r>
      <w:permStart w:id="126" w:edGrp="everyone"/>
      <w:r>
        <w:rPr>
          <w:rFonts w:hint="eastAsia" w:ascii="Times New Roman" w:hAnsi="Times New Roman" w:eastAsia="宋体" w:cs="Times New Roman"/>
          <w:sz w:val="28"/>
          <w:szCs w:val="28"/>
          <w:lang w:val="en-US" w:eastAsia="zh-CN"/>
        </w:rPr>
        <w:t>/。</w:t>
      </w:r>
      <w:permEnd w:id="126"/>
    </w:p>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14:paraId="50B2025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62" w:name="_Toc297048385"/>
      <w:bookmarkStart w:id="563" w:name="_Toc312677507"/>
      <w:bookmarkStart w:id="564" w:name="_Toc312678033"/>
      <w:bookmarkStart w:id="565" w:name="_Toc292559909"/>
      <w:bookmarkStart w:id="566" w:name="_Toc296891027"/>
      <w:bookmarkStart w:id="567" w:name="_Toc297216207"/>
      <w:bookmarkStart w:id="568" w:name="_Toc296944538"/>
      <w:bookmarkStart w:id="569" w:name="_Toc296891239"/>
      <w:bookmarkStart w:id="570" w:name="_Toc300934997"/>
      <w:bookmarkStart w:id="571" w:name="_Toc296347198"/>
      <w:bookmarkStart w:id="572" w:name="_Toc296503199"/>
      <w:bookmarkStart w:id="573" w:name="_Toc304295574"/>
      <w:bookmarkStart w:id="574" w:name="_Toc303539154"/>
      <w:bookmarkStart w:id="575" w:name="_Toc292559404"/>
      <w:bookmarkStart w:id="576" w:name="_Toc297123548"/>
      <w:bookmarkStart w:id="577" w:name="_Toc297120499"/>
      <w:bookmarkStart w:id="578" w:name="_Toc296346700"/>
      <w:r>
        <w:rPr>
          <w:rFonts w:hint="eastAsia" w:ascii="Times New Roman" w:hAnsi="Times New Roman" w:eastAsia="宋体" w:cs="Times New Roman"/>
          <w:sz w:val="28"/>
          <w:szCs w:val="28"/>
          <w:lang w:val="en-US" w:eastAsia="zh-CN"/>
        </w:rPr>
        <w:t>8.4 暂估价</w:t>
      </w:r>
    </w:p>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p w14:paraId="5811B3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暂</w:t>
      </w:r>
      <w:bookmarkStart w:id="579" w:name="_Toc318581176"/>
      <w:bookmarkStart w:id="580" w:name="_Toc312678034"/>
      <w:bookmarkStart w:id="581" w:name="_Toc312677508"/>
      <w:r>
        <w:rPr>
          <w:rFonts w:hint="eastAsia" w:ascii="Times New Roman" w:hAnsi="Times New Roman" w:eastAsia="宋体" w:cs="Times New Roman"/>
          <w:sz w:val="28"/>
          <w:szCs w:val="28"/>
          <w:lang w:val="en-US" w:eastAsia="zh-CN"/>
        </w:rPr>
        <w:t>估价材料和工程设备的明细详见附件11：《暂估价一览表》。</w:t>
      </w:r>
    </w:p>
    <w:bookmarkEnd w:id="579"/>
    <w:bookmarkEnd w:id="580"/>
    <w:bookmarkEnd w:id="581"/>
    <w:p w14:paraId="3A1790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2" w:name="_Toc312677509"/>
      <w:bookmarkStart w:id="583" w:name="_Toc318581177"/>
      <w:bookmarkStart w:id="584" w:name="_Toc312678035"/>
      <w:r>
        <w:rPr>
          <w:rFonts w:hint="eastAsia" w:ascii="Times New Roman" w:hAnsi="Times New Roman" w:eastAsia="宋体" w:cs="Times New Roman"/>
          <w:sz w:val="28"/>
          <w:szCs w:val="28"/>
          <w:lang w:val="en-US" w:eastAsia="zh-CN"/>
        </w:rPr>
        <w:t>8.4.1 依法必须招标的暂估价项目</w:t>
      </w:r>
    </w:p>
    <w:bookmarkEnd w:id="582"/>
    <w:bookmarkEnd w:id="583"/>
    <w:bookmarkEnd w:id="584"/>
    <w:p w14:paraId="351117F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对于依法必须招标的暂估价项目的确认和批准采取</w:t>
      </w:r>
      <w:permStart w:id="127" w:edGrp="everyone"/>
      <w:r>
        <w:rPr>
          <w:rFonts w:hint="eastAsia" w:ascii="Times New Roman" w:hAnsi="Times New Roman" w:eastAsia="宋体" w:cs="Times New Roman"/>
          <w:sz w:val="28"/>
          <w:szCs w:val="28"/>
          <w:lang w:val="en-US" w:eastAsia="zh-CN"/>
        </w:rPr>
        <w:t>第</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种</w:t>
      </w:r>
      <w:permEnd w:id="127"/>
      <w:r>
        <w:rPr>
          <w:rFonts w:hint="eastAsia" w:ascii="Times New Roman" w:hAnsi="Times New Roman" w:eastAsia="宋体" w:cs="Times New Roman"/>
          <w:sz w:val="28"/>
          <w:szCs w:val="28"/>
          <w:lang w:val="en-US" w:eastAsia="zh-CN"/>
        </w:rPr>
        <w:t>方式确定。</w:t>
      </w:r>
    </w:p>
    <w:p w14:paraId="6BD10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8.4.2 不属于依法必须招标的暂估价项目</w:t>
      </w:r>
    </w:p>
    <w:p w14:paraId="4E2D33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对于不属于依法必须招标的暂估价项目的确认和批准采取第</w:t>
      </w:r>
      <w:permStart w:id="128" w:edGrp="everyone"/>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8"/>
      <w:r>
        <w:rPr>
          <w:rFonts w:hint="eastAsia" w:ascii="Times New Roman" w:hAnsi="Times New Roman" w:eastAsia="宋体" w:cs="Times New Roman"/>
          <w:sz w:val="28"/>
          <w:szCs w:val="28"/>
          <w:lang w:val="en-US" w:eastAsia="zh-CN"/>
        </w:rPr>
        <w:t>种方式确定。</w:t>
      </w:r>
    </w:p>
    <w:p w14:paraId="370A88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第3种方式：承包人直接实施的暂估价项目</w:t>
      </w:r>
    </w:p>
    <w:p w14:paraId="2A2B24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承包人直接实施的暂估价项目的约定：</w:t>
      </w:r>
      <w:permStart w:id="12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9"/>
    </w:p>
    <w:p w14:paraId="54365E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8.5暂列金额</w:t>
      </w:r>
    </w:p>
    <w:p w14:paraId="44D4C3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合同当事人关于暂列金额使用的约定：</w:t>
      </w:r>
      <w:bookmarkStart w:id="585" w:name="_Toc351203643"/>
      <w:permStart w:id="130" w:edGrp="everyone"/>
      <w:r>
        <w:rPr>
          <w:rFonts w:hint="eastAsia" w:ascii="Times New Roman" w:hAnsi="Times New Roman" w:eastAsia="宋体" w:cs="Times New Roman"/>
          <w:sz w:val="28"/>
          <w:szCs w:val="28"/>
          <w:lang w:val="en-US" w:eastAsia="zh-CN"/>
        </w:rPr>
        <w:t xml:space="preserve">   执行通用条款   。</w:t>
      </w:r>
      <w:permEnd w:id="130"/>
    </w:p>
    <w:p w14:paraId="31636F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 价格调整</w:t>
      </w:r>
      <w:bookmarkEnd w:id="585"/>
    </w:p>
    <w:p w14:paraId="4EBA8A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6" w:name="_Toc297216209"/>
      <w:bookmarkStart w:id="587" w:name="_Toc296944540"/>
      <w:bookmarkStart w:id="588" w:name="_Toc296347200"/>
      <w:bookmarkStart w:id="589" w:name="_Toc292559911"/>
      <w:bookmarkStart w:id="590" w:name="_Toc296503201"/>
      <w:bookmarkStart w:id="591" w:name="_Toc297048387"/>
      <w:bookmarkStart w:id="592" w:name="_Toc312678039"/>
      <w:bookmarkStart w:id="593" w:name="_Toc296891241"/>
      <w:bookmarkStart w:id="594" w:name="_Toc292559406"/>
      <w:bookmarkStart w:id="595" w:name="_Toc303539157"/>
      <w:bookmarkStart w:id="596" w:name="_Toc296891029"/>
      <w:bookmarkStart w:id="597" w:name="_Toc297120501"/>
      <w:bookmarkStart w:id="598" w:name="_Toc300935000"/>
      <w:bookmarkStart w:id="599" w:name="_Toc304295577"/>
      <w:bookmarkStart w:id="600" w:name="_Toc296346702"/>
      <w:bookmarkStart w:id="601" w:name="_Toc297123550"/>
      <w:r>
        <w:rPr>
          <w:rFonts w:hint="eastAsia" w:ascii="Times New Roman" w:hAnsi="Times New Roman" w:eastAsia="宋体" w:cs="Times New Roman"/>
          <w:sz w:val="28"/>
          <w:szCs w:val="28"/>
          <w:lang w:val="en-US" w:eastAsia="zh-CN"/>
        </w:rPr>
        <w:t>9.1 市场价格波动引起的调整</w:t>
      </w:r>
    </w:p>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14:paraId="65577F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市场价格波动是否调整合同价格的约定：    </w:t>
      </w:r>
      <w:permStart w:id="131" w:edGrp="everyone"/>
      <w:r>
        <w:rPr>
          <w:rFonts w:hint="eastAsia" w:ascii="Times New Roman" w:hAnsi="Times New Roman" w:eastAsia="宋体" w:cs="Times New Roman"/>
          <w:sz w:val="28"/>
          <w:szCs w:val="28"/>
          <w:lang w:val="en-US" w:eastAsia="zh-CN"/>
        </w:rPr>
        <w:t xml:space="preserve">不调整 </w:t>
      </w:r>
      <w:permEnd w:id="131"/>
      <w:r>
        <w:rPr>
          <w:rFonts w:hint="eastAsia" w:ascii="Times New Roman" w:hAnsi="Times New Roman" w:eastAsia="宋体" w:cs="Times New Roman"/>
          <w:sz w:val="28"/>
          <w:szCs w:val="28"/>
          <w:lang w:val="en-US" w:eastAsia="zh-CN"/>
        </w:rPr>
        <w:t xml:space="preserve">   。</w:t>
      </w:r>
    </w:p>
    <w:bookmarkEnd w:id="489"/>
    <w:bookmarkEnd w:id="490"/>
    <w:bookmarkEnd w:id="491"/>
    <w:bookmarkEnd w:id="492"/>
    <w:bookmarkEnd w:id="493"/>
    <w:bookmarkEnd w:id="494"/>
    <w:p w14:paraId="68BFD32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02" w:name="_Toc292559410"/>
      <w:bookmarkStart w:id="603" w:name="_Toc297120505"/>
      <w:bookmarkStart w:id="604" w:name="_Toc296891245"/>
      <w:bookmarkStart w:id="605" w:name="_Toc296503205"/>
      <w:bookmarkStart w:id="606" w:name="_Toc296891033"/>
      <w:bookmarkStart w:id="607" w:name="_Toc297048391"/>
      <w:bookmarkStart w:id="608" w:name="_Toc296944544"/>
      <w:bookmarkStart w:id="609" w:name="_Toc292559915"/>
      <w:bookmarkStart w:id="610" w:name="_Toc296347204"/>
      <w:bookmarkStart w:id="611" w:name="_Toc296346706"/>
      <w:bookmarkStart w:id="612" w:name="_Toc351203644"/>
      <w:bookmarkStart w:id="613" w:name="_Toc303539159"/>
      <w:bookmarkStart w:id="614" w:name="_Toc312678040"/>
      <w:bookmarkStart w:id="615" w:name="_Toc297216211"/>
      <w:bookmarkStart w:id="616" w:name="_Toc300935002"/>
      <w:bookmarkStart w:id="617" w:name="_Toc304295579"/>
      <w:bookmarkStart w:id="618" w:name="_Toc297123552"/>
      <w:r>
        <w:rPr>
          <w:rFonts w:hint="eastAsia" w:ascii="Times New Roman" w:hAnsi="Times New Roman" w:eastAsia="宋体" w:cs="Times New Roman"/>
          <w:sz w:val="28"/>
          <w:szCs w:val="28"/>
          <w:lang w:val="en-US" w:eastAsia="zh-CN"/>
        </w:rPr>
        <w:t xml:space="preserve">10. </w:t>
      </w:r>
      <w:bookmarkEnd w:id="602"/>
      <w:bookmarkEnd w:id="603"/>
      <w:bookmarkEnd w:id="604"/>
      <w:bookmarkEnd w:id="605"/>
      <w:bookmarkEnd w:id="606"/>
      <w:bookmarkEnd w:id="607"/>
      <w:bookmarkEnd w:id="608"/>
      <w:bookmarkEnd w:id="609"/>
      <w:bookmarkEnd w:id="610"/>
      <w:bookmarkEnd w:id="611"/>
      <w:r>
        <w:rPr>
          <w:rFonts w:hint="eastAsia" w:ascii="Times New Roman" w:hAnsi="Times New Roman" w:eastAsia="宋体" w:cs="Times New Roman"/>
          <w:sz w:val="28"/>
          <w:szCs w:val="28"/>
          <w:lang w:val="en-US" w:eastAsia="zh-CN"/>
        </w:rPr>
        <w:t>合同价格、计量与支付</w:t>
      </w:r>
      <w:bookmarkEnd w:id="612"/>
    </w:p>
    <w:bookmarkEnd w:id="613"/>
    <w:bookmarkEnd w:id="614"/>
    <w:bookmarkEnd w:id="615"/>
    <w:bookmarkEnd w:id="616"/>
    <w:bookmarkEnd w:id="617"/>
    <w:bookmarkEnd w:id="618"/>
    <w:p w14:paraId="2213A0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19" w:name="_Toc267251461"/>
      <w:bookmarkStart w:id="620" w:name="_Toc292559916"/>
      <w:bookmarkStart w:id="621" w:name="_Toc292559411"/>
      <w:bookmarkStart w:id="622" w:name="_Toc296346707"/>
      <w:bookmarkStart w:id="623" w:name="_Toc296347205"/>
      <w:bookmarkStart w:id="624" w:name="_Toc297048392"/>
      <w:bookmarkStart w:id="625" w:name="_Toc296944545"/>
      <w:bookmarkStart w:id="626" w:name="_Toc296891034"/>
      <w:bookmarkStart w:id="627" w:name="_Toc297120506"/>
      <w:bookmarkStart w:id="628" w:name="_Toc296503206"/>
      <w:bookmarkStart w:id="629" w:name="_Toc296891246"/>
      <w:bookmarkStart w:id="630" w:name="_Toc303539160"/>
      <w:bookmarkStart w:id="631" w:name="_Toc297216212"/>
      <w:bookmarkStart w:id="632" w:name="_Toc312678041"/>
      <w:bookmarkStart w:id="633" w:name="_Toc300935003"/>
      <w:bookmarkStart w:id="634" w:name="_Toc297123553"/>
      <w:bookmarkStart w:id="635" w:name="_Toc304295580"/>
      <w:r>
        <w:rPr>
          <w:rFonts w:hint="eastAsia" w:ascii="Times New Roman" w:hAnsi="Times New Roman" w:eastAsia="宋体" w:cs="Times New Roman"/>
          <w:sz w:val="28"/>
          <w:szCs w:val="28"/>
          <w:lang w:val="en-US" w:eastAsia="zh-CN"/>
        </w:rPr>
        <w:t>10.1 合</w:t>
      </w:r>
      <w:bookmarkEnd w:id="619"/>
      <w:bookmarkEnd w:id="620"/>
      <w:bookmarkEnd w:id="621"/>
      <w:r>
        <w:rPr>
          <w:rFonts w:hint="eastAsia" w:ascii="Times New Roman" w:hAnsi="Times New Roman" w:eastAsia="宋体" w:cs="Times New Roman"/>
          <w:sz w:val="28"/>
          <w:szCs w:val="28"/>
          <w:lang w:val="en-US" w:eastAsia="zh-CN"/>
        </w:rPr>
        <w:t>同价</w:t>
      </w:r>
      <w:bookmarkEnd w:id="622"/>
      <w:bookmarkEnd w:id="623"/>
      <w:bookmarkEnd w:id="624"/>
      <w:bookmarkEnd w:id="625"/>
      <w:bookmarkEnd w:id="626"/>
      <w:bookmarkEnd w:id="627"/>
      <w:bookmarkEnd w:id="628"/>
      <w:bookmarkEnd w:id="629"/>
      <w:r>
        <w:rPr>
          <w:rFonts w:hint="eastAsia" w:ascii="Times New Roman" w:hAnsi="Times New Roman" w:eastAsia="宋体" w:cs="Times New Roman"/>
          <w:sz w:val="28"/>
          <w:szCs w:val="28"/>
          <w:lang w:val="en-US" w:eastAsia="zh-CN"/>
        </w:rPr>
        <w:t>格形式</w:t>
      </w:r>
    </w:p>
    <w:bookmarkEnd w:id="630"/>
    <w:bookmarkEnd w:id="631"/>
    <w:bookmarkEnd w:id="632"/>
    <w:bookmarkEnd w:id="633"/>
    <w:bookmarkEnd w:id="634"/>
    <w:bookmarkEnd w:id="635"/>
    <w:p w14:paraId="65F132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总价合同。</w:t>
      </w:r>
    </w:p>
    <w:p w14:paraId="712E0F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总价包含的风险范围：</w:t>
      </w:r>
      <w:permStart w:id="132" w:edGrp="everyone"/>
      <w:r>
        <w:rPr>
          <w:rFonts w:hint="eastAsia" w:ascii="Times New Roman" w:hAnsi="Times New Roman" w:eastAsia="宋体" w:cs="Times New Roman"/>
          <w:sz w:val="28"/>
          <w:szCs w:val="28"/>
          <w:lang w:val="en-US" w:eastAsia="zh-CN"/>
        </w:rPr>
        <w:t xml:space="preserve"> 人工、材料、机械费用、不可抗力等不做调整</w:t>
      </w:r>
    </w:p>
    <w:permEnd w:id="132"/>
    <w:p w14:paraId="0F0D54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风险范围以外合同价格的调整方法：</w:t>
      </w:r>
      <w:permStart w:id="133" w:edGrp="everyone"/>
      <w:r>
        <w:rPr>
          <w:rFonts w:hint="eastAsia" w:ascii="Times New Roman" w:hAnsi="Times New Roman" w:eastAsia="宋体" w:cs="Times New Roman"/>
          <w:sz w:val="28"/>
          <w:szCs w:val="28"/>
          <w:lang w:val="en-US" w:eastAsia="zh-CN"/>
        </w:rPr>
        <w:t xml:space="preserve">   见补充条款    。</w:t>
      </w:r>
      <w:permEnd w:id="133"/>
    </w:p>
    <w:p w14:paraId="0D647C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36" w:name="_Toc297123554"/>
      <w:bookmarkStart w:id="637" w:name="_Toc312678042"/>
      <w:bookmarkStart w:id="638" w:name="_Toc297216213"/>
      <w:bookmarkStart w:id="639" w:name="_Toc303539161"/>
      <w:bookmarkStart w:id="640" w:name="_Toc300935004"/>
      <w:bookmarkStart w:id="641" w:name="_Toc304295581"/>
      <w:bookmarkStart w:id="642" w:name="_Toc296891035"/>
      <w:bookmarkStart w:id="643" w:name="_Toc292559412"/>
      <w:bookmarkStart w:id="644" w:name="_Toc296503207"/>
      <w:bookmarkStart w:id="645" w:name="_Toc297120507"/>
      <w:bookmarkStart w:id="646" w:name="_Toc296347206"/>
      <w:bookmarkStart w:id="647" w:name="_Toc296891247"/>
      <w:bookmarkStart w:id="648" w:name="_Toc296944546"/>
      <w:bookmarkStart w:id="649" w:name="_Toc297048393"/>
      <w:bookmarkStart w:id="650" w:name="_Toc292559917"/>
      <w:bookmarkStart w:id="651" w:name="_Toc296346708"/>
      <w:r>
        <w:rPr>
          <w:rFonts w:hint="eastAsia" w:ascii="Times New Roman" w:hAnsi="Times New Roman" w:eastAsia="宋体" w:cs="Times New Roman"/>
          <w:sz w:val="28"/>
          <w:szCs w:val="28"/>
          <w:lang w:val="en-US" w:eastAsia="zh-CN"/>
        </w:rPr>
        <w:t>10.2 预付款</w:t>
      </w:r>
    </w:p>
    <w:bookmarkEnd w:id="636"/>
    <w:bookmarkEnd w:id="637"/>
    <w:bookmarkEnd w:id="638"/>
    <w:bookmarkEnd w:id="639"/>
    <w:bookmarkEnd w:id="640"/>
    <w:bookmarkEnd w:id="641"/>
    <w:p w14:paraId="630ECE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10.2.1 预付款的支付</w:t>
      </w:r>
    </w:p>
    <w:p w14:paraId="4A1EDC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预付款支付比例或金额：</w:t>
      </w:r>
      <w:permStart w:id="134" w:edGrp="everyone"/>
      <w:r>
        <w:rPr>
          <w:rFonts w:hint="eastAsia" w:ascii="Times New Roman" w:hAnsi="Times New Roman" w:eastAsia="宋体" w:cs="Times New Roman"/>
          <w:sz w:val="28"/>
          <w:szCs w:val="28"/>
          <w:lang w:val="en-US" w:eastAsia="zh-CN"/>
        </w:rPr>
        <w:t xml:space="preserve">            无预付款                。</w:t>
      </w:r>
      <w:permEnd w:id="134"/>
    </w:p>
    <w:bookmarkEnd w:id="642"/>
    <w:bookmarkEnd w:id="643"/>
    <w:bookmarkEnd w:id="644"/>
    <w:bookmarkEnd w:id="645"/>
    <w:bookmarkEnd w:id="646"/>
    <w:bookmarkEnd w:id="647"/>
    <w:bookmarkEnd w:id="648"/>
    <w:bookmarkEnd w:id="649"/>
    <w:bookmarkEnd w:id="650"/>
    <w:bookmarkEnd w:id="651"/>
    <w:p w14:paraId="1CF402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 计量</w:t>
      </w:r>
    </w:p>
    <w:p w14:paraId="580B09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10.3.1 计量原则</w:t>
      </w:r>
    </w:p>
    <w:p w14:paraId="3A7DB5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工程量计算规则： </w:t>
      </w:r>
      <w:permStart w:id="135" w:edGrp="everyone"/>
      <w:r>
        <w:rPr>
          <w:rFonts w:hint="eastAsia" w:ascii="Times New Roman" w:hAnsi="Times New Roman" w:eastAsia="宋体" w:cs="Times New Roman"/>
          <w:sz w:val="28"/>
          <w:szCs w:val="28"/>
          <w:lang w:val="en-US" w:eastAsia="zh-CN"/>
        </w:rPr>
        <w:t xml:space="preserve"> 按招标工程量清单及控制价所采用的工程量清单计价规范及配套文件等   。</w:t>
      </w:r>
    </w:p>
    <w:permEnd w:id="135"/>
    <w:p w14:paraId="03A29F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10.3.2 总价合同的计量</w:t>
      </w:r>
    </w:p>
    <w:p w14:paraId="10CDC3A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关于总价合同计量的约定：</w:t>
      </w:r>
      <w:permStart w:id="136" w:edGrp="everyone"/>
      <w:r>
        <w:rPr>
          <w:rFonts w:hint="eastAsia" w:ascii="Times New Roman" w:hAnsi="Times New Roman" w:eastAsia="宋体" w:cs="Times New Roman"/>
          <w:sz w:val="28"/>
          <w:szCs w:val="28"/>
          <w:lang w:val="en-US" w:eastAsia="zh-CN"/>
        </w:rPr>
        <w:t xml:space="preserve">   执行通用条款   。</w:t>
      </w:r>
      <w:permEnd w:id="136"/>
    </w:p>
    <w:p w14:paraId="40D687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 工程进度款支付</w:t>
      </w:r>
    </w:p>
    <w:p w14:paraId="011CD4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52" w:name="_Toc296891039"/>
      <w:bookmarkStart w:id="653" w:name="_Toc296944550"/>
      <w:bookmarkStart w:id="654" w:name="_Toc292559416"/>
      <w:bookmarkStart w:id="655" w:name="_Toc297123556"/>
      <w:bookmarkStart w:id="656" w:name="_Toc303539163"/>
      <w:bookmarkStart w:id="657" w:name="_Toc297120511"/>
      <w:bookmarkStart w:id="658" w:name="_Toc292559921"/>
      <w:bookmarkStart w:id="659" w:name="_Toc296346712"/>
      <w:bookmarkStart w:id="660" w:name="_Toc297048397"/>
      <w:bookmarkStart w:id="661" w:name="_Toc296347210"/>
      <w:bookmarkStart w:id="662" w:name="_Toc296891251"/>
      <w:bookmarkStart w:id="663" w:name="_Toc297216215"/>
      <w:bookmarkStart w:id="664" w:name="_Toc300935006"/>
      <w:bookmarkStart w:id="665" w:name="_Toc296503211"/>
      <w:r>
        <w:rPr>
          <w:rFonts w:hint="eastAsia" w:ascii="Times New Roman" w:hAnsi="Times New Roman" w:eastAsia="宋体" w:cs="Times New Roman"/>
          <w:sz w:val="28"/>
          <w:szCs w:val="28"/>
          <w:lang w:val="en-US" w:eastAsia="zh-CN"/>
        </w:rPr>
        <w:t>10.4.1 付款周期</w:t>
      </w:r>
    </w:p>
    <w:p w14:paraId="4A0EE7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本工程无预付款，施工完成经竣工验收合格支付已完合格工程审定价款的85%；工程结算审核完成，付至审定金额的97%；余款3%作为质量保证金，待工程质量缺陷责任期结束且无质量问题后，无息退还。</w:t>
      </w:r>
    </w:p>
    <w:p w14:paraId="38D0AA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由发包人委托有资质的审计单位对工程进行结算审核；审减率超过5%，超出部分产生的审计费用（注: 招标人付款前，（中标人应送审金额-审定金额*1.05)*0.05）由承包人承担。应由施工方承担的审计费用在竣工结算时，由发包人从工程款内直接扣除。</w:t>
      </w:r>
    </w:p>
    <w:p w14:paraId="79B410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注：招标人付款前，中标人应按照国家税收有关规定开具等额增值税专用发票，否则招标人有权暂停付款。</w:t>
      </w:r>
    </w:p>
    <w:p w14:paraId="0BD86A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10.4.2 进度付款申请单的编制</w:t>
      </w:r>
    </w:p>
    <w:p w14:paraId="088388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关于进度付款申请单编制的约定：</w:t>
      </w:r>
      <w:permStart w:id="137" w:edGrp="everyone"/>
      <w:r>
        <w:rPr>
          <w:rFonts w:hint="eastAsia" w:ascii="Times New Roman" w:hAnsi="Times New Roman" w:eastAsia="宋体" w:cs="Times New Roman"/>
          <w:sz w:val="28"/>
          <w:szCs w:val="28"/>
          <w:lang w:val="en-US" w:eastAsia="zh-CN"/>
        </w:rPr>
        <w:t xml:space="preserve">   执行通用条款   。</w:t>
      </w:r>
    </w:p>
    <w:permEnd w:id="137"/>
    <w:p w14:paraId="390A78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r>
        <w:rPr>
          <w:rFonts w:hint="eastAsia" w:ascii="Times New Roman" w:hAnsi="Times New Roman" w:eastAsia="宋体" w:cs="Times New Roman"/>
          <w:sz w:val="28"/>
          <w:szCs w:val="28"/>
          <w:lang w:val="en-US" w:eastAsia="zh-CN"/>
        </w:rPr>
        <w:t>0.4.3 进度付款申请单的提交</w:t>
      </w:r>
    </w:p>
    <w:p w14:paraId="61B947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（1）单价合同进度付款申请单提交的约定： </w:t>
      </w:r>
      <w:permStart w:id="138" w:edGrp="everyone"/>
      <w:r>
        <w:rPr>
          <w:rFonts w:hint="eastAsia" w:ascii="Times New Roman" w:hAnsi="Times New Roman" w:eastAsia="宋体" w:cs="Times New Roman"/>
          <w:sz w:val="28"/>
          <w:szCs w:val="28"/>
          <w:lang w:val="en-US" w:eastAsia="zh-CN"/>
        </w:rPr>
        <w:t xml:space="preserve">      /        。</w:t>
      </w:r>
    </w:p>
    <w:permEnd w:id="138"/>
    <w:p w14:paraId="1BF33C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（2）总价合同进度付款申请单提交的约定：</w:t>
      </w:r>
      <w:permStart w:id="139" w:edGrp="everyone"/>
      <w:r>
        <w:rPr>
          <w:rFonts w:hint="eastAsia" w:ascii="Times New Roman" w:hAnsi="Times New Roman" w:eastAsia="宋体" w:cs="Times New Roman"/>
          <w:sz w:val="28"/>
          <w:szCs w:val="28"/>
          <w:lang w:val="en-US" w:eastAsia="zh-CN"/>
        </w:rPr>
        <w:t xml:space="preserve">   执行通用条款   。</w:t>
      </w:r>
    </w:p>
    <w:permEnd w:id="139"/>
    <w:p w14:paraId="5D5C88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（3）其他价格形式合同进度付款申请单提交的约定：</w:t>
      </w:r>
      <w:permStart w:id="140" w:edGrp="everyone"/>
      <w:r>
        <w:rPr>
          <w:rFonts w:hint="eastAsia" w:ascii="Times New Roman" w:hAnsi="Times New Roman" w:eastAsia="宋体" w:cs="Times New Roman"/>
          <w:sz w:val="28"/>
          <w:szCs w:val="28"/>
          <w:lang w:val="en-US" w:eastAsia="zh-CN"/>
        </w:rPr>
        <w:t xml:space="preserve">    /     。</w:t>
      </w:r>
      <w:permEnd w:id="140"/>
    </w:p>
    <w:p w14:paraId="41E4B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10.4.4 进度款审核和支付</w:t>
      </w:r>
    </w:p>
    <w:p w14:paraId="7D76C3A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（1）监理人审查并报送发包人的期限：</w:t>
      </w:r>
      <w:permStart w:id="141" w:edGrp="everyone"/>
      <w:r>
        <w:rPr>
          <w:rFonts w:hint="eastAsia" w:ascii="Times New Roman" w:hAnsi="Times New Roman" w:eastAsia="宋体" w:cs="Times New Roman"/>
          <w:sz w:val="28"/>
          <w:szCs w:val="28"/>
          <w:lang w:val="en-US" w:eastAsia="zh-CN"/>
        </w:rPr>
        <w:t xml:space="preserve">   收到承包人进度付款申请单以及相关资料后14天内完成审查并报送发包人 。</w:t>
      </w:r>
      <w:permEnd w:id="141"/>
    </w:p>
    <w:p w14:paraId="503D25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发包人完成审批并签发进度款支付证书的期限：</w:t>
      </w:r>
      <w:permStart w:id="142" w:edGrp="everyone"/>
      <w:r>
        <w:rPr>
          <w:rFonts w:hint="eastAsia" w:ascii="Times New Roman" w:hAnsi="Times New Roman" w:eastAsia="宋体" w:cs="Times New Roman"/>
          <w:sz w:val="28"/>
          <w:szCs w:val="28"/>
          <w:lang w:val="en-US" w:eastAsia="zh-CN"/>
        </w:rPr>
        <w:t xml:space="preserve">  应在收到监理人报送的进度付款申请单及相关资料后14天内 。</w:t>
      </w:r>
    </w:p>
    <w:permEnd w:id="142"/>
    <w:p w14:paraId="54CBEA6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（2）发包人支付进度款的期限：</w:t>
      </w:r>
      <w:permStart w:id="143" w:edGrp="everyone"/>
      <w:r>
        <w:rPr>
          <w:rFonts w:hint="eastAsia" w:ascii="Times New Roman" w:hAnsi="Times New Roman" w:eastAsia="宋体" w:cs="Times New Roman"/>
          <w:sz w:val="28"/>
          <w:szCs w:val="28"/>
          <w:lang w:val="en-US" w:eastAsia="zh-CN"/>
        </w:rPr>
        <w:t>发包人应在进度款支付证书或临时进度款支付证书签发后42天内完成支付。</w:t>
      </w:r>
    </w:p>
    <w:permEnd w:id="143"/>
    <w:p w14:paraId="2DED95C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发包人逾期支付进度款的违约金的计算方式：</w:t>
      </w:r>
      <w:permStart w:id="144" w:edGrp="everyone"/>
      <w:r>
        <w:rPr>
          <w:rFonts w:hint="eastAsia" w:ascii="Times New Roman" w:hAnsi="Times New Roman" w:eastAsia="宋体" w:cs="Times New Roman"/>
          <w:sz w:val="28"/>
          <w:szCs w:val="28"/>
          <w:lang w:val="en-US" w:eastAsia="zh-CN"/>
        </w:rPr>
        <w:t xml:space="preserve">  应按照中国人民银行发布的同期同类贷款基准利率支付违约金(执行通用条款)  。</w:t>
      </w:r>
    </w:p>
    <w:permEnd w:id="144"/>
    <w:p w14:paraId="0E975A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10.4.5支付分解表的编制</w:t>
      </w:r>
    </w:p>
    <w:p w14:paraId="5F6BE9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1、总价合同支付分解表的编制与审批：</w:t>
      </w:r>
      <w:permStart w:id="145" w:edGrp="everyone"/>
      <w:r>
        <w:rPr>
          <w:rFonts w:hint="eastAsia" w:ascii="Times New Roman" w:hAnsi="Times New Roman" w:eastAsia="宋体" w:cs="Times New Roman"/>
          <w:sz w:val="28"/>
          <w:szCs w:val="28"/>
          <w:lang w:val="en-US" w:eastAsia="zh-CN"/>
        </w:rPr>
        <w:t xml:space="preserve">          /          。</w:t>
      </w:r>
      <w:permEnd w:id="145"/>
    </w:p>
    <w:p w14:paraId="49E632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2、单价合同的总价项目支付分解表的编制与审批：</w:t>
      </w:r>
      <w:permStart w:id="146" w:edGrp="everyone"/>
      <w:r>
        <w:rPr>
          <w:rFonts w:hint="eastAsia" w:ascii="Times New Roman" w:hAnsi="Times New Roman" w:eastAsia="宋体" w:cs="Times New Roman"/>
          <w:sz w:val="28"/>
          <w:szCs w:val="28"/>
          <w:lang w:val="en-US" w:eastAsia="zh-CN"/>
        </w:rPr>
        <w:t xml:space="preserve">    /        。</w:t>
      </w:r>
      <w:permEnd w:id="146"/>
    </w:p>
    <w:p w14:paraId="1F2436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10.4.6农民工工资管理</w:t>
      </w:r>
    </w:p>
    <w:bookmarkEnd w:id="495"/>
    <w:p w14:paraId="4B40ED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66" w:name="_Toc351203645"/>
      <w:bookmarkStart w:id="667" w:name="_Toc296347218"/>
      <w:bookmarkStart w:id="668" w:name="_Toc297120519"/>
      <w:bookmarkStart w:id="669" w:name="_Toc296503219"/>
      <w:bookmarkStart w:id="670" w:name="_Toc292559929"/>
      <w:bookmarkStart w:id="671" w:name="_Toc296891259"/>
      <w:bookmarkStart w:id="672" w:name="_Toc292559424"/>
      <w:bookmarkStart w:id="673" w:name="_Toc300935015"/>
      <w:bookmarkStart w:id="674" w:name="_Toc297048405"/>
      <w:bookmarkStart w:id="675" w:name="_Toc296944558"/>
      <w:bookmarkStart w:id="676" w:name="_Toc296346720"/>
      <w:bookmarkStart w:id="677" w:name="_Toc296891047"/>
      <w:bookmarkStart w:id="678" w:name="_Toc303539172"/>
      <w:bookmarkStart w:id="679" w:name="_Toc312678053"/>
      <w:bookmarkStart w:id="680" w:name="_Toc304295593"/>
      <w:bookmarkStart w:id="681" w:name="_Toc297216223"/>
      <w:bookmarkStart w:id="682" w:name="_Toc297123564"/>
      <w:r>
        <w:rPr>
          <w:rFonts w:hint="eastAsia" w:ascii="Times New Roman" w:hAnsi="Times New Roman" w:eastAsia="宋体" w:cs="Times New Roman"/>
          <w:sz w:val="28"/>
          <w:szCs w:val="28"/>
          <w:lang w:val="en-US" w:eastAsia="zh-CN"/>
        </w:rPr>
        <w:t xml:space="preserve">承包人提供农民工工资保证金的方式：支持以银行转账、纸质或电子形式的各类保函（保险） </w:t>
      </w:r>
    </w:p>
    <w:p w14:paraId="14E0EB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缴纳。</w:t>
      </w:r>
    </w:p>
    <w:p w14:paraId="13A443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缴纳金额比例及退还方式：按亳州市人社部门《关于转发〈安徽省工程建设领域农民工工资 </w:t>
      </w:r>
    </w:p>
    <w:p w14:paraId="1FC34F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保证金实施办法〉的通知》（亳人社发〔2022〕18 号）等相关规定执行。 </w:t>
      </w:r>
    </w:p>
    <w:p w14:paraId="22C07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承包人须确保农民工工资及时、足额支付。 </w:t>
      </w:r>
    </w:p>
    <w:p w14:paraId="4CEC6CF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验收和工程试车</w:t>
      </w:r>
      <w:bookmarkEnd w:id="666"/>
    </w:p>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p w14:paraId="251E5C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 分部分项工程验收</w:t>
      </w:r>
    </w:p>
    <w:p w14:paraId="18CA1A9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11.1.2监理人不能按时进行验收时，应提前</w:t>
      </w:r>
      <w:permStart w:id="147" w:edGrp="everyone"/>
      <w:r>
        <w:rPr>
          <w:rFonts w:hint="eastAsia" w:ascii="Times New Roman" w:hAnsi="Times New Roman" w:eastAsia="宋体" w:cs="Times New Roman"/>
          <w:sz w:val="28"/>
          <w:szCs w:val="28"/>
          <w:lang w:val="en-US" w:eastAsia="zh-CN"/>
        </w:rPr>
        <w:t xml:space="preserve">  24（执行通用条款）  </w:t>
      </w:r>
      <w:permEnd w:id="147"/>
      <w:r>
        <w:rPr>
          <w:rFonts w:hint="eastAsia" w:ascii="Times New Roman" w:hAnsi="Times New Roman" w:eastAsia="宋体" w:cs="Times New Roman"/>
          <w:sz w:val="28"/>
          <w:szCs w:val="28"/>
          <w:lang w:val="en-US" w:eastAsia="zh-CN"/>
        </w:rPr>
        <w:t>小时提交书面延期要求。</w:t>
      </w:r>
    </w:p>
    <w:p w14:paraId="1C6A5B7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48" w:edGrp="everyone"/>
      <w:r>
        <w:rPr>
          <w:rFonts w:hint="eastAsia" w:ascii="Times New Roman" w:hAnsi="Times New Roman" w:eastAsia="宋体" w:cs="Times New Roman"/>
          <w:sz w:val="28"/>
          <w:szCs w:val="28"/>
          <w:lang w:val="en-US" w:eastAsia="zh-CN"/>
        </w:rPr>
        <w:t>48（执行通用条款）</w:t>
      </w:r>
      <w:permEnd w:id="148"/>
      <w:r>
        <w:rPr>
          <w:rFonts w:hint="eastAsia" w:ascii="Times New Roman" w:hAnsi="Times New Roman" w:eastAsia="宋体" w:cs="Times New Roman"/>
          <w:sz w:val="28"/>
          <w:szCs w:val="28"/>
          <w:lang w:val="en-US" w:eastAsia="zh-CN"/>
        </w:rPr>
        <w:t>小时。</w:t>
      </w:r>
    </w:p>
    <w:p w14:paraId="374474F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83" w:name="_Toc292559933"/>
      <w:bookmarkStart w:id="684" w:name="_Toc297048409"/>
      <w:bookmarkStart w:id="685" w:name="_Toc296346724"/>
      <w:bookmarkStart w:id="686" w:name="_Toc296891051"/>
      <w:bookmarkStart w:id="687" w:name="_Toc297120523"/>
      <w:bookmarkStart w:id="688" w:name="_Toc296944562"/>
      <w:bookmarkStart w:id="689" w:name="_Toc296891263"/>
      <w:bookmarkStart w:id="690" w:name="_Toc303539173"/>
      <w:bookmarkStart w:id="691" w:name="_Toc300935016"/>
      <w:bookmarkStart w:id="692" w:name="_Toc297123565"/>
      <w:bookmarkStart w:id="693" w:name="_Toc296347222"/>
      <w:bookmarkStart w:id="694" w:name="_Toc312678056"/>
      <w:bookmarkStart w:id="695" w:name="_Toc292559428"/>
      <w:bookmarkStart w:id="696" w:name="_Toc304295596"/>
      <w:bookmarkStart w:id="697" w:name="_Toc296503223"/>
      <w:bookmarkStart w:id="698" w:name="_Toc297216224"/>
      <w:bookmarkStart w:id="699" w:name="_Toc267251475"/>
      <w:bookmarkStart w:id="700" w:name="_Toc267251476"/>
      <w:bookmarkStart w:id="701" w:name="_Toc267251474"/>
      <w:bookmarkStart w:id="702" w:name="_Toc267251471"/>
      <w:bookmarkStart w:id="703" w:name="_Toc267251470"/>
      <w:bookmarkStart w:id="704" w:name="_Toc267251472"/>
      <w:bookmarkStart w:id="705" w:name="_Toc267251473"/>
      <w:r>
        <w:rPr>
          <w:rFonts w:hint="eastAsia" w:ascii="Times New Roman" w:hAnsi="Times New Roman" w:eastAsia="宋体" w:cs="Times New Roman"/>
          <w:sz w:val="28"/>
          <w:szCs w:val="28"/>
          <w:lang w:val="en-US" w:eastAsia="zh-CN"/>
        </w:rPr>
        <w:t>11.2 竣工验收</w:t>
      </w:r>
    </w:p>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14:paraId="58482E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06" w:name="_Toc280868704"/>
      <w:bookmarkStart w:id="707" w:name="_Toc280868705"/>
      <w:bookmarkStart w:id="708" w:name="_Toc280868706"/>
      <w:bookmarkStart w:id="709" w:name="_Toc280868707"/>
      <w:bookmarkStart w:id="710" w:name="_Toc280868708"/>
      <w:bookmarkStart w:id="711" w:name="_Toc280868709"/>
      <w:r>
        <w:rPr>
          <w:rFonts w:hint="eastAsia" w:ascii="Times New Roman" w:hAnsi="Times New Roman" w:eastAsia="宋体" w:cs="Times New Roman"/>
          <w:sz w:val="28"/>
          <w:szCs w:val="28"/>
          <w:lang w:val="en-US" w:eastAsia="zh-CN"/>
        </w:rPr>
        <w:t>11.2.1竣工验收程序</w:t>
      </w:r>
    </w:p>
    <w:bookmarkEnd w:id="706"/>
    <w:p w14:paraId="642DC2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关于竣工验收程序的约定：</w:t>
      </w:r>
      <w:permStart w:id="149" w:edGrp="everyone"/>
      <w:r>
        <w:rPr>
          <w:rFonts w:hint="eastAsia" w:ascii="Times New Roman" w:hAnsi="Times New Roman" w:eastAsia="宋体" w:cs="Times New Roman"/>
          <w:sz w:val="28"/>
          <w:szCs w:val="28"/>
          <w:lang w:val="en-US" w:eastAsia="zh-CN"/>
        </w:rPr>
        <w:t xml:space="preserve">   执行通用条款   。</w:t>
      </w:r>
      <w:permEnd w:id="149"/>
    </w:p>
    <w:p w14:paraId="4A7CC0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发包人不按照本项约定组织竣工验收、颁发工程接收证书的违约金的计算方法：</w:t>
      </w:r>
      <w:bookmarkEnd w:id="707"/>
      <w:permStart w:id="150" w:edGrp="everyone"/>
      <w:r>
        <w:rPr>
          <w:rFonts w:hint="eastAsia" w:ascii="Times New Roman" w:hAnsi="Times New Roman" w:eastAsia="宋体" w:cs="Times New Roman"/>
          <w:sz w:val="28"/>
          <w:szCs w:val="28"/>
          <w:lang w:val="en-US" w:eastAsia="zh-CN"/>
        </w:rPr>
        <w:t>\</w:t>
      </w:r>
    </w:p>
    <w:permEnd w:id="150"/>
    <w:p w14:paraId="2F014D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11.2.2移交、接收全部与部分工程</w:t>
      </w:r>
    </w:p>
    <w:bookmarkEnd w:id="708"/>
    <w:p w14:paraId="5FF81A4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承包人向发包人移交工程的期限： </w:t>
      </w:r>
      <w:permStart w:id="151" w:edGrp="everyone"/>
      <w:r>
        <w:rPr>
          <w:rFonts w:hint="eastAsia" w:ascii="Times New Roman" w:hAnsi="Times New Roman" w:eastAsia="宋体" w:cs="Times New Roman"/>
          <w:sz w:val="28"/>
          <w:szCs w:val="28"/>
          <w:lang w:val="en-US" w:eastAsia="zh-CN"/>
        </w:rPr>
        <w:t xml:space="preserve"> 颁发工程接收证书后7天内完成工程的移交（执行通用条款）   。</w:t>
      </w:r>
    </w:p>
    <w:permEnd w:id="151"/>
    <w:p w14:paraId="4C1571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发包人未按本合同约定接收全部或部分工程的，违约金的计算方法为：</w:t>
      </w:r>
      <w:bookmarkEnd w:id="709"/>
      <w:permStart w:id="152" w:edGrp="everyone"/>
      <w:r>
        <w:rPr>
          <w:rFonts w:hint="eastAsia" w:ascii="Times New Roman" w:hAnsi="Times New Roman" w:eastAsia="宋体" w:cs="Times New Roman"/>
          <w:sz w:val="28"/>
          <w:szCs w:val="28"/>
          <w:lang w:val="en-US" w:eastAsia="zh-CN"/>
        </w:rPr>
        <w:t>发包人自应当接收工程之日起，承担工程照管、成品保护、保管等与工程有关的各项费用（执行通用条款） 。</w:t>
      </w:r>
      <w:permEnd w:id="152"/>
    </w:p>
    <w:p w14:paraId="6D9E2C2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承包人未按时移交工程的，违约金的计算方法为：  </w:t>
      </w:r>
      <w:permStart w:id="153" w:edGrp="everyone"/>
      <w:r>
        <w:rPr>
          <w:rFonts w:hint="eastAsia" w:ascii="Times New Roman" w:hAnsi="Times New Roman" w:eastAsia="宋体" w:cs="Times New Roman"/>
          <w:sz w:val="28"/>
          <w:szCs w:val="28"/>
          <w:lang w:val="en-US" w:eastAsia="zh-CN"/>
        </w:rPr>
        <w:t>承包人应承担工程照管、成品保护、保管等与工程有关的各项费用（执行通用条款） 。</w:t>
      </w:r>
      <w:permEnd w:id="153"/>
    </w:p>
    <w:bookmarkEnd w:id="710"/>
    <w:p w14:paraId="6811A6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2" w:name="_Toc351203646"/>
      <w:r>
        <w:rPr>
          <w:rFonts w:hint="eastAsia" w:ascii="Times New Roman" w:hAnsi="Times New Roman" w:eastAsia="宋体" w:cs="Times New Roman"/>
          <w:sz w:val="28"/>
          <w:szCs w:val="28"/>
          <w:lang w:val="en-US" w:eastAsia="zh-CN"/>
        </w:rPr>
        <w:t>12. 竣工结算</w:t>
      </w:r>
      <w:bookmarkEnd w:id="712"/>
    </w:p>
    <w:p w14:paraId="082387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12.1 竣工结算申请</w:t>
      </w:r>
    </w:p>
    <w:p w14:paraId="562306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承包人提交竣工结算申请单的期限：</w:t>
      </w:r>
      <w:permStart w:id="154" w:edGrp="everyone"/>
      <w:r>
        <w:rPr>
          <w:rFonts w:hint="eastAsia" w:ascii="Times New Roman" w:hAnsi="Times New Roman" w:eastAsia="宋体" w:cs="Times New Roman"/>
          <w:sz w:val="28"/>
          <w:szCs w:val="28"/>
          <w:lang w:val="en-US" w:eastAsia="zh-CN"/>
        </w:rPr>
        <w:t xml:space="preserve">   承包人提交的竣工验收报告和完整的竣工资料被发包人认可后 90 日历天内,向发包人递交竣工结算报告和完整的竣工结算资料 。</w:t>
      </w:r>
    </w:p>
    <w:p w14:paraId="18B22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ermEnd w:id="154"/>
    <w:p w14:paraId="04B859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竣工结算申请单应包括的内容：</w:t>
      </w:r>
      <w:permStart w:id="155" w:edGrp="everyone"/>
      <w:r>
        <w:rPr>
          <w:rFonts w:hint="eastAsia" w:ascii="Times New Roman" w:hAnsi="Times New Roman" w:eastAsia="宋体" w:cs="Times New Roman"/>
          <w:sz w:val="28"/>
          <w:szCs w:val="28"/>
          <w:lang w:val="en-US" w:eastAsia="zh-CN"/>
        </w:rPr>
        <w:t xml:space="preserve">  执行通用条款   。</w:t>
      </w:r>
      <w:permEnd w:id="155"/>
    </w:p>
    <w:p w14:paraId="2F5A61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12.2 竣工结算审核</w:t>
      </w:r>
    </w:p>
    <w:p w14:paraId="396A66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发包人审批竣工付款申请单的期限：  </w:t>
      </w:r>
      <w:permStart w:id="156" w:edGrp="everyone"/>
      <w:r>
        <w:rPr>
          <w:rFonts w:hint="eastAsia" w:ascii="Times New Roman" w:hAnsi="Times New Roman" w:eastAsia="宋体" w:cs="Times New Roman"/>
          <w:sz w:val="28"/>
          <w:szCs w:val="28"/>
          <w:lang w:val="en-US" w:eastAsia="zh-CN"/>
        </w:rPr>
        <w:t xml:space="preserve"> 发包人完成竣工结算定案后，发包人委托的审计单位出具审计报告后，承包人再上报竣工付款申请单30日内。</w:t>
      </w:r>
    </w:p>
    <w:permEnd w:id="156"/>
    <w:p w14:paraId="41DDEF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发包人完成竣工付款的期限：</w:t>
      </w:r>
      <w:permStart w:id="157" w:edGrp="everyone"/>
      <w:r>
        <w:rPr>
          <w:rFonts w:hint="eastAsia" w:ascii="Times New Roman" w:hAnsi="Times New Roman" w:eastAsia="宋体" w:cs="Times New Roman"/>
          <w:sz w:val="28"/>
          <w:szCs w:val="28"/>
          <w:lang w:val="en-US" w:eastAsia="zh-CN"/>
        </w:rPr>
        <w:t>发包人应在承包人提交竣工付款申请单14天内签发竣工付款证书，并在签发竣工付款证书后90天内完成对承包人的竣工付款。</w:t>
      </w:r>
      <w:permEnd w:id="157"/>
    </w:p>
    <w:p w14:paraId="7A45CB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关于竣工付款证书异议部分复核的方式和程序： </w:t>
      </w:r>
      <w:permStart w:id="158" w:edGrp="everyone"/>
      <w:r>
        <w:rPr>
          <w:rFonts w:hint="eastAsia" w:ascii="Times New Roman" w:hAnsi="Times New Roman" w:eastAsia="宋体" w:cs="Times New Roman"/>
          <w:sz w:val="28"/>
          <w:szCs w:val="28"/>
          <w:lang w:val="en-US" w:eastAsia="zh-CN"/>
        </w:rPr>
        <w:t xml:space="preserve"> 执行通用条款  </w:t>
      </w:r>
      <w:permEnd w:id="158"/>
      <w:r>
        <w:rPr>
          <w:rFonts w:hint="eastAsia" w:ascii="Times New Roman" w:hAnsi="Times New Roman" w:eastAsia="宋体" w:cs="Times New Roman"/>
          <w:sz w:val="28"/>
          <w:szCs w:val="28"/>
          <w:lang w:val="en-US" w:eastAsia="zh-CN"/>
        </w:rPr>
        <w:t>。</w:t>
      </w:r>
    </w:p>
    <w:p w14:paraId="62ABA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 最终结清</w:t>
      </w:r>
    </w:p>
    <w:p w14:paraId="6F596D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12.3.1 最终结清申请单</w:t>
      </w:r>
    </w:p>
    <w:p w14:paraId="54BA7B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承包人提交最终结清申请单的份数：</w:t>
      </w:r>
      <w:permStart w:id="15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6份 </w:t>
      </w:r>
      <w:r>
        <w:rPr>
          <w:rFonts w:hint="eastAsia" w:ascii="Times New Roman" w:hAnsi="Times New Roman" w:eastAsia="宋体" w:cs="Times New Roman"/>
          <w:sz w:val="28"/>
          <w:szCs w:val="28"/>
          <w:lang w:val="en-US" w:eastAsia="zh-CN"/>
        </w:rPr>
        <w:t xml:space="preserve">   。</w:t>
      </w:r>
      <w:permEnd w:id="159"/>
    </w:p>
    <w:p w14:paraId="112557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承包人提交最终结算申请单的期限：</w:t>
      </w:r>
      <w:permStart w:id="160" w:edGrp="everyone"/>
      <w:r>
        <w:rPr>
          <w:rFonts w:hint="eastAsia" w:ascii="Times New Roman" w:hAnsi="Times New Roman" w:eastAsia="宋体" w:cs="Times New Roman"/>
          <w:sz w:val="28"/>
          <w:szCs w:val="28"/>
          <w:lang w:val="en-US" w:eastAsia="zh-CN"/>
        </w:rPr>
        <w:t xml:space="preserve">   缺陷责任期终止证书颁发后7天内（执行通用条款） 。  </w:t>
      </w:r>
      <w:permEnd w:id="160"/>
    </w:p>
    <w:p w14:paraId="608F5A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12.3.2 最终结清证书和支付</w:t>
      </w:r>
    </w:p>
    <w:p w14:paraId="76A02B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（1）发包人完成最终结清申请单的审批并颁发最终结清证书的期限：</w:t>
      </w:r>
      <w:permStart w:id="161" w:edGrp="everyone"/>
      <w:r>
        <w:rPr>
          <w:rFonts w:hint="eastAsia" w:ascii="Times New Roman" w:hAnsi="Times New Roman" w:eastAsia="宋体" w:cs="Times New Roman"/>
          <w:sz w:val="28"/>
          <w:szCs w:val="28"/>
          <w:lang w:val="en-US" w:eastAsia="zh-CN"/>
        </w:rPr>
        <w:t>收到承包人提交的最终结清申请单后28天内（执行通用条款）  。</w:t>
      </w:r>
    </w:p>
    <w:permEnd w:id="161"/>
    <w:p w14:paraId="79B7CC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（2）发包人完成支付的期限：</w:t>
      </w:r>
      <w:permStart w:id="162" w:edGrp="everyone"/>
      <w:r>
        <w:rPr>
          <w:rFonts w:hint="eastAsia" w:ascii="Times New Roman" w:hAnsi="Times New Roman" w:eastAsia="宋体" w:cs="Times New Roman"/>
          <w:sz w:val="28"/>
          <w:szCs w:val="28"/>
          <w:lang w:val="en-US" w:eastAsia="zh-CN"/>
        </w:rPr>
        <w:t xml:space="preserve">  颁发最终结清证书后28天内完成支付（执行通用条款  。</w:t>
      </w:r>
      <w:permEnd w:id="162"/>
    </w:p>
    <w:bookmarkEnd w:id="699"/>
    <w:bookmarkEnd w:id="700"/>
    <w:bookmarkEnd w:id="701"/>
    <w:bookmarkEnd w:id="702"/>
    <w:bookmarkEnd w:id="703"/>
    <w:bookmarkEnd w:id="704"/>
    <w:bookmarkEnd w:id="705"/>
    <w:bookmarkEnd w:id="711"/>
    <w:p w14:paraId="1B1A4B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3" w:name="_Toc351203647"/>
      <w:bookmarkStart w:id="714" w:name="_Toc267251483"/>
      <w:bookmarkStart w:id="715" w:name="_Toc267251482"/>
      <w:bookmarkStart w:id="716" w:name="_Toc267251484"/>
      <w:bookmarkStart w:id="717" w:name="_Toc267251485"/>
      <w:bookmarkStart w:id="718" w:name="_Toc267251488"/>
      <w:bookmarkStart w:id="719" w:name="_Toc267251490"/>
      <w:bookmarkStart w:id="720" w:name="_Toc267251489"/>
      <w:bookmarkStart w:id="721" w:name="_Toc267251486"/>
      <w:bookmarkStart w:id="722" w:name="_Toc267251493"/>
      <w:bookmarkStart w:id="723" w:name="_Toc267251503"/>
      <w:bookmarkStart w:id="724" w:name="_Toc267251502"/>
      <w:bookmarkStart w:id="725" w:name="_Toc267251495"/>
      <w:bookmarkStart w:id="726" w:name="_Toc267251492"/>
      <w:bookmarkStart w:id="727" w:name="_Toc267251491"/>
      <w:bookmarkStart w:id="728" w:name="_Toc267251498"/>
      <w:bookmarkStart w:id="729" w:name="_Toc267251499"/>
      <w:bookmarkStart w:id="730" w:name="_Toc267251497"/>
      <w:bookmarkStart w:id="731" w:name="_Toc267251496"/>
      <w:bookmarkStart w:id="732" w:name="_Toc267251494"/>
      <w:bookmarkStart w:id="733" w:name="_Toc267251501"/>
      <w:bookmarkStart w:id="734" w:name="_Toc267251504"/>
      <w:bookmarkStart w:id="735" w:name="_Toc267251506"/>
      <w:bookmarkStart w:id="736" w:name="_Toc267251507"/>
      <w:bookmarkStart w:id="737" w:name="_Toc267251508"/>
      <w:bookmarkStart w:id="738" w:name="_Toc267251511"/>
      <w:bookmarkStart w:id="739" w:name="_Toc267251514"/>
      <w:bookmarkStart w:id="740" w:name="_Toc267251513"/>
      <w:bookmarkStart w:id="741" w:name="_Toc267251515"/>
      <w:bookmarkStart w:id="742" w:name="_Toc267251510"/>
      <w:bookmarkStart w:id="743" w:name="_Toc267251509"/>
      <w:r>
        <w:rPr>
          <w:rFonts w:hint="eastAsia" w:ascii="Times New Roman" w:hAnsi="Times New Roman" w:eastAsia="宋体" w:cs="Times New Roman"/>
          <w:sz w:val="28"/>
          <w:szCs w:val="28"/>
          <w:lang w:val="en-US" w:eastAsia="zh-CN"/>
        </w:rPr>
        <w:t>13. 缺陷责任期与保修</w:t>
      </w:r>
      <w:bookmarkEnd w:id="713"/>
    </w:p>
    <w:p w14:paraId="5ADCF6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13.1缺陷责任期</w:t>
      </w:r>
      <w:bookmarkEnd w:id="714"/>
    </w:p>
    <w:p w14:paraId="69E508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缺陷责任期的具体期限：工程竣工验收合格后</w:t>
      </w:r>
      <w:permStart w:id="163" w:edGrp="everyone"/>
      <w:r>
        <w:rPr>
          <w:rFonts w:hint="eastAsia" w:ascii="Times New Roman" w:hAnsi="Times New Roman" w:eastAsia="宋体" w:cs="Times New Roman"/>
          <w:sz w:val="28"/>
          <w:szCs w:val="28"/>
          <w:lang w:val="en-US" w:eastAsia="zh-CN"/>
        </w:rPr>
        <w:t>24个月。</w:t>
      </w:r>
      <w:permEnd w:id="163"/>
    </w:p>
    <w:p w14:paraId="127213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 质量保证金</w:t>
      </w:r>
    </w:p>
    <w:p w14:paraId="3D61A0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关于是否扣留质量保证金的约定：</w:t>
      </w:r>
      <w:permStart w:id="164" w:edGrp="everyone"/>
      <w:r>
        <w:rPr>
          <w:rFonts w:hint="eastAsia" w:ascii="Times New Roman" w:hAnsi="Times New Roman" w:eastAsia="宋体" w:cs="Times New Roman"/>
          <w:sz w:val="28"/>
          <w:szCs w:val="28"/>
          <w:lang w:val="en-US" w:eastAsia="zh-CN"/>
        </w:rPr>
        <w:t xml:space="preserve">  工程竣工结算时一次性扣留合同金额的3%_作为质量保证金，待工程质量缺陷责任期结束且无质量问题后，无息退还 。</w:t>
      </w:r>
      <w:permEnd w:id="164"/>
    </w:p>
    <w:p w14:paraId="654551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在工程项目竣工前，承包人按专用合同条款第3.7条提供履约担保的，发包人不得同时预留工程质量保证金。</w:t>
      </w:r>
    </w:p>
    <w:p w14:paraId="2F41AE7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13.2.1 承包人提供质量保证金的方式</w:t>
      </w:r>
    </w:p>
    <w:p w14:paraId="05CEE4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质量保证金采用以下第 </w:t>
      </w:r>
      <w:permStart w:id="165" w:edGrp="everyone"/>
      <w:r>
        <w:rPr>
          <w:rFonts w:hint="eastAsia" w:ascii="Times New Roman" w:hAnsi="Times New Roman" w:eastAsia="宋体" w:cs="Times New Roman"/>
          <w:sz w:val="28"/>
          <w:szCs w:val="28"/>
          <w:lang w:val="en-US" w:eastAsia="zh-CN"/>
        </w:rPr>
        <w:t xml:space="preserve"> （2） </w:t>
      </w:r>
      <w:permEnd w:id="165"/>
      <w:r>
        <w:rPr>
          <w:rFonts w:hint="eastAsia" w:ascii="Times New Roman" w:hAnsi="Times New Roman" w:eastAsia="宋体" w:cs="Times New Roman"/>
          <w:sz w:val="28"/>
          <w:szCs w:val="28"/>
          <w:lang w:val="en-US" w:eastAsia="zh-CN"/>
        </w:rPr>
        <w:t>种方式：</w:t>
      </w:r>
    </w:p>
    <w:p w14:paraId="6D30F5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（1）质量保证金保函，保证金额为</w:t>
      </w:r>
      <w:permStart w:id="166" w:edGrp="everyone"/>
      <w:r>
        <w:rPr>
          <w:rFonts w:hint="eastAsia" w:ascii="Times New Roman" w:hAnsi="Times New Roman" w:eastAsia="宋体" w:cs="Times New Roman"/>
          <w:sz w:val="28"/>
          <w:szCs w:val="28"/>
          <w:lang w:val="en-US" w:eastAsia="zh-CN"/>
        </w:rPr>
        <w:t xml:space="preserve">：     3%的合同金额         </w:t>
      </w:r>
      <w:permEnd w:id="166"/>
      <w:r>
        <w:rPr>
          <w:rFonts w:hint="eastAsia" w:ascii="Times New Roman" w:hAnsi="Times New Roman" w:eastAsia="宋体" w:cs="Times New Roman"/>
          <w:sz w:val="28"/>
          <w:szCs w:val="28"/>
          <w:lang w:val="en-US" w:eastAsia="zh-CN"/>
        </w:rPr>
        <w:t xml:space="preserve">； </w:t>
      </w:r>
    </w:p>
    <w:p w14:paraId="0A45DE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w:t>
      </w:r>
      <w:permStart w:id="167" w:edGrp="everyone"/>
      <w:r>
        <w:rPr>
          <w:rFonts w:hint="eastAsia" w:ascii="Times New Roman" w:hAnsi="Times New Roman" w:eastAsia="宋体" w:cs="Times New Roman"/>
          <w:sz w:val="28"/>
          <w:szCs w:val="28"/>
          <w:lang w:val="en-US" w:eastAsia="zh-CN"/>
        </w:rPr>
        <w:t xml:space="preserve">   3   %</w:t>
      </w:r>
      <w:permEnd w:id="167"/>
      <w:r>
        <w:rPr>
          <w:rFonts w:hint="eastAsia" w:ascii="Times New Roman" w:hAnsi="Times New Roman" w:eastAsia="宋体" w:cs="Times New Roman"/>
          <w:sz w:val="28"/>
          <w:szCs w:val="28"/>
          <w:lang w:val="en-US" w:eastAsia="zh-CN"/>
        </w:rPr>
        <w:t>的合同金额；</w:t>
      </w:r>
    </w:p>
    <w:p w14:paraId="356B24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（3）其他方式:</w:t>
      </w:r>
      <w:permStart w:id="168"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
    <w:permEnd w:id="168"/>
    <w:p w14:paraId="6A68C1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13.2.2 质量保证金的扣留 </w:t>
      </w:r>
    </w:p>
    <w:p w14:paraId="4FD522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质量保证金的扣留采取以下第</w:t>
      </w:r>
      <w:permStart w:id="169" w:edGrp="everyone"/>
      <w:r>
        <w:rPr>
          <w:rFonts w:hint="eastAsia" w:ascii="Times New Roman" w:hAnsi="Times New Roman" w:eastAsia="宋体" w:cs="Times New Roman"/>
          <w:sz w:val="28"/>
          <w:szCs w:val="28"/>
          <w:lang w:val="en-US" w:eastAsia="zh-CN"/>
        </w:rPr>
        <w:t xml:space="preserve">  （2） </w:t>
      </w:r>
      <w:permEnd w:id="169"/>
      <w:r>
        <w:rPr>
          <w:rFonts w:hint="eastAsia" w:ascii="Times New Roman" w:hAnsi="Times New Roman" w:eastAsia="宋体" w:cs="Times New Roman"/>
          <w:sz w:val="28"/>
          <w:szCs w:val="28"/>
          <w:lang w:val="en-US" w:eastAsia="zh-CN"/>
        </w:rPr>
        <w:t>种方式：</w:t>
      </w:r>
    </w:p>
    <w:p w14:paraId="3EA2D6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（1）在支付工程进度款时逐次扣留，在此情形下，质量保证金的计算基数不包括预付款的支付、扣回以及价格调整的金额；</w:t>
      </w:r>
    </w:p>
    <w:p w14:paraId="081B03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（2）工程竣工结算时一次性扣留质量保证金；</w:t>
      </w:r>
    </w:p>
    <w:p w14:paraId="0F5E7C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（3）其他扣留方式:</w:t>
      </w:r>
      <w:permStart w:id="170"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ermEnd w:id="170"/>
      <w:r>
        <w:rPr>
          <w:rFonts w:hint="eastAsia" w:ascii="Times New Roman" w:hAnsi="Times New Roman" w:eastAsia="宋体" w:cs="Times New Roman"/>
          <w:sz w:val="28"/>
          <w:szCs w:val="28"/>
          <w:lang w:val="en-US" w:eastAsia="zh-CN"/>
        </w:rPr>
        <w:t>。</w:t>
      </w:r>
    </w:p>
    <w:p w14:paraId="36CA05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关于质量保证金的补充约定：</w:t>
      </w:r>
      <w:bookmarkEnd w:id="715"/>
      <w:bookmarkEnd w:id="716"/>
      <w:permStart w:id="171" w:edGrp="everyone"/>
      <w:r>
        <w:rPr>
          <w:rFonts w:hint="eastAsia" w:ascii="Times New Roman" w:hAnsi="Times New Roman" w:eastAsia="宋体" w:cs="Times New Roman"/>
          <w:sz w:val="28"/>
          <w:szCs w:val="28"/>
          <w:lang w:val="en-US" w:eastAsia="zh-CN"/>
        </w:rPr>
        <w:t>（1）工程竣工验收合格之日起在规定保质期截止日内无质量问题，缺陷责任期满后全部返还工程质量保修金；（2） 如果在规定质保期截止日内存在质量问题，待质量问题修复，顺延一年后，经检验合格，全部返还工程质量保修金；如仍存在质量问题按有关法律法规的规定解决。（3） 工程质量保修金不计利息。</w:t>
      </w:r>
    </w:p>
    <w:permEnd w:id="171"/>
    <w:p w14:paraId="7F4850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13.3保修</w:t>
      </w:r>
    </w:p>
    <w:bookmarkEnd w:id="717"/>
    <w:p w14:paraId="1436E81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13.3.1 保修责任</w:t>
      </w:r>
    </w:p>
    <w:p w14:paraId="197390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工程保修期为：</w:t>
      </w:r>
      <w:permStart w:id="172" w:edGrp="everyone"/>
      <w:r>
        <w:rPr>
          <w:rFonts w:hint="eastAsia" w:ascii="Times New Roman" w:hAnsi="Times New Roman" w:eastAsia="宋体" w:cs="Times New Roman"/>
          <w:sz w:val="28"/>
          <w:szCs w:val="28"/>
          <w:lang w:val="en-US" w:eastAsia="zh-CN"/>
        </w:rPr>
        <w:t xml:space="preserve">  (一)基础设施工程、房屋建筑的地基基础工程和主体结构工程，为设计文件规定的该工程的合理使用年限；</w:t>
      </w:r>
    </w:p>
    <w:p w14:paraId="017D60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(二)屋面防水工程、有防水要求的卫生间、房间和外墙面的防渗漏，为 5年；</w:t>
      </w:r>
    </w:p>
    <w:p w14:paraId="41E2F1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(三)供热与供冷系统，为 2个采暖期、供冷期；</w:t>
      </w:r>
    </w:p>
    <w:p w14:paraId="3A665B7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(四)电气管线、给排水管道、设备安装和装修工程，为 2 年。 </w:t>
      </w:r>
      <w:permEnd w:id="172"/>
    </w:p>
    <w:p w14:paraId="03D0E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13.3.2 修复通知</w:t>
      </w:r>
    </w:p>
    <w:p w14:paraId="0057E8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承包人收到保修通知并到达工程现场的合理时间：</w:t>
      </w:r>
      <w:bookmarkEnd w:id="718"/>
      <w:bookmarkEnd w:id="719"/>
      <w:bookmarkEnd w:id="720"/>
      <w:bookmarkEnd w:id="721"/>
      <w:permStart w:id="173" w:edGrp="everyone"/>
      <w:bookmarkStart w:id="744" w:name="_Toc351203648"/>
      <w:bookmarkStart w:id="745" w:name="_Toc280868717"/>
      <w:bookmarkStart w:id="746" w:name="_Toc280868718"/>
      <w:r>
        <w:rPr>
          <w:rFonts w:hint="eastAsia" w:ascii="Times New Roman" w:hAnsi="Times New Roman" w:eastAsia="宋体" w:cs="Times New Roman"/>
          <w:sz w:val="28"/>
          <w:szCs w:val="28"/>
          <w:lang w:val="en-US" w:eastAsia="zh-CN"/>
        </w:rPr>
        <w:t>接到口头或书面通知后24小时内。</w:t>
      </w:r>
    </w:p>
    <w:permEnd w:id="173"/>
    <w:p w14:paraId="477B729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违约</w:t>
      </w:r>
      <w:bookmarkEnd w:id="744"/>
    </w:p>
    <w:p w14:paraId="65E8B7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 发包人违约</w:t>
      </w:r>
    </w:p>
    <w:p w14:paraId="2BD634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14.1.1发包人违约的情形</w:t>
      </w:r>
    </w:p>
    <w:p w14:paraId="53B466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发包人违约的其他情形： </w:t>
      </w:r>
      <w:permStart w:id="174"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74"/>
      <w:r>
        <w:rPr>
          <w:rFonts w:hint="eastAsia" w:ascii="Times New Roman" w:hAnsi="Times New Roman" w:eastAsia="宋体" w:cs="Times New Roman"/>
          <w:sz w:val="28"/>
          <w:szCs w:val="28"/>
          <w:lang w:val="en-US" w:eastAsia="zh-CN"/>
        </w:rPr>
        <w:t>。</w:t>
      </w:r>
    </w:p>
    <w:p w14:paraId="4ABEC8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14.1.2 发包人违约的责任</w:t>
      </w:r>
    </w:p>
    <w:p w14:paraId="142529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14.2 承包人违约</w:t>
      </w:r>
    </w:p>
    <w:p w14:paraId="70AE5F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7" w:name="_Toc351203649"/>
      <w:r>
        <w:rPr>
          <w:rFonts w:hint="eastAsia" w:ascii="Times New Roman" w:hAnsi="Times New Roman" w:eastAsia="宋体" w:cs="Times New Roman"/>
          <w:sz w:val="28"/>
          <w:szCs w:val="28"/>
          <w:lang w:val="en-US" w:eastAsia="zh-CN"/>
        </w:rPr>
        <w:t xml:space="preserve">14.2.1 承包人违约的情形 </w:t>
      </w:r>
    </w:p>
    <w:p w14:paraId="6C8D5E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承包人违约的其他情形：劳动力、材料、设备投入计划不能按投标文件中的承诺到场；更换项目班子管理人员或项目班子管理人员在施工期间不积极到位履行职责等。 </w:t>
      </w:r>
    </w:p>
    <w:p w14:paraId="0667C9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14.2.2 承包人违约的责任 </w:t>
      </w:r>
    </w:p>
    <w:p w14:paraId="56A454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责任的承担方式和计算方法：因承包人原因造成工程质量不合格的，承包人应无条件修复达到合同约定的质量标准；无法维修的，双方协商处理。发生该条违约时，发包人有权停止支付所有工程款项，不退还履约担保。 </w:t>
      </w:r>
    </w:p>
    <w:p w14:paraId="794FF4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14:paraId="0B5D82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（1）如更换项目经理，须向发包人支付违约金 5 万元/人次； </w:t>
      </w:r>
    </w:p>
    <w:p w14:paraId="1D643A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（2）如更换技术负责人，须向发包人支付违约金 3 万元/人次； </w:t>
      </w:r>
    </w:p>
    <w:p w14:paraId="292CA2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（3）更换其他管理人员，须向发包人支付违约金 2万元/人次。 </w:t>
      </w:r>
    </w:p>
    <w:p w14:paraId="3061AD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 </w:t>
      </w:r>
    </w:p>
    <w:p w14:paraId="2E438A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承包人其他违约责任如下： </w:t>
      </w:r>
    </w:p>
    <w:p w14:paraId="7029A9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1、人员管理 </w:t>
      </w:r>
    </w:p>
    <w:p w14:paraId="09489B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（1）承包人签订施工合同后 3 日内，项目部组成人员必须按投标承诺全部到位。项目经理、项目技术负责人未按时到位的，发包人有权要求承包人支付 2000 元/天的违约金，其他人员未到位的，发包人有权要求承包人支付 1000 元/天/人的违约金。 </w:t>
      </w:r>
    </w:p>
    <w:p w14:paraId="4172A2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（2）承包人必须服从发包人的调度，做好检查配合工作及其他有关的协调配合工作，若承包人拒不执行的，发包人有权要求承包人支付 2000 元/次的违约金。 </w:t>
      </w:r>
    </w:p>
    <w:p w14:paraId="65E391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（3）项目主要管理人员及分包主要管理人员必须按要求参加发包人（监理人）组织的工程会议，确有特殊情况必须提前向发包人请假并经发包人同意，否则，发包人有权要求承包人支付 1000元/次/人的违约金。经会议决议后统一布置的任务，承包人必须认真实施，对完成事项执行不力或未有效落实的，发包人有权要求承包人支付2000 元/次的违约金。 </w:t>
      </w:r>
    </w:p>
    <w:p w14:paraId="0A90E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10000 元/次的违约金。</w:t>
      </w:r>
    </w:p>
    <w:p w14:paraId="664D5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发包人因维权产生的包括但不限于诉讼费、律师费、保全费、执行费、交通费、住宿费等一切费用损失均由承包人承担。 </w:t>
      </w:r>
    </w:p>
    <w:p w14:paraId="3FDFE8A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不可抗力</w:t>
      </w:r>
      <w:bookmarkEnd w:id="747"/>
      <w:r>
        <w:rPr>
          <w:rFonts w:hint="eastAsia" w:ascii="Times New Roman" w:hAnsi="Times New Roman" w:eastAsia="宋体" w:cs="Times New Roman"/>
          <w:sz w:val="28"/>
          <w:szCs w:val="28"/>
          <w:lang w:val="en-US" w:eastAsia="zh-CN"/>
        </w:rPr>
        <w:t xml:space="preserve"> </w:t>
      </w:r>
      <w:bookmarkEnd w:id="745"/>
    </w:p>
    <w:p w14:paraId="0BED9E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不可抗力的确认</w:t>
      </w:r>
    </w:p>
    <w:p w14:paraId="35F58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除通用合同条款约定的不可抗力事件之外，视为不可抗力的其他情形：</w:t>
      </w:r>
      <w:permStart w:id="175" w:edGrp="everyone"/>
      <w:r>
        <w:rPr>
          <w:rFonts w:hint="eastAsia" w:ascii="Times New Roman" w:hAnsi="Times New Roman" w:eastAsia="宋体" w:cs="Times New Roman"/>
          <w:sz w:val="28"/>
          <w:szCs w:val="28"/>
          <w:lang w:val="en-US" w:eastAsia="zh-CN"/>
        </w:rPr>
        <w:t xml:space="preserve">  执行通用条款   。</w:t>
      </w:r>
      <w:permEnd w:id="175"/>
    </w:p>
    <w:p w14:paraId="2784E0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因不可抗力解除合同</w:t>
      </w:r>
    </w:p>
    <w:p w14:paraId="2F99968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合同解除后，发包人应在商定或确定发包人应支付款项后</w:t>
      </w:r>
      <w:permStart w:id="176" w:edGrp="everyone"/>
      <w:r>
        <w:rPr>
          <w:rFonts w:hint="eastAsia" w:ascii="Times New Roman" w:hAnsi="Times New Roman" w:eastAsia="宋体" w:cs="Times New Roman"/>
          <w:sz w:val="28"/>
          <w:szCs w:val="28"/>
          <w:lang w:val="en-US" w:eastAsia="zh-CN"/>
        </w:rPr>
        <w:t>28（执行通用条款）</w:t>
      </w:r>
      <w:permEnd w:id="176"/>
      <w:r>
        <w:rPr>
          <w:rFonts w:hint="eastAsia" w:ascii="Times New Roman" w:hAnsi="Times New Roman" w:eastAsia="宋体" w:cs="Times New Roman"/>
          <w:sz w:val="28"/>
          <w:szCs w:val="28"/>
          <w:lang w:val="en-US" w:eastAsia="zh-CN"/>
        </w:rPr>
        <w:t>天内完成款项的支付。</w:t>
      </w:r>
    </w:p>
    <w:p w14:paraId="322FE9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8" w:name="_Toc351203650"/>
      <w:r>
        <w:rPr>
          <w:rFonts w:hint="eastAsia" w:ascii="Times New Roman" w:hAnsi="Times New Roman" w:eastAsia="宋体" w:cs="Times New Roman"/>
          <w:sz w:val="28"/>
          <w:szCs w:val="28"/>
          <w:lang w:val="en-US" w:eastAsia="zh-CN"/>
        </w:rPr>
        <w:t>16. 保险</w:t>
      </w:r>
      <w:bookmarkEnd w:id="748"/>
    </w:p>
    <w:bookmarkEnd w:id="746"/>
    <w:p w14:paraId="732ADD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 工程保险</w:t>
      </w:r>
    </w:p>
    <w:p w14:paraId="4E8190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关于工程保险的特别约定：</w:t>
      </w:r>
      <w:permStart w:id="177" w:edGrp="everyone"/>
      <w:r>
        <w:rPr>
          <w:rFonts w:hint="eastAsia" w:ascii="Times New Roman" w:hAnsi="Times New Roman" w:eastAsia="宋体" w:cs="Times New Roman"/>
          <w:sz w:val="28"/>
          <w:szCs w:val="28"/>
          <w:lang w:val="en-US" w:eastAsia="zh-CN"/>
        </w:rPr>
        <w:t>发包人应投保建筑工程一切险或安装工程一切险，费用由投标单位自行考虑包含在报价内，中标后由施工中标单位以建设单位名义据实投保建筑工程一切险或安装工程一切险。</w:t>
      </w:r>
    </w:p>
    <w:permEnd w:id="177"/>
    <w:p w14:paraId="5BA3E0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16.2 其他保险</w:t>
      </w:r>
    </w:p>
    <w:p w14:paraId="38EE16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关于其他保险的约定：</w:t>
      </w:r>
      <w:permStart w:id="178" w:edGrp="everyone"/>
      <w:r>
        <w:rPr>
          <w:rFonts w:hint="eastAsia" w:ascii="Times New Roman" w:hAnsi="Times New Roman" w:eastAsia="宋体" w:cs="Times New Roman"/>
          <w:sz w:val="28"/>
          <w:szCs w:val="28"/>
          <w:lang w:val="en-US" w:eastAsia="zh-CN"/>
        </w:rPr>
        <w:t xml:space="preserve">  承包人须为其施工现场的全部人员办理意外伤害保险并支付保险费，包括其员工及为履行合同聘请的第三方的人员（执行通用条款）  。</w:t>
      </w:r>
    </w:p>
    <w:permEnd w:id="178"/>
    <w:p w14:paraId="20E6B5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承包人是否应为其施工设备等办理财产保险</w:t>
      </w:r>
      <w:permStart w:id="179" w:edGrp="everyone"/>
      <w:r>
        <w:rPr>
          <w:rFonts w:hint="eastAsia" w:ascii="Times New Roman" w:hAnsi="Times New Roman" w:eastAsia="宋体" w:cs="Times New Roman"/>
          <w:sz w:val="28"/>
          <w:szCs w:val="28"/>
          <w:lang w:val="en-US" w:eastAsia="zh-CN"/>
        </w:rPr>
        <w:t>： 是 。</w:t>
      </w:r>
      <w:permEnd w:id="179"/>
    </w:p>
    <w:p w14:paraId="4DC1F41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16.3 通知义务</w:t>
      </w:r>
    </w:p>
    <w:p w14:paraId="24BCE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关于变更保险合同时的通知义务的约定： </w:t>
      </w:r>
      <w:permStart w:id="180" w:edGrp="everyone"/>
      <w:r>
        <w:rPr>
          <w:rFonts w:hint="eastAsia" w:ascii="Times New Roman" w:hAnsi="Times New Roman" w:eastAsia="宋体" w:cs="Times New Roman"/>
          <w:sz w:val="28"/>
          <w:szCs w:val="28"/>
          <w:lang w:val="en-US" w:eastAsia="zh-CN"/>
        </w:rPr>
        <w:t xml:space="preserve"> 执行通用条款   。</w:t>
      </w:r>
      <w:permEnd w:id="180"/>
    </w:p>
    <w:bookmarkEnd w:id="722"/>
    <w:bookmarkEnd w:id="723"/>
    <w:bookmarkEnd w:id="724"/>
    <w:bookmarkEnd w:id="725"/>
    <w:bookmarkEnd w:id="726"/>
    <w:bookmarkEnd w:id="727"/>
    <w:bookmarkEnd w:id="728"/>
    <w:bookmarkEnd w:id="729"/>
    <w:bookmarkEnd w:id="730"/>
    <w:bookmarkEnd w:id="731"/>
    <w:bookmarkEnd w:id="732"/>
    <w:bookmarkEnd w:id="733"/>
    <w:p w14:paraId="7ED4FF8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9" w:name="_Toc351203651"/>
      <w:r>
        <w:rPr>
          <w:rFonts w:hint="eastAsia" w:ascii="Times New Roman" w:hAnsi="Times New Roman" w:eastAsia="宋体" w:cs="Times New Roman"/>
          <w:sz w:val="28"/>
          <w:szCs w:val="28"/>
          <w:lang w:val="en-US" w:eastAsia="zh-CN"/>
        </w:rPr>
        <w:t>17. 争议解决</w:t>
      </w:r>
      <w:bookmarkEnd w:id="749"/>
    </w:p>
    <w:bookmarkEnd w:id="734"/>
    <w:bookmarkEnd w:id="735"/>
    <w:p w14:paraId="4C5D0C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 争</w:t>
      </w:r>
      <w:bookmarkEnd w:id="736"/>
      <w:r>
        <w:rPr>
          <w:rFonts w:hint="eastAsia" w:ascii="Times New Roman" w:hAnsi="Times New Roman" w:eastAsia="宋体" w:cs="Times New Roman"/>
          <w:sz w:val="28"/>
          <w:szCs w:val="28"/>
          <w:lang w:val="en-US" w:eastAsia="zh-CN"/>
        </w:rPr>
        <w:t>议评审</w:t>
      </w:r>
    </w:p>
    <w:p w14:paraId="28BB5E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合同当事人是否同意将工程争议提交争议评审小组决定：</w:t>
      </w:r>
      <w:permStart w:id="181" w:edGrp="everyone"/>
      <w:r>
        <w:rPr>
          <w:rFonts w:hint="eastAsia" w:ascii="Times New Roman" w:hAnsi="Times New Roman" w:eastAsia="宋体" w:cs="Times New Roman"/>
          <w:sz w:val="28"/>
          <w:szCs w:val="28"/>
          <w:lang w:val="en-US" w:eastAsia="zh-CN"/>
        </w:rPr>
        <w:t>/      。</w:t>
      </w:r>
      <w:permEnd w:id="181"/>
      <w:r>
        <w:rPr>
          <w:rFonts w:hint="eastAsia" w:ascii="Times New Roman" w:hAnsi="Times New Roman" w:eastAsia="宋体" w:cs="Times New Roman"/>
          <w:sz w:val="28"/>
          <w:szCs w:val="28"/>
          <w:lang w:val="en-US" w:eastAsia="zh-CN"/>
        </w:rPr>
        <w:t xml:space="preserve">  </w:t>
      </w:r>
    </w:p>
    <w:p w14:paraId="372BDD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17.1.1 争议评审小组的确定</w:t>
      </w:r>
    </w:p>
    <w:p w14:paraId="28EDA7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争议评审小组成员的确定： </w:t>
      </w:r>
      <w:permStart w:id="182" w:edGrp="everyone"/>
      <w:r>
        <w:rPr>
          <w:rFonts w:hint="eastAsia" w:ascii="Times New Roman" w:hAnsi="Times New Roman" w:eastAsia="宋体" w:cs="Times New Roman"/>
          <w:sz w:val="28"/>
          <w:szCs w:val="28"/>
          <w:lang w:val="en-US" w:eastAsia="zh-CN"/>
        </w:rPr>
        <w:t xml:space="preserve">           /                 。</w:t>
      </w:r>
      <w:permEnd w:id="182"/>
    </w:p>
    <w:p w14:paraId="402FD6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选定争议评审员的期限：</w:t>
      </w:r>
      <w:permStart w:id="183" w:edGrp="everyone"/>
      <w:r>
        <w:rPr>
          <w:rFonts w:hint="eastAsia" w:ascii="Times New Roman" w:hAnsi="Times New Roman" w:eastAsia="宋体" w:cs="Times New Roman"/>
          <w:sz w:val="28"/>
          <w:szCs w:val="28"/>
          <w:lang w:val="en-US" w:eastAsia="zh-CN"/>
        </w:rPr>
        <w:t xml:space="preserve">              /                 。</w:t>
      </w:r>
      <w:permEnd w:id="183"/>
    </w:p>
    <w:p w14:paraId="0648A3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争议评审小组成员的报酬承担方式：</w:t>
      </w:r>
      <w:permStart w:id="184" w:edGrp="everyone"/>
      <w:r>
        <w:rPr>
          <w:rFonts w:hint="eastAsia" w:ascii="Times New Roman" w:hAnsi="Times New Roman" w:eastAsia="宋体" w:cs="Times New Roman"/>
          <w:sz w:val="28"/>
          <w:szCs w:val="28"/>
          <w:lang w:val="en-US" w:eastAsia="zh-CN"/>
        </w:rPr>
        <w:t xml:space="preserve">         /            。</w:t>
      </w:r>
      <w:permEnd w:id="184"/>
    </w:p>
    <w:p w14:paraId="2BA59E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其他事项的约定：</w:t>
      </w:r>
      <w:permStart w:id="185" w:edGrp="everyone"/>
      <w:r>
        <w:rPr>
          <w:rFonts w:hint="eastAsia" w:ascii="Times New Roman" w:hAnsi="Times New Roman" w:eastAsia="宋体" w:cs="Times New Roman"/>
          <w:sz w:val="28"/>
          <w:szCs w:val="28"/>
          <w:lang w:val="en-US" w:eastAsia="zh-CN"/>
        </w:rPr>
        <w:t xml:space="preserve">                /                     。</w:t>
      </w:r>
      <w:permEnd w:id="185"/>
    </w:p>
    <w:p w14:paraId="0BC5D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17.1.2 争议评审小组的决定</w:t>
      </w:r>
    </w:p>
    <w:p w14:paraId="3FE447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合同当事人关于本项的约定：</w:t>
      </w:r>
      <w:permStart w:id="186" w:edGrp="everyone"/>
      <w:r>
        <w:rPr>
          <w:rFonts w:hint="eastAsia" w:ascii="Times New Roman" w:hAnsi="Times New Roman" w:eastAsia="宋体" w:cs="Times New Roman"/>
          <w:sz w:val="28"/>
          <w:szCs w:val="28"/>
          <w:lang w:val="en-US" w:eastAsia="zh-CN"/>
        </w:rPr>
        <w:t xml:space="preserve">            /               。</w:t>
      </w:r>
      <w:permEnd w:id="186"/>
    </w:p>
    <w:p w14:paraId="3384D5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17.1.3仲裁或诉讼</w:t>
      </w:r>
      <w:bookmarkEnd w:id="737"/>
    </w:p>
    <w:p w14:paraId="0A124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因合同及合同有关事项发生的争议，按下列第</w:t>
      </w:r>
      <w:permStart w:id="187" w:edGrp="everyone"/>
      <w:r>
        <w:rPr>
          <w:rFonts w:hint="eastAsia" w:ascii="Times New Roman" w:hAnsi="Times New Roman" w:eastAsia="宋体" w:cs="Times New Roman"/>
          <w:sz w:val="28"/>
          <w:szCs w:val="28"/>
          <w:lang w:val="en-US" w:eastAsia="zh-CN"/>
        </w:rPr>
        <w:t xml:space="preserve"> （2）   种</w:t>
      </w:r>
      <w:permEnd w:id="187"/>
      <w:r>
        <w:rPr>
          <w:rFonts w:hint="eastAsia" w:ascii="Times New Roman" w:hAnsi="Times New Roman" w:eastAsia="宋体" w:cs="Times New Roman"/>
          <w:sz w:val="28"/>
          <w:szCs w:val="28"/>
          <w:lang w:val="en-US" w:eastAsia="zh-CN"/>
        </w:rPr>
        <w:t>方式解决：</w:t>
      </w:r>
    </w:p>
    <w:p w14:paraId="7A850C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（1）向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仲裁委员会申请仲裁；</w:t>
      </w:r>
    </w:p>
    <w:p w14:paraId="5D4EF0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（2）向  </w:t>
      </w:r>
      <w:r>
        <w:rPr>
          <w:rFonts w:hint="eastAsia" w:ascii="Times New Roman" w:hAnsi="Times New Roman" w:eastAsia="宋体" w:cs="Times New Roman"/>
          <w:sz w:val="28"/>
          <w:szCs w:val="28"/>
          <w:u w:val="single"/>
          <w:lang w:val="en-US" w:eastAsia="zh-CN"/>
        </w:rPr>
        <w:t xml:space="preserve">      发包人所在地   </w:t>
      </w:r>
      <w:r>
        <w:rPr>
          <w:rFonts w:hint="eastAsia" w:ascii="Times New Roman" w:hAnsi="Times New Roman" w:eastAsia="宋体" w:cs="Times New Roman"/>
          <w:sz w:val="28"/>
          <w:szCs w:val="28"/>
          <w:lang w:val="en-US" w:eastAsia="zh-CN"/>
        </w:rPr>
        <w:t>人民法院起诉。</w:t>
      </w:r>
      <w:bookmarkEnd w:id="738"/>
      <w:bookmarkEnd w:id="739"/>
      <w:bookmarkEnd w:id="740"/>
      <w:bookmarkEnd w:id="741"/>
      <w:bookmarkEnd w:id="742"/>
      <w:bookmarkEnd w:id="743"/>
    </w:p>
    <w:p w14:paraId="387945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补充条款 </w:t>
      </w:r>
    </w:p>
    <w:p w14:paraId="1F63E6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本补充条款是专用条款的一部分，其解释顺序优先于专用条款内的其他条款。</w:t>
      </w:r>
    </w:p>
    <w:p w14:paraId="569536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0" w:name="_Toc351203652"/>
      <w:r>
        <w:rPr>
          <w:rFonts w:hint="eastAsia" w:ascii="Times New Roman" w:hAnsi="Times New Roman" w:eastAsia="宋体" w:cs="Times New Roman"/>
          <w:sz w:val="28"/>
          <w:szCs w:val="28"/>
          <w:lang w:val="en-US" w:eastAsia="zh-CN"/>
        </w:rPr>
        <w:t xml:space="preserve">1、安全文明施工管理 </w:t>
      </w:r>
    </w:p>
    <w:p w14:paraId="355B29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 对于检查中发现的存在安全隐患、文明施工不符合要求，发包人有权要求承包人支付 1000 元/次/处的违约金。 </w:t>
      </w:r>
    </w:p>
    <w:p w14:paraId="0557B30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（2）如发现承包人安全设施不按程序报验、无施工方案擅自施工或未经验收合格擅自使用，发包人有权要求承包人支付 2000 元/次/处的违约金。 </w:t>
      </w:r>
    </w:p>
    <w:p w14:paraId="107B71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（3）如发现承包人安全管理资料不完善、不按要求编制、与工程进度不同步、弄虚作假， 需向发包人支付违约金 1000 元/次/项。 </w:t>
      </w:r>
    </w:p>
    <w:p w14:paraId="6ABF100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（4）施工人员不按规范带安全帽进入施工现场，发包人有权要求承包人支付违约金 200 元/人次。 </w:t>
      </w:r>
    </w:p>
    <w:p w14:paraId="3ED78B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（5）承包人的焊工、电工、起重工等特殊工种必须持证上岗，报监理核查，所报证件人员必须与实际施工人员一致， 无证上岗的， 需向发包人支付违约金 1000 元/人次。 </w:t>
      </w:r>
    </w:p>
    <w:p w14:paraId="6E118F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（6）承包人需考虑作业期间的噪音控制，合理安排作业时间，避免噪音扰民，如因噪音扰民被投诉,发包人有权要求承包人支付 1000 元/ 处的违约金。 </w:t>
      </w:r>
    </w:p>
    <w:p w14:paraId="32B4E4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（7）承包人履行合同过程中，未经发包人同意擅自超越发包人指定施工范围，占用他人土地，由此发生的一切责任由承包人自行承担。 </w:t>
      </w:r>
    </w:p>
    <w:p w14:paraId="60B8AC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14:paraId="27BFD7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（9）未建立符合生产需要的安全经费使用计划、使用记录，责令限期改正，如未在限期内整改落实，承包人应当支付 10000 元违约金。 </w:t>
      </w:r>
    </w:p>
    <w:p w14:paraId="05B126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（10）如检查中发现的安全、文明施工问题在以往检查中已被发现有类似问题， 发包人有权要求 承包人按上述（1） -（9）违约金的两倍支付违约金。 </w:t>
      </w:r>
    </w:p>
    <w:p w14:paraId="78188F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（12）如被发包人组织的第三方安全检查时通报批评， 发包人有权要求承包人支付10000-50000元/次的违约金；三次及三次以上被通报批评，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14:paraId="614BCE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14:paraId="343A7C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（14）工程每发生一起因承包人原因造成的安全事故，承包人除接受政府相关部门处罚外，发包人有权要求承包人支付一定违约金，</w:t>
      </w:r>
      <w:r>
        <w:rPr>
          <w:rFonts w:hint="eastAsia" w:ascii="Times New Roman" w:hAnsi="Times New Roman" w:eastAsia="宋体" w:cs="Times New Roman"/>
          <w:kern w:val="0"/>
          <w:sz w:val="28"/>
          <w:szCs w:val="28"/>
          <w:lang w:val="en-US" w:eastAsia="zh-CN"/>
        </w:rPr>
        <w:t>若发包人由此承担责任，有权向承包人追偿并要求承包人</w:t>
      </w:r>
      <w:r>
        <w:rPr>
          <w:rFonts w:hint="eastAsia" w:ascii="Times New Roman" w:hAnsi="Times New Roman" w:eastAsia="宋体" w:cs="Times New Roman"/>
          <w:sz w:val="28"/>
          <w:szCs w:val="28"/>
          <w:lang w:val="en-US" w:eastAsia="zh-CN"/>
        </w:rPr>
        <w:t xml:space="preserve">承担由事故引发的一切后果。发生特别重大事故，发包人有权要求承包人支付违约金 10 万元/次；发生重大事故， 发包人有权要求承包人支付违约金 </w:t>
      </w:r>
    </w:p>
    <w:p w14:paraId="740D09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 万元/次；发生较大事故， 发包人有权要求承包人支付违约金 3 万元/次；发生一般事故， 发包人有权要求承包人支付违约金 2 万元/次。    （15）承包人在施工期间必须服从总包关于安全、文明施工的管理，如有违反安全、文明施工的情况，总包单位有权进行处罚，并从工程款中扣除罚款。</w:t>
      </w:r>
    </w:p>
    <w:p w14:paraId="2FB54E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2、质量管理 </w:t>
      </w:r>
    </w:p>
    <w:p w14:paraId="5981885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（1）对于检查中发现的施工质量问题， 发包人有权要求承包人支付 1000 -20000 元/次/处的违约金。 </w:t>
      </w:r>
    </w:p>
    <w:p w14:paraId="5958767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（2）如发现承包人未报验、无施工方案擅自施工、未经验收合格擅自进行下道工序，发包人有权要求承包人支付 2000 元/次/处的违约金。 </w:t>
      </w:r>
    </w:p>
    <w:p w14:paraId="31C51B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（3）如发现承包人质量管理资料不完善、不按要求编制、与工程进度不同步、弄虚作假， 发包人有权要求承包人支付 2000 元/次/项的违约金。 </w:t>
      </w:r>
    </w:p>
    <w:p w14:paraId="71CA60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（4）如发现承包人材料未按规定进行进场验收、送检、见证取样或按要求进行实体检测、留取试块、试件等，发包人有权要求承包人支付1000 元/次/处的违约金。 </w:t>
      </w:r>
    </w:p>
    <w:p w14:paraId="7BE999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（5）承包人应按照合同专用条款约定及设计和有关标准要求采购材料或设备，并提供产品合格证明，对材料设备质量负责，不符合招标文件及合同约定的，发包人有权要求承包人支付20000元 /批次的违约金，且必须及时清场，否则，发包人有权要求承包人支付该种设备、材料价格的 20% 的违约金, 情节严重的，发包人有权单方面解除合同，有权追求由此造成的损失。 </w:t>
      </w:r>
    </w:p>
    <w:p w14:paraId="4BA7AAB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（6）如检查中发现的质量问题在以往检查中已被发现有类似问题， 发包人有权要求承包人按上述（1）-（5）违约金的两倍支付违约金。 </w:t>
      </w:r>
    </w:p>
    <w:p w14:paraId="7A4D49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发包人在通知承包人后，无需得到确认即可有权安排其他人进行整改，费用可直接从工程款中扣除，且发包人另有权要求承包人支付 5 万元/次/处的违约金。 </w:t>
      </w:r>
    </w:p>
    <w:p w14:paraId="020F92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（8）如被发包人组织的第三方质量检查时通报批评，发包人有权要求承包人支付10000-50000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14:paraId="2A7B501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（9）如被主管部门通报批评或被媒体曝光，发包人有权要求承包人支付 10000-100000元/次的违约金，且发包人有权约谈承包人企业负责人，且可视为该项目经理等管理人员不能胜任本职工作，发包人有权要求承包人按规定程序更换项目经理等人员，并按人员变更违约处理。 </w:t>
      </w:r>
    </w:p>
    <w:p w14:paraId="57BB6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10 万元/次；发生重大事故，发包人有权要求承包人支付违约金 5 万元/次；发生较大事故，发包人有权要求承包人支付违约金 3 万元/次；发生一般事故，发包人有权要求承包人支付违约金 2 万元/次。 </w:t>
      </w:r>
    </w:p>
    <w:p w14:paraId="4B3B9C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1000-30000 元/次违约金；质保金不足以支付的，承包人应另行承担。 </w:t>
      </w:r>
    </w:p>
    <w:p w14:paraId="417B564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（12）施工所需材料相应样品需经发包人认可后方可进场，否则发包人有权要求承包人支付2000 元/次/处的违约金，且必须及时清场，否则，发包人有权要求承包人支付该种材料价格的 20% 的违约金, 情节严重的，发包人有权单方面解除合同，有权追求由此造成的损失。 </w:t>
      </w:r>
    </w:p>
    <w:p w14:paraId="48E3E0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进度管理 </w:t>
      </w:r>
    </w:p>
    <w:p w14:paraId="6916AA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（1）承包人必须服从发包人和监理人对各专业施工次序的安排，否则， 发包人有权要求承包人支付 1000～5000 元/次的违约金。 </w:t>
      </w:r>
    </w:p>
    <w:p w14:paraId="2588E32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1000元的处罚，对拒不缴纳罚款的，可从工程款中相应扣除。</w:t>
      </w:r>
    </w:p>
    <w:p w14:paraId="0F7EB64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14:paraId="0B2429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（4）各种材料、设备必须按计划进场，充分满足进度计划需求，如因材料设备进场滞后对工程进度产生影响， 发包人有权要求承包人支付违约金 2000 元／次，情节严重的，违约金加倍。    （5）承包人在工程符合验收条件应及时报请验收，无故拖延验收，自发包人催告后 7 日内不报请并组织参与验收的，应承担 1000 元/天的违约金；自发包人催告后 28 日内不报请并组织参与验收的，应承担2000 元/天的违约金；自发包人催告后 56 日内仍不报请并组织参与验收的，发包人除有权按前述追究承包人的违约责任外，另有权要求承包人承担工程竣工审定金额 20%的违约金。 </w:t>
      </w:r>
    </w:p>
    <w:p w14:paraId="0554F2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4、其他管理 </w:t>
      </w:r>
    </w:p>
    <w:p w14:paraId="26F4F2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（1）严禁挂靠、转包或违法分包，若发现承包人挂靠、转包或未经备案擅自进行分包， 发包人有权要求承包人支付违约金 20000 元/次，且发包人有权单方面解除合同，并有权追究由此造成的损失。 </w:t>
      </w:r>
    </w:p>
    <w:p w14:paraId="1DFC95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14:paraId="7DFC42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14:paraId="51807CF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 红线管控：如承包人在施工过程中有违法以下条款将参照以下管理办法进行处罚：</w:t>
      </w:r>
    </w:p>
    <w:p w14:paraId="4946FF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drawing>
          <wp:anchor distT="0" distB="0" distL="114300" distR="114300" simplePos="0" relativeHeight="251660288" behindDoc="0" locked="0" layoutInCell="1" allowOverlap="1">
            <wp:simplePos x="0" y="0"/>
            <wp:positionH relativeFrom="column">
              <wp:posOffset>532130</wp:posOffset>
            </wp:positionH>
            <wp:positionV relativeFrom="paragraph">
              <wp:posOffset>229235</wp:posOffset>
            </wp:positionV>
            <wp:extent cx="4500245" cy="2211070"/>
            <wp:effectExtent l="0" t="0" r="14605" b="17780"/>
            <wp:wrapSquare wrapText="bothSides"/>
            <wp:docPr id="3" name="图片 3" descr="170003087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0030872104"/>
                    <pic:cNvPicPr>
                      <a:picLocks noChangeAspect="1"/>
                    </pic:cNvPicPr>
                  </pic:nvPicPr>
                  <pic:blipFill>
                    <a:blip r:embed="rId15"/>
                    <a:stretch>
                      <a:fillRect/>
                    </a:stretch>
                  </pic:blipFill>
                  <pic:spPr>
                    <a:xfrm>
                      <a:off x="0" y="0"/>
                      <a:ext cx="4500245" cy="2211070"/>
                    </a:xfrm>
                    <a:prstGeom prst="rect">
                      <a:avLst/>
                    </a:prstGeom>
                    <a:noFill/>
                    <a:ln>
                      <a:noFill/>
                    </a:ln>
                  </pic:spPr>
                </pic:pic>
              </a:graphicData>
            </a:graphic>
          </wp:anchor>
        </w:drawing>
      </w:r>
    </w:p>
    <w:p w14:paraId="43C2B1F3">
      <w:pPr>
        <w:rPr>
          <w:rFonts w:hint="eastAsia" w:ascii="Times New Roman" w:hAnsi="Times New Roman" w:cs="Times New Roman"/>
          <w:kern w:val="0"/>
          <w:sz w:val="24"/>
          <w:szCs w:val="24"/>
          <w:highlight w:val="none"/>
          <w:shd w:val="clear" w:color="auto" w:fill="auto"/>
          <w:vertAlign w:val="baseline"/>
          <w:lang w:val="en-US" w:eastAsia="zh-CN"/>
        </w:rPr>
      </w:pPr>
    </w:p>
    <w:p w14:paraId="1F318295">
      <w:pPr>
        <w:rPr>
          <w:rFonts w:hint="eastAsia" w:ascii="Times New Roman" w:hAnsi="Times New Roman" w:cs="Times New Roman"/>
          <w:kern w:val="0"/>
          <w:sz w:val="24"/>
          <w:szCs w:val="24"/>
          <w:highlight w:val="none"/>
          <w:shd w:val="clear" w:color="auto" w:fill="auto"/>
          <w:vertAlign w:val="baseline"/>
          <w:lang w:val="en-US" w:eastAsia="zh-CN"/>
        </w:rPr>
      </w:pPr>
    </w:p>
    <w:p w14:paraId="496B56A9">
      <w:pPr>
        <w:rPr>
          <w:rFonts w:hint="eastAsia" w:ascii="Times New Roman" w:hAnsi="Times New Roman" w:cs="Times New Roman"/>
          <w:kern w:val="0"/>
          <w:sz w:val="24"/>
          <w:szCs w:val="24"/>
          <w:highlight w:val="none"/>
          <w:shd w:val="clear" w:color="auto" w:fill="auto"/>
          <w:vertAlign w:val="baseline"/>
          <w:lang w:val="en-US" w:eastAsia="zh-CN"/>
        </w:rPr>
      </w:pPr>
    </w:p>
    <w:p w14:paraId="35E864A4">
      <w:pPr>
        <w:rPr>
          <w:rFonts w:hint="eastAsia" w:ascii="Times New Roman" w:hAnsi="Times New Roman" w:cs="Times New Roman"/>
          <w:kern w:val="0"/>
          <w:sz w:val="24"/>
          <w:szCs w:val="24"/>
          <w:highlight w:val="none"/>
          <w:shd w:val="clear" w:color="auto" w:fill="auto"/>
          <w:vertAlign w:val="baseline"/>
          <w:lang w:val="en-US" w:eastAsia="zh-CN"/>
        </w:rPr>
      </w:pPr>
    </w:p>
    <w:p w14:paraId="2F69B9DA">
      <w:pPr>
        <w:rPr>
          <w:rFonts w:hint="eastAsia" w:ascii="Times New Roman" w:hAnsi="Times New Roman" w:cs="Times New Roman"/>
          <w:kern w:val="0"/>
          <w:sz w:val="24"/>
          <w:szCs w:val="24"/>
          <w:highlight w:val="none"/>
          <w:shd w:val="clear" w:color="auto" w:fill="auto"/>
          <w:vertAlign w:val="baseline"/>
          <w:lang w:val="en-US" w:eastAsia="zh-CN"/>
        </w:rPr>
      </w:pPr>
    </w:p>
    <w:p w14:paraId="060BA49C">
      <w:pPr>
        <w:rPr>
          <w:rFonts w:hint="eastAsia" w:ascii="Times New Roman" w:hAnsi="Times New Roman" w:cs="Times New Roman"/>
          <w:kern w:val="0"/>
          <w:sz w:val="24"/>
          <w:szCs w:val="24"/>
          <w:highlight w:val="none"/>
          <w:shd w:val="clear" w:color="auto" w:fill="auto"/>
          <w:vertAlign w:val="baseline"/>
          <w:lang w:val="en-US" w:eastAsia="zh-CN"/>
        </w:rPr>
      </w:pPr>
    </w:p>
    <w:p w14:paraId="07B6A1EF">
      <w:pPr>
        <w:rPr>
          <w:rFonts w:hint="eastAsia" w:ascii="Times New Roman" w:hAnsi="Times New Roman" w:cs="Times New Roman"/>
          <w:kern w:val="0"/>
          <w:sz w:val="24"/>
          <w:szCs w:val="24"/>
          <w:highlight w:val="none"/>
          <w:shd w:val="clear" w:color="auto" w:fill="auto"/>
          <w:vertAlign w:val="baseline"/>
          <w:lang w:val="en-US" w:eastAsia="zh-CN"/>
        </w:rPr>
      </w:pPr>
    </w:p>
    <w:p w14:paraId="046EF637">
      <w:pPr>
        <w:rPr>
          <w:rFonts w:hint="eastAsia" w:ascii="Times New Roman" w:hAnsi="Times New Roman" w:cs="Times New Roman"/>
          <w:kern w:val="0"/>
          <w:sz w:val="24"/>
          <w:szCs w:val="24"/>
          <w:highlight w:val="none"/>
          <w:shd w:val="clear" w:color="auto" w:fill="auto"/>
          <w:vertAlign w:val="baseline"/>
          <w:lang w:val="en-US" w:eastAsia="zh-CN"/>
        </w:rPr>
      </w:pPr>
    </w:p>
    <w:p w14:paraId="2FE84BC9">
      <w:pPr>
        <w:rPr>
          <w:rFonts w:hint="eastAsia" w:ascii="Times New Roman" w:hAnsi="Times New Roman" w:cs="Times New Roman"/>
          <w:kern w:val="0"/>
          <w:sz w:val="24"/>
          <w:szCs w:val="24"/>
          <w:highlight w:val="none"/>
          <w:shd w:val="clear" w:color="auto" w:fill="auto"/>
          <w:vertAlign w:val="baseline"/>
          <w:lang w:val="en-US" w:eastAsia="zh-CN"/>
        </w:rPr>
      </w:pPr>
    </w:p>
    <w:p w14:paraId="7DB03382">
      <w:pPr>
        <w:pageBreakBefore w:val="0"/>
        <w:kinsoku/>
        <w:overflowPunct/>
        <w:topLinePunct w:val="0"/>
        <w:bidi w:val="0"/>
        <w:spacing w:line="520" w:lineRule="exact"/>
        <w:ind w:firstLine="48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drawing>
          <wp:anchor distT="0" distB="0" distL="114300" distR="114300" simplePos="0" relativeHeight="251661312" behindDoc="0" locked="0" layoutInCell="1" allowOverlap="1">
            <wp:simplePos x="0" y="0"/>
            <wp:positionH relativeFrom="margin">
              <wp:posOffset>359410</wp:posOffset>
            </wp:positionH>
            <wp:positionV relativeFrom="paragraph">
              <wp:posOffset>728345</wp:posOffset>
            </wp:positionV>
            <wp:extent cx="4997450" cy="2552065"/>
            <wp:effectExtent l="0" t="0" r="12700" b="635"/>
            <wp:wrapSquare wrapText="bothSides"/>
            <wp:docPr id="4" name="图片 4" descr="170003091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0030911427"/>
                    <pic:cNvPicPr>
                      <a:picLocks noChangeAspect="1"/>
                    </pic:cNvPicPr>
                  </pic:nvPicPr>
                  <pic:blipFill>
                    <a:blip r:embed="rId16"/>
                    <a:stretch>
                      <a:fillRect/>
                    </a:stretch>
                  </pic:blipFill>
                  <pic:spPr>
                    <a:xfrm>
                      <a:off x="0" y="0"/>
                      <a:ext cx="4997450" cy="2552065"/>
                    </a:xfrm>
                    <a:prstGeom prst="rect">
                      <a:avLst/>
                    </a:prstGeom>
                    <a:noFill/>
                    <a:ln>
                      <a:noFill/>
                    </a:ln>
                  </pic:spPr>
                </pic:pic>
              </a:graphicData>
            </a:graphic>
          </wp:anchor>
        </w:drawing>
      </w:r>
      <w:r>
        <w:rPr>
          <w:rFonts w:hint="eastAsia" w:ascii="Times New Roman" w:hAnsi="Times New Roman" w:cs="Times New Roman"/>
          <w:kern w:val="0"/>
          <w:sz w:val="24"/>
          <w:szCs w:val="24"/>
          <w:highlight w:val="none"/>
          <w:shd w:val="clear" w:color="auto" w:fill="auto"/>
          <w:vertAlign w:val="baseline"/>
          <w:lang w:val="en-US" w:eastAsia="zh-CN"/>
        </w:rPr>
        <w:br w:type="page"/>
      </w:r>
      <w:r>
        <w:rPr>
          <w:rFonts w:hint="eastAsia" w:ascii="Times New Roman" w:hAnsi="Times New Roman" w:eastAsia="宋体" w:cs="Times New Roman"/>
          <w:sz w:val="28"/>
          <w:szCs w:val="28"/>
          <w:lang w:val="en-US" w:eastAsia="zh-CN"/>
        </w:rPr>
        <w:t xml:space="preserve">定义： </w:t>
      </w:r>
    </w:p>
    <w:p w14:paraId="6BB50C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（1）货不对版：指所提供的材料的品牌与合同约定不符； </w:t>
      </w:r>
    </w:p>
    <w:p w14:paraId="1B9DD6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（2）偷工减料：指材料的规格、型号、产地等技术参数与合同约定不符； </w:t>
      </w:r>
    </w:p>
    <w:p w14:paraId="114C07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（3）弄虚作假：指通过人为操作，刻意掩盖事实真相等欺诈行为； </w:t>
      </w:r>
    </w:p>
    <w:p w14:paraId="2CBD81C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（4）方案不符：指现场施工方案与发包人审批的方案不一致； </w:t>
      </w:r>
    </w:p>
    <w:p w14:paraId="7D287C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5500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（5）材料调差：施工期间材料价格不允许调整材料差价。</w:t>
      </w:r>
    </w:p>
    <w:p w14:paraId="39B550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安全生产：施工方采取严格的安全防护措施，严格执行操作规程，做好安全生产教育。承担由于自身原因造成的事故责任、机损、人身伤亡事故和因此而发生的费用，若给发包人造成损失，则应按合同约定给予赔偿。</w:t>
      </w:r>
    </w:p>
    <w:p w14:paraId="7BD5B8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（7）材料、设备供应：本工程所用材料全部由施工方提供，主要材料施工方在采购前必须将拟选定的厂家等情况报发包人，发包人同意后方可进行采购。</w:t>
      </w:r>
    </w:p>
    <w:p w14:paraId="5110A7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（8）环保要求：成交人需做好施工现场的扬尘治理工作。</w:t>
      </w:r>
    </w:p>
    <w:p w14:paraId="06FD8AB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（9）农民工工资要求：成交人需按照主管部门要求做好农民工工资管理工作。</w:t>
      </w:r>
    </w:p>
    <w:p w14:paraId="47BF53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10）总包服务费及水电费：承包单位必须向总包单位缴纳合同总价款0.8%的总包服务费，承包单位使用总包单位水、电费，发生时由承包单位向总单位缴纳。计量方式由供需双方协商解决或按专业工程合同价的0.7%收取。</w:t>
      </w:r>
    </w:p>
    <w:p w14:paraId="11EFE7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5.投标报价 </w:t>
      </w:r>
    </w:p>
    <w:p w14:paraId="3B929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14:paraId="01D4EC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14:paraId="6086BF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5.3 投标报价时必须考虑不利气候条件等因素应采取的相关措施。此部分所需费用由投标人自行考虑并纳入投标报价，招标人不为此追加任何费用。 </w:t>
      </w:r>
    </w:p>
    <w:p w14:paraId="2C74D6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5.4 承包人须依法缴纳国家规定的各种税费（包括工程排污费、渣土运输等）。 </w:t>
      </w:r>
    </w:p>
    <w:p w14:paraId="194384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6.农民工工资管理 </w:t>
      </w:r>
    </w:p>
    <w:p w14:paraId="71251A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项目实施过程中，尤其在元旦、春节、中秋节等特殊时段，对承包单位自身原因引起农民工上访的，视为违约，发生10人（不含10人）以下上访的，发包人有权要求施工承包单位支付5000元/次违约金，且有权约谈承包人企业相关人员；发生 10人（含10人）以 上上访的， 发包人有权要求承包人支付10000元/次违约金，且有权约谈承包人企业法定代表人或其授权委托代理人（公司副总以上级别）；发生30人（含30人）以上上访的，或虽然人数较少，但上访事件不能及时妥善解决造成恶劣影响的，发包人有权要求承包人支付20000元/次违约金，并上报至市、区建设行政主管部门及人力资源社会保障行政部门处理。若因承包人未及时足额发放农民工工资，导致上述情形发生，发包人有权代为支付工资，并在后续工程款中直接扣除。</w:t>
      </w:r>
    </w:p>
    <w:p w14:paraId="37834A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1" w:name="OLE_LINK3"/>
      <w:r>
        <w:rPr>
          <w:rFonts w:hint="eastAsia" w:ascii="Times New Roman" w:hAnsi="Times New Roman" w:eastAsia="宋体" w:cs="Times New Roman"/>
          <w:sz w:val="28"/>
          <w:szCs w:val="28"/>
          <w:lang w:val="en-US" w:eastAsia="zh-CN"/>
        </w:rPr>
        <w:t>附件</w:t>
      </w:r>
      <w:bookmarkEnd w:id="750"/>
    </w:p>
    <w:p w14:paraId="42C7303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协议书附件：</w:t>
      </w:r>
    </w:p>
    <w:p w14:paraId="6E9079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附件1：材料品牌响应表</w:t>
      </w:r>
    </w:p>
    <w:bookmarkEnd w:id="751"/>
    <w:p w14:paraId="3799C72E">
      <w:pPr>
        <w:rPr>
          <w:rFonts w:hint="eastAsia" w:ascii="Times New Roman" w:hAnsi="Times New Roman" w:cs="Times New Roman"/>
          <w:kern w:val="0"/>
          <w:sz w:val="24"/>
          <w:szCs w:val="24"/>
          <w:highlight w:val="none"/>
          <w:shd w:val="clear" w:color="auto" w:fill="auto"/>
          <w:vertAlign w:val="baseline"/>
          <w:lang w:val="en-US" w:eastAsia="zh-CN"/>
        </w:rPr>
      </w:pPr>
    </w:p>
    <w:p w14:paraId="0F306A52">
      <w:pPr>
        <w:rPr>
          <w:rFonts w:hint="eastAsia" w:ascii="Times New Roman" w:hAnsi="Times New Roman" w:cs="Times New Roman"/>
          <w:kern w:val="0"/>
          <w:sz w:val="24"/>
          <w:szCs w:val="24"/>
          <w:highlight w:val="none"/>
          <w:shd w:val="clear" w:color="auto" w:fill="auto"/>
          <w:vertAlign w:val="baseli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18" w:right="1531" w:bottom="1418" w:left="1531" w:header="851" w:footer="992" w:gutter="0"/>
          <w:cols w:space="720" w:num="1"/>
          <w:titlePg/>
          <w:docGrid w:linePitch="312" w:charSpace="0"/>
        </w:sectPr>
      </w:pPr>
    </w:p>
    <w:p w14:paraId="1D5743C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附件1：材料品牌响应表</w:t>
      </w:r>
    </w:p>
    <w:tbl>
      <w:tblPr>
        <w:tblStyle w:val="20"/>
        <w:tblpPr w:leftFromText="180" w:rightFromText="180" w:vertAnchor="page" w:horzAnchor="page" w:tblpX="1765" w:tblpY="198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108" w:type="dxa"/>
          <w:bottom w:w="0" w:type="dxa"/>
          <w:right w:w="108" w:type="dxa"/>
        </w:tblCellMar>
      </w:tblPr>
      <w:tblGrid>
        <w:gridCol w:w="1934"/>
        <w:gridCol w:w="4822"/>
        <w:gridCol w:w="1209"/>
        <w:gridCol w:w="557"/>
      </w:tblGrid>
      <w:tr w14:paraId="530AD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63" w:hRule="atLeast"/>
        </w:trPr>
        <w:tc>
          <w:tcPr>
            <w:tcW w:w="1934" w:type="dxa"/>
            <w:shd w:val="clear" w:color="auto" w:fill="FFFFFF"/>
            <w:noWrap w:val="0"/>
            <w:vAlign w:val="center"/>
          </w:tcPr>
          <w:p w14:paraId="46B7E2B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质控材料名称</w:t>
            </w:r>
          </w:p>
        </w:tc>
        <w:tc>
          <w:tcPr>
            <w:tcW w:w="4822" w:type="dxa"/>
            <w:shd w:val="clear" w:color="auto" w:fill="FFFFFF"/>
            <w:noWrap w:val="0"/>
            <w:vAlign w:val="center"/>
          </w:tcPr>
          <w:p w14:paraId="3D7E2B6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参考品牌</w:t>
            </w:r>
          </w:p>
        </w:tc>
        <w:tc>
          <w:tcPr>
            <w:tcW w:w="1209" w:type="dxa"/>
            <w:shd w:val="clear" w:color="auto" w:fill="FFFFFF"/>
            <w:noWrap w:val="0"/>
            <w:vAlign w:val="center"/>
          </w:tcPr>
          <w:p w14:paraId="4D0AFA6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承包人响应品牌</w:t>
            </w:r>
          </w:p>
        </w:tc>
        <w:tc>
          <w:tcPr>
            <w:tcW w:w="557" w:type="dxa"/>
            <w:shd w:val="clear" w:color="auto" w:fill="FFFFFF"/>
            <w:noWrap w:val="0"/>
            <w:vAlign w:val="center"/>
          </w:tcPr>
          <w:p w14:paraId="2A458E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r>
      <w:tr w14:paraId="5F3B7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trPr>
        <w:tc>
          <w:tcPr>
            <w:tcW w:w="1934" w:type="dxa"/>
            <w:shd w:val="clear" w:color="auto" w:fill="FFFFFF"/>
            <w:noWrap w:val="0"/>
            <w:vAlign w:val="center"/>
          </w:tcPr>
          <w:p w14:paraId="27F9E66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木门</w:t>
            </w:r>
          </w:p>
        </w:tc>
        <w:tc>
          <w:tcPr>
            <w:tcW w:w="4822" w:type="dxa"/>
            <w:shd w:val="clear" w:color="auto" w:fill="FFFFFF"/>
            <w:noWrap w:val="0"/>
            <w:vAlign w:val="center"/>
          </w:tcPr>
          <w:p w14:paraId="41B494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欧派、TATA、美心、梦天、尚佰</w:t>
            </w:r>
          </w:p>
        </w:tc>
        <w:tc>
          <w:tcPr>
            <w:tcW w:w="1209" w:type="dxa"/>
            <w:shd w:val="clear" w:color="auto" w:fill="FFFFFF"/>
            <w:noWrap w:val="0"/>
            <w:vAlign w:val="center"/>
          </w:tcPr>
          <w:p w14:paraId="1B16CFC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82729D5">
            <w:pPr>
              <w:rPr>
                <w:rFonts w:hint="eastAsia" w:ascii="Times New Roman" w:hAnsi="Times New Roman" w:cs="Times New Roman"/>
                <w:kern w:val="0"/>
                <w:sz w:val="24"/>
                <w:szCs w:val="24"/>
                <w:highlight w:val="none"/>
                <w:shd w:val="clear" w:color="auto" w:fill="auto"/>
                <w:vertAlign w:val="baseline"/>
                <w:lang w:val="en-US" w:eastAsia="zh-CN"/>
              </w:rPr>
            </w:pPr>
          </w:p>
        </w:tc>
      </w:tr>
      <w:tr w14:paraId="3FF1B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623" w:hRule="atLeast"/>
        </w:trPr>
        <w:tc>
          <w:tcPr>
            <w:tcW w:w="1934" w:type="dxa"/>
            <w:shd w:val="clear" w:color="auto" w:fill="FFFFFF"/>
            <w:noWrap w:val="0"/>
            <w:vAlign w:val="center"/>
          </w:tcPr>
          <w:p w14:paraId="78CA25F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地板（实木，强化）</w:t>
            </w:r>
          </w:p>
        </w:tc>
        <w:tc>
          <w:tcPr>
            <w:tcW w:w="4822" w:type="dxa"/>
            <w:shd w:val="clear" w:color="auto" w:fill="FFFFFF"/>
            <w:noWrap w:val="0"/>
            <w:vAlign w:val="center"/>
          </w:tcPr>
          <w:p w14:paraId="2925E83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大自然、菲林格尔、兔宝宝、圣象、生活家</w:t>
            </w:r>
          </w:p>
        </w:tc>
        <w:tc>
          <w:tcPr>
            <w:tcW w:w="1209" w:type="dxa"/>
            <w:shd w:val="clear" w:color="auto" w:fill="FFFFFF"/>
            <w:noWrap w:val="0"/>
            <w:vAlign w:val="center"/>
          </w:tcPr>
          <w:p w14:paraId="35D6630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450DF6">
            <w:pPr>
              <w:rPr>
                <w:rFonts w:hint="eastAsia" w:ascii="Times New Roman" w:hAnsi="Times New Roman" w:cs="Times New Roman"/>
                <w:kern w:val="0"/>
                <w:sz w:val="24"/>
                <w:szCs w:val="24"/>
                <w:highlight w:val="none"/>
                <w:shd w:val="clear" w:color="auto" w:fill="auto"/>
                <w:vertAlign w:val="baseline"/>
                <w:lang w:val="en-US" w:eastAsia="zh-CN"/>
              </w:rPr>
            </w:pPr>
          </w:p>
        </w:tc>
      </w:tr>
      <w:tr w14:paraId="70DEF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679" w:hRule="atLeast"/>
        </w:trPr>
        <w:tc>
          <w:tcPr>
            <w:tcW w:w="1934" w:type="dxa"/>
            <w:shd w:val="clear" w:color="auto" w:fill="FFFFFF"/>
            <w:noWrap w:val="0"/>
            <w:vAlign w:val="center"/>
          </w:tcPr>
          <w:p w14:paraId="237C25F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卫生器具</w:t>
            </w:r>
          </w:p>
        </w:tc>
        <w:tc>
          <w:tcPr>
            <w:tcW w:w="4822" w:type="dxa"/>
            <w:shd w:val="clear" w:color="auto" w:fill="FFFFFF"/>
            <w:noWrap w:val="0"/>
            <w:vAlign w:val="center"/>
          </w:tcPr>
          <w:p w14:paraId="6529681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箭牌ARROW、法恩莎FAENZA、科勒KOHLER、‌</w:t>
            </w:r>
            <w:r>
              <w:rPr>
                <w:rFonts w:hint="eastAsia" w:ascii="Times New Roman" w:hAnsi="Times New Roman" w:cs="Times New Roman"/>
                <w:kern w:val="0"/>
                <w:sz w:val="24"/>
                <w:szCs w:val="24"/>
                <w:highlight w:val="none"/>
                <w:shd w:val="clear" w:color="auto" w:fill="auto"/>
                <w:vertAlign w:val="baseline"/>
                <w:lang w:val="en-US" w:eastAsia="zh-CN"/>
              </w:rPr>
              <w:fldChar w:fldCharType="begin"/>
            </w:r>
            <w:r>
              <w:rPr>
                <w:rFonts w:hint="eastAsia" w:ascii="Times New Roman" w:hAnsi="Times New Roman" w:cs="Times New Roman"/>
                <w:kern w:val="0"/>
                <w:sz w:val="24"/>
                <w:szCs w:val="24"/>
                <w:highlight w:val="none"/>
                <w:shd w:val="clear" w:color="auto" w:fill="auto"/>
                <w:vertAlign w:val="baseline"/>
                <w:lang w:val="en-US" w:eastAsia="zh-CN"/>
              </w:rPr>
              <w:instrText xml:space="preserve"> HYPERLINK "https://www.baidu.com/s?wd=TOTO%E5%8D%AB%E6%B5%B4&amp;rsv_idx=2&amp;tn=40020637_30_oem_dg&amp;usm=1&amp;ie=utf-8&amp;rsv_pq=c4e0fc8e00026995&amp;oq=%E6%B4%81%E5%85%B7%E5%8D%81%E5%A4%A7%E5%93%81%E7%89%8C&amp;rsv_t=5068Bvf1NE3G4BLAtGf9WgfOE8aDcJiXMM9WKp7q5dZSjFBxzRhWzbOZky11B7hhB8vjS9+zCGtr&amp;sa=re_dqa_generate" \t "https://www.baidu.com/_self" </w:instrText>
            </w:r>
            <w:r>
              <w:rPr>
                <w:rFonts w:hint="eastAsia" w:ascii="Times New Roman" w:hAnsi="Times New Roman" w:cs="Times New Roman"/>
                <w:kern w:val="0"/>
                <w:sz w:val="24"/>
                <w:szCs w:val="24"/>
                <w:highlight w:val="none"/>
                <w:shd w:val="clear" w:color="auto" w:fill="auto"/>
                <w:vertAlign w:val="baseline"/>
                <w:lang w:val="en-US" w:eastAsia="zh-CN"/>
              </w:rPr>
              <w:fldChar w:fldCharType="separate"/>
            </w:r>
            <w:r>
              <w:rPr>
                <w:rFonts w:hint="eastAsia" w:ascii="Times New Roman" w:hAnsi="Times New Roman" w:cs="Times New Roman"/>
                <w:kern w:val="0"/>
                <w:sz w:val="24"/>
                <w:szCs w:val="24"/>
                <w:highlight w:val="none"/>
                <w:shd w:val="clear" w:color="auto" w:fill="auto"/>
                <w:vertAlign w:val="baseline"/>
                <w:lang w:val="en-US" w:eastAsia="zh-CN"/>
              </w:rPr>
              <w:t>TOTO</w:t>
            </w:r>
            <w:r>
              <w:rPr>
                <w:rFonts w:hint="eastAsia" w:ascii="Times New Roman" w:hAnsi="Times New Roman" w:cs="Times New Roman"/>
                <w:kern w:val="0"/>
                <w:sz w:val="24"/>
                <w:szCs w:val="24"/>
                <w:highlight w:val="none"/>
                <w:shd w:val="clear" w:color="auto" w:fill="auto"/>
                <w:vertAlign w:val="baseline"/>
                <w:lang w:val="en-US" w:eastAsia="zh-CN"/>
              </w:rPr>
              <w:fldChar w:fldCharType="end"/>
            </w:r>
          </w:p>
        </w:tc>
        <w:tc>
          <w:tcPr>
            <w:tcW w:w="1209" w:type="dxa"/>
            <w:shd w:val="clear" w:color="auto" w:fill="FFFFFF"/>
            <w:noWrap w:val="0"/>
            <w:vAlign w:val="center"/>
          </w:tcPr>
          <w:p w14:paraId="6F090B7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FAF6138">
            <w:pPr>
              <w:rPr>
                <w:rFonts w:hint="eastAsia" w:ascii="Times New Roman" w:hAnsi="Times New Roman" w:cs="Times New Roman"/>
                <w:kern w:val="0"/>
                <w:sz w:val="24"/>
                <w:szCs w:val="24"/>
                <w:highlight w:val="none"/>
                <w:shd w:val="clear" w:color="auto" w:fill="auto"/>
                <w:vertAlign w:val="baseline"/>
                <w:lang w:val="en-US" w:eastAsia="zh-CN"/>
              </w:rPr>
            </w:pPr>
          </w:p>
        </w:tc>
      </w:tr>
      <w:tr w14:paraId="0DA26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762" w:hRule="atLeast"/>
        </w:trPr>
        <w:tc>
          <w:tcPr>
            <w:tcW w:w="1934" w:type="dxa"/>
            <w:shd w:val="clear" w:color="auto" w:fill="FFFFFF"/>
            <w:noWrap w:val="0"/>
            <w:vAlign w:val="center"/>
          </w:tcPr>
          <w:p w14:paraId="014D476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厨房电器</w:t>
            </w:r>
          </w:p>
        </w:tc>
        <w:tc>
          <w:tcPr>
            <w:tcW w:w="4822" w:type="dxa"/>
            <w:shd w:val="clear" w:color="auto" w:fill="FFFFFF"/>
            <w:noWrap w:val="0"/>
            <w:vAlign w:val="center"/>
          </w:tcPr>
          <w:p w14:paraId="46A66CE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方太Fotile、老板ROBAM、华帝Vatti、德意厨电DE&amp;E</w:t>
            </w:r>
          </w:p>
        </w:tc>
        <w:tc>
          <w:tcPr>
            <w:tcW w:w="1209" w:type="dxa"/>
            <w:shd w:val="clear" w:color="auto" w:fill="FFFFFF"/>
            <w:noWrap w:val="0"/>
            <w:vAlign w:val="center"/>
          </w:tcPr>
          <w:p w14:paraId="75903D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C89929">
            <w:pPr>
              <w:rPr>
                <w:rFonts w:hint="eastAsia" w:ascii="Times New Roman" w:hAnsi="Times New Roman" w:cs="Times New Roman"/>
                <w:kern w:val="0"/>
                <w:sz w:val="24"/>
                <w:szCs w:val="24"/>
                <w:highlight w:val="none"/>
                <w:shd w:val="clear" w:color="auto" w:fill="auto"/>
                <w:vertAlign w:val="baseline"/>
                <w:lang w:val="en-US" w:eastAsia="zh-CN"/>
              </w:rPr>
            </w:pPr>
          </w:p>
        </w:tc>
      </w:tr>
      <w:tr w14:paraId="2004D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trPr>
        <w:tc>
          <w:tcPr>
            <w:tcW w:w="1934" w:type="dxa"/>
            <w:shd w:val="clear" w:color="auto" w:fill="FFFFFF"/>
            <w:noWrap w:val="0"/>
            <w:vAlign w:val="center"/>
          </w:tcPr>
          <w:p w14:paraId="771412A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地砖</w:t>
            </w:r>
          </w:p>
        </w:tc>
        <w:tc>
          <w:tcPr>
            <w:tcW w:w="4822" w:type="dxa"/>
            <w:shd w:val="clear" w:color="auto" w:fill="FFFFFF"/>
            <w:noWrap w:val="0"/>
            <w:vAlign w:val="center"/>
          </w:tcPr>
          <w:p w14:paraId="43CD80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冠珠、新中源、马可波罗、蒙娜丽莎、诺贝尔</w:t>
            </w:r>
          </w:p>
        </w:tc>
        <w:tc>
          <w:tcPr>
            <w:tcW w:w="1209" w:type="dxa"/>
            <w:shd w:val="clear" w:color="auto" w:fill="FFFFFF"/>
            <w:noWrap w:val="0"/>
            <w:vAlign w:val="center"/>
          </w:tcPr>
          <w:p w14:paraId="5DA2E70A">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6C7F95">
            <w:pPr>
              <w:rPr>
                <w:rFonts w:hint="eastAsia" w:ascii="Times New Roman" w:hAnsi="Times New Roman" w:cs="Times New Roman"/>
                <w:kern w:val="0"/>
                <w:sz w:val="24"/>
                <w:szCs w:val="24"/>
                <w:highlight w:val="none"/>
                <w:shd w:val="clear" w:color="auto" w:fill="auto"/>
                <w:vertAlign w:val="baseline"/>
                <w:lang w:val="en-US" w:eastAsia="zh-CN"/>
              </w:rPr>
            </w:pPr>
          </w:p>
        </w:tc>
      </w:tr>
      <w:tr w14:paraId="3DAF8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60" w:hRule="atLeast"/>
        </w:trPr>
        <w:tc>
          <w:tcPr>
            <w:tcW w:w="1934" w:type="dxa"/>
            <w:shd w:val="clear" w:color="auto" w:fill="FFFFFF"/>
            <w:noWrap w:val="0"/>
            <w:vAlign w:val="center"/>
          </w:tcPr>
          <w:p w14:paraId="793AAC0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墙砖</w:t>
            </w:r>
          </w:p>
        </w:tc>
        <w:tc>
          <w:tcPr>
            <w:tcW w:w="4822" w:type="dxa"/>
            <w:shd w:val="clear" w:color="auto" w:fill="FFFFFF"/>
            <w:noWrap w:val="0"/>
            <w:vAlign w:val="center"/>
          </w:tcPr>
          <w:p w14:paraId="1D8187D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东鹏、诺贝尔、马可波罗</w:t>
            </w:r>
          </w:p>
        </w:tc>
        <w:tc>
          <w:tcPr>
            <w:tcW w:w="1209" w:type="dxa"/>
            <w:shd w:val="clear" w:color="auto" w:fill="FFFFFF"/>
            <w:noWrap w:val="0"/>
            <w:vAlign w:val="center"/>
          </w:tcPr>
          <w:p w14:paraId="77E5B5D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3FEE1A97">
            <w:pPr>
              <w:rPr>
                <w:rFonts w:hint="eastAsia" w:ascii="Times New Roman" w:hAnsi="Times New Roman" w:cs="Times New Roman"/>
                <w:kern w:val="0"/>
                <w:sz w:val="24"/>
                <w:szCs w:val="24"/>
                <w:highlight w:val="none"/>
                <w:shd w:val="clear" w:color="auto" w:fill="auto"/>
                <w:vertAlign w:val="baseline"/>
                <w:lang w:val="en-US" w:eastAsia="zh-CN"/>
              </w:rPr>
            </w:pPr>
          </w:p>
        </w:tc>
      </w:tr>
      <w:tr w14:paraId="0C062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94" w:hRule="atLeast"/>
        </w:trPr>
        <w:tc>
          <w:tcPr>
            <w:tcW w:w="1934" w:type="dxa"/>
            <w:shd w:val="clear" w:color="auto" w:fill="FFFFFF"/>
            <w:noWrap w:val="0"/>
            <w:vAlign w:val="center"/>
          </w:tcPr>
          <w:p w14:paraId="6D13971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灯具</w:t>
            </w:r>
          </w:p>
        </w:tc>
        <w:tc>
          <w:tcPr>
            <w:tcW w:w="4822" w:type="dxa"/>
            <w:shd w:val="clear" w:color="auto" w:fill="FFFFFF"/>
            <w:noWrap w:val="0"/>
            <w:vAlign w:val="center"/>
          </w:tcPr>
          <w:p w14:paraId="7443AB9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欧普OPPLE、三雄极光、华艺、佛山</w:t>
            </w:r>
          </w:p>
        </w:tc>
        <w:tc>
          <w:tcPr>
            <w:tcW w:w="1209" w:type="dxa"/>
            <w:shd w:val="clear" w:color="auto" w:fill="FFFFFF"/>
            <w:noWrap w:val="0"/>
            <w:vAlign w:val="center"/>
          </w:tcPr>
          <w:p w14:paraId="13F6B0D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A0C73B2">
            <w:pPr>
              <w:rPr>
                <w:rFonts w:hint="eastAsia" w:ascii="Times New Roman" w:hAnsi="Times New Roman" w:cs="Times New Roman"/>
                <w:kern w:val="0"/>
                <w:sz w:val="24"/>
                <w:szCs w:val="24"/>
                <w:highlight w:val="none"/>
                <w:shd w:val="clear" w:color="auto" w:fill="auto"/>
                <w:vertAlign w:val="baseline"/>
                <w:lang w:val="en-US" w:eastAsia="zh-CN"/>
              </w:rPr>
            </w:pPr>
          </w:p>
        </w:tc>
      </w:tr>
      <w:tr w14:paraId="03739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80" w:hRule="atLeast"/>
        </w:trPr>
        <w:tc>
          <w:tcPr>
            <w:tcW w:w="1934" w:type="dxa"/>
            <w:shd w:val="clear" w:color="auto" w:fill="FFFFFF"/>
            <w:noWrap w:val="0"/>
            <w:vAlign w:val="center"/>
          </w:tcPr>
          <w:p w14:paraId="58803A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开关插座</w:t>
            </w:r>
          </w:p>
        </w:tc>
        <w:tc>
          <w:tcPr>
            <w:tcW w:w="4822" w:type="dxa"/>
            <w:shd w:val="clear" w:color="auto" w:fill="FFFFFF"/>
            <w:noWrap w:val="0"/>
            <w:vAlign w:val="center"/>
          </w:tcPr>
          <w:p w14:paraId="7E1CA68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正泰、公牛、西门子、施耐德</w:t>
            </w:r>
          </w:p>
        </w:tc>
        <w:tc>
          <w:tcPr>
            <w:tcW w:w="1209" w:type="dxa"/>
            <w:shd w:val="clear" w:color="auto" w:fill="FFFFFF"/>
            <w:noWrap w:val="0"/>
            <w:vAlign w:val="center"/>
          </w:tcPr>
          <w:p w14:paraId="348E457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B95AFB7">
            <w:pPr>
              <w:rPr>
                <w:rFonts w:hint="eastAsia" w:ascii="Times New Roman" w:hAnsi="Times New Roman" w:cs="Times New Roman"/>
                <w:kern w:val="0"/>
                <w:sz w:val="24"/>
                <w:szCs w:val="24"/>
                <w:highlight w:val="none"/>
                <w:shd w:val="clear" w:color="auto" w:fill="auto"/>
                <w:vertAlign w:val="baseline"/>
                <w:lang w:val="en-US" w:eastAsia="zh-CN"/>
              </w:rPr>
            </w:pPr>
          </w:p>
        </w:tc>
      </w:tr>
      <w:tr w14:paraId="060D0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50" w:hRule="atLeast"/>
        </w:trPr>
        <w:tc>
          <w:tcPr>
            <w:tcW w:w="1934" w:type="dxa"/>
            <w:shd w:val="clear" w:color="auto" w:fill="FFFFFF"/>
            <w:noWrap w:val="0"/>
            <w:vAlign w:val="center"/>
          </w:tcPr>
          <w:p w14:paraId="4D9604D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乳胶漆、涂料</w:t>
            </w:r>
          </w:p>
        </w:tc>
        <w:tc>
          <w:tcPr>
            <w:tcW w:w="4822" w:type="dxa"/>
            <w:shd w:val="clear" w:color="auto" w:fill="FFFFFF"/>
            <w:noWrap w:val="0"/>
            <w:vAlign w:val="center"/>
          </w:tcPr>
          <w:p w14:paraId="72408F5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4B632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FCC2CE4">
            <w:pPr>
              <w:rPr>
                <w:rFonts w:hint="eastAsia" w:ascii="Times New Roman" w:hAnsi="Times New Roman" w:cs="Times New Roman"/>
                <w:kern w:val="0"/>
                <w:sz w:val="24"/>
                <w:szCs w:val="24"/>
                <w:highlight w:val="none"/>
                <w:shd w:val="clear" w:color="auto" w:fill="auto"/>
                <w:vertAlign w:val="baseline"/>
                <w:lang w:val="en-US" w:eastAsia="zh-CN"/>
              </w:rPr>
            </w:pPr>
          </w:p>
        </w:tc>
      </w:tr>
      <w:tr w14:paraId="298AB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46" w:hRule="atLeast"/>
        </w:trPr>
        <w:tc>
          <w:tcPr>
            <w:tcW w:w="1934" w:type="dxa"/>
            <w:shd w:val="clear" w:color="auto" w:fill="FFFFFF"/>
            <w:noWrap w:val="0"/>
            <w:vAlign w:val="center"/>
          </w:tcPr>
          <w:p w14:paraId="3D95AEA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腻子</w:t>
            </w:r>
          </w:p>
        </w:tc>
        <w:tc>
          <w:tcPr>
            <w:tcW w:w="4822" w:type="dxa"/>
            <w:shd w:val="clear" w:color="auto" w:fill="FFFFFF"/>
            <w:noWrap w:val="0"/>
            <w:vAlign w:val="center"/>
          </w:tcPr>
          <w:p w14:paraId="7E83BA8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EDDFD7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E8177FB">
            <w:pPr>
              <w:rPr>
                <w:rFonts w:hint="eastAsia" w:ascii="Times New Roman" w:hAnsi="Times New Roman" w:cs="Times New Roman"/>
                <w:kern w:val="0"/>
                <w:sz w:val="24"/>
                <w:szCs w:val="24"/>
                <w:highlight w:val="none"/>
                <w:shd w:val="clear" w:color="auto" w:fill="auto"/>
                <w:vertAlign w:val="baseline"/>
                <w:lang w:val="en-US" w:eastAsia="zh-CN"/>
              </w:rPr>
            </w:pPr>
          </w:p>
        </w:tc>
      </w:tr>
      <w:tr w14:paraId="614CB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20" w:hRule="atLeast"/>
        </w:trPr>
        <w:tc>
          <w:tcPr>
            <w:tcW w:w="1934" w:type="dxa"/>
            <w:shd w:val="clear" w:color="auto" w:fill="FFFFFF"/>
            <w:noWrap w:val="0"/>
            <w:vAlign w:val="center"/>
          </w:tcPr>
          <w:p w14:paraId="71DBBD7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玻璃</w:t>
            </w:r>
          </w:p>
        </w:tc>
        <w:tc>
          <w:tcPr>
            <w:tcW w:w="4822" w:type="dxa"/>
            <w:shd w:val="clear" w:color="auto" w:fill="FFFFFF"/>
            <w:noWrap w:val="0"/>
            <w:vAlign w:val="center"/>
          </w:tcPr>
          <w:p w14:paraId="57B644F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深圳南玻、上海耀皮、台玻</w:t>
            </w:r>
          </w:p>
        </w:tc>
        <w:tc>
          <w:tcPr>
            <w:tcW w:w="1209" w:type="dxa"/>
            <w:shd w:val="clear" w:color="auto" w:fill="FFFFFF"/>
            <w:noWrap w:val="0"/>
            <w:vAlign w:val="center"/>
          </w:tcPr>
          <w:p w14:paraId="05199A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086076DA">
            <w:pPr>
              <w:rPr>
                <w:rFonts w:hint="eastAsia" w:ascii="Times New Roman" w:hAnsi="Times New Roman" w:cs="Times New Roman"/>
                <w:kern w:val="0"/>
                <w:sz w:val="24"/>
                <w:szCs w:val="24"/>
                <w:highlight w:val="none"/>
                <w:shd w:val="clear" w:color="auto" w:fill="auto"/>
                <w:vertAlign w:val="baseline"/>
                <w:lang w:val="en-US" w:eastAsia="zh-CN"/>
              </w:rPr>
            </w:pPr>
          </w:p>
        </w:tc>
      </w:tr>
      <w:tr w14:paraId="1DD9F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76" w:hRule="atLeast"/>
        </w:trPr>
        <w:tc>
          <w:tcPr>
            <w:tcW w:w="1934" w:type="dxa"/>
            <w:shd w:val="clear" w:color="auto" w:fill="FFFFFF"/>
            <w:noWrap w:val="0"/>
            <w:vAlign w:val="center"/>
          </w:tcPr>
          <w:p w14:paraId="74DAE78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厚阻燃板</w:t>
            </w:r>
          </w:p>
        </w:tc>
        <w:tc>
          <w:tcPr>
            <w:tcW w:w="4822" w:type="dxa"/>
            <w:shd w:val="clear" w:color="auto" w:fill="FFFFFF"/>
            <w:noWrap w:val="0"/>
            <w:vAlign w:val="center"/>
          </w:tcPr>
          <w:p w14:paraId="410329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兔宝宝、福湘、莫干山、千年舟</w:t>
            </w:r>
          </w:p>
        </w:tc>
        <w:tc>
          <w:tcPr>
            <w:tcW w:w="1209" w:type="dxa"/>
            <w:shd w:val="clear" w:color="auto" w:fill="FFFFFF"/>
            <w:noWrap w:val="0"/>
            <w:vAlign w:val="center"/>
          </w:tcPr>
          <w:p w14:paraId="149435A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81EE269">
            <w:pPr>
              <w:rPr>
                <w:rFonts w:hint="eastAsia" w:ascii="Times New Roman" w:hAnsi="Times New Roman" w:cs="Times New Roman"/>
                <w:kern w:val="0"/>
                <w:sz w:val="24"/>
                <w:szCs w:val="24"/>
                <w:highlight w:val="none"/>
                <w:shd w:val="clear" w:color="auto" w:fill="auto"/>
                <w:vertAlign w:val="baseline"/>
                <w:lang w:val="en-US" w:eastAsia="zh-CN"/>
              </w:rPr>
            </w:pPr>
          </w:p>
        </w:tc>
      </w:tr>
      <w:tr w14:paraId="094DB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4" w:hRule="atLeast"/>
        </w:trPr>
        <w:tc>
          <w:tcPr>
            <w:tcW w:w="1934" w:type="dxa"/>
            <w:shd w:val="clear" w:color="auto" w:fill="FFFFFF"/>
            <w:noWrap w:val="0"/>
            <w:vAlign w:val="center"/>
          </w:tcPr>
          <w:p w14:paraId="06BE7E3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墙布</w:t>
            </w:r>
          </w:p>
        </w:tc>
        <w:tc>
          <w:tcPr>
            <w:tcW w:w="4822" w:type="dxa"/>
            <w:shd w:val="clear" w:color="auto" w:fill="FFFFFF"/>
            <w:noWrap w:val="0"/>
            <w:vAlign w:val="center"/>
          </w:tcPr>
          <w:p w14:paraId="5B1FB90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玉兰、欧雅、瑞宝</w:t>
            </w:r>
          </w:p>
        </w:tc>
        <w:tc>
          <w:tcPr>
            <w:tcW w:w="1209" w:type="dxa"/>
            <w:shd w:val="clear" w:color="auto" w:fill="FFFFFF"/>
            <w:noWrap w:val="0"/>
            <w:vAlign w:val="center"/>
          </w:tcPr>
          <w:p w14:paraId="2F9940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6B0146">
            <w:pPr>
              <w:rPr>
                <w:rFonts w:hint="eastAsia" w:ascii="Times New Roman" w:hAnsi="Times New Roman" w:cs="Times New Roman"/>
                <w:kern w:val="0"/>
                <w:sz w:val="24"/>
                <w:szCs w:val="24"/>
                <w:highlight w:val="none"/>
                <w:shd w:val="clear" w:color="auto" w:fill="auto"/>
                <w:vertAlign w:val="baseline"/>
                <w:lang w:val="en-US" w:eastAsia="zh-CN"/>
              </w:rPr>
            </w:pPr>
          </w:p>
        </w:tc>
      </w:tr>
      <w:tr w14:paraId="24599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2" w:hRule="atLeast"/>
        </w:trPr>
        <w:tc>
          <w:tcPr>
            <w:tcW w:w="1934" w:type="dxa"/>
            <w:shd w:val="clear" w:color="auto" w:fill="FFFFFF"/>
            <w:noWrap w:val="0"/>
            <w:vAlign w:val="center"/>
          </w:tcPr>
          <w:p w14:paraId="71FCEBD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石膏板</w:t>
            </w:r>
          </w:p>
        </w:tc>
        <w:tc>
          <w:tcPr>
            <w:tcW w:w="4822" w:type="dxa"/>
            <w:shd w:val="clear" w:color="auto" w:fill="FFFFFF"/>
            <w:noWrap w:val="0"/>
            <w:vAlign w:val="center"/>
          </w:tcPr>
          <w:p w14:paraId="63DDA7C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龙牌、杰科、可耐福</w:t>
            </w:r>
          </w:p>
        </w:tc>
        <w:tc>
          <w:tcPr>
            <w:tcW w:w="1209" w:type="dxa"/>
            <w:shd w:val="clear" w:color="auto" w:fill="FFFFFF"/>
            <w:noWrap w:val="0"/>
            <w:vAlign w:val="center"/>
          </w:tcPr>
          <w:p w14:paraId="6D83C4B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04496F2">
            <w:pPr>
              <w:rPr>
                <w:rFonts w:hint="eastAsia" w:ascii="Times New Roman" w:hAnsi="Times New Roman" w:cs="Times New Roman"/>
                <w:kern w:val="0"/>
                <w:sz w:val="24"/>
                <w:szCs w:val="24"/>
                <w:highlight w:val="none"/>
                <w:shd w:val="clear" w:color="auto" w:fill="auto"/>
                <w:vertAlign w:val="baseline"/>
                <w:lang w:val="en-US" w:eastAsia="zh-CN"/>
              </w:rPr>
            </w:pPr>
          </w:p>
        </w:tc>
      </w:tr>
      <w:tr w14:paraId="1706F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60" w:hRule="atLeast"/>
        </w:trPr>
        <w:tc>
          <w:tcPr>
            <w:tcW w:w="1934" w:type="dxa"/>
            <w:shd w:val="clear" w:color="auto" w:fill="FFFFFF"/>
            <w:noWrap w:val="0"/>
            <w:vAlign w:val="center"/>
          </w:tcPr>
          <w:p w14:paraId="4D3A12B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板材</w:t>
            </w:r>
          </w:p>
        </w:tc>
        <w:tc>
          <w:tcPr>
            <w:tcW w:w="4822" w:type="dxa"/>
            <w:shd w:val="clear" w:color="auto" w:fill="FFFFFF"/>
            <w:noWrap w:val="0"/>
            <w:vAlign w:val="center"/>
          </w:tcPr>
          <w:p w14:paraId="7A9B1F0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大王椰板材、兔宝宝、千年舟、莫干山</w:t>
            </w:r>
          </w:p>
        </w:tc>
        <w:tc>
          <w:tcPr>
            <w:tcW w:w="1209" w:type="dxa"/>
            <w:shd w:val="clear" w:color="auto" w:fill="FFFFFF"/>
            <w:noWrap w:val="0"/>
            <w:vAlign w:val="center"/>
          </w:tcPr>
          <w:p w14:paraId="2C26F64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C261412">
            <w:pPr>
              <w:rPr>
                <w:rFonts w:hint="eastAsia" w:ascii="Times New Roman" w:hAnsi="Times New Roman" w:cs="Times New Roman"/>
                <w:kern w:val="0"/>
                <w:sz w:val="24"/>
                <w:szCs w:val="24"/>
                <w:highlight w:val="none"/>
                <w:shd w:val="clear" w:color="auto" w:fill="auto"/>
                <w:vertAlign w:val="baseline"/>
                <w:lang w:val="en-US" w:eastAsia="zh-CN"/>
              </w:rPr>
            </w:pPr>
          </w:p>
        </w:tc>
      </w:tr>
      <w:tr w14:paraId="6936F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940" w:hRule="atLeast"/>
        </w:trPr>
        <w:tc>
          <w:tcPr>
            <w:tcW w:w="1934" w:type="dxa"/>
            <w:shd w:val="clear" w:color="auto" w:fill="FFFFFF"/>
            <w:noWrap w:val="0"/>
            <w:vAlign w:val="center"/>
          </w:tcPr>
          <w:p w14:paraId="2F301D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轻钢龙骨</w:t>
            </w:r>
          </w:p>
        </w:tc>
        <w:tc>
          <w:tcPr>
            <w:tcW w:w="4822" w:type="dxa"/>
            <w:shd w:val="clear" w:color="auto" w:fill="FFFFFF"/>
            <w:noWrap w:val="0"/>
            <w:vAlign w:val="center"/>
          </w:tcPr>
          <w:p w14:paraId="3AEF6E9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龙牌、秦长城CHINGREATWALL、KNAUF可耐福、杰科Gyproc</w:t>
            </w:r>
          </w:p>
        </w:tc>
        <w:tc>
          <w:tcPr>
            <w:tcW w:w="1209" w:type="dxa"/>
            <w:shd w:val="clear" w:color="auto" w:fill="FFFFFF"/>
            <w:noWrap w:val="0"/>
            <w:vAlign w:val="center"/>
          </w:tcPr>
          <w:p w14:paraId="2DECDB05">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F65C077">
            <w:pPr>
              <w:rPr>
                <w:rFonts w:hint="eastAsia" w:ascii="Times New Roman" w:hAnsi="Times New Roman" w:cs="Times New Roman"/>
                <w:kern w:val="0"/>
                <w:sz w:val="24"/>
                <w:szCs w:val="24"/>
                <w:highlight w:val="none"/>
                <w:shd w:val="clear" w:color="auto" w:fill="auto"/>
                <w:vertAlign w:val="baseline"/>
                <w:lang w:val="en-US" w:eastAsia="zh-CN"/>
              </w:rPr>
            </w:pPr>
          </w:p>
        </w:tc>
      </w:tr>
      <w:tr w14:paraId="2838F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trPr>
        <w:tc>
          <w:tcPr>
            <w:tcW w:w="1934" w:type="dxa"/>
            <w:shd w:val="clear" w:color="auto" w:fill="FFFFFF"/>
            <w:noWrap w:val="0"/>
            <w:vAlign w:val="center"/>
          </w:tcPr>
          <w:p w14:paraId="7EAA55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线缆</w:t>
            </w:r>
          </w:p>
        </w:tc>
        <w:tc>
          <w:tcPr>
            <w:tcW w:w="4822" w:type="dxa"/>
            <w:shd w:val="clear" w:color="auto" w:fill="FFFFFF"/>
            <w:noWrap w:val="0"/>
            <w:vAlign w:val="center"/>
          </w:tcPr>
          <w:p w14:paraId="0C1A886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远东、熊猫、民兴、绿宝</w:t>
            </w:r>
          </w:p>
        </w:tc>
        <w:tc>
          <w:tcPr>
            <w:tcW w:w="1209" w:type="dxa"/>
            <w:shd w:val="clear" w:color="auto" w:fill="FFFFFF"/>
            <w:noWrap w:val="0"/>
            <w:vAlign w:val="center"/>
          </w:tcPr>
          <w:p w14:paraId="1DC460F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EFACF2">
            <w:pPr>
              <w:rPr>
                <w:rFonts w:hint="eastAsia" w:ascii="Times New Roman" w:hAnsi="Times New Roman" w:cs="Times New Roman"/>
                <w:kern w:val="0"/>
                <w:sz w:val="24"/>
                <w:szCs w:val="24"/>
                <w:highlight w:val="none"/>
                <w:shd w:val="clear" w:color="auto" w:fill="auto"/>
                <w:vertAlign w:val="baseline"/>
                <w:lang w:val="en-US" w:eastAsia="zh-CN"/>
              </w:rPr>
            </w:pPr>
          </w:p>
        </w:tc>
      </w:tr>
      <w:tr w14:paraId="593AC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10B4779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空调</w:t>
            </w:r>
          </w:p>
        </w:tc>
        <w:tc>
          <w:tcPr>
            <w:tcW w:w="4822" w:type="dxa"/>
            <w:shd w:val="clear" w:color="auto" w:fill="FFFFFF"/>
            <w:noWrap w:val="0"/>
            <w:vAlign w:val="center"/>
          </w:tcPr>
          <w:p w14:paraId="433CCAB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格力、美的、海尔、大金</w:t>
            </w:r>
          </w:p>
        </w:tc>
        <w:tc>
          <w:tcPr>
            <w:tcW w:w="1209" w:type="dxa"/>
            <w:shd w:val="clear" w:color="auto" w:fill="FFFFFF"/>
            <w:noWrap w:val="0"/>
            <w:vAlign w:val="center"/>
          </w:tcPr>
          <w:p w14:paraId="0DE69B8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3B0F688">
            <w:pPr>
              <w:rPr>
                <w:rFonts w:hint="eastAsia" w:ascii="Times New Roman" w:hAnsi="Times New Roman" w:cs="Times New Roman"/>
                <w:kern w:val="0"/>
                <w:sz w:val="24"/>
                <w:szCs w:val="24"/>
                <w:highlight w:val="none"/>
                <w:shd w:val="clear" w:color="auto" w:fill="auto"/>
                <w:vertAlign w:val="baseline"/>
                <w:lang w:val="en-US" w:eastAsia="zh-CN"/>
              </w:rPr>
            </w:pPr>
          </w:p>
        </w:tc>
      </w:tr>
      <w:tr w14:paraId="5C8C5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08" w:hRule="atLeast"/>
        </w:trPr>
        <w:tc>
          <w:tcPr>
            <w:tcW w:w="1934" w:type="dxa"/>
            <w:shd w:val="clear" w:color="auto" w:fill="FFFFFF"/>
            <w:noWrap w:val="0"/>
            <w:vAlign w:val="center"/>
          </w:tcPr>
          <w:p w14:paraId="4FB6BE0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户内水管</w:t>
            </w:r>
          </w:p>
        </w:tc>
        <w:tc>
          <w:tcPr>
            <w:tcW w:w="4822" w:type="dxa"/>
            <w:shd w:val="clear" w:color="auto" w:fill="FFFFFF"/>
            <w:noWrap w:val="0"/>
            <w:vAlign w:val="center"/>
          </w:tcPr>
          <w:p w14:paraId="3814B1E4">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伟星vasen、联塑LESSO、日丰</w:t>
            </w:r>
          </w:p>
        </w:tc>
        <w:tc>
          <w:tcPr>
            <w:tcW w:w="1209" w:type="dxa"/>
            <w:shd w:val="clear" w:color="auto" w:fill="FFFFFF"/>
            <w:noWrap w:val="0"/>
            <w:vAlign w:val="center"/>
          </w:tcPr>
          <w:p w14:paraId="3B0CFCA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03C86BF">
            <w:pPr>
              <w:rPr>
                <w:rFonts w:hint="eastAsia" w:ascii="Times New Roman" w:hAnsi="Times New Roman" w:cs="Times New Roman"/>
                <w:kern w:val="0"/>
                <w:sz w:val="24"/>
                <w:szCs w:val="24"/>
                <w:highlight w:val="none"/>
                <w:shd w:val="clear" w:color="auto" w:fill="auto"/>
                <w:vertAlign w:val="baseline"/>
                <w:lang w:val="en-US" w:eastAsia="zh-CN"/>
              </w:rPr>
            </w:pPr>
          </w:p>
        </w:tc>
      </w:tr>
      <w:tr w14:paraId="5E4A3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1934" w:type="dxa"/>
            <w:shd w:val="clear" w:color="auto" w:fill="FFFFFF"/>
            <w:noWrap w:val="0"/>
            <w:vAlign w:val="center"/>
          </w:tcPr>
          <w:p w14:paraId="2B2A988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智能家居</w:t>
            </w:r>
          </w:p>
        </w:tc>
        <w:tc>
          <w:tcPr>
            <w:tcW w:w="4822" w:type="dxa"/>
            <w:shd w:val="clear" w:color="auto" w:fill="FFFFFF"/>
            <w:noWrap w:val="0"/>
            <w:vAlign w:val="center"/>
          </w:tcPr>
          <w:p w14:paraId="6D82C6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华为、小米、西顿照明、海康威视</w:t>
            </w:r>
          </w:p>
        </w:tc>
        <w:tc>
          <w:tcPr>
            <w:tcW w:w="1209" w:type="dxa"/>
            <w:shd w:val="clear" w:color="auto" w:fill="FFFFFF"/>
            <w:noWrap w:val="0"/>
            <w:vAlign w:val="center"/>
          </w:tcPr>
          <w:p w14:paraId="12AAAA9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77665FE">
            <w:pPr>
              <w:rPr>
                <w:rFonts w:hint="eastAsia" w:ascii="Times New Roman" w:hAnsi="Times New Roman" w:cs="Times New Roman"/>
                <w:kern w:val="0"/>
                <w:sz w:val="24"/>
                <w:szCs w:val="24"/>
                <w:highlight w:val="none"/>
                <w:shd w:val="clear" w:color="auto" w:fill="auto"/>
                <w:vertAlign w:val="baseline"/>
                <w:lang w:val="en-US" w:eastAsia="zh-CN"/>
              </w:rPr>
            </w:pPr>
          </w:p>
        </w:tc>
      </w:tr>
      <w:tr w14:paraId="28CC3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1934" w:type="dxa"/>
            <w:shd w:val="clear" w:color="auto" w:fill="FFFFFF"/>
            <w:noWrap w:val="0"/>
            <w:vAlign w:val="center"/>
          </w:tcPr>
          <w:p w14:paraId="7530013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音响系统</w:t>
            </w:r>
          </w:p>
        </w:tc>
        <w:tc>
          <w:tcPr>
            <w:tcW w:w="4822" w:type="dxa"/>
            <w:shd w:val="clear" w:color="auto" w:fill="FFFFFF"/>
            <w:noWrap w:val="0"/>
            <w:vAlign w:val="center"/>
          </w:tcPr>
          <w:p w14:paraId="6F6DF42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丹麦丹拿、丹麦达尼、POWRT、BOSE</w:t>
            </w:r>
          </w:p>
        </w:tc>
        <w:tc>
          <w:tcPr>
            <w:tcW w:w="1209" w:type="dxa"/>
            <w:shd w:val="clear" w:color="auto" w:fill="FFFFFF"/>
            <w:noWrap w:val="0"/>
            <w:vAlign w:val="center"/>
          </w:tcPr>
          <w:p w14:paraId="4199EBB6">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9B81345">
            <w:pPr>
              <w:rPr>
                <w:rFonts w:hint="eastAsia" w:ascii="Times New Roman" w:hAnsi="Times New Roman" w:cs="Times New Roman"/>
                <w:kern w:val="0"/>
                <w:sz w:val="24"/>
                <w:szCs w:val="24"/>
                <w:highlight w:val="none"/>
                <w:shd w:val="clear" w:color="auto" w:fill="auto"/>
                <w:vertAlign w:val="baseline"/>
                <w:lang w:val="en-US" w:eastAsia="zh-CN"/>
              </w:rPr>
            </w:pPr>
          </w:p>
        </w:tc>
      </w:tr>
      <w:tr w14:paraId="2A209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2AE3EB4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浴霸</w:t>
            </w:r>
          </w:p>
        </w:tc>
        <w:tc>
          <w:tcPr>
            <w:tcW w:w="4822" w:type="dxa"/>
            <w:shd w:val="clear" w:color="auto" w:fill="FFFFFF"/>
            <w:noWrap w:val="0"/>
            <w:vAlign w:val="center"/>
          </w:tcPr>
          <w:p w14:paraId="77D76DC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欧普OPPLE、奥普AUPU、雷士（NVC）</w:t>
            </w:r>
          </w:p>
        </w:tc>
        <w:tc>
          <w:tcPr>
            <w:tcW w:w="1209" w:type="dxa"/>
            <w:shd w:val="clear" w:color="auto" w:fill="FFFFFF"/>
            <w:noWrap w:val="0"/>
            <w:vAlign w:val="center"/>
          </w:tcPr>
          <w:p w14:paraId="7C95E4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BE9FEE">
            <w:pPr>
              <w:rPr>
                <w:rFonts w:hint="eastAsia" w:ascii="Times New Roman" w:hAnsi="Times New Roman" w:cs="Times New Roman"/>
                <w:kern w:val="0"/>
                <w:sz w:val="24"/>
                <w:szCs w:val="24"/>
                <w:highlight w:val="none"/>
                <w:shd w:val="clear" w:color="auto" w:fill="auto"/>
                <w:vertAlign w:val="baseline"/>
                <w:lang w:val="en-US" w:eastAsia="zh-CN"/>
              </w:rPr>
            </w:pPr>
          </w:p>
        </w:tc>
      </w:tr>
      <w:tr w14:paraId="57BCC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trPr>
        <w:tc>
          <w:tcPr>
            <w:tcW w:w="1934" w:type="dxa"/>
            <w:shd w:val="clear" w:color="auto" w:fill="FFFFFF"/>
            <w:noWrap w:val="0"/>
            <w:vAlign w:val="center"/>
          </w:tcPr>
          <w:p w14:paraId="669977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防水材料</w:t>
            </w:r>
          </w:p>
        </w:tc>
        <w:tc>
          <w:tcPr>
            <w:tcW w:w="4822" w:type="dxa"/>
            <w:shd w:val="clear" w:color="auto" w:fill="FFFFFF"/>
            <w:noWrap w:val="0"/>
            <w:vAlign w:val="center"/>
          </w:tcPr>
          <w:p w14:paraId="0849886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卓宝、禹王、东方雨虹、科顺</w:t>
            </w:r>
          </w:p>
        </w:tc>
        <w:tc>
          <w:tcPr>
            <w:tcW w:w="1209" w:type="dxa"/>
            <w:shd w:val="clear" w:color="auto" w:fill="FFFFFF"/>
            <w:noWrap w:val="0"/>
            <w:vAlign w:val="center"/>
          </w:tcPr>
          <w:p w14:paraId="7355F6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9DACF9B">
            <w:pPr>
              <w:rPr>
                <w:rFonts w:hint="eastAsia" w:ascii="Times New Roman" w:hAnsi="Times New Roman" w:cs="Times New Roman"/>
                <w:kern w:val="0"/>
                <w:sz w:val="24"/>
                <w:szCs w:val="24"/>
                <w:highlight w:val="none"/>
                <w:shd w:val="clear" w:color="auto" w:fill="auto"/>
                <w:vertAlign w:val="baseline"/>
                <w:lang w:val="en-US" w:eastAsia="zh-CN"/>
              </w:rPr>
            </w:pPr>
          </w:p>
        </w:tc>
      </w:tr>
      <w:tr w14:paraId="50A39D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48" w:hRule="atLeast"/>
        </w:trPr>
        <w:tc>
          <w:tcPr>
            <w:tcW w:w="8522" w:type="dxa"/>
            <w:gridSpan w:val="4"/>
            <w:shd w:val="clear" w:color="auto" w:fill="FFFFFF"/>
            <w:noWrap w:val="0"/>
            <w:vAlign w:val="center"/>
          </w:tcPr>
          <w:p w14:paraId="1B01458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注：推荐品牌仅为了说明产品质量、档次，技术参数、质量及性能等优于或相当于推荐品牌的均可参与响应。</w:t>
            </w:r>
          </w:p>
        </w:tc>
      </w:tr>
    </w:tbl>
    <w:p w14:paraId="78CE64FB">
      <w:pPr>
        <w:rPr>
          <w:rFonts w:hint="eastAsia" w:ascii="Times New Roman" w:hAnsi="Times New Roman" w:cs="Times New Roman"/>
          <w:kern w:val="0"/>
          <w:sz w:val="24"/>
          <w:szCs w:val="24"/>
          <w:highlight w:val="none"/>
          <w:shd w:val="clear" w:color="auto" w:fill="auto"/>
          <w:vertAlign w:val="baseline"/>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90B28E9">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具体施工内容详见施工图纸、工程量清单、物料表及</w:t>
      </w:r>
      <w:r>
        <w:rPr>
          <w:rFonts w:hint="eastAsia" w:ascii="Times New Roman" w:hAnsi="Times New Roman" w:cs="Times New Roman"/>
          <w:kern w:val="0"/>
          <w:sz w:val="24"/>
          <w:szCs w:val="24"/>
          <w:highlight w:val="none"/>
          <w:shd w:val="clear" w:color="auto" w:fill="auto"/>
          <w:vertAlign w:val="baseline"/>
          <w:lang w:val="en-US" w:eastAsia="zh-CN" w:bidi="ar-SA"/>
        </w:rPr>
        <w:t>采购</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人要求等。房号自东向西分别为01/02/03/04户</w:t>
      </w:r>
      <w:r>
        <w:rPr>
          <w:rFonts w:hint="eastAsia" w:ascii="Times New Roman" w:hAnsi="Times New Roman" w:cs="Times New Roman"/>
          <w:kern w:val="0"/>
          <w:sz w:val="24"/>
          <w:szCs w:val="24"/>
          <w:highlight w:val="none"/>
          <w:shd w:val="clear" w:color="auto" w:fill="auto"/>
          <w:vertAlign w:val="baseline"/>
          <w:lang w:val="en-US" w:eastAsia="zh-CN" w:bidi="ar-SA"/>
        </w:rPr>
        <w:t>。</w:t>
      </w:r>
    </w:p>
    <w:p w14:paraId="209474CB">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p>
    <w:p w14:paraId="77D8F5F1">
      <w:pPr>
        <w:pStyle w:val="16"/>
        <w:rPr>
          <w:rFonts w:hint="eastAsia" w:asciiTheme="majorEastAsia" w:hAnsiTheme="majorEastAsia" w:eastAsiaTheme="majorEastAsia" w:cstheme="majorEastAsia"/>
          <w:b/>
          <w:bCs/>
          <w:sz w:val="32"/>
          <w:szCs w:val="32"/>
          <w:highlight w:val="none"/>
          <w:lang w:val="en-US" w:eastAsia="zh-CN"/>
        </w:rPr>
      </w:pPr>
    </w:p>
    <w:p w14:paraId="0BBD6281">
      <w:pPr>
        <w:pStyle w:val="16"/>
        <w:rPr>
          <w:rFonts w:hint="eastAsia" w:asciiTheme="majorEastAsia" w:hAnsiTheme="majorEastAsia" w:eastAsiaTheme="majorEastAsia" w:cstheme="majorEastAsia"/>
          <w:b/>
          <w:bCs/>
          <w:sz w:val="32"/>
          <w:szCs w:val="32"/>
          <w:highlight w:val="none"/>
          <w:lang w:val="en-US" w:eastAsia="zh-CN"/>
        </w:rPr>
      </w:pPr>
    </w:p>
    <w:p w14:paraId="7A8C5B05">
      <w:pPr>
        <w:pStyle w:val="16"/>
        <w:rPr>
          <w:rFonts w:hint="eastAsia" w:asciiTheme="majorEastAsia" w:hAnsiTheme="majorEastAsia" w:eastAsiaTheme="majorEastAsia" w:cstheme="majorEastAsia"/>
          <w:b/>
          <w:bCs/>
          <w:sz w:val="32"/>
          <w:szCs w:val="32"/>
          <w:highlight w:val="none"/>
          <w:lang w:val="en-US" w:eastAsia="zh-CN"/>
        </w:rPr>
      </w:pPr>
    </w:p>
    <w:p w14:paraId="61739826">
      <w:pPr>
        <w:pStyle w:val="16"/>
        <w:rPr>
          <w:rFonts w:hint="eastAsia" w:asciiTheme="majorEastAsia" w:hAnsiTheme="majorEastAsia" w:eastAsiaTheme="majorEastAsia" w:cstheme="majorEastAsia"/>
          <w:b/>
          <w:bCs/>
          <w:sz w:val="32"/>
          <w:szCs w:val="32"/>
          <w:highlight w:val="none"/>
          <w:lang w:val="en-US" w:eastAsia="zh-CN"/>
        </w:rPr>
      </w:pPr>
    </w:p>
    <w:p w14:paraId="5643129D">
      <w:pPr>
        <w:pStyle w:val="16"/>
        <w:rPr>
          <w:rFonts w:hint="eastAsia" w:asciiTheme="majorEastAsia" w:hAnsiTheme="majorEastAsia" w:eastAsiaTheme="majorEastAsia" w:cstheme="majorEastAsia"/>
          <w:b/>
          <w:bCs/>
          <w:sz w:val="32"/>
          <w:szCs w:val="32"/>
          <w:highlight w:val="none"/>
          <w:lang w:val="en-US" w:eastAsia="zh-CN"/>
        </w:rPr>
      </w:pPr>
    </w:p>
    <w:p w14:paraId="450864C4">
      <w:pPr>
        <w:pStyle w:val="16"/>
        <w:rPr>
          <w:rFonts w:hint="eastAsia" w:asciiTheme="majorEastAsia" w:hAnsiTheme="majorEastAsia" w:eastAsiaTheme="majorEastAsia" w:cstheme="majorEastAsia"/>
          <w:b/>
          <w:bCs/>
          <w:sz w:val="32"/>
          <w:szCs w:val="32"/>
          <w:highlight w:val="none"/>
          <w:lang w:val="en-US" w:eastAsia="zh-CN"/>
        </w:rPr>
      </w:pPr>
    </w:p>
    <w:p w14:paraId="01F7F6C1">
      <w:pPr>
        <w:pStyle w:val="16"/>
        <w:rPr>
          <w:rFonts w:hint="eastAsia" w:asciiTheme="majorEastAsia" w:hAnsiTheme="majorEastAsia" w:eastAsiaTheme="majorEastAsia" w:cstheme="majorEastAsia"/>
          <w:b/>
          <w:bCs/>
          <w:sz w:val="32"/>
          <w:szCs w:val="32"/>
          <w:highlight w:val="none"/>
          <w:lang w:val="en-US" w:eastAsia="zh-CN"/>
        </w:rPr>
      </w:pPr>
    </w:p>
    <w:p w14:paraId="529DC7DB">
      <w:pPr>
        <w:pStyle w:val="16"/>
        <w:rPr>
          <w:rFonts w:hint="eastAsia" w:asciiTheme="majorEastAsia" w:hAnsiTheme="majorEastAsia" w:eastAsiaTheme="majorEastAsia" w:cstheme="majorEastAsia"/>
          <w:b/>
          <w:bCs/>
          <w:sz w:val="32"/>
          <w:szCs w:val="32"/>
          <w:highlight w:val="none"/>
          <w:lang w:val="en-US" w:eastAsia="zh-CN"/>
        </w:rPr>
      </w:pPr>
    </w:p>
    <w:p w14:paraId="658D1508">
      <w:pPr>
        <w:pStyle w:val="16"/>
        <w:rPr>
          <w:rFonts w:hint="eastAsia" w:asciiTheme="majorEastAsia" w:hAnsiTheme="majorEastAsia" w:eastAsiaTheme="majorEastAsia" w:cstheme="majorEastAsia"/>
          <w:b/>
          <w:bCs/>
          <w:sz w:val="32"/>
          <w:szCs w:val="32"/>
          <w:highlight w:val="none"/>
          <w:lang w:val="en-US" w:eastAsia="zh-CN"/>
        </w:rPr>
      </w:pPr>
    </w:p>
    <w:p w14:paraId="4334A7D1">
      <w:pPr>
        <w:pStyle w:val="16"/>
        <w:rPr>
          <w:rFonts w:hint="eastAsia" w:asciiTheme="majorEastAsia" w:hAnsiTheme="majorEastAsia" w:eastAsiaTheme="majorEastAsia" w:cstheme="majorEastAsia"/>
          <w:b/>
          <w:bCs/>
          <w:sz w:val="32"/>
          <w:szCs w:val="32"/>
          <w:highlight w:val="none"/>
          <w:lang w:val="en-US" w:eastAsia="zh-CN"/>
        </w:rPr>
      </w:pPr>
    </w:p>
    <w:p w14:paraId="48EEB301">
      <w:pPr>
        <w:pStyle w:val="16"/>
        <w:rPr>
          <w:rFonts w:hint="eastAsia" w:asciiTheme="majorEastAsia" w:hAnsiTheme="majorEastAsia" w:eastAsiaTheme="majorEastAsia" w:cstheme="majorEastAsia"/>
          <w:b/>
          <w:bCs/>
          <w:sz w:val="32"/>
          <w:szCs w:val="32"/>
          <w:highlight w:val="none"/>
          <w:lang w:val="en-US" w:eastAsia="zh-CN"/>
        </w:rPr>
      </w:pPr>
    </w:p>
    <w:p w14:paraId="7D479147">
      <w:pPr>
        <w:pStyle w:val="16"/>
        <w:rPr>
          <w:rFonts w:hint="eastAsia" w:asciiTheme="majorEastAsia" w:hAnsiTheme="majorEastAsia" w:eastAsiaTheme="majorEastAsia" w:cstheme="majorEastAsia"/>
          <w:b/>
          <w:bCs/>
          <w:sz w:val="32"/>
          <w:szCs w:val="32"/>
          <w:highlight w:val="none"/>
          <w:lang w:val="en-US" w:eastAsia="zh-CN"/>
        </w:rPr>
      </w:pPr>
    </w:p>
    <w:p w14:paraId="1C4C4B79">
      <w:pPr>
        <w:pStyle w:val="16"/>
        <w:rPr>
          <w:rFonts w:hint="eastAsia" w:asciiTheme="majorEastAsia" w:hAnsiTheme="majorEastAsia" w:eastAsiaTheme="majorEastAsia" w:cstheme="majorEastAsia"/>
          <w:b/>
          <w:bCs/>
          <w:sz w:val="32"/>
          <w:szCs w:val="32"/>
          <w:highlight w:val="none"/>
          <w:lang w:val="en-US" w:eastAsia="zh-CN"/>
        </w:rPr>
      </w:pPr>
    </w:p>
    <w:p w14:paraId="52BC8AF5">
      <w:pPr>
        <w:pStyle w:val="16"/>
        <w:rPr>
          <w:rFonts w:hint="eastAsia" w:asciiTheme="majorEastAsia" w:hAnsiTheme="majorEastAsia" w:eastAsiaTheme="majorEastAsia" w:cstheme="majorEastAsia"/>
          <w:b/>
          <w:bCs/>
          <w:sz w:val="32"/>
          <w:szCs w:val="32"/>
          <w:highlight w:val="none"/>
          <w:lang w:val="en-US" w:eastAsia="zh-CN"/>
        </w:rPr>
      </w:pPr>
    </w:p>
    <w:p w14:paraId="21C2CE45">
      <w:pPr>
        <w:pStyle w:val="16"/>
        <w:rPr>
          <w:rFonts w:hint="eastAsia" w:asciiTheme="majorEastAsia" w:hAnsiTheme="majorEastAsia" w:eastAsiaTheme="majorEastAsia" w:cstheme="majorEastAsia"/>
          <w:b/>
          <w:bCs/>
          <w:sz w:val="32"/>
          <w:szCs w:val="32"/>
          <w:highlight w:val="none"/>
          <w:lang w:val="en-US" w:eastAsia="zh-CN"/>
        </w:rPr>
      </w:pPr>
    </w:p>
    <w:p w14:paraId="1666EAF8">
      <w:pPr>
        <w:pStyle w:val="16"/>
        <w:rPr>
          <w:rFonts w:hint="eastAsia" w:asciiTheme="majorEastAsia" w:hAnsiTheme="majorEastAsia" w:eastAsiaTheme="majorEastAsia" w:cstheme="majorEastAsia"/>
          <w:b/>
          <w:bCs/>
          <w:sz w:val="32"/>
          <w:szCs w:val="32"/>
          <w:highlight w:val="none"/>
          <w:lang w:val="en-US" w:eastAsia="zh-CN"/>
        </w:rPr>
      </w:pPr>
    </w:p>
    <w:p w14:paraId="2715FDC2">
      <w:pPr>
        <w:pStyle w:val="16"/>
        <w:rPr>
          <w:rFonts w:hint="eastAsia" w:asciiTheme="majorEastAsia" w:hAnsiTheme="majorEastAsia" w:eastAsiaTheme="majorEastAsia" w:cstheme="majorEastAsia"/>
          <w:b/>
          <w:bCs/>
          <w:sz w:val="32"/>
          <w:szCs w:val="32"/>
          <w:highlight w:val="none"/>
          <w:lang w:val="en-US" w:eastAsia="zh-CN"/>
        </w:rPr>
      </w:pPr>
    </w:p>
    <w:p w14:paraId="04DA1A2C">
      <w:pPr>
        <w:pStyle w:val="16"/>
        <w:rPr>
          <w:rFonts w:hint="eastAsia" w:asciiTheme="majorEastAsia" w:hAnsiTheme="majorEastAsia" w:eastAsiaTheme="majorEastAsia" w:cs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14C9558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752" w:name="_Toc152042576"/>
      <w:bookmarkStart w:id="753" w:name="_Toc247514246"/>
      <w:bookmarkStart w:id="754" w:name="_Toc247527827"/>
      <w:bookmarkStart w:id="755" w:name="_Toc144974856"/>
      <w:bookmarkStart w:id="756" w:name="_Toc152045787"/>
      <w:bookmarkStart w:id="757" w:name="_Toc300835209"/>
      <w:r>
        <w:rPr>
          <w:rFonts w:hint="default" w:ascii="Times New Roman" w:hAnsi="Times New Roman" w:cs="Times New Roman"/>
        </w:rPr>
        <w:t>目    录</w:t>
      </w:r>
      <w:bookmarkEnd w:id="752"/>
      <w:bookmarkEnd w:id="753"/>
      <w:bookmarkEnd w:id="754"/>
      <w:bookmarkEnd w:id="755"/>
      <w:bookmarkEnd w:id="756"/>
      <w:bookmarkEnd w:id="757"/>
    </w:p>
    <w:p w14:paraId="187E6D0F">
      <w:pPr>
        <w:spacing w:line="540" w:lineRule="exact"/>
        <w:rPr>
          <w:rFonts w:hint="default" w:ascii="Times New Roman" w:hAnsi="Times New Roman" w:cs="Times New Roman"/>
        </w:rPr>
      </w:pP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758" w:name="_Toc144974857"/>
      <w:bookmarkStart w:id="759" w:name="_Toc247527828"/>
      <w:bookmarkStart w:id="760" w:name="_Toc152042577"/>
      <w:bookmarkStart w:id="761" w:name="_Toc247514247"/>
      <w:bookmarkStart w:id="762" w:name="_Toc300835210"/>
      <w:bookmarkStart w:id="763"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758"/>
      <w:bookmarkEnd w:id="759"/>
      <w:bookmarkEnd w:id="760"/>
      <w:bookmarkEnd w:id="761"/>
      <w:bookmarkEnd w:id="762"/>
      <w:bookmarkEnd w:id="763"/>
    </w:p>
    <w:p w14:paraId="55072827">
      <w:pPr>
        <w:spacing w:line="440" w:lineRule="exact"/>
        <w:rPr>
          <w:rFonts w:hint="default" w:ascii="Times New Roman" w:hAnsi="Times New Roman" w:cs="Times New Roman"/>
          <w:szCs w:val="21"/>
        </w:rPr>
      </w:pPr>
      <w:bookmarkStart w:id="764" w:name="_Toc152045790"/>
      <w:bookmarkStart w:id="765" w:name="_Toc247514249"/>
      <w:bookmarkStart w:id="766" w:name="_Toc144974859"/>
      <w:bookmarkStart w:id="767" w:name="_Toc300835212"/>
      <w:bookmarkStart w:id="768" w:name="_Toc247527830"/>
      <w:bookmarkStart w:id="769"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18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bookmarkStart w:id="848" w:name="_GoBack"/>
      <w:bookmarkEnd w:id="848"/>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w:t>
      </w:r>
      <w:permEnd w:id="188"/>
      <w:r>
        <w:rPr>
          <w:rFonts w:hint="eastAsia" w:ascii="Times New Roman" w:hAnsi="Times New Roman" w:cs="Times New Roman"/>
          <w:szCs w:val="21"/>
          <w:lang w:val="en-US" w:eastAsia="zh-CN"/>
        </w:rPr>
        <w:t>，计划工期：</w:t>
      </w:r>
      <w:permStart w:id="189"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自合同签订之日起40</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189"/>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764"/>
    <w:bookmarkEnd w:id="765"/>
    <w:bookmarkEnd w:id="766"/>
    <w:bookmarkEnd w:id="767"/>
    <w:bookmarkEnd w:id="768"/>
    <w:bookmarkEnd w:id="769"/>
    <w:p w14:paraId="5CB70B30">
      <w:pPr>
        <w:pStyle w:val="3"/>
        <w:jc w:val="both"/>
        <w:rPr>
          <w:rFonts w:hint="default" w:ascii="Times New Roman" w:hAnsi="Times New Roman" w:cs="Times New Roman"/>
        </w:rPr>
      </w:pPr>
      <w:bookmarkStart w:id="770" w:name="_Toc152045791"/>
      <w:bookmarkStart w:id="771" w:name="_Toc300835213"/>
      <w:bookmarkStart w:id="772" w:name="_Toc152042580"/>
      <w:bookmarkStart w:id="773" w:name="_Toc144974860"/>
      <w:bookmarkStart w:id="774" w:name="_Toc247514283"/>
      <w:bookmarkStart w:id="775"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770"/>
      <w:bookmarkEnd w:id="771"/>
      <w:bookmarkEnd w:id="772"/>
      <w:bookmarkEnd w:id="773"/>
      <w:bookmarkEnd w:id="774"/>
      <w:bookmarkEnd w:id="77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776" w:name="_Toc144974861"/>
      <w:bookmarkStart w:id="777" w:name="_Toc152042581"/>
      <w:bookmarkStart w:id="778" w:name="_Toc300835214"/>
      <w:bookmarkStart w:id="779" w:name="_Toc247514284"/>
      <w:bookmarkStart w:id="780" w:name="_Toc247527832"/>
      <w:bookmarkStart w:id="781"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776"/>
      <w:bookmarkEnd w:id="777"/>
      <w:bookmarkEnd w:id="778"/>
      <w:bookmarkEnd w:id="779"/>
      <w:bookmarkEnd w:id="780"/>
      <w:bookmarkEnd w:id="781"/>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2CEE55D5">
      <w:pPr>
        <w:topLinePunct/>
        <w:spacing w:line="440" w:lineRule="exact"/>
        <w:jc w:val="both"/>
        <w:rPr>
          <w:rFonts w:hint="eastAsia" w:ascii="Times New Roman" w:hAnsi="Times New Roman" w:cs="Times New Roman"/>
          <w:szCs w:val="21"/>
          <w:lang w:val="en-US" w:eastAsia="zh-CN"/>
        </w:rPr>
      </w:pPr>
      <w:bookmarkStart w:id="782" w:name="_Toc152042583"/>
      <w:bookmarkStart w:id="783" w:name="_Toc247527834"/>
      <w:bookmarkStart w:id="784" w:name="_Toc152045794"/>
      <w:bookmarkStart w:id="785" w:name="_Toc247514286"/>
      <w:bookmarkStart w:id="786" w:name="_Toc144974862"/>
      <w:bookmarkStart w:id="787" w:name="_Toc300835216"/>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jc w:val="both"/>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782"/>
      <w:bookmarkEnd w:id="783"/>
      <w:bookmarkEnd w:id="784"/>
      <w:bookmarkEnd w:id="785"/>
      <w:bookmarkEnd w:id="786"/>
      <w:bookmarkEnd w:id="787"/>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78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788"/>
    <w:p w14:paraId="19A18FFC">
      <w:pPr>
        <w:rPr>
          <w:rFonts w:hint="default" w:ascii="Times New Roman" w:hAnsi="Times New Roman" w:cs="Times New Roman"/>
        </w:rPr>
      </w:pPr>
      <w:bookmarkStart w:id="789" w:name="_Toc247527835"/>
      <w:bookmarkStart w:id="790" w:name="_Toc247514287"/>
      <w:bookmarkStart w:id="791" w:name="_Toc152045795"/>
      <w:bookmarkStart w:id="792" w:name="_Toc144974863"/>
      <w:bookmarkStart w:id="793" w:name="_Toc152042584"/>
      <w:bookmarkStart w:id="794" w:name="_Toc300835218"/>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789"/>
      <w:bookmarkEnd w:id="790"/>
      <w:bookmarkEnd w:id="791"/>
      <w:bookmarkEnd w:id="792"/>
      <w:bookmarkEnd w:id="793"/>
      <w:bookmarkEnd w:id="794"/>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795" w:name="_Toc144974864"/>
      <w:bookmarkStart w:id="796" w:name="_Toc247514288"/>
      <w:bookmarkStart w:id="797" w:name="_Toc300835221"/>
      <w:bookmarkStart w:id="798" w:name="_Toc152045796"/>
      <w:bookmarkStart w:id="799" w:name="_Toc247527836"/>
      <w:bookmarkStart w:id="800" w:name="_Toc152042585"/>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795"/>
      <w:bookmarkEnd w:id="796"/>
      <w:bookmarkEnd w:id="797"/>
      <w:bookmarkEnd w:id="798"/>
      <w:bookmarkEnd w:id="799"/>
      <w:bookmarkEnd w:id="800"/>
      <w:bookmarkStart w:id="801" w:name="_Toc300835223"/>
      <w:r>
        <w:t>资格审查资料</w:t>
      </w:r>
    </w:p>
    <w:p w14:paraId="3DAB7550">
      <w:pPr>
        <w:pStyle w:val="4"/>
        <w:jc w:val="both"/>
        <w:rPr>
          <w:rFonts w:hint="eastAsia"/>
        </w:rPr>
      </w:pPr>
      <w:bookmarkStart w:id="802" w:name="_Toc296602618"/>
      <w:bookmarkStart w:id="803" w:name="_Toc179632828"/>
      <w:bookmarkStart w:id="804" w:name="_Toc247085891"/>
      <w:bookmarkStart w:id="805" w:name="_Toc246997116"/>
      <w:bookmarkStart w:id="806" w:name="_Toc246996373"/>
      <w:r>
        <w:t>（一）</w:t>
      </w:r>
      <w:r>
        <w:rPr>
          <w:rFonts w:hint="eastAsia"/>
          <w:lang w:eastAsia="zh-CN"/>
        </w:rPr>
        <w:t>供应商</w:t>
      </w:r>
      <w:r>
        <w:t>基本情况表</w:t>
      </w:r>
      <w:bookmarkEnd w:id="802"/>
      <w:bookmarkEnd w:id="803"/>
      <w:bookmarkEnd w:id="804"/>
      <w:bookmarkEnd w:id="805"/>
      <w:bookmarkEnd w:id="806"/>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807" w:name="_Toc246997113"/>
      <w:bookmarkStart w:id="808" w:name="_Toc296602615"/>
      <w:bookmarkStart w:id="809" w:name="_Toc247085888"/>
      <w:bookmarkStart w:id="810" w:name="_Toc246996370"/>
      <w:bookmarkStart w:id="811" w:name="_Toc247527850"/>
      <w:bookmarkStart w:id="812" w:name="_Toc152042599"/>
      <w:bookmarkStart w:id="813" w:name="_Toc300835226"/>
      <w:bookmarkStart w:id="814" w:name="_Toc152045810"/>
      <w:bookmarkStart w:id="815" w:name="_Toc144974878"/>
      <w:bookmarkStart w:id="816" w:name="_Toc247514302"/>
      <w:r>
        <w:t>（</w:t>
      </w:r>
      <w:r>
        <w:rPr>
          <w:rFonts w:hint="eastAsia"/>
          <w:lang w:val="en-US" w:eastAsia="zh-CN"/>
        </w:rPr>
        <w:t>二</w:t>
      </w:r>
      <w:r>
        <w:t>）项目管理机构组成表</w:t>
      </w:r>
      <w:bookmarkEnd w:id="807"/>
      <w:bookmarkEnd w:id="808"/>
      <w:bookmarkEnd w:id="809"/>
      <w:bookmarkEnd w:id="810"/>
    </w:p>
    <w:p w14:paraId="69188AE7">
      <w:pPr>
        <w:spacing w:line="440" w:lineRule="exact"/>
        <w:jc w:val="center"/>
        <w:rPr>
          <w:rFonts w:eastAsia="黑体"/>
          <w:sz w:val="23"/>
          <w:szCs w:val="23"/>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817" w:name="_Toc246996371"/>
      <w:bookmarkStart w:id="818" w:name="_Toc247085889"/>
      <w:bookmarkStart w:id="819" w:name="_Toc246997114"/>
      <w:bookmarkStart w:id="820" w:name="_Toc296602616"/>
      <w:r>
        <w:t>（</w:t>
      </w:r>
      <w:r>
        <w:rPr>
          <w:rFonts w:hint="eastAsia"/>
          <w:lang w:val="en-US" w:eastAsia="zh-CN"/>
        </w:rPr>
        <w:t>三</w:t>
      </w:r>
      <w:r>
        <w:t>）</w:t>
      </w:r>
      <w:r>
        <w:rPr>
          <w:rFonts w:hint="eastAsia"/>
          <w:lang w:eastAsia="zh-CN"/>
        </w:rPr>
        <w:t>项目负责人</w:t>
      </w:r>
      <w:r>
        <w:t>简历表</w:t>
      </w:r>
      <w:bookmarkEnd w:id="817"/>
      <w:bookmarkEnd w:id="818"/>
      <w:bookmarkEnd w:id="819"/>
      <w:bookmarkEnd w:id="820"/>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811"/>
      <w:bookmarkEnd w:id="812"/>
      <w:bookmarkEnd w:id="813"/>
      <w:bookmarkEnd w:id="814"/>
      <w:bookmarkEnd w:id="815"/>
      <w:bookmarkEnd w:id="816"/>
    </w:p>
    <w:p w14:paraId="76AECB73">
      <w:pPr>
        <w:spacing w:line="440" w:lineRule="exact"/>
        <w:jc w:val="center"/>
        <w:rPr>
          <w:rFonts w:hint="default"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821" w:name="_Toc152042600"/>
      <w:bookmarkStart w:id="822" w:name="_Toc152045811"/>
      <w:bookmarkStart w:id="823" w:name="_Toc144974879"/>
      <w:bookmarkStart w:id="824" w:name="_Toc247514303"/>
      <w:bookmarkStart w:id="825" w:name="_Toc247527851"/>
    </w:p>
    <w:p w14:paraId="7C055E10">
      <w:pPr>
        <w:spacing w:line="440" w:lineRule="exact"/>
        <w:rPr>
          <w:rFonts w:hint="default" w:ascii="Times New Roman" w:hAnsi="Times New Roman" w:cs="Times New Roman"/>
        </w:rPr>
      </w:pPr>
    </w:p>
    <w:bookmarkEnd w:id="821"/>
    <w:bookmarkEnd w:id="822"/>
    <w:bookmarkEnd w:id="823"/>
    <w:bookmarkEnd w:id="824"/>
    <w:bookmarkEnd w:id="825"/>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801"/>
    <w:p w14:paraId="433781BC">
      <w:pPr>
        <w:pStyle w:val="4"/>
        <w:jc w:val="center"/>
        <w:rPr>
          <w:rFonts w:hint="default" w:ascii="Times New Roman" w:hAnsi="Times New Roman" w:cs="Times New Roman"/>
          <w:lang w:val="en-US" w:eastAsia="zh-CN"/>
        </w:rPr>
      </w:pPr>
      <w:bookmarkStart w:id="826" w:name="_Toc179632827"/>
      <w:bookmarkStart w:id="827" w:name="_Toc247527848"/>
      <w:bookmarkStart w:id="828" w:name="_Toc152045807"/>
      <w:bookmarkStart w:id="829" w:name="_Toc300835224"/>
      <w:bookmarkStart w:id="830" w:name="_Toc247085890"/>
      <w:bookmarkStart w:id="831" w:name="_Toc144974875"/>
      <w:bookmarkStart w:id="832" w:name="_Toc246996372"/>
      <w:bookmarkStart w:id="833" w:name="_Toc296602617"/>
      <w:bookmarkStart w:id="834" w:name="_Toc152045808"/>
      <w:bookmarkStart w:id="835" w:name="_Toc152042596"/>
      <w:bookmarkStart w:id="836" w:name="_Toc152042597"/>
      <w:bookmarkStart w:id="837" w:name="_Toc247514300"/>
      <w:bookmarkStart w:id="838" w:name="_Toc246997115"/>
      <w:bookmarkStart w:id="839" w:name="_Toc144974876"/>
      <w:r>
        <w:rPr>
          <w:rFonts w:hint="eastAsia" w:ascii="Times New Roman" w:hAnsi="Times New Roman" w:cs="Times New Roman"/>
          <w:lang w:val="en-US" w:eastAsia="zh-CN"/>
        </w:rPr>
        <w:t>八、</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840" w:name="_Toc247514305"/>
      <w:bookmarkStart w:id="841" w:name="_Toc247530162"/>
      <w:bookmarkStart w:id="842" w:name="_Toc152045813"/>
      <w:bookmarkStart w:id="843" w:name="_Toc144974881"/>
      <w:bookmarkStart w:id="844" w:name="_Toc152042602"/>
      <w:bookmarkStart w:id="845" w:name="_Toc247527853"/>
    </w:p>
    <w:bookmarkEnd w:id="840"/>
    <w:bookmarkEnd w:id="841"/>
    <w:bookmarkEnd w:id="842"/>
    <w:bookmarkEnd w:id="843"/>
    <w:bookmarkEnd w:id="844"/>
    <w:bookmarkEnd w:id="845"/>
    <w:p w14:paraId="1E5B7EEB">
      <w:pPr>
        <w:pStyle w:val="3"/>
        <w:jc w:val="center"/>
        <w:rPr>
          <w:rFonts w:hint="default" w:ascii="Times New Roman" w:hAnsi="Times New Roman" w:cs="Times New Roman"/>
        </w:rPr>
      </w:pPr>
      <w:bookmarkStart w:id="846" w:name="_Toc271821942"/>
      <w:bookmarkStart w:id="847" w:name="_Toc300835233"/>
      <w:r>
        <w:rPr>
          <w:rFonts w:hint="eastAsia" w:ascii="Times New Roman" w:hAnsi="Times New Roman" w:cs="Times New Roman"/>
          <w:lang w:val="en-US" w:eastAsia="zh-CN"/>
        </w:rPr>
        <w:t>九</w:t>
      </w:r>
      <w:r>
        <w:rPr>
          <w:rFonts w:hint="default" w:ascii="Times New Roman" w:hAnsi="Times New Roman" w:cs="Times New Roman"/>
        </w:rPr>
        <w:t>、其他资料</w:t>
      </w:r>
      <w:bookmarkEnd w:id="846"/>
      <w:bookmarkEnd w:id="847"/>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12" w:type="defaul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C6D40E5-1B2A-4FB6-B7B3-4CA92F95FC5D}"/>
  </w:font>
  <w:font w:name="Arial">
    <w:panose1 w:val="020B0604020202020204"/>
    <w:charset w:val="01"/>
    <w:family w:val="swiss"/>
    <w:pitch w:val="default"/>
    <w:sig w:usb0="E0002EFF" w:usb1="C000785B" w:usb2="00000009" w:usb3="00000000" w:csb0="400001FF" w:csb1="FFFF0000"/>
    <w:embedRegular r:id="rId2" w:fontKey="{01FC0E25-1987-46A0-85E0-B57CD9FC5211}"/>
  </w:font>
  <w:font w:name="黑体">
    <w:panose1 w:val="02010609060101010101"/>
    <w:charset w:val="86"/>
    <w:family w:val="auto"/>
    <w:pitch w:val="default"/>
    <w:sig w:usb0="800002BF" w:usb1="38CF7CFA" w:usb2="00000016" w:usb3="00000000" w:csb0="00040001" w:csb1="00000000"/>
    <w:embedRegular r:id="rId3" w:fontKey="{08A62ECD-054A-4DB6-8D4A-14AB221B4C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C02C4CE2-555C-4923-A5D2-A279C1D9209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FC58A0D0-0A23-43C6-B0F3-353184402A42}"/>
  </w:font>
  <w:font w:name="仿宋_GB2312">
    <w:panose1 w:val="02010609030101010101"/>
    <w:charset w:val="86"/>
    <w:family w:val="modern"/>
    <w:pitch w:val="default"/>
    <w:sig w:usb0="00000001" w:usb1="080E0000" w:usb2="00000000" w:usb3="00000000" w:csb0="00040000" w:csb1="00000000"/>
    <w:embedRegular r:id="rId6" w:fontKey="{09748AE1-89F2-4467-BA4F-D9789AD68694}"/>
  </w:font>
  <w:font w:name="楷体">
    <w:panose1 w:val="02010609060101010101"/>
    <w:charset w:val="86"/>
    <w:family w:val="auto"/>
    <w:pitch w:val="default"/>
    <w:sig w:usb0="800002BF" w:usb1="38CF7CFA" w:usb2="00000016" w:usb3="00000000" w:csb0="00040001" w:csb1="00000000"/>
    <w:embedRegular r:id="rId7" w:fontKey="{DDA634F1-8325-412F-A574-485A0307CD0E}"/>
  </w:font>
  <w:font w:name="Wingdings 2">
    <w:panose1 w:val="05020102010507070707"/>
    <w:charset w:val="00"/>
    <w:family w:val="auto"/>
    <w:pitch w:val="default"/>
    <w:sig w:usb0="00000000" w:usb1="00000000" w:usb2="00000000" w:usb3="00000000" w:csb0="80000000" w:csb1="00000000"/>
    <w:embedRegular r:id="rId8" w:fontKey="{6F10237A-AB7A-48F1-8514-D62C9958A0E3}"/>
  </w:font>
  <w:font w:name="方正仿宋_GB2312">
    <w:altName w:val="仿宋"/>
    <w:panose1 w:val="02000000000000000000"/>
    <w:charset w:val="86"/>
    <w:family w:val="auto"/>
    <w:pitch w:val="default"/>
    <w:sig w:usb0="00000000" w:usb1="00000000" w:usb2="00000012" w:usb3="00000000" w:csb0="00040001" w:csb1="00000000"/>
    <w:embedRegular r:id="rId9" w:fontKey="{AD2E2EF6-9355-4848-BF73-7ED01B336108}"/>
  </w:font>
  <w:font w:name="仿宋">
    <w:panose1 w:val="02010609060101010101"/>
    <w:charset w:val="86"/>
    <w:family w:val="modern"/>
    <w:pitch w:val="default"/>
    <w:sig w:usb0="800002BF" w:usb1="38CF7CFA" w:usb2="00000016" w:usb3="00000000" w:csb0="00040001" w:csb1="00000000"/>
    <w:embedRegular r:id="rId10" w:fontKey="{1258205C-34C7-42B5-9ACF-E847CF672858}"/>
  </w:font>
  <w:font w:name="华文中宋">
    <w:panose1 w:val="02010600040101010101"/>
    <w:charset w:val="86"/>
    <w:family w:val="auto"/>
    <w:pitch w:val="default"/>
    <w:sig w:usb0="00000287" w:usb1="080F0000" w:usb2="00000000" w:usb3="00000000" w:csb0="0004009F" w:csb1="DFD70000"/>
    <w:embedRegular r:id="rId11" w:fontKey="{74E500D2-AA25-409B-BE9F-4296E0C534AC}"/>
  </w:font>
  <w:font w:name="Tahoma">
    <w:panose1 w:val="020B0604030504040204"/>
    <w:charset w:val="00"/>
    <w:family w:val="auto"/>
    <w:pitch w:val="default"/>
    <w:sig w:usb0="E1002EFF" w:usb1="C000605B" w:usb2="00000029" w:usb3="00000000" w:csb0="200101FF" w:csb1="20280000"/>
  </w:font>
  <w:font w:name="KSOFE8852770">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4FAAB">
    <w:pPr>
      <w:pStyle w:val="13"/>
      <w:rPr>
        <w:rFonts w:ascii="Times New Roman" w:hAnsi="Times New Roman" w:eastAsia="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3840" cy="16129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4384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6BFF9">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9.2pt;mso-position-horizontal:center;mso-position-horizontal-relative:margin;mso-wrap-style:none;z-index:251659264;mso-width-relative:page;mso-height-relative:page;" filled="f" stroked="f" coordsize="21600,21600" o:gfxdata="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fSH800gAAAAMBAAAPAAAAAAAAAAEAIAAAACIAAABkcnMvZG93bnJldi54bWxQSwECFAAU&#10;AAAACACHTuJAPoGpijACAABVBAAADgAAAAAAAAABACAAAAAhAQAAZHJzL2Uyb0RvYy54bWxQSwUG&#10;AAAAAAYABgBZAQAAwwUAAAAA&#10;">
              <v:fill on="f" focussize="0,0"/>
              <v:stroke on="f" weight="0.5pt"/>
              <v:imagedata o:title=""/>
              <o:lock v:ext="edit" aspectratio="f"/>
              <v:textbox inset="0mm,0mm,0mm,0mm" style="mso-fit-shape-to-text:t;">
                <w:txbxContent>
                  <w:p w14:paraId="1186BFF9">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87CFC">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6675" cy="16129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7BE01">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0288;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uv6vf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R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uv6vfLQIAAFQEAAAOAAAAAAAAAAEAIAAAACABAABkcnMvZTJvRG9jLnhtbFBLBQYAAAAA&#10;BgAGAFkBAAC/BQAAAAA=&#10;">
              <v:fill on="f" focussize="0,0"/>
              <v:stroke on="f" weight="0.5pt"/>
              <v:imagedata o:title=""/>
              <o:lock v:ext="edit" aspectratio="f"/>
              <v:textbox inset="0mm,0mm,0mm,0mm" style="mso-fit-shape-to-text:t;">
                <w:txbxContent>
                  <w:p w14:paraId="2937BE0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18B38">
    <w:pPr>
      <w:pStyle w:val="1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27000" cy="16129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2700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B5A323">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0pt;mso-position-horizontal:center;mso-position-horizontal-relative:margin;mso-wrap-style:none;z-index:251660288;mso-width-relative:page;mso-height-relative:page;" filled="f" stroked="f" coordsize="21600,21600" o:gfxdata="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YSljvRAAAAAwEAAA8AAAAAAAAAAQAgAAAAIgAAAGRycy9kb3ducmV2LnhtbFBLAQIUABQAAAAI&#10;AIdO4kCmNGf+LQIAAFUEAAAOAAAAAAAAAAEAIAAAACABAABkcnMvZTJvRG9jLnhtbFBLBQYAAAAA&#10;BgAGAFkBAAC/BQAAAAA=&#10;">
              <v:fill on="f" focussize="0,0"/>
              <v:stroke on="f" weight="0.5pt"/>
              <v:imagedata o:title=""/>
              <o:lock v:ext="edit" aspectratio="f"/>
              <v:textbox inset="0mm,0mm,0mm,0mm" style="mso-fit-shape-to-text:t;">
                <w:txbxContent>
                  <w:p w14:paraId="20B5A323">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21F7F">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2AC02">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66675" cy="16129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37418">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1312;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OzOTq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S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OzOTqLQIAAFQEAAAOAAAAAAAAAAEAIAAAACABAABkcnMvZTJvRG9jLnhtbFBLBQYAAAAA&#10;BgAGAFkBAAC/BQAAAAA=&#10;">
              <v:fill on="f" focussize="0,0"/>
              <v:stroke on="f" weight="0.5pt"/>
              <v:imagedata o:title=""/>
              <o:lock v:ext="edit" aspectratio="f"/>
              <v:textbox inset="0mm,0mm,0mm,0mm" style="mso-fit-shape-to-text:t;">
                <w:txbxContent>
                  <w:p w14:paraId="01C37418">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B10B6">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2DCD">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0819C">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D4359"/>
    <w:multiLevelType w:val="singleLevel"/>
    <w:tmpl w:val="FBDD4359"/>
    <w:lvl w:ilvl="0" w:tentative="0">
      <w:start w:val="1"/>
      <w:numFmt w:val="decimal"/>
      <w:suff w:val="nothing"/>
      <w:lvlText w:val="（%1）"/>
      <w:lvlJc w:val="left"/>
    </w:lvl>
  </w:abstractNum>
  <w:abstractNum w:abstractNumId="1">
    <w:nsid w:val="66FF566E"/>
    <w:multiLevelType w:val="singleLevel"/>
    <w:tmpl w:val="66FF566E"/>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52FF2"/>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23235"/>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1964"/>
    <w:rsid w:val="067240CC"/>
    <w:rsid w:val="067A79B9"/>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44369"/>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0265B"/>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DD70DD"/>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775F6"/>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A205D"/>
    <w:rsid w:val="1C4E114E"/>
    <w:rsid w:val="1C5D5F8B"/>
    <w:rsid w:val="1C630441"/>
    <w:rsid w:val="1C671A57"/>
    <w:rsid w:val="1C6934B1"/>
    <w:rsid w:val="1C6E241C"/>
    <w:rsid w:val="1CB07DF9"/>
    <w:rsid w:val="1CB612AF"/>
    <w:rsid w:val="1CC3681B"/>
    <w:rsid w:val="1CF251D3"/>
    <w:rsid w:val="1CF806C3"/>
    <w:rsid w:val="1CFF3217"/>
    <w:rsid w:val="1D01483C"/>
    <w:rsid w:val="1D0460DA"/>
    <w:rsid w:val="1D0C3E62"/>
    <w:rsid w:val="1D1D0D81"/>
    <w:rsid w:val="1D35436C"/>
    <w:rsid w:val="1D3A1AFC"/>
    <w:rsid w:val="1D4B5AB7"/>
    <w:rsid w:val="1D546098"/>
    <w:rsid w:val="1D5801D4"/>
    <w:rsid w:val="1D5835F0"/>
    <w:rsid w:val="1D594678"/>
    <w:rsid w:val="1D65672A"/>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1F71F7"/>
    <w:rsid w:val="232E56FD"/>
    <w:rsid w:val="233F5F96"/>
    <w:rsid w:val="235A4CA6"/>
    <w:rsid w:val="235F4D23"/>
    <w:rsid w:val="236D4028"/>
    <w:rsid w:val="238A4DFC"/>
    <w:rsid w:val="23954F56"/>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12E2"/>
    <w:rsid w:val="268A362E"/>
    <w:rsid w:val="269560EE"/>
    <w:rsid w:val="26AF686C"/>
    <w:rsid w:val="26CA60FC"/>
    <w:rsid w:val="26D16018"/>
    <w:rsid w:val="26DB3228"/>
    <w:rsid w:val="26DF6074"/>
    <w:rsid w:val="26E05716"/>
    <w:rsid w:val="26E31456"/>
    <w:rsid w:val="26FB685D"/>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5E1909"/>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2C3498"/>
    <w:rsid w:val="2F3565C7"/>
    <w:rsid w:val="2F3E191F"/>
    <w:rsid w:val="2F436846"/>
    <w:rsid w:val="2F4556CE"/>
    <w:rsid w:val="2F6F3C93"/>
    <w:rsid w:val="2F754A27"/>
    <w:rsid w:val="2F8135BA"/>
    <w:rsid w:val="2FB1448A"/>
    <w:rsid w:val="2FC802AE"/>
    <w:rsid w:val="2FCC29AF"/>
    <w:rsid w:val="2FCC2A87"/>
    <w:rsid w:val="2FD374AF"/>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110A"/>
    <w:rsid w:val="32BB4ABE"/>
    <w:rsid w:val="32BF7CD8"/>
    <w:rsid w:val="32C24615"/>
    <w:rsid w:val="32C8549C"/>
    <w:rsid w:val="32CA16D9"/>
    <w:rsid w:val="32DA54BB"/>
    <w:rsid w:val="32E83928"/>
    <w:rsid w:val="32F45590"/>
    <w:rsid w:val="331A580D"/>
    <w:rsid w:val="331C19F3"/>
    <w:rsid w:val="331F55C4"/>
    <w:rsid w:val="33240E2C"/>
    <w:rsid w:val="33380434"/>
    <w:rsid w:val="333F7A1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606D5"/>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90FA7"/>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EE5665"/>
    <w:rsid w:val="3AF47336"/>
    <w:rsid w:val="3AFF2C64"/>
    <w:rsid w:val="3B010619"/>
    <w:rsid w:val="3B081118"/>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D1069"/>
    <w:rsid w:val="3F3C595E"/>
    <w:rsid w:val="3F59346C"/>
    <w:rsid w:val="3F657308"/>
    <w:rsid w:val="3F685210"/>
    <w:rsid w:val="3F731171"/>
    <w:rsid w:val="3F732F1F"/>
    <w:rsid w:val="3F7856B5"/>
    <w:rsid w:val="3F7970EE"/>
    <w:rsid w:val="3F7C4554"/>
    <w:rsid w:val="3F8003ED"/>
    <w:rsid w:val="3F8B5F41"/>
    <w:rsid w:val="3F902B34"/>
    <w:rsid w:val="3F9B61F7"/>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43E5D"/>
    <w:rsid w:val="41761D35"/>
    <w:rsid w:val="417626E4"/>
    <w:rsid w:val="417843F2"/>
    <w:rsid w:val="41807B75"/>
    <w:rsid w:val="41864563"/>
    <w:rsid w:val="418A1799"/>
    <w:rsid w:val="41A61C3F"/>
    <w:rsid w:val="41B17185"/>
    <w:rsid w:val="41C45CB4"/>
    <w:rsid w:val="41DB6A6F"/>
    <w:rsid w:val="41EC6DB7"/>
    <w:rsid w:val="41ED19B3"/>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249CF"/>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68214A"/>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9096E"/>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103B3"/>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61076D"/>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2D5F57"/>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838DC"/>
    <w:rsid w:val="54F75F49"/>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364FC"/>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109BC"/>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9B3B69"/>
    <w:rsid w:val="60A13AB9"/>
    <w:rsid w:val="60A317BE"/>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21442"/>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53765"/>
    <w:rsid w:val="6CCC3665"/>
    <w:rsid w:val="6CD34AAD"/>
    <w:rsid w:val="6CEC0F34"/>
    <w:rsid w:val="6CF73CA4"/>
    <w:rsid w:val="6D005FF7"/>
    <w:rsid w:val="6D021C57"/>
    <w:rsid w:val="6D05105B"/>
    <w:rsid w:val="6D207FCD"/>
    <w:rsid w:val="6D280C36"/>
    <w:rsid w:val="6D286C4C"/>
    <w:rsid w:val="6D2B5B01"/>
    <w:rsid w:val="6D350F65"/>
    <w:rsid w:val="6D36363D"/>
    <w:rsid w:val="6D381497"/>
    <w:rsid w:val="6D3D6CCB"/>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25ECB"/>
    <w:rsid w:val="720A33A9"/>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068C"/>
    <w:rsid w:val="78CA1FEE"/>
    <w:rsid w:val="78CB3FEB"/>
    <w:rsid w:val="78CE219D"/>
    <w:rsid w:val="78CF04BF"/>
    <w:rsid w:val="79053EE1"/>
    <w:rsid w:val="792A1316"/>
    <w:rsid w:val="793B5CE2"/>
    <w:rsid w:val="794762A8"/>
    <w:rsid w:val="794C1437"/>
    <w:rsid w:val="795C411F"/>
    <w:rsid w:val="796834B3"/>
    <w:rsid w:val="797B3C8A"/>
    <w:rsid w:val="797F45FC"/>
    <w:rsid w:val="79970647"/>
    <w:rsid w:val="79A81CC2"/>
    <w:rsid w:val="79BD708F"/>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507E5"/>
    <w:rsid w:val="7DD00A7F"/>
    <w:rsid w:val="7DD547CA"/>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885137"/>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index 4"/>
    <w:basedOn w:val="1"/>
    <w:next w:val="1"/>
    <w:qFormat/>
    <w:uiPriority w:val="0"/>
    <w:pPr>
      <w:ind w:left="600" w:leftChars="60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8"/>
    <w:qFormat/>
    <w:uiPriority w:val="0"/>
    <w:pPr>
      <w:ind w:firstLine="420" w:firstLineChars="100"/>
    </w:pPr>
  </w:style>
  <w:style w:type="paragraph" w:styleId="19">
    <w:name w:val="Body Text First Indent 2"/>
    <w:basedOn w:val="9"/>
    <w:next w:val="10"/>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2"/>
    <w:qFormat/>
    <w:uiPriority w:val="0"/>
    <w:rPr>
      <w:rFonts w:ascii="Calibri" w:hAnsi="Calibri" w:cs="Calibri"/>
      <w:color w:val="000000"/>
      <w:sz w:val="21"/>
      <w:szCs w:val="21"/>
      <w:u w:val="none"/>
    </w:rPr>
  </w:style>
  <w:style w:type="character" w:customStyle="1" w:styleId="29">
    <w:name w:val="font21"/>
    <w:basedOn w:val="22"/>
    <w:qFormat/>
    <w:uiPriority w:val="0"/>
    <w:rPr>
      <w:rFonts w:hint="eastAsia" w:ascii="宋体" w:hAnsi="宋体" w:eastAsia="宋体" w:cs="宋体"/>
      <w:color w:val="000000"/>
      <w:sz w:val="21"/>
      <w:szCs w:val="21"/>
      <w:u w:val="none"/>
    </w:rPr>
  </w:style>
  <w:style w:type="character" w:customStyle="1" w:styleId="30">
    <w:name w:val="font01"/>
    <w:basedOn w:val="22"/>
    <w:qFormat/>
    <w:uiPriority w:val="0"/>
    <w:rPr>
      <w:rFonts w:ascii="Calibri" w:hAnsi="Calibri" w:cs="Calibri"/>
      <w:color w:val="000000"/>
      <w:sz w:val="21"/>
      <w:szCs w:val="21"/>
      <w:u w:val="none"/>
    </w:rPr>
  </w:style>
  <w:style w:type="character" w:customStyle="1" w:styleId="31">
    <w:name w:val="font31"/>
    <w:basedOn w:val="22"/>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77</Pages>
  <Words>1587</Words>
  <Characters>2096</Characters>
  <Lines>0</Lines>
  <Paragraphs>0</Paragraphs>
  <TotalTime>43</TotalTime>
  <ScaleCrop>false</ScaleCrop>
  <LinksUpToDate>false</LinksUpToDate>
  <CharactersWithSpaces>2178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2025-11-25T07:52:35Z</cp:lastPrinted>
  <dcterms:modified xsi:type="dcterms:W3CDTF">2025-11-25T07:59:33Z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153960235A064203BF5FF7E098C459CF_13</vt:lpwstr>
  </property>
  <property fmtid="{D5CDD505-2E9C-101B-9397-08002B2CF9AE}" pid="4" name="KSOTemplateDocerSaveRecord">
    <vt:lpwstr>eyJoZGlkIjoiM2NlZjM2YmQzMWQwMDY2NTQ1MWE2YTBjNDBhMTUyNTMiLCJ1c2VySWQiOiIxMzg0NDY3MDM0In0=</vt:lpwstr>
  </property>
</Properties>
</file>