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亳州古井逸合府项目7#202、15#202室样板间及s2软装采购</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BZJK-2025-041号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795CDF34">
      <w:pPr>
        <w:keepNext w:val="0"/>
        <w:keepLines w:val="0"/>
        <w:pageBreakBefore w:val="0"/>
        <w:widowControl w:val="0"/>
        <w:kinsoku/>
        <w:wordWrap w:val="0"/>
        <w:overflowPunct/>
        <w:topLinePunct w:val="0"/>
        <w:autoSpaceDE/>
        <w:autoSpaceDN/>
        <w:bidi w:val="0"/>
        <w:adjustRightInd/>
        <w:snapToGrid/>
        <w:spacing w:line="240" w:lineRule="auto"/>
        <w:ind w:leftChars="600" w:firstLine="0" w:firstLineChars="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亳州通恒置业有限公司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2025 年 11</w:t>
      </w:r>
      <w:r>
        <w:rPr>
          <w:rFonts w:hint="eastAsia" w:ascii="Times New Roman" w:hAnsi="Times New Roman" w:eastAsia="楷体" w:cs="Times New Roman"/>
          <w:kern w:val="0"/>
          <w:sz w:val="32"/>
          <w:szCs w:val="32"/>
          <w:highlight w:val="none"/>
          <w:u w:val="none"/>
          <w:shd w:val="clear" w:color="auto" w:fill="auto"/>
          <w:lang w:val="en-US" w:eastAsia="zh-CN"/>
        </w:rPr>
        <w:t>月14日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 xml:space="preserve"> </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060FEEE">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（合理低价法）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7C1C216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permStart w:id="5" w:edGrp="everyone"/>
      <w:r>
        <w:rPr>
          <w:rFonts w:hint="eastAsia" w:ascii="Times New Roman" w:hAnsi="Times New Roman" w:eastAsia="黑体" w:cs="Times New Roman"/>
          <w:sz w:val="28"/>
          <w:szCs w:val="28"/>
          <w:highlight w:val="none"/>
          <w:u w:val="single"/>
          <w:lang w:val="en-US" w:eastAsia="zh-CN"/>
        </w:rPr>
        <w:t xml:space="preserve">  亳州古井逸合府项目7#202、15#202室样板间</w:t>
      </w:r>
    </w:p>
    <w:p w14:paraId="4731C2C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及s2软装采购</w:t>
      </w:r>
      <w:r>
        <w:rPr>
          <w:rFonts w:hint="eastAsia" w:ascii="Times New Roman" w:hAnsi="Times New Roman" w:eastAsia="黑体" w:cs="Times New Roman"/>
          <w:sz w:val="28"/>
          <w:szCs w:val="28"/>
          <w:highlight w:val="none"/>
          <w:lang w:val="en-US" w:eastAsia="zh-CN"/>
        </w:rPr>
        <w:t>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246996166"/>
      <w:bookmarkStart w:id="2" w:name="_Toc246996909"/>
      <w:bookmarkStart w:id="3" w:name="_Toc179632536"/>
      <w:bookmarkStart w:id="4" w:name="_Toc144974487"/>
      <w:bookmarkStart w:id="5" w:name="_Toc247085680"/>
      <w:bookmarkStart w:id="6" w:name="_Toc296602410"/>
      <w:bookmarkStart w:id="7" w:name="_Toc152045519"/>
      <w:r>
        <w:rPr>
          <w:rFonts w:hint="eastAsia" w:ascii="宋体" w:hAnsi="宋体" w:eastAsia="宋体" w:cs="宋体"/>
          <w:sz w:val="28"/>
          <w:szCs w:val="28"/>
          <w:highlight w:val="none"/>
          <w:u w:val="single"/>
          <w:lang w:val="en-US" w:eastAsia="zh-CN"/>
        </w:rPr>
        <w:t>亳州古井逸合府项目7#202、15#202室样板间及s2软装采购</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44974488"/>
      <w:bookmarkStart w:id="9" w:name="_Toc246996167"/>
      <w:bookmarkStart w:id="10" w:name="_Toc179632537"/>
      <w:bookmarkStart w:id="11" w:name="_Toc296602411"/>
      <w:bookmarkStart w:id="12" w:name="_Toc152045520"/>
      <w:bookmarkStart w:id="13" w:name="_Toc152042296"/>
      <w:bookmarkStart w:id="14" w:name="_Toc246996910"/>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亳州古井逸合府项目7#202、15#202室样板间及s2软装采购</w:t>
      </w:r>
      <w:r>
        <w:rPr>
          <w:rFonts w:hint="eastAsia" w:asciiTheme="minorEastAsia" w:hAnsiTheme="minorEastAsia" w:eastAsiaTheme="minorEastAsia" w:cstheme="minorEastAsia"/>
          <w:sz w:val="28"/>
          <w:szCs w:val="28"/>
          <w:highlight w:val="none"/>
          <w:lang w:val="en-US" w:eastAsia="zh-CN"/>
        </w:rPr>
        <w:t xml:space="preserve"> </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BZJK-2025-</w:t>
      </w:r>
      <w:r>
        <w:rPr>
          <w:rFonts w:hint="eastAsia" w:asciiTheme="minorEastAsia" w:hAnsiTheme="minorEastAsia" w:cstheme="minorEastAsia"/>
          <w:sz w:val="28"/>
          <w:szCs w:val="28"/>
          <w:highlight w:val="none"/>
          <w:lang w:val="en-US" w:eastAsia="zh-CN"/>
        </w:rPr>
        <w:t>041号</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7"/>
    </w:p>
    <w:p w14:paraId="5A7F1D6E">
      <w:pPr>
        <w:keepNext w:val="0"/>
        <w:keepLines w:val="0"/>
        <w:pageBreakBefore w:val="0"/>
        <w:widowControl w:val="0"/>
        <w:kinsoku/>
        <w:wordWrap w:val="0"/>
        <w:overflowPunct/>
        <w:topLinePunct w:val="0"/>
        <w:autoSpaceDE/>
        <w:autoSpaceDN/>
        <w:bidi w:val="0"/>
        <w:adjustRightInd/>
        <w:snapToGrid/>
        <w:spacing w:line="240" w:lineRule="auto"/>
        <w:ind w:firstLine="560" w:firstLineChars="200"/>
        <w:jc w:val="left"/>
        <w:textAlignment w:val="auto"/>
        <w:outlineLvl w:val="9"/>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kern w:val="2"/>
          <w:sz w:val="28"/>
          <w:szCs w:val="28"/>
          <w:highlight w:val="none"/>
          <w:shd w:val="clear"/>
          <w:lang w:val="en-US" w:eastAsia="zh-CN"/>
        </w:rPr>
        <w:t>亳州通恒置业有限公司</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已落实</w:t>
      </w:r>
      <w:r>
        <w:rPr>
          <w:rFonts w:hint="eastAsia" w:asciiTheme="minorEastAsia" w:hAnsiTheme="minorEastAsia" w:cstheme="minorEastAsia"/>
          <w:color w:val="FF0000"/>
          <w:sz w:val="28"/>
          <w:szCs w:val="28"/>
          <w:highlight w:val="none"/>
          <w:u w:val="none"/>
          <w:lang w:val="en-US" w:eastAsia="zh-CN"/>
        </w:rPr>
        <w:t xml:space="preserve"> </w:t>
      </w:r>
      <w:permEnd w:id="9"/>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lang w:val="en-US" w:eastAsia="zh-CN"/>
        </w:rPr>
        <w:t>（不含税）</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49万元</w:t>
      </w:r>
      <w:r>
        <w:rPr>
          <w:rFonts w:hint="eastAsia" w:asciiTheme="minorEastAsia" w:hAnsiTheme="minorEastAsia" w:eastAsiaTheme="minorEastAsia" w:cstheme="minorEastAsia"/>
          <w:sz w:val="28"/>
          <w:szCs w:val="28"/>
          <w:highlight w:val="none"/>
          <w:u w:val="single"/>
          <w:lang w:val="en-US" w:eastAsia="zh-CN"/>
        </w:rPr>
        <w:t xml:space="preserve"> </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cstheme="minorEastAsia"/>
          <w:color w:val="FF0000"/>
          <w:sz w:val="28"/>
          <w:szCs w:val="28"/>
          <w:highlight w:val="none"/>
          <w:u w:val="single"/>
          <w:lang w:val="en-US" w:eastAsia="zh-CN"/>
        </w:rPr>
        <w:t>固定单价</w:t>
      </w:r>
      <w:permEnd w:id="12"/>
      <w:r>
        <w:rPr>
          <w:rFonts w:hint="eastAsia" w:asciiTheme="minorEastAsia" w:hAnsiTheme="minorEastAsia" w:eastAsiaTheme="minorEastAsia" w:cstheme="minorEastAsia"/>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10D32F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 xml:space="preserve"> 家具家电、饰品等制作采购、运输、装卸、安装、人工及场景化布置等（具体详见</w:t>
      </w:r>
      <w:r>
        <w:rPr>
          <w:rFonts w:hint="eastAsia" w:asciiTheme="minorEastAsia" w:hAnsiTheme="minorEastAsia" w:cstheme="minorEastAsia"/>
          <w:sz w:val="28"/>
          <w:szCs w:val="28"/>
          <w:highlight w:val="none"/>
          <w:lang w:val="en-US" w:eastAsia="zh-CN"/>
        </w:rPr>
        <w:t>第五章采购需求、附件2效果图及附件3工程量清单</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w:t>
      </w:r>
    </w:p>
    <w:permEnd w:id="13"/>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（二）供货日期：</w:t>
      </w:r>
      <w:permStart w:id="14" w:edGrp="everyone"/>
      <w:r>
        <w:rPr>
          <w:rFonts w:hint="eastAsia" w:asciiTheme="minorEastAsia" w:hAnsiTheme="minorEastAsia" w:cstheme="minorEastAsia"/>
          <w:sz w:val="28"/>
          <w:szCs w:val="28"/>
          <w:highlight w:val="none"/>
          <w:lang w:val="en-US" w:eastAsia="zh-CN"/>
        </w:rPr>
        <w:t xml:space="preserve"> 自合同签订日起20个日历日。 </w:t>
      </w:r>
      <w:permEnd w:id="14"/>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（三）交货地点：</w:t>
      </w:r>
      <w:permStart w:id="15" w:edGrp="everyone"/>
      <w:r>
        <w:rPr>
          <w:rFonts w:hint="eastAsia" w:asciiTheme="minorEastAsia" w:hAnsiTheme="minorEastAsia" w:cstheme="minorEastAsia"/>
          <w:sz w:val="28"/>
          <w:szCs w:val="28"/>
          <w:highlight w:val="none"/>
          <w:lang w:val="en-US" w:eastAsia="zh-CN"/>
        </w:rPr>
        <w:t xml:space="preserve"> 逸合府项目位于华佗大道西、利辛路北。 </w:t>
      </w:r>
      <w:permEnd w:id="15"/>
    </w:p>
    <w:p w14:paraId="4C4C69A4">
      <w:pPr>
        <w:wordWrap w:val="0"/>
        <w:spacing w:line="480" w:lineRule="exact"/>
        <w:ind w:firstLine="560" w:firstLineChars="200"/>
        <w:rPr>
          <w:rFonts w:hint="eastAsia"/>
          <w:lang w:val="en-US" w:eastAsia="zh-CN"/>
        </w:rPr>
      </w:pPr>
      <w:r>
        <w:rPr>
          <w:rFonts w:hint="eastAsia" w:asciiTheme="minorEastAsia" w:hAnsiTheme="minorEastAsia" w:cstheme="minorEastAsia"/>
          <w:sz w:val="28"/>
          <w:szCs w:val="28"/>
          <w:highlight w:val="none"/>
          <w:lang w:val="en-US" w:eastAsia="zh-CN"/>
        </w:rPr>
        <w:t>（四）质量要求：</w:t>
      </w:r>
      <w:permStart w:id="16" w:edGrp="everyone"/>
      <w:r>
        <w:rPr>
          <w:rFonts w:hint="eastAsia" w:asciiTheme="minorEastAsia" w:hAnsiTheme="minorEastAsia" w:cstheme="minorEastAsia"/>
          <w:sz w:val="28"/>
          <w:szCs w:val="28"/>
          <w:highlight w:val="none"/>
          <w:lang w:val="en-US" w:eastAsia="zh-CN"/>
        </w:rPr>
        <w:t xml:space="preserve"> 符合国家、地方、行业现行相关规范合格标准及采购人要求。 </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permStart w:id="17" w:edGrp="everyone"/>
      <w:r>
        <w:rPr>
          <w:rFonts w:hint="eastAsia" w:asciiTheme="minorEastAsia" w:hAnsiTheme="minorEastAsia" w:eastAsiaTheme="minorEastAsia" w:cstheme="minorEastAsia"/>
          <w:color w:val="FF0000"/>
          <w:sz w:val="28"/>
          <w:szCs w:val="28"/>
          <w:highlight w:val="none"/>
          <w:lang w:val="en-US" w:eastAsia="zh-CN"/>
        </w:rPr>
        <w:t>供应商</w:t>
      </w:r>
      <w:r>
        <w:rPr>
          <w:rFonts w:hint="eastAsia" w:asciiTheme="minorEastAsia" w:hAnsiTheme="minorEastAsia" w:cstheme="minorEastAsia"/>
          <w:color w:val="FF0000"/>
          <w:sz w:val="28"/>
          <w:szCs w:val="28"/>
          <w:highlight w:val="none"/>
          <w:lang w:val="en-US" w:eastAsia="zh-CN"/>
        </w:rPr>
        <w:t>须</w:t>
      </w:r>
      <w:r>
        <w:rPr>
          <w:rFonts w:hint="eastAsia" w:asciiTheme="minorEastAsia" w:hAnsiTheme="minorEastAsia" w:eastAsiaTheme="minorEastAsia" w:cstheme="minorEastAsia"/>
          <w:color w:val="FF0000"/>
          <w:sz w:val="28"/>
          <w:szCs w:val="28"/>
          <w:highlight w:val="none"/>
          <w:lang w:val="en-US" w:eastAsia="zh-CN"/>
        </w:rPr>
        <w:t>是法人或其他组织</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3F8675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（二）信用要求：供应商（含分公司，不含子公司）不得存在下列情形之一。</w:t>
      </w:r>
    </w:p>
    <w:p w14:paraId="3B47A6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（1）供应商被人民法院列入失信被执行人的；</w:t>
      </w:r>
    </w:p>
    <w:p w14:paraId="67B6F4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（2）供应商被市场监督管理部门列入企业经营异常名录的；</w:t>
      </w:r>
    </w:p>
    <w:p w14:paraId="32F435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（3）供应商被税务部门列入重大税收违法案件当事人名单的；</w:t>
      </w:r>
    </w:p>
    <w:p w14:paraId="0BBB8FB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（4）供应商在以往承接亳州交通投资控股集团有限公司及下属企业项目过程中被记入“黑名单”。</w:t>
      </w:r>
    </w:p>
    <w:p w14:paraId="107250F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备注：信用情况请供应商自行登录“信用中国”网站（www.creditchina.gov.cn）将查询结果等相关资料复印件或扫描件装订入响应文件中。</w:t>
      </w:r>
    </w:p>
    <w:p w14:paraId="388F98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（三）本次</w:t>
      </w:r>
      <w:permStart w:id="18" w:edGrp="everyone"/>
      <w:r>
        <w:rPr>
          <w:rFonts w:hint="eastAsia" w:asciiTheme="minorEastAsia" w:hAnsiTheme="minorEastAsia" w:cstheme="minorEastAsia"/>
          <w:sz w:val="28"/>
          <w:szCs w:val="28"/>
          <w:highlight w:val="none"/>
          <w:lang w:val="en-US" w:eastAsia="zh-CN"/>
        </w:rPr>
        <w:t>采购不接受</w:t>
      </w:r>
      <w:permEnd w:id="18"/>
      <w:r>
        <w:rPr>
          <w:rFonts w:hint="eastAsia" w:asciiTheme="minorEastAsia" w:hAnsiTheme="minorEastAsia" w:cstheme="minorEastAsia"/>
          <w:sz w:val="28"/>
          <w:szCs w:val="28"/>
          <w:highlight w:val="none"/>
          <w:lang w:val="en-US" w:eastAsia="zh-CN"/>
        </w:rPr>
        <w:t>联合体。</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7CFC24F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递交截止时间前到亳州交通投资控股集团有限公司官网（www.bzjkjt.com）、安徽省招标投标信息网（www.ahtba.org.cn）或优质采云采购平台（www.youzhicai.com）自行下载电子采购文件及其他附件。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21</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0"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安徽省亳州市高新技术产业开发区神农大道与酒城大道交叉口西北高铁南站金融商务中心2号楼1层108开标</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室</w:t>
      </w:r>
      <w:r>
        <w:rPr>
          <w:rFonts w:hint="eastAsia" w:asciiTheme="minorEastAsia" w:hAnsiTheme="minorEastAsia" w:cstheme="minorEastAsia"/>
          <w:i w:val="0"/>
          <w:iCs w:val="0"/>
          <w:sz w:val="28"/>
          <w:szCs w:val="28"/>
          <w:highlight w:val="none"/>
          <w:lang w:val="en-US" w:eastAsia="zh-CN"/>
        </w:rPr>
        <w:t>；</w:t>
      </w:r>
      <w:permEnd w:id="20"/>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1"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ermEnd w:id="21"/>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2"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7000元</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11AE49B9">
      <w:pPr>
        <w:pStyle w:val="22"/>
        <w:ind w:left="0" w:leftChars="0"/>
        <w:rPr>
          <w:rFonts w:hint="eastAsia"/>
          <w:lang w:val="en-US" w:eastAsia="zh-CN"/>
        </w:rPr>
      </w:pP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1E30D1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 购 人：</w:t>
      </w:r>
      <w:permStart w:id="23" w:edGrp="everyone"/>
      <w:r>
        <w:rPr>
          <w:rFonts w:hint="eastAsia" w:asciiTheme="minorEastAsia" w:hAnsiTheme="minorEastAsia" w:cstheme="minorEastAsia"/>
          <w:sz w:val="28"/>
          <w:szCs w:val="28"/>
          <w:highlight w:val="none"/>
          <w:lang w:val="en-US" w:eastAsia="zh-CN"/>
        </w:rPr>
        <w:t xml:space="preserve"> 亳州通恒置业有限公司 </w:t>
      </w:r>
    </w:p>
    <w:p w14:paraId="08E282A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 xml:space="preserve">地    址： 亳州市金融商务中心2号楼6楼 </w:t>
      </w:r>
    </w:p>
    <w:p w14:paraId="3E28C7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 xml:space="preserve">联 系 人：李工  </w:t>
      </w:r>
    </w:p>
    <w:p w14:paraId="3F4FFC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电    话：0558-5998967</w:t>
      </w:r>
    </w:p>
    <w:p w14:paraId="0C09121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p>
    <w:p w14:paraId="56B091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址：安徽省亳州市高新技术产业开发区神农大道与酒城大道交叉口西北高铁南站金融商务中心2号楼5层514室</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3282C1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ermEnd w:id="23"/>
      <w:r>
        <w:rPr>
          <w:rFonts w:hint="eastAsia" w:asciiTheme="minorEastAsia" w:hAnsiTheme="minorEastAsia" w:cstheme="minorEastAsia"/>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6C1861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4" w:edGrp="everyone"/>
      <w:r>
        <w:rPr>
          <w:rFonts w:hint="eastAsia" w:asciiTheme="minorEastAsia" w:hAnsiTheme="minorEastAsia" w:eastAsiaTheme="minorEastAsia" w:cstheme="minorEastAsia"/>
          <w:color w:val="FF0000"/>
          <w:sz w:val="28"/>
          <w:szCs w:val="28"/>
          <w:highlight w:val="none"/>
          <w:lang w:val="en-US" w:eastAsia="zh-CN"/>
        </w:rPr>
        <w:t xml:space="preserve"> 亳州通恒置业有限公司 </w:t>
      </w:r>
    </w:p>
    <w:p w14:paraId="2B6047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 xml:space="preserve">年 </w:t>
      </w:r>
      <w:r>
        <w:rPr>
          <w:rFonts w:hint="eastAsia" w:asciiTheme="minorEastAsia" w:hAnsiTheme="minorEastAsia" w:cstheme="minorEastAsia"/>
          <w:color w:val="FF0000"/>
          <w:sz w:val="28"/>
          <w:szCs w:val="28"/>
          <w:highlight w:val="none"/>
          <w:lang w:val="en-US" w:eastAsia="zh-CN"/>
        </w:rPr>
        <w:t xml:space="preserve">11 </w:t>
      </w:r>
      <w:r>
        <w:rPr>
          <w:rFonts w:hint="eastAsia" w:asciiTheme="minorEastAsia" w:hAnsiTheme="minorEastAsia" w:eastAsiaTheme="minorEastAsia" w:cstheme="minorEastAsia"/>
          <w:color w:val="FF0000"/>
          <w:sz w:val="28"/>
          <w:szCs w:val="28"/>
          <w:highlight w:val="none"/>
          <w:lang w:val="en-US" w:eastAsia="zh-CN"/>
        </w:rPr>
        <w:t xml:space="preserve">月 </w:t>
      </w:r>
      <w:r>
        <w:rPr>
          <w:rFonts w:hint="eastAsia" w:asciiTheme="minorEastAsia" w:hAnsiTheme="minorEastAsia" w:cstheme="minorEastAsia"/>
          <w:color w:val="FF0000"/>
          <w:sz w:val="28"/>
          <w:szCs w:val="28"/>
          <w:highlight w:val="none"/>
          <w:lang w:val="en-US" w:eastAsia="zh-CN"/>
        </w:rPr>
        <w:t>14</w:t>
      </w:r>
      <w:r>
        <w:rPr>
          <w:rFonts w:hint="eastAsia" w:asciiTheme="minorEastAsia" w:hAnsiTheme="minorEastAsia" w:eastAsiaTheme="minorEastAsia" w:cstheme="minorEastAsia"/>
          <w:color w:val="FF0000"/>
          <w:sz w:val="28"/>
          <w:szCs w:val="28"/>
          <w:highlight w:val="none"/>
          <w:lang w:val="en-US" w:eastAsia="zh-CN"/>
        </w:rPr>
        <w:t xml:space="preserve"> 日</w:t>
      </w:r>
      <w:permEnd w:id="24"/>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5"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5"/>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6"/>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7"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11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18  </w:t>
            </w:r>
            <w:r>
              <w:rPr>
                <w:rFonts w:hint="eastAsia" w:ascii="Times New Roman" w:hAnsi="Times New Roman" w:cs="Times New Roman"/>
                <w:szCs w:val="21"/>
                <w:highlight w:val="none"/>
                <w:u w:val="none"/>
                <w:lang w:val="en-US" w:eastAsia="zh-CN"/>
              </w:rPr>
              <w:t>日前</w:t>
            </w:r>
            <w:permEnd w:id="27"/>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由采购人按照采购文件发布途径统一发出</w:t>
            </w:r>
            <w:r>
              <w:rPr>
                <w:rFonts w:hint="default" w:ascii="Times New Roman" w:hAnsi="Times New Roman" w:cs="Times New Roman"/>
                <w:color w:val="FF0000"/>
                <w:szCs w:val="21"/>
                <w:highlight w:val="none"/>
                <w:u w:val="none"/>
                <w:lang w:val="en-US" w:eastAsia="zh-CN"/>
              </w:rPr>
              <w:t>。</w:t>
            </w:r>
            <w:permEnd w:id="28"/>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9"/>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详见第一章询比公告。</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0"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0"/>
            <w:r>
              <w:rPr>
                <w:rFonts w:hint="default" w:ascii="Times New Roman" w:hAnsi="Times New Roman" w:cs="Times New Roman"/>
                <w:szCs w:val="21"/>
                <w:highlight w:val="none"/>
              </w:rPr>
              <w:t>的形式：</w:t>
            </w:r>
            <w:permStart w:id="31" w:edGrp="everyone"/>
            <w:r>
              <w:rPr>
                <w:rFonts w:hint="default" w:ascii="Times New Roman" w:hAnsi="Times New Roman" w:cs="Times New Roman"/>
                <w:color w:val="FF0000"/>
                <w:szCs w:val="21"/>
                <w:highlight w:val="none"/>
              </w:rPr>
              <w:t>银行汇款或转账</w:t>
            </w:r>
            <w:permEnd w:id="3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2" w:edGrp="everyone"/>
            <w:r>
              <w:rPr>
                <w:rFonts w:hint="eastAsia" w:ascii="Times New Roman" w:hAnsi="Times New Roman" w:cs="Times New Roman"/>
                <w:color w:val="auto"/>
                <w:szCs w:val="21"/>
                <w:highlight w:val="none"/>
                <w:u w:val="single"/>
                <w:lang w:val="en-US" w:eastAsia="zh-CN"/>
              </w:rPr>
              <w:t xml:space="preserve">  7000元  </w:t>
            </w:r>
            <w:permEnd w:id="3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211" w:firstLineChars="1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3" w:edGrp="everyone"/>
            <w:r>
              <w:rPr>
                <w:rFonts w:hint="eastAsia" w:ascii="Times New Roman" w:hAnsi="Times New Roman" w:cs="Times New Roman"/>
                <w:color w:val="FF0000"/>
                <w:szCs w:val="21"/>
                <w:highlight w:val="none"/>
                <w:lang w:val="en-US" w:eastAsia="zh-CN"/>
              </w:rPr>
              <w:t>BZJK-2025--   号保证金</w:t>
            </w:r>
            <w:permEnd w:id="3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4" w:edGrp="everyone"/>
            <w:r>
              <w:rPr>
                <w:rFonts w:hint="eastAsia" w:ascii="Times New Roman" w:hAnsi="Times New Roman" w:cs="Times New Roman"/>
                <w:szCs w:val="21"/>
                <w:highlight w:val="none"/>
                <w:u w:val="none"/>
                <w:lang w:val="en-US" w:eastAsia="zh-CN"/>
              </w:rPr>
              <w:t>正本1份、副本2份</w:t>
            </w:r>
          </w:p>
          <w:p w14:paraId="19430A5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43C69C6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heme="minorEastAsia" w:hAnsiTheme="minorEastAsia" w:cstheme="minorEastAsia"/>
                <w:color w:val="FF0000"/>
                <w:szCs w:val="21"/>
                <w:highlight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要求</w:t>
            </w:r>
          </w:p>
          <w:p w14:paraId="091B17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u w:val="none"/>
                <w:lang w:val="en-US" w:eastAsia="zh-CN"/>
              </w:rPr>
            </w:pPr>
            <w:r>
              <w:rPr>
                <w:rFonts w:hint="eastAsia" w:asciiTheme="minorEastAsia" w:hAnsiTheme="minorEastAsia" w:cstheme="minorEastAsia"/>
                <w:color w:val="FF0000"/>
                <w:szCs w:val="21"/>
                <w:highlight w:val="none"/>
                <w:lang w:val="en-US" w:eastAsia="zh-CN"/>
              </w:rPr>
              <w:t xml:space="preserve">提交电子版响应文件的形式：响应文件电子版指供应商现场递交响应文件正本的扫描件（PDF格式）。供应商应于响应文件开启现场递交U盘（随响应文件密封），或在开启程序完成后发送至电子邮箱bzjkfwbgys@163.com，本次项目响应文件电子版仅用于档案保存，不纳入评审范围。  </w:t>
            </w:r>
            <w:permEnd w:id="34"/>
          </w:p>
          <w:p w14:paraId="527E766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5E7F6E2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6CE4F24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30F00E9">
            <w:pPr>
              <w:wordWrap w:val="0"/>
              <w:spacing w:line="430" w:lineRule="exact"/>
              <w:ind w:left="0" w:leftChars="0"/>
              <w:rPr>
                <w:rFonts w:hint="default"/>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0E2C9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开启地址：安徽省亳州市高新技术产业开发区神农大道与酒城大道交叉口西北高铁南站金融商务中心2号楼1层108开标室）</w:t>
            </w:r>
          </w:p>
          <w:p w14:paraId="281D2AF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采购人：亳州通恒置业有限公司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亳州古井逸合府项目7#202、15#202室样板间及s2软装采购项目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11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5"/>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9A08F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permStart w:id="36" w:edGrp="everyone"/>
            <w:r>
              <w:rPr>
                <w:rFonts w:hint="eastAsia" w:ascii="Times New Roman" w:hAnsi="Times New Roman" w:cs="Times New Roman"/>
                <w:color w:val="auto"/>
                <w:szCs w:val="21"/>
                <w:highlight w:val="none"/>
                <w:lang w:val="en-US" w:eastAsia="zh-CN"/>
              </w:rPr>
              <w:t xml:space="preserve">联系人： 亳州交控集团招投标中心 张工、田工  </w:t>
            </w:r>
          </w:p>
          <w:p w14:paraId="3FC885E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联系方式：       0558-5190035        </w:t>
            </w:r>
          </w:p>
          <w:p w14:paraId="3F7603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地址： </w:t>
            </w:r>
            <w:r>
              <w:rPr>
                <w:rFonts w:hint="eastAsia" w:ascii="Times New Roman" w:hAnsi="Times New Roman" w:cs="Times New Roman"/>
                <w:color w:val="auto"/>
                <w:szCs w:val="21"/>
                <w:highlight w:val="none"/>
                <w:u w:val="single"/>
                <w:lang w:val="en-US" w:eastAsia="zh-CN"/>
              </w:rPr>
              <w:t>安徽省亳州市高新技术产业开发区神农大道与酒城大道交叉口西北高铁南站金融商务中心2号楼5层514室</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6"/>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7"/>
          <w:p w14:paraId="105DF533">
            <w:pPr>
              <w:keepNext w:val="0"/>
              <w:keepLines w:val="0"/>
              <w:pageBreakBefore w:val="0"/>
              <w:widowControl w:val="0"/>
              <w:kinsoku/>
              <w:wordWrap w:val="0"/>
              <w:overflowPunct/>
              <w:topLinePunct w:val="0"/>
              <w:autoSpaceDE/>
              <w:autoSpaceDN/>
              <w:bidi w:val="0"/>
              <w:adjustRightInd/>
              <w:snapToGrid/>
              <w:spacing w:line="430" w:lineRule="exact"/>
              <w:ind w:firstLine="0" w:firstLineChars="0"/>
              <w:jc w:val="both"/>
              <w:textAlignment w:val="auto"/>
              <w:rPr>
                <w:rFonts w:hint="default" w:ascii="Times New Roman" w:hAnsi="Times New Roman" w:cs="Times New Roman"/>
                <w:szCs w:val="21"/>
                <w:highlight w:val="none"/>
              </w:rPr>
            </w:pPr>
            <w:permStart w:id="38" w:edGrp="everyone"/>
            <w:r>
              <w:rPr>
                <w:rFonts w:hint="default" w:ascii="Times New Roman" w:hAnsi="Times New Roman" w:cs="Times New Roman"/>
                <w:szCs w:val="21"/>
                <w:highlight w:val="none"/>
              </w:rPr>
              <w:t>开户名称：亳州通恒置业有限公司</w:t>
            </w:r>
          </w:p>
          <w:p w14:paraId="79DBBE08">
            <w:pPr>
              <w:keepNext w:val="0"/>
              <w:keepLines w:val="0"/>
              <w:pageBreakBefore w:val="0"/>
              <w:widowControl w:val="0"/>
              <w:kinsoku/>
              <w:wordWrap w:val="0"/>
              <w:overflowPunct/>
              <w:topLinePunct w:val="0"/>
              <w:autoSpaceDE/>
              <w:autoSpaceDN/>
              <w:bidi w:val="0"/>
              <w:adjustRightInd/>
              <w:snapToGrid/>
              <w:spacing w:line="430" w:lineRule="exact"/>
              <w:ind w:firstLine="0" w:firstLineChars="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开户银行：中国建设银行股份有限公司亳州市分行</w:t>
            </w:r>
          </w:p>
          <w:p w14:paraId="4F5B3D4F">
            <w:pPr>
              <w:keepNext w:val="0"/>
              <w:keepLines w:val="0"/>
              <w:pageBreakBefore w:val="0"/>
              <w:widowControl w:val="0"/>
              <w:kinsoku/>
              <w:wordWrap w:val="0"/>
              <w:overflowPunct/>
              <w:topLinePunct w:val="0"/>
              <w:autoSpaceDE/>
              <w:autoSpaceDN/>
              <w:bidi w:val="0"/>
              <w:adjustRightInd/>
              <w:snapToGrid/>
              <w:spacing w:line="430" w:lineRule="exact"/>
              <w:ind w:firstLine="0" w:firstLineChars="0"/>
              <w:jc w:val="both"/>
              <w:textAlignment w:val="auto"/>
              <w:rPr>
                <w:rFonts w:hint="eastAsia" w:ascii="Times New Roman" w:hAnsi="Times New Roman" w:cs="Times New Roman"/>
                <w:color w:val="FF0000"/>
                <w:szCs w:val="21"/>
                <w:highlight w:val="none"/>
                <w:lang w:val="en-US" w:eastAsia="zh-CN"/>
              </w:rPr>
            </w:pPr>
            <w:r>
              <w:rPr>
                <w:rFonts w:hint="default" w:ascii="Times New Roman" w:hAnsi="Times New Roman" w:cs="Times New Roman"/>
                <w:szCs w:val="21"/>
                <w:highlight w:val="none"/>
              </w:rPr>
              <w:t>银行账号：34050188860800002404</w:t>
            </w:r>
          </w:p>
          <w:permEnd w:id="38"/>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9"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39"/>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0" w:edGrp="everyone"/>
            <w:r>
              <w:rPr>
                <w:rFonts w:hint="eastAsia" w:ascii="Times New Roman" w:hAnsi="Times New Roman" w:cs="Times New Roman"/>
                <w:b/>
                <w:bCs/>
                <w:color w:val="FF0000"/>
                <w:szCs w:val="21"/>
                <w:highlight w:val="none"/>
                <w:lang w:val="en-US" w:eastAsia="zh-CN"/>
              </w:rPr>
              <w:t xml:space="preserve"> 10000元</w:t>
            </w:r>
            <w:permEnd w:id="40"/>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1"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供货完成且经采购人验收合格后退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1"/>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52045532"/>
      <w:bookmarkStart w:id="17" w:name="_Toc247085692"/>
      <w:bookmarkStart w:id="18" w:name="_Toc246996921"/>
      <w:bookmarkStart w:id="19" w:name="_Toc246996178"/>
      <w:bookmarkStart w:id="20" w:name="_Toc144974500"/>
      <w:bookmarkStart w:id="21" w:name="_Toc179632549"/>
      <w:bookmarkStart w:id="22" w:name="_Toc296602423"/>
      <w:bookmarkStart w:id="23" w:name="_Toc152042308"/>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53"/>
      <w:bookmarkStart w:id="25" w:name="_Toc246996924"/>
      <w:bookmarkStart w:id="26" w:name="_Toc144974504"/>
      <w:bookmarkStart w:id="27" w:name="_Toc152042312"/>
      <w:bookmarkStart w:id="28" w:name="_Toc246996181"/>
      <w:bookmarkStart w:id="29" w:name="_Toc247085695"/>
      <w:bookmarkStart w:id="30" w:name="_Toc296602426"/>
      <w:bookmarkStart w:id="31" w:name="_Toc152045536"/>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925"/>
      <w:bookmarkStart w:id="34" w:name="_Toc246996182"/>
      <w:bookmarkStart w:id="35" w:name="_Toc152045537"/>
      <w:bookmarkStart w:id="36" w:name="_Toc179632554"/>
      <w:bookmarkStart w:id="37" w:name="_Toc152042313"/>
      <w:bookmarkStart w:id="38" w:name="_Toc296602427"/>
      <w:bookmarkStart w:id="39" w:name="_Toc247085696"/>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5538"/>
      <w:bookmarkStart w:id="41" w:name="_Toc179632555"/>
      <w:bookmarkStart w:id="42" w:name="_Toc247085697"/>
      <w:bookmarkStart w:id="43" w:name="_Toc246996926"/>
      <w:bookmarkStart w:id="44" w:name="_Toc144974506"/>
      <w:bookmarkStart w:id="45" w:name="_Toc152042314"/>
      <w:bookmarkStart w:id="46" w:name="_Toc246996183"/>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1"/>
      <w:bookmarkStart w:id="48" w:name="_Toc179632560"/>
      <w:bookmarkStart w:id="49" w:name="_Toc296602432"/>
      <w:bookmarkStart w:id="50" w:name="_Toc246996187"/>
      <w:bookmarkStart w:id="51" w:name="_Toc152042318"/>
      <w:bookmarkStart w:id="52" w:name="_Toc246996930"/>
      <w:bookmarkStart w:id="53" w:name="_Toc152045542"/>
      <w:bookmarkStart w:id="54" w:name="_Toc14497451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5543"/>
      <w:bookmarkStart w:id="56" w:name="_Toc144974511"/>
      <w:bookmarkStart w:id="57" w:name="_Toc296602433"/>
      <w:bookmarkStart w:id="58" w:name="_Toc179632561"/>
      <w:bookmarkStart w:id="59" w:name="_Toc246996188"/>
      <w:bookmarkStart w:id="60" w:name="_Toc246996931"/>
      <w:bookmarkStart w:id="61" w:name="_Toc247085702"/>
      <w:bookmarkStart w:id="62" w:name="_Toc152042319"/>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96602434"/>
      <w:bookmarkStart w:id="64" w:name="_Toc247085703"/>
      <w:bookmarkStart w:id="65" w:name="_Toc152045544"/>
      <w:bookmarkStart w:id="66" w:name="_Toc246996932"/>
      <w:bookmarkStart w:id="67" w:name="_Toc144974512"/>
      <w:bookmarkStart w:id="68" w:name="_Toc246996189"/>
      <w:bookmarkStart w:id="69" w:name="_Toc152042320"/>
      <w:bookmarkStart w:id="70" w:name="_Toc179632562"/>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933"/>
      <w:bookmarkStart w:id="72" w:name="_Toc296602435"/>
      <w:bookmarkStart w:id="73" w:name="_Toc247085704"/>
      <w:bookmarkStart w:id="74" w:name="_Toc152042321"/>
      <w:bookmarkStart w:id="75" w:name="_Toc144974513"/>
      <w:bookmarkStart w:id="76" w:name="_Toc246996190"/>
      <w:bookmarkStart w:id="77" w:name="_Toc179632563"/>
      <w:bookmarkStart w:id="78" w:name="_Toc152045545"/>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52045546"/>
      <w:bookmarkStart w:id="80" w:name="_Toc296602436"/>
      <w:bookmarkStart w:id="81" w:name="_Toc179632564"/>
      <w:bookmarkStart w:id="82" w:name="_Toc246996191"/>
      <w:bookmarkStart w:id="83" w:name="_Toc246996934"/>
      <w:bookmarkStart w:id="84" w:name="_Toc152042322"/>
      <w:bookmarkStart w:id="85" w:name="_Toc144974514"/>
      <w:bookmarkStart w:id="86" w:name="_Toc247085705"/>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2323"/>
      <w:bookmarkStart w:id="88" w:name="_Toc247085706"/>
      <w:bookmarkStart w:id="89" w:name="_Toc296602437"/>
      <w:bookmarkStart w:id="90" w:name="_Toc179632565"/>
      <w:bookmarkStart w:id="91" w:name="_Toc246996935"/>
      <w:bookmarkStart w:id="92" w:name="_Toc152045547"/>
      <w:bookmarkStart w:id="93" w:name="_Toc246996192"/>
      <w:bookmarkStart w:id="94"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7085707"/>
      <w:bookmarkStart w:id="96" w:name="_Toc246996936"/>
      <w:bookmarkStart w:id="97" w:name="_Toc179632566"/>
      <w:bookmarkStart w:id="98" w:name="_Toc152042324"/>
      <w:bookmarkStart w:id="99" w:name="_Toc152045548"/>
      <w:bookmarkStart w:id="100" w:name="_Toc246996193"/>
      <w:bookmarkStart w:id="101" w:name="_Toc296602438"/>
      <w:bookmarkStart w:id="102" w:name="_Toc14497451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44974517"/>
      <w:bookmarkStart w:id="104" w:name="_Toc179632567"/>
      <w:bookmarkStart w:id="105" w:name="_Toc152045549"/>
      <w:bookmarkStart w:id="106"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7085708"/>
      <w:bookmarkStart w:id="108" w:name="_Toc296602439"/>
      <w:bookmarkStart w:id="109" w:name="_Toc246996194"/>
      <w:bookmarkStart w:id="110" w:name="_Toc246996937"/>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7085713"/>
      <w:bookmarkStart w:id="112" w:name="_Toc152042331"/>
      <w:bookmarkStart w:id="113" w:name="_Toc179632573"/>
      <w:bookmarkStart w:id="114" w:name="_Toc152045555"/>
      <w:bookmarkStart w:id="115" w:name="_Toc246996199"/>
      <w:bookmarkStart w:id="116" w:name="_Toc144974523"/>
      <w:bookmarkStart w:id="117" w:name="_Toc246996942"/>
      <w:bookmarkStart w:id="118" w:name="_Toc29660244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5556"/>
      <w:bookmarkStart w:id="120" w:name="_Toc247085714"/>
      <w:bookmarkStart w:id="121" w:name="_Toc246996943"/>
      <w:bookmarkStart w:id="122" w:name="_Toc179632574"/>
      <w:bookmarkStart w:id="123" w:name="_Toc144974524"/>
      <w:bookmarkStart w:id="124" w:name="_Toc246996200"/>
      <w:bookmarkStart w:id="125" w:name="_Toc296602444"/>
      <w:bookmarkStart w:id="126" w:name="_Toc152042332"/>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79632575"/>
      <w:bookmarkStart w:id="128" w:name="_Toc246996201"/>
      <w:bookmarkStart w:id="129" w:name="_Toc246996944"/>
      <w:bookmarkStart w:id="130" w:name="_Toc247085715"/>
      <w:bookmarkStart w:id="131" w:name="_Toc152045557"/>
      <w:bookmarkStart w:id="132" w:name="_Toc152042333"/>
      <w:bookmarkStart w:id="133" w:name="_Toc14497452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7085716"/>
      <w:bookmarkStart w:id="135" w:name="_Toc152042334"/>
      <w:bookmarkStart w:id="136" w:name="_Toc152045558"/>
      <w:bookmarkStart w:id="137" w:name="_Toc179632576"/>
      <w:bookmarkStart w:id="138" w:name="_Toc246996945"/>
      <w:bookmarkStart w:id="139" w:name="_Toc246996202"/>
      <w:bookmarkStart w:id="140" w:name="_Toc296602446"/>
      <w:bookmarkStart w:id="141" w:name="_Toc14497452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46996203"/>
      <w:bookmarkStart w:id="143" w:name="_Toc296602447"/>
      <w:bookmarkStart w:id="144" w:name="_Toc152045559"/>
      <w:bookmarkStart w:id="145" w:name="_Toc179632577"/>
      <w:bookmarkStart w:id="146" w:name="_Toc246996946"/>
      <w:bookmarkStart w:id="147" w:name="_Toc152042335"/>
      <w:bookmarkStart w:id="148" w:name="_Toc247085717"/>
      <w:bookmarkStart w:id="149" w:name="_Toc14497452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48"/>
      <w:bookmarkStart w:id="151" w:name="_Toc144974528"/>
      <w:bookmarkStart w:id="152" w:name="_Toc246996204"/>
      <w:bookmarkStart w:id="153" w:name="_Toc246996947"/>
      <w:bookmarkStart w:id="154" w:name="_Toc152045560"/>
      <w:bookmarkStart w:id="155" w:name="_Toc247085718"/>
      <w:bookmarkStart w:id="156" w:name="_Toc152042336"/>
      <w:bookmarkStart w:id="157" w:name="_Toc17963257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7085719"/>
      <w:bookmarkStart w:id="159" w:name="_Toc246996948"/>
      <w:bookmarkStart w:id="160" w:name="_Toc144974529"/>
      <w:bookmarkStart w:id="161" w:name="_Toc246996205"/>
      <w:bookmarkStart w:id="162" w:name="_Toc179632579"/>
      <w:bookmarkStart w:id="163" w:name="_Toc152042337"/>
      <w:bookmarkStart w:id="164" w:name="_Toc152045561"/>
      <w:bookmarkStart w:id="165" w:name="_Toc29660244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响应文件</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3"/>
      <w:bookmarkStart w:id="167" w:name="_Toc246996950"/>
      <w:bookmarkStart w:id="168" w:name="_Toc246996207"/>
      <w:bookmarkStart w:id="169" w:name="_Toc296602452"/>
      <w:bookmarkStart w:id="170" w:name="_Toc247085721"/>
      <w:bookmarkStart w:id="171" w:name="_Toc144974531"/>
      <w:bookmarkStart w:id="172" w:name="_Toc152042339"/>
      <w:bookmarkStart w:id="173" w:name="_Toc17963258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52045566"/>
      <w:bookmarkStart w:id="175" w:name="_Toc246996953"/>
      <w:bookmarkStart w:id="176" w:name="_Toc179632584"/>
      <w:bookmarkStart w:id="177" w:name="_Toc144974534"/>
      <w:bookmarkStart w:id="178" w:name="_Toc296602455"/>
      <w:bookmarkStart w:id="179" w:name="_Toc152042342"/>
      <w:bookmarkStart w:id="180" w:name="_Toc246996210"/>
      <w:bookmarkStart w:id="181" w:name="_Toc247085724"/>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954"/>
      <w:bookmarkStart w:id="183" w:name="_Toc152045567"/>
      <w:bookmarkStart w:id="184" w:name="_Toc296602456"/>
      <w:bookmarkStart w:id="185" w:name="_Toc152042343"/>
      <w:bookmarkStart w:id="186" w:name="_Toc246996211"/>
      <w:bookmarkStart w:id="187" w:name="_Toc179632585"/>
      <w:bookmarkStart w:id="188" w:name="_Toc247085725"/>
      <w:bookmarkStart w:id="189" w:name="_Toc14497453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47085726"/>
      <w:bookmarkStart w:id="192" w:name="_Toc246996955"/>
      <w:bookmarkStart w:id="193" w:name="_Toc152042344"/>
      <w:bookmarkStart w:id="194" w:name="_Toc296602458"/>
      <w:bookmarkStart w:id="195" w:name="_Toc179632586"/>
      <w:bookmarkStart w:id="196" w:name="_Toc246996212"/>
      <w:bookmarkStart w:id="197" w:name="_Toc144974536"/>
      <w:bookmarkStart w:id="198" w:name="_Toc152045568"/>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val="en-US"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6996956"/>
      <w:bookmarkStart w:id="200" w:name="_Toc144974537"/>
      <w:bookmarkStart w:id="201" w:name="_Toc152045569"/>
      <w:bookmarkStart w:id="202" w:name="_Toc246996213"/>
      <w:bookmarkStart w:id="203" w:name="_Toc179632587"/>
      <w:bookmarkStart w:id="204" w:name="_Toc247085727"/>
      <w:bookmarkStart w:id="205" w:name="_Toc296602459"/>
      <w:bookmarkStart w:id="206" w:name="_Toc152042345"/>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46996962"/>
      <w:bookmarkStart w:id="209" w:name="_Toc179632593"/>
      <w:bookmarkStart w:id="210" w:name="_Toc152045575"/>
      <w:bookmarkStart w:id="211" w:name="_Toc152042351"/>
      <w:bookmarkStart w:id="212" w:name="_Toc246996219"/>
      <w:bookmarkStart w:id="213" w:name="_Toc247085733"/>
      <w:bookmarkStart w:id="214" w:name="_Toc296602462"/>
      <w:bookmarkStart w:id="215" w:name="_Toc296590983"/>
      <w:bookmarkStart w:id="216" w:name="_Toc14497454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246996963"/>
      <w:bookmarkStart w:id="218" w:name="_Toc152045576"/>
      <w:bookmarkStart w:id="219" w:name="_Toc152042352"/>
      <w:bookmarkStart w:id="220" w:name="_Toc247085734"/>
      <w:bookmarkStart w:id="221" w:name="_Toc144974544"/>
      <w:bookmarkStart w:id="222" w:name="_Toc246996220"/>
      <w:bookmarkStart w:id="223" w:name="_Toc296602463"/>
      <w:bookmarkStart w:id="224" w:name="_Toc17963259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val="en-US"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6996964"/>
      <w:bookmarkStart w:id="226" w:name="_Toc152042353"/>
      <w:bookmarkStart w:id="227" w:name="_Toc246996221"/>
      <w:bookmarkStart w:id="228" w:name="_Toc296602464"/>
      <w:bookmarkStart w:id="229" w:name="_Toc247085735"/>
      <w:bookmarkStart w:id="230" w:name="_Toc179632595"/>
      <w:bookmarkStart w:id="231" w:name="_Toc144974545"/>
      <w:bookmarkStart w:id="232" w:name="_Toc152045577"/>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2" w:edGrp="everyone"/>
      <w:r>
        <w:rPr>
          <w:rFonts w:hint="eastAsia" w:ascii="宋体" w:hAnsi="宋体"/>
          <w:color w:val="FF0000"/>
          <w:sz w:val="24"/>
          <w:lang w:val="en-US" w:eastAsia="zh-CN"/>
        </w:rPr>
        <w:t>合理低价法</w:t>
      </w:r>
      <w:permEnd w:id="42"/>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D5AAE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B3CCB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247085747"/>
            <w:bookmarkStart w:id="234" w:name="_Toc246996232"/>
            <w:bookmarkStart w:id="235" w:name="_Toc296602477"/>
            <w:bookmarkStart w:id="236" w:name="_Toc152045589"/>
            <w:bookmarkStart w:id="237" w:name="_Toc152042366"/>
            <w:bookmarkStart w:id="238" w:name="_Toc246996975"/>
            <w:bookmarkStart w:id="239" w:name="_Toc144974556"/>
            <w:bookmarkStart w:id="240" w:name="_Toc179632607"/>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C8AE6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5D2C2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90651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8E5905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0F01D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D889D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466674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3292EE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ACF9E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A83D5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BF292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8F223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FEEAF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33D85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与营业执照、资质证书一致</w:t>
            </w:r>
          </w:p>
        </w:tc>
      </w:tr>
      <w:tr w14:paraId="2C9F60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5724D9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7E9EA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91086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7F47B7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2FBCD1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2C8D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FB76A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4719E4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276A3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956E56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E5D9EE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719775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5511C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5E016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DBCCB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C5794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1FED7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0C2DA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54BA54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D1BB6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B666C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AAC76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7F2C7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8FAA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E74A9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3073D7D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57C33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C453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05880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6FD6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0B6CC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244A3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AB862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EF0F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03B7C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43C6FB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A34EC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D225C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D3B4AA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AC211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AD6F2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B5AFD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69413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58AF32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64C3C82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按照以下评审规则确定成交候选人。</w:t>
      </w:r>
    </w:p>
    <w:p w14:paraId="0D08C71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《评审规则》如下：</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562A2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7289D7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43" w:edGrp="everyone" w:colFirst="0" w:colLast="0"/>
            <w:permStart w:id="44" w:edGrp="everyone" w:colFirst="1" w:colLast="1"/>
            <w:permStart w:id="45" w:edGrp="everyone" w:colFirst="2" w:colLast="2"/>
            <w:r>
              <w:rPr>
                <w:rFonts w:hint="eastAsia" w:ascii="Times New Roman" w:hAnsi="Times New Roman" w:cs="Times New Roman"/>
                <w:kern w:val="0"/>
                <w:sz w:val="24"/>
                <w:szCs w:val="24"/>
                <w:highlight w:val="none"/>
                <w:lang w:val="en-US" w:eastAsia="zh-CN"/>
              </w:rPr>
              <w:t>合理低价法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5757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175D946">
            <w:pPr>
              <w:pStyle w:val="22"/>
              <w:ind w:left="0" w:leftChars="0"/>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以评审合格的供应商的响应报价为有效报价：</w:t>
            </w:r>
          </w:p>
          <w:p w14:paraId="60DF9CB5">
            <w:pPr>
              <w:pStyle w:val="22"/>
              <w:ind w:left="0" w:leftChars="0" w:firstLine="240" w:firstLineChars="100"/>
              <w:rPr>
                <w:rFonts w:hint="eastAsia" w:ascii="宋体" w:hAnsi="宋体" w:eastAsiaTheme="minorEastAsia" w:cstheme="minorBidi"/>
                <w:i w:val="0"/>
                <w:iCs w:val="0"/>
                <w:kern w:val="2"/>
                <w:sz w:val="24"/>
                <w:szCs w:val="24"/>
                <w:u w:val="none"/>
              </w:rPr>
            </w:pPr>
            <w:r>
              <w:rPr>
                <w:rFonts w:hint="eastAsia" w:ascii="宋体" w:hAnsi="宋体" w:eastAsiaTheme="minorEastAsia" w:cstheme="minorBidi"/>
                <w:i w:val="0"/>
                <w:iCs w:val="0"/>
                <w:kern w:val="2"/>
                <w:sz w:val="24"/>
                <w:szCs w:val="24"/>
                <w:u w:val="none"/>
              </w:rPr>
              <w:t>（</w:t>
            </w:r>
            <w:r>
              <w:rPr>
                <w:rFonts w:hint="eastAsia" w:ascii="宋体" w:hAnsi="宋体" w:cstheme="minorBidi"/>
                <w:i w:val="0"/>
                <w:iCs w:val="0"/>
                <w:kern w:val="2"/>
                <w:sz w:val="24"/>
                <w:szCs w:val="24"/>
                <w:u w:val="none"/>
                <w:lang w:val="en-US" w:eastAsia="zh-CN"/>
              </w:rPr>
              <w:t>1</w:t>
            </w:r>
            <w:r>
              <w:rPr>
                <w:rFonts w:hint="eastAsia" w:ascii="宋体" w:hAnsi="宋体" w:eastAsiaTheme="minorEastAsia" w:cstheme="minorBidi"/>
                <w:i w:val="0"/>
                <w:iCs w:val="0"/>
                <w:kern w:val="2"/>
                <w:sz w:val="24"/>
                <w:szCs w:val="24"/>
                <w:u w:val="none"/>
              </w:rPr>
              <w:t>）有效报价为1</w:t>
            </w:r>
            <w:r>
              <w:rPr>
                <w:rFonts w:hint="eastAsia" w:ascii="宋体" w:hAnsi="宋体" w:cstheme="minorBidi"/>
                <w:i w:val="0"/>
                <w:iCs w:val="0"/>
                <w:kern w:val="2"/>
                <w:sz w:val="24"/>
                <w:szCs w:val="24"/>
                <w:u w:val="none"/>
                <w:lang w:val="en-US" w:eastAsia="zh-CN"/>
              </w:rPr>
              <w:t>0</w:t>
            </w:r>
            <w:r>
              <w:rPr>
                <w:rFonts w:hint="eastAsia" w:ascii="宋体" w:hAnsi="宋体" w:eastAsiaTheme="minorEastAsia" w:cstheme="minorBidi"/>
                <w:i w:val="0"/>
                <w:iCs w:val="0"/>
                <w:kern w:val="2"/>
                <w:sz w:val="24"/>
                <w:szCs w:val="24"/>
                <w:u w:val="none"/>
              </w:rPr>
              <w:t>家</w:t>
            </w:r>
            <w:r>
              <w:rPr>
                <w:rFonts w:hint="eastAsia" w:ascii="宋体" w:hAnsi="宋体" w:cstheme="minorBidi"/>
                <w:i w:val="0"/>
                <w:iCs w:val="0"/>
                <w:kern w:val="2"/>
                <w:sz w:val="24"/>
                <w:szCs w:val="24"/>
                <w:u w:val="none"/>
                <w:lang w:val="en-US" w:eastAsia="zh-CN"/>
              </w:rPr>
              <w:t>及以上</w:t>
            </w:r>
            <w:r>
              <w:rPr>
                <w:rFonts w:hint="eastAsia" w:ascii="宋体" w:hAnsi="宋体" w:eastAsiaTheme="minorEastAsia" w:cstheme="minorBidi"/>
                <w:i w:val="0"/>
                <w:iCs w:val="0"/>
                <w:kern w:val="2"/>
                <w:sz w:val="24"/>
                <w:szCs w:val="24"/>
                <w:u w:val="none"/>
              </w:rPr>
              <w:t>时，去掉2个最高价和2个最低价，取余下</w:t>
            </w:r>
            <w:r>
              <w:rPr>
                <w:rFonts w:hint="eastAsia" w:ascii="宋体" w:hAnsi="宋体" w:cstheme="minorBidi"/>
                <w:i w:val="0"/>
                <w:iCs w:val="0"/>
                <w:kern w:val="2"/>
                <w:sz w:val="24"/>
                <w:szCs w:val="24"/>
                <w:u w:val="none"/>
                <w:lang w:val="en-US" w:eastAsia="zh-CN"/>
              </w:rPr>
              <w:t>供应商</w:t>
            </w:r>
            <w:r>
              <w:rPr>
                <w:rFonts w:hint="eastAsia" w:ascii="宋体" w:hAnsi="宋体" w:eastAsiaTheme="minorEastAsia" w:cstheme="minorBidi"/>
                <w:i w:val="0"/>
                <w:iCs w:val="0"/>
                <w:kern w:val="2"/>
                <w:sz w:val="24"/>
                <w:szCs w:val="24"/>
                <w:u w:val="none"/>
              </w:rPr>
              <w:t>的</w:t>
            </w:r>
            <w:r>
              <w:rPr>
                <w:rFonts w:hint="eastAsia" w:ascii="宋体" w:hAnsi="宋体" w:cstheme="minorBidi"/>
                <w:i w:val="0"/>
                <w:iCs w:val="0"/>
                <w:kern w:val="2"/>
                <w:sz w:val="24"/>
                <w:szCs w:val="24"/>
                <w:u w:val="none"/>
                <w:lang w:val="en-US" w:eastAsia="zh-CN"/>
              </w:rPr>
              <w:t>报价算术平均值，以算术平均值作为评审基准价；</w:t>
            </w:r>
          </w:p>
          <w:p w14:paraId="1C7E6212">
            <w:pPr>
              <w:pStyle w:val="22"/>
              <w:ind w:left="0" w:leftChars="0" w:firstLine="240" w:firstLineChars="100"/>
              <w:rPr>
                <w:rFonts w:hint="eastAsia" w:ascii="宋体" w:hAnsi="宋体" w:cstheme="minorBidi"/>
                <w:i w:val="0"/>
                <w:iCs w:val="0"/>
                <w:kern w:val="2"/>
                <w:sz w:val="24"/>
                <w:szCs w:val="24"/>
                <w:u w:val="none"/>
                <w:lang w:val="en-US" w:eastAsia="zh-CN"/>
              </w:rPr>
            </w:pPr>
            <w:r>
              <w:rPr>
                <w:rFonts w:hint="eastAsia" w:ascii="宋体" w:hAnsi="宋体" w:eastAsiaTheme="minorEastAsia" w:cstheme="minorBidi"/>
                <w:i w:val="0"/>
                <w:iCs w:val="0"/>
                <w:kern w:val="2"/>
                <w:sz w:val="24"/>
                <w:szCs w:val="24"/>
                <w:u w:val="none"/>
              </w:rPr>
              <w:t>（</w:t>
            </w:r>
            <w:r>
              <w:rPr>
                <w:rFonts w:hint="eastAsia" w:ascii="宋体" w:hAnsi="宋体" w:cstheme="minorBidi"/>
                <w:i w:val="0"/>
                <w:iCs w:val="0"/>
                <w:kern w:val="2"/>
                <w:sz w:val="24"/>
                <w:szCs w:val="24"/>
                <w:u w:val="none"/>
                <w:lang w:val="en-US" w:eastAsia="zh-CN"/>
              </w:rPr>
              <w:t>2</w:t>
            </w:r>
            <w:r>
              <w:rPr>
                <w:rFonts w:hint="eastAsia" w:ascii="宋体" w:hAnsi="宋体" w:eastAsiaTheme="minorEastAsia" w:cstheme="minorBidi"/>
                <w:i w:val="0"/>
                <w:iCs w:val="0"/>
                <w:kern w:val="2"/>
                <w:sz w:val="24"/>
                <w:szCs w:val="24"/>
                <w:u w:val="none"/>
              </w:rPr>
              <w:t>）有效报价为</w:t>
            </w:r>
            <w:r>
              <w:rPr>
                <w:rFonts w:hint="eastAsia" w:ascii="宋体" w:hAnsi="宋体" w:cstheme="minorBidi"/>
                <w:i w:val="0"/>
                <w:iCs w:val="0"/>
                <w:kern w:val="2"/>
                <w:sz w:val="24"/>
                <w:szCs w:val="24"/>
                <w:u w:val="none"/>
                <w:lang w:val="en-US" w:eastAsia="zh-CN"/>
              </w:rPr>
              <w:t>6</w:t>
            </w:r>
            <w:r>
              <w:rPr>
                <w:rFonts w:hint="eastAsia" w:ascii="宋体" w:hAnsi="宋体" w:eastAsiaTheme="minorEastAsia" w:cstheme="minorBidi"/>
                <w:i w:val="0"/>
                <w:iCs w:val="0"/>
                <w:kern w:val="2"/>
                <w:sz w:val="24"/>
                <w:szCs w:val="24"/>
                <w:u w:val="none"/>
              </w:rPr>
              <w:t>（含）家至 10（</w:t>
            </w:r>
            <w:r>
              <w:rPr>
                <w:rFonts w:hint="eastAsia" w:ascii="宋体" w:hAnsi="宋体" w:cstheme="minorBidi"/>
                <w:i w:val="0"/>
                <w:iCs w:val="0"/>
                <w:kern w:val="2"/>
                <w:sz w:val="24"/>
                <w:szCs w:val="24"/>
                <w:u w:val="none"/>
                <w:lang w:val="en-US" w:eastAsia="zh-CN"/>
              </w:rPr>
              <w:t>不</w:t>
            </w:r>
            <w:r>
              <w:rPr>
                <w:rFonts w:hint="eastAsia" w:ascii="宋体" w:hAnsi="宋体" w:eastAsiaTheme="minorEastAsia" w:cstheme="minorBidi"/>
                <w:i w:val="0"/>
                <w:iCs w:val="0"/>
                <w:kern w:val="2"/>
                <w:sz w:val="24"/>
                <w:szCs w:val="24"/>
                <w:u w:val="none"/>
              </w:rPr>
              <w:t>含）家时，去掉1个最高价和1个最低价，取余下</w:t>
            </w:r>
            <w:r>
              <w:rPr>
                <w:rFonts w:hint="eastAsia" w:ascii="宋体" w:hAnsi="宋体" w:cstheme="minorBidi"/>
                <w:i w:val="0"/>
                <w:iCs w:val="0"/>
                <w:kern w:val="2"/>
                <w:sz w:val="24"/>
                <w:szCs w:val="24"/>
                <w:u w:val="none"/>
                <w:lang w:val="en-US" w:eastAsia="zh-CN"/>
              </w:rPr>
              <w:t>供应商</w:t>
            </w:r>
            <w:r>
              <w:rPr>
                <w:rFonts w:hint="eastAsia" w:ascii="宋体" w:hAnsi="宋体" w:eastAsiaTheme="minorEastAsia" w:cstheme="minorBidi"/>
                <w:i w:val="0"/>
                <w:iCs w:val="0"/>
                <w:kern w:val="2"/>
                <w:sz w:val="24"/>
                <w:szCs w:val="24"/>
                <w:u w:val="none"/>
              </w:rPr>
              <w:t>的</w:t>
            </w:r>
            <w:r>
              <w:rPr>
                <w:rFonts w:hint="eastAsia" w:ascii="宋体" w:hAnsi="宋体" w:cstheme="minorBidi"/>
                <w:i w:val="0"/>
                <w:iCs w:val="0"/>
                <w:kern w:val="2"/>
                <w:sz w:val="24"/>
                <w:szCs w:val="24"/>
                <w:u w:val="none"/>
                <w:lang w:val="en-US" w:eastAsia="zh-CN"/>
              </w:rPr>
              <w:t>报价</w:t>
            </w:r>
            <w:r>
              <w:rPr>
                <w:rFonts w:hint="eastAsia" w:ascii="宋体" w:hAnsi="宋体" w:eastAsiaTheme="minorEastAsia" w:cstheme="minorBidi"/>
                <w:i w:val="0"/>
                <w:iCs w:val="0"/>
                <w:kern w:val="2"/>
                <w:sz w:val="24"/>
                <w:szCs w:val="24"/>
                <w:u w:val="none"/>
              </w:rPr>
              <w:t>进行</w:t>
            </w:r>
            <w:r>
              <w:rPr>
                <w:rFonts w:hint="eastAsia" w:ascii="宋体" w:hAnsi="宋体" w:cstheme="minorBidi"/>
                <w:i w:val="0"/>
                <w:iCs w:val="0"/>
                <w:kern w:val="2"/>
                <w:sz w:val="24"/>
                <w:szCs w:val="24"/>
                <w:u w:val="none"/>
                <w:lang w:val="en-US" w:eastAsia="zh-CN"/>
              </w:rPr>
              <w:t>算术平均值，以算术平均值作为评审基准价；</w:t>
            </w:r>
          </w:p>
          <w:p w14:paraId="5C5E8A04">
            <w:pPr>
              <w:pStyle w:val="22"/>
              <w:ind w:left="0" w:leftChars="0" w:firstLine="240" w:firstLineChars="100"/>
              <w:rPr>
                <w:rFonts w:hint="eastAsia" w:ascii="宋体" w:hAnsi="宋体" w:eastAsiaTheme="minorEastAsia" w:cstheme="minorBidi"/>
                <w:i w:val="0"/>
                <w:iCs w:val="0"/>
                <w:kern w:val="2"/>
                <w:sz w:val="24"/>
                <w:szCs w:val="24"/>
                <w:u w:val="none"/>
              </w:rPr>
            </w:pPr>
            <w:r>
              <w:rPr>
                <w:rFonts w:hint="eastAsia" w:ascii="宋体" w:hAnsi="宋体" w:eastAsiaTheme="minorEastAsia" w:cstheme="minorBidi"/>
                <w:i w:val="0"/>
                <w:iCs w:val="0"/>
                <w:kern w:val="2"/>
                <w:sz w:val="24"/>
                <w:szCs w:val="24"/>
                <w:u w:val="none"/>
              </w:rPr>
              <w:t>（</w:t>
            </w:r>
            <w:r>
              <w:rPr>
                <w:rFonts w:hint="eastAsia" w:ascii="宋体" w:hAnsi="宋体" w:cstheme="minorBidi"/>
                <w:i w:val="0"/>
                <w:iCs w:val="0"/>
                <w:kern w:val="2"/>
                <w:sz w:val="24"/>
                <w:szCs w:val="24"/>
                <w:u w:val="none"/>
                <w:lang w:val="en-US" w:eastAsia="zh-CN"/>
              </w:rPr>
              <w:t>3</w:t>
            </w:r>
            <w:r>
              <w:rPr>
                <w:rFonts w:hint="eastAsia" w:ascii="宋体" w:hAnsi="宋体" w:eastAsiaTheme="minorEastAsia" w:cstheme="minorBidi"/>
                <w:i w:val="0"/>
                <w:iCs w:val="0"/>
                <w:kern w:val="2"/>
                <w:sz w:val="24"/>
                <w:szCs w:val="24"/>
                <w:u w:val="none"/>
              </w:rPr>
              <w:t>）有效报价在</w:t>
            </w:r>
            <w:r>
              <w:rPr>
                <w:rFonts w:hint="eastAsia" w:ascii="宋体" w:hAnsi="宋体" w:cstheme="minorBidi"/>
                <w:i w:val="0"/>
                <w:iCs w:val="0"/>
                <w:kern w:val="2"/>
                <w:sz w:val="24"/>
                <w:szCs w:val="24"/>
                <w:u w:val="none"/>
                <w:lang w:val="en-US" w:eastAsia="zh-CN"/>
              </w:rPr>
              <w:t>6</w:t>
            </w:r>
            <w:r>
              <w:rPr>
                <w:rFonts w:hint="eastAsia" w:ascii="宋体" w:hAnsi="宋体" w:eastAsiaTheme="minorEastAsia" w:cstheme="minorBidi"/>
                <w:i w:val="0"/>
                <w:iCs w:val="0"/>
                <w:kern w:val="2"/>
                <w:sz w:val="24"/>
                <w:szCs w:val="24"/>
                <w:u w:val="none"/>
              </w:rPr>
              <w:t>家以下时，取所有</w:t>
            </w:r>
            <w:r>
              <w:rPr>
                <w:rFonts w:hint="eastAsia" w:ascii="宋体" w:hAnsi="宋体" w:cstheme="minorBidi"/>
                <w:i w:val="0"/>
                <w:iCs w:val="0"/>
                <w:kern w:val="2"/>
                <w:sz w:val="24"/>
                <w:szCs w:val="24"/>
                <w:u w:val="none"/>
                <w:lang w:val="en-US" w:eastAsia="zh-CN"/>
              </w:rPr>
              <w:t>供应商</w:t>
            </w:r>
            <w:r>
              <w:rPr>
                <w:rFonts w:hint="eastAsia" w:ascii="宋体" w:hAnsi="宋体" w:eastAsiaTheme="minorEastAsia" w:cstheme="minorBidi"/>
                <w:i w:val="0"/>
                <w:iCs w:val="0"/>
                <w:kern w:val="2"/>
                <w:sz w:val="24"/>
                <w:szCs w:val="24"/>
                <w:u w:val="none"/>
              </w:rPr>
              <w:t>的</w:t>
            </w:r>
            <w:r>
              <w:rPr>
                <w:rFonts w:hint="eastAsia" w:ascii="宋体" w:hAnsi="宋体" w:cstheme="minorBidi"/>
                <w:i w:val="0"/>
                <w:iCs w:val="0"/>
                <w:kern w:val="2"/>
                <w:sz w:val="24"/>
                <w:szCs w:val="24"/>
                <w:u w:val="none"/>
                <w:lang w:val="en-US" w:eastAsia="zh-CN"/>
              </w:rPr>
              <w:t>报价</w:t>
            </w:r>
            <w:r>
              <w:rPr>
                <w:rFonts w:hint="eastAsia" w:ascii="宋体" w:hAnsi="宋体" w:eastAsiaTheme="minorEastAsia" w:cstheme="minorBidi"/>
                <w:i w:val="0"/>
                <w:iCs w:val="0"/>
                <w:kern w:val="2"/>
                <w:sz w:val="24"/>
                <w:szCs w:val="24"/>
                <w:u w:val="none"/>
              </w:rPr>
              <w:t>进行</w:t>
            </w:r>
            <w:r>
              <w:rPr>
                <w:rFonts w:hint="eastAsia" w:ascii="宋体" w:hAnsi="宋体" w:cstheme="minorBidi"/>
                <w:i w:val="0"/>
                <w:iCs w:val="0"/>
                <w:kern w:val="2"/>
                <w:sz w:val="24"/>
                <w:szCs w:val="24"/>
                <w:u w:val="none"/>
                <w:lang w:val="en-US" w:eastAsia="zh-CN"/>
              </w:rPr>
              <w:t>算术平均值，以算术平均值作为评审基准价；</w:t>
            </w:r>
          </w:p>
          <w:p w14:paraId="5CD26AA8">
            <w:pPr>
              <w:pStyle w:val="22"/>
              <w:ind w:left="0" w:leftChars="0" w:firstLine="0" w:firstLineChars="0"/>
              <w:rPr>
                <w:rFonts w:hint="eastAsia" w:ascii="宋体" w:hAnsi="宋体" w:eastAsiaTheme="minorEastAsia" w:cstheme="minorBidi"/>
                <w:i w:val="0"/>
                <w:iCs w:val="0"/>
                <w:kern w:val="2"/>
                <w:sz w:val="24"/>
                <w:szCs w:val="24"/>
                <w:u w:val="none"/>
                <w:lang w:eastAsia="zh-CN"/>
              </w:rPr>
            </w:pPr>
            <w:r>
              <w:rPr>
                <w:rFonts w:hint="eastAsia" w:ascii="宋体" w:hAnsi="宋体" w:eastAsiaTheme="minorEastAsia" w:cstheme="minorBidi"/>
                <w:i w:val="0"/>
                <w:iCs w:val="0"/>
                <w:kern w:val="2"/>
                <w:sz w:val="24"/>
                <w:szCs w:val="24"/>
                <w:u w:val="none"/>
              </w:rPr>
              <w:t>取所有</w:t>
            </w:r>
            <w:r>
              <w:rPr>
                <w:rFonts w:hint="eastAsia" w:ascii="宋体" w:hAnsi="宋体" w:cstheme="minorBidi"/>
                <w:i w:val="0"/>
                <w:iCs w:val="0"/>
                <w:kern w:val="2"/>
                <w:sz w:val="24"/>
                <w:szCs w:val="24"/>
                <w:u w:val="none"/>
                <w:lang w:val="en-US" w:eastAsia="zh-CN"/>
              </w:rPr>
              <w:t>有效</w:t>
            </w:r>
            <w:r>
              <w:rPr>
                <w:rFonts w:hint="eastAsia" w:ascii="宋体" w:hAnsi="宋体" w:eastAsiaTheme="minorEastAsia" w:cstheme="minorBidi"/>
                <w:i w:val="0"/>
                <w:iCs w:val="0"/>
                <w:kern w:val="2"/>
                <w:sz w:val="24"/>
                <w:szCs w:val="24"/>
                <w:u w:val="none"/>
              </w:rPr>
              <w:t>的</w:t>
            </w:r>
            <w:r>
              <w:rPr>
                <w:rFonts w:hint="eastAsia" w:ascii="宋体" w:hAnsi="宋体" w:cstheme="minorBidi"/>
                <w:i w:val="0"/>
                <w:iCs w:val="0"/>
                <w:kern w:val="2"/>
                <w:sz w:val="24"/>
                <w:szCs w:val="24"/>
                <w:u w:val="none"/>
                <w:lang w:val="en-US" w:eastAsia="zh-CN"/>
              </w:rPr>
              <w:t>响应</w:t>
            </w:r>
            <w:r>
              <w:rPr>
                <w:rFonts w:hint="eastAsia" w:ascii="宋体" w:hAnsi="宋体" w:eastAsiaTheme="minorEastAsia" w:cstheme="minorBidi"/>
                <w:i w:val="0"/>
                <w:iCs w:val="0"/>
                <w:kern w:val="2"/>
                <w:sz w:val="24"/>
                <w:szCs w:val="24"/>
                <w:u w:val="none"/>
              </w:rPr>
              <w:t>报价与评</w:t>
            </w:r>
            <w:r>
              <w:rPr>
                <w:rFonts w:hint="eastAsia" w:ascii="宋体" w:hAnsi="宋体" w:cstheme="minorBidi"/>
                <w:i w:val="0"/>
                <w:iCs w:val="0"/>
                <w:kern w:val="2"/>
                <w:sz w:val="24"/>
                <w:szCs w:val="24"/>
                <w:u w:val="none"/>
                <w:lang w:val="en-US" w:eastAsia="zh-CN"/>
              </w:rPr>
              <w:t>审</w:t>
            </w:r>
            <w:r>
              <w:rPr>
                <w:rFonts w:hint="eastAsia" w:ascii="宋体" w:hAnsi="宋体" w:eastAsiaTheme="minorEastAsia" w:cstheme="minorBidi"/>
                <w:i w:val="0"/>
                <w:iCs w:val="0"/>
                <w:kern w:val="2"/>
                <w:sz w:val="24"/>
                <w:szCs w:val="24"/>
                <w:u w:val="none"/>
              </w:rPr>
              <w:t>基准价相减，其差值绝对值最小的为第一名，次小的为第二名……以此类推</w:t>
            </w:r>
            <w:r>
              <w:rPr>
                <w:rFonts w:hint="eastAsia" w:ascii="宋体" w:hAnsi="宋体" w:eastAsiaTheme="minorEastAsia" w:cstheme="minorBidi"/>
                <w:i w:val="0"/>
                <w:iCs w:val="0"/>
                <w:kern w:val="2"/>
                <w:sz w:val="24"/>
                <w:szCs w:val="24"/>
                <w:u w:val="none"/>
                <w:lang w:eastAsia="zh-CN"/>
              </w:rPr>
              <w:t>；</w:t>
            </w:r>
            <w:r>
              <w:rPr>
                <w:rFonts w:hint="eastAsia" w:ascii="宋体" w:hAnsi="宋体" w:eastAsiaTheme="minorEastAsia" w:cstheme="minorBidi"/>
                <w:i w:val="0"/>
                <w:iCs w:val="0"/>
                <w:kern w:val="2"/>
                <w:sz w:val="24"/>
                <w:szCs w:val="24"/>
                <w:u w:val="none"/>
                <w:lang w:val="en-US" w:eastAsia="zh-CN"/>
              </w:rPr>
              <w:t>差值绝对值相同的，以</w:t>
            </w:r>
            <w:r>
              <w:rPr>
                <w:rFonts w:hint="eastAsia" w:ascii="宋体" w:hAnsi="宋体" w:cstheme="minorBidi"/>
                <w:i w:val="0"/>
                <w:iCs w:val="0"/>
                <w:kern w:val="2"/>
                <w:sz w:val="24"/>
                <w:szCs w:val="24"/>
                <w:u w:val="none"/>
                <w:lang w:val="en-US" w:eastAsia="zh-CN"/>
              </w:rPr>
              <w:t>响应</w:t>
            </w:r>
            <w:r>
              <w:rPr>
                <w:rFonts w:hint="eastAsia" w:ascii="宋体" w:hAnsi="宋体" w:eastAsiaTheme="minorEastAsia" w:cstheme="minorBidi"/>
                <w:i w:val="0"/>
                <w:iCs w:val="0"/>
                <w:kern w:val="2"/>
                <w:sz w:val="24"/>
                <w:szCs w:val="24"/>
                <w:u w:val="none"/>
                <w:lang w:val="en-US" w:eastAsia="zh-CN"/>
              </w:rPr>
              <w:t>报价低的优先；</w:t>
            </w:r>
            <w:r>
              <w:rPr>
                <w:rFonts w:hint="eastAsia" w:ascii="宋体" w:hAnsi="宋体" w:cstheme="minorBidi"/>
                <w:i w:val="0"/>
                <w:iCs w:val="0"/>
                <w:kern w:val="2"/>
                <w:sz w:val="24"/>
                <w:szCs w:val="24"/>
                <w:u w:val="none"/>
                <w:lang w:val="en-US" w:eastAsia="zh-CN"/>
              </w:rPr>
              <w:t>响应</w:t>
            </w:r>
            <w:r>
              <w:rPr>
                <w:rFonts w:hint="eastAsia" w:ascii="宋体" w:hAnsi="宋体" w:eastAsiaTheme="minorEastAsia" w:cstheme="minorBidi"/>
                <w:i w:val="0"/>
                <w:iCs w:val="0"/>
                <w:kern w:val="2"/>
                <w:sz w:val="24"/>
                <w:szCs w:val="24"/>
                <w:u w:val="none"/>
                <w:lang w:val="en-US" w:eastAsia="zh-CN"/>
              </w:rPr>
              <w:t>报价也相同的，由</w:t>
            </w:r>
            <w:r>
              <w:rPr>
                <w:rFonts w:hint="eastAsia" w:ascii="宋体" w:hAnsi="宋体" w:cstheme="minorBidi"/>
                <w:i w:val="0"/>
                <w:iCs w:val="0"/>
                <w:kern w:val="2"/>
                <w:sz w:val="24"/>
                <w:szCs w:val="24"/>
                <w:u w:val="none"/>
                <w:lang w:val="en-US" w:eastAsia="zh-CN"/>
              </w:rPr>
              <w:t>采购</w:t>
            </w:r>
            <w:r>
              <w:rPr>
                <w:rFonts w:hint="eastAsia" w:ascii="宋体" w:hAnsi="宋体" w:eastAsiaTheme="minorEastAsia" w:cstheme="minorBidi"/>
                <w:i w:val="0"/>
                <w:iCs w:val="0"/>
                <w:kern w:val="2"/>
                <w:sz w:val="24"/>
                <w:szCs w:val="24"/>
                <w:u w:val="none"/>
                <w:lang w:val="en-US" w:eastAsia="zh-CN"/>
              </w:rPr>
              <w:t>人或其授权的评</w:t>
            </w:r>
            <w:r>
              <w:rPr>
                <w:rFonts w:hint="eastAsia" w:ascii="宋体" w:hAnsi="宋体" w:cstheme="minorBidi"/>
                <w:i w:val="0"/>
                <w:iCs w:val="0"/>
                <w:kern w:val="2"/>
                <w:sz w:val="24"/>
                <w:szCs w:val="24"/>
                <w:u w:val="none"/>
                <w:lang w:val="en-US" w:eastAsia="zh-CN"/>
              </w:rPr>
              <w:t>审</w:t>
            </w:r>
            <w:r>
              <w:rPr>
                <w:rFonts w:hint="eastAsia" w:ascii="宋体" w:hAnsi="宋体" w:eastAsiaTheme="minorEastAsia" w:cstheme="minorBidi"/>
                <w:i w:val="0"/>
                <w:iCs w:val="0"/>
                <w:kern w:val="2"/>
                <w:sz w:val="24"/>
                <w:szCs w:val="24"/>
                <w:u w:val="none"/>
                <w:lang w:val="en-US" w:eastAsia="zh-CN"/>
              </w:rPr>
              <w:t>委员会自行确定排序（一般宜采用投票制）。</w:t>
            </w:r>
          </w:p>
          <w:p w14:paraId="26B0C12E">
            <w:pPr>
              <w:pStyle w:val="22"/>
              <w:ind w:left="0" w:leftChars="0" w:firstLine="480" w:firstLineChars="200"/>
              <w:rPr>
                <w:rFonts w:hint="default"/>
                <w:lang w:val="en-US" w:eastAsia="zh-CN"/>
              </w:rPr>
            </w:pPr>
            <w:r>
              <w:rPr>
                <w:rFonts w:hint="eastAsia" w:ascii="宋体" w:hAnsi="宋体" w:eastAsiaTheme="minorEastAsia" w:cstheme="minorBidi"/>
                <w:i w:val="0"/>
                <w:iCs w:val="0"/>
                <w:kern w:val="2"/>
                <w:sz w:val="24"/>
                <w:szCs w:val="24"/>
                <w:u w:val="none"/>
              </w:rPr>
              <w:t>（说明：去掉1个或 2个最高价，是指按照有效报价排序，从排序最高的有效报价依次去掉；去掉1个或2个最低价，是指按照有效报价排序，从排序最低的有效报价依次去掉。）</w:t>
            </w:r>
          </w:p>
        </w:tc>
      </w:tr>
      <w:permEnd w:id="43"/>
      <w:permEnd w:id="44"/>
      <w:permEnd w:id="45"/>
    </w:tbl>
    <w:p w14:paraId="067C7953">
      <w:pPr>
        <w:rPr>
          <w:rFonts w:hint="default" w:ascii="Times New Roman" w:hAnsi="Times New Roman" w:cs="Times New Roman" w:eastAsiaTheme="minorEastAsia"/>
          <w:b/>
          <w:bCs/>
          <w:kern w:val="0"/>
          <w:sz w:val="28"/>
          <w:szCs w:val="28"/>
          <w:highlight w:val="none"/>
        </w:rPr>
      </w:pPr>
    </w:p>
    <w:p w14:paraId="6F53FF91">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合理低价法）</w:t>
      </w:r>
    </w:p>
    <w:p w14:paraId="2C880A3A">
      <w:pPr>
        <w:ind w:firstLine="480" w:firstLineChars="200"/>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采用合理低价法。</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文件，按照本章</w:t>
      </w:r>
      <w:r>
        <w:rPr>
          <w:rFonts w:hint="eastAsia" w:ascii="Times New Roman" w:hAnsi="Times New Roman" w:cs="Times New Roman"/>
          <w:kern w:val="0"/>
          <w:sz w:val="24"/>
          <w:szCs w:val="24"/>
          <w:highlight w:val="none"/>
          <w:lang w:val="en-US" w:eastAsia="zh-CN"/>
        </w:rPr>
        <w:t>评审程序</w:t>
      </w:r>
      <w:r>
        <w:rPr>
          <w:rFonts w:hint="default" w:ascii="Times New Roman" w:hAnsi="Times New Roman" w:cs="Times New Roman" w:eastAsiaTheme="minorEastAsia"/>
          <w:kern w:val="0"/>
          <w:sz w:val="24"/>
          <w:szCs w:val="24"/>
          <w:highlight w:val="none"/>
        </w:rPr>
        <w:t>中的评</w:t>
      </w:r>
      <w:r>
        <w:rPr>
          <w:rFonts w:hint="eastAsia" w:ascii="Times New Roman" w:hAnsi="Times New Roman" w:cs="Times New Roman"/>
          <w:kern w:val="0"/>
          <w:sz w:val="24"/>
          <w:szCs w:val="24"/>
          <w:highlight w:val="none"/>
          <w:lang w:val="en-US" w:eastAsia="zh-CN"/>
        </w:rPr>
        <w:t>审规则</w:t>
      </w:r>
      <w:r>
        <w:rPr>
          <w:rFonts w:hint="default" w:ascii="Times New Roman" w:hAnsi="Times New Roman" w:cs="Times New Roman" w:eastAsiaTheme="minorEastAsia"/>
          <w:kern w:val="0"/>
          <w:sz w:val="24"/>
          <w:szCs w:val="24"/>
          <w:highlight w:val="none"/>
        </w:rPr>
        <w:t>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或根据采购人授权直接确定成交人，但报价低于其成本的除外。报价绝对差值相等时，以报价低的优先；报价也相等的，由采购人或其授权的评审委员会自行确定。</w:t>
      </w:r>
      <w:bookmarkStart w:id="241" w:name="_Toc152042370"/>
      <w:bookmarkStart w:id="242" w:name="_Toc247085751"/>
      <w:bookmarkStart w:id="243" w:name="_Toc152045593"/>
      <w:bookmarkStart w:id="244" w:name="_Toc144974560"/>
      <w:bookmarkStart w:id="245" w:name="_Toc179632611"/>
      <w:bookmarkStart w:id="246" w:name="_Toc246996979"/>
      <w:bookmarkStart w:id="247" w:name="_Toc296602481"/>
      <w:bookmarkStart w:id="248" w:name="_Toc246996236"/>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52042373"/>
      <w:bookmarkStart w:id="251" w:name="_Toc246996239"/>
      <w:bookmarkStart w:id="252" w:name="_Toc246996982"/>
      <w:bookmarkStart w:id="253" w:name="_Toc179632614"/>
      <w:bookmarkStart w:id="254" w:name="_Toc152045596"/>
      <w:bookmarkStart w:id="255" w:name="_Toc296602484"/>
      <w:bookmarkStart w:id="256"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bookmarkEnd w:id="233"/>
    <w:bookmarkEnd w:id="234"/>
    <w:bookmarkEnd w:id="235"/>
    <w:bookmarkEnd w:id="236"/>
    <w:bookmarkEnd w:id="237"/>
    <w:bookmarkEnd w:id="238"/>
    <w:bookmarkEnd w:id="239"/>
    <w:bookmarkEnd w:id="240"/>
    <w:p w14:paraId="7D0CF1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20BCD7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9BA805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kern w:val="2"/>
          <w:sz w:val="44"/>
          <w:szCs w:val="44"/>
          <w:lang w:val="en-US" w:eastAsia="zh-CN"/>
        </w:rPr>
      </w:pPr>
      <w:r>
        <w:rPr>
          <w:rFonts w:hint="eastAsia" w:ascii="仿宋" w:hAnsi="仿宋" w:eastAsia="仿宋" w:cs="仿宋"/>
          <w:b/>
          <w:bCs/>
          <w:kern w:val="2"/>
          <w:sz w:val="44"/>
          <w:szCs w:val="44"/>
          <w:lang w:val="en-US" w:eastAsia="zh-CN"/>
        </w:rPr>
        <w:t>亳州古井逸合府项目7#202、15#202室样板间及s2软装采购合同</w:t>
      </w:r>
    </w:p>
    <w:p w14:paraId="36ED069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p>
    <w:p w14:paraId="606DB4EF">
      <w:pPr>
        <w:keepNext w:val="0"/>
        <w:keepLines w:val="0"/>
        <w:pageBreakBefore w:val="0"/>
        <w:widowControl/>
        <w:kinsoku/>
        <w:wordWrap/>
        <w:overflowPunct/>
        <w:topLinePunct w:val="0"/>
        <w:autoSpaceDE/>
        <w:autoSpaceDN/>
        <w:bidi w:val="0"/>
        <w:adjustRightInd/>
        <w:snapToGrid/>
        <w:spacing w:line="560" w:lineRule="exact"/>
        <w:ind w:firstLine="320" w:firstLineChars="100"/>
        <w:jc w:val="left"/>
        <w:textAlignment w:val="auto"/>
        <w:rPr>
          <w:rFonts w:hint="eastAsia" w:ascii="仿宋" w:hAnsi="仿宋" w:eastAsia="仿宋" w:cs="仿宋"/>
          <w:b w:val="0"/>
          <w:bCs w:val="0"/>
          <w:kern w:val="2"/>
          <w:sz w:val="32"/>
          <w:szCs w:val="32"/>
          <w:u w:val="single"/>
          <w:lang w:val="en-US" w:eastAsia="zh-CN"/>
        </w:rPr>
      </w:pPr>
      <w:r>
        <w:rPr>
          <w:rFonts w:hint="eastAsia" w:ascii="仿宋" w:hAnsi="仿宋" w:eastAsia="仿宋" w:cs="仿宋"/>
          <w:b w:val="0"/>
          <w:bCs w:val="0"/>
          <w:kern w:val="2"/>
          <w:sz w:val="32"/>
          <w:szCs w:val="32"/>
          <w:lang w:val="en-US" w:eastAsia="zh-CN"/>
        </w:rPr>
        <w:t xml:space="preserve">甲方：  </w:t>
      </w:r>
      <w:r>
        <w:rPr>
          <w:rFonts w:hint="eastAsia" w:ascii="仿宋" w:hAnsi="仿宋" w:eastAsia="仿宋" w:cs="仿宋"/>
          <w:b w:val="0"/>
          <w:bCs w:val="0"/>
          <w:kern w:val="2"/>
          <w:sz w:val="32"/>
          <w:szCs w:val="32"/>
          <w:u w:val="single"/>
          <w:lang w:val="en-US" w:eastAsia="zh-CN"/>
        </w:rPr>
        <w:t xml:space="preserve">亳州通恒置业有限公司 </w:t>
      </w:r>
    </w:p>
    <w:p w14:paraId="7FCE6A90">
      <w:pPr>
        <w:keepNext w:val="0"/>
        <w:keepLines w:val="0"/>
        <w:pageBreakBefore w:val="0"/>
        <w:widowControl/>
        <w:kinsoku/>
        <w:wordWrap/>
        <w:overflowPunct/>
        <w:topLinePunct w:val="0"/>
        <w:autoSpaceDE/>
        <w:autoSpaceDN/>
        <w:bidi w:val="0"/>
        <w:adjustRightInd/>
        <w:snapToGrid/>
        <w:spacing w:line="560" w:lineRule="exact"/>
        <w:ind w:firstLine="320" w:firstLineChars="100"/>
        <w:jc w:val="left"/>
        <w:textAlignment w:val="auto"/>
        <w:rPr>
          <w:rFonts w:hint="eastAsia" w:ascii="Times New Roman" w:hAnsi="Times New Roman" w:cs="Times New Roman" w:eastAsiaTheme="minorEastAsia"/>
          <w:b w:val="0"/>
          <w:bCs w:val="0"/>
          <w:kern w:val="0"/>
          <w:sz w:val="24"/>
          <w:szCs w:val="24"/>
          <w:highlight w:val="none"/>
          <w:u w:val="single"/>
          <w:lang w:val="en-US" w:eastAsia="zh-CN"/>
        </w:rPr>
      </w:pPr>
      <w:r>
        <w:rPr>
          <w:rFonts w:hint="eastAsia" w:ascii="仿宋" w:hAnsi="仿宋" w:eastAsia="仿宋" w:cs="仿宋"/>
          <w:b w:val="0"/>
          <w:bCs w:val="0"/>
          <w:kern w:val="2"/>
          <w:sz w:val="32"/>
          <w:szCs w:val="32"/>
          <w:lang w:val="en-US" w:eastAsia="zh-CN"/>
        </w:rPr>
        <w:t xml:space="preserve">乙方： </w:t>
      </w:r>
      <w:r>
        <w:rPr>
          <w:rFonts w:hint="eastAsia" w:ascii="仿宋" w:hAnsi="仿宋" w:eastAsia="仿宋" w:cs="仿宋"/>
          <w:b w:val="0"/>
          <w:bCs w:val="0"/>
          <w:kern w:val="2"/>
          <w:sz w:val="32"/>
          <w:szCs w:val="32"/>
          <w:u w:val="single"/>
          <w:lang w:val="en-US" w:eastAsia="zh-CN"/>
        </w:rPr>
        <w:t xml:space="preserve">              </w:t>
      </w:r>
      <w:r>
        <w:rPr>
          <w:rFonts w:hint="eastAsia" w:ascii="Times New Roman" w:hAnsi="Times New Roman" w:cs="Times New Roman" w:eastAsiaTheme="minorEastAsia"/>
          <w:b w:val="0"/>
          <w:bCs w:val="0"/>
          <w:kern w:val="0"/>
          <w:sz w:val="24"/>
          <w:szCs w:val="24"/>
          <w:highlight w:val="none"/>
          <w:u w:val="single"/>
          <w:lang w:val="en-US" w:eastAsia="zh-CN"/>
        </w:rPr>
        <w:t xml:space="preserve">          </w:t>
      </w:r>
    </w:p>
    <w:p w14:paraId="281B9F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eastAsiaTheme="minorEastAsia"/>
          <w:b w:val="0"/>
          <w:bCs w:val="0"/>
          <w:kern w:val="0"/>
          <w:sz w:val="24"/>
          <w:szCs w:val="24"/>
          <w:highlight w:val="none"/>
          <w:u w:val="single"/>
          <w:lang w:val="en-US" w:eastAsia="zh-CN"/>
        </w:rPr>
      </w:pPr>
    </w:p>
    <w:p w14:paraId="38CF80CA">
      <w:pPr>
        <w:keepNext w:val="0"/>
        <w:keepLines w:val="0"/>
        <w:pageBreakBefore w:val="0"/>
        <w:widowControl w:val="0"/>
        <w:numPr>
          <w:ilvl w:val="-1"/>
          <w:numId w:val="0"/>
        </w:numPr>
        <w:kinsoku/>
        <w:wordWrap/>
        <w:overflowPunct/>
        <w:topLinePunct w:val="0"/>
        <w:autoSpaceDE/>
        <w:autoSpaceDN/>
        <w:bidi/>
        <w:adjustRightInd/>
        <w:snapToGrid/>
        <w:spacing w:line="480" w:lineRule="exact"/>
        <w:ind w:left="0" w:leftChars="0" w:firstLine="0" w:firstLineChars="0"/>
        <w:jc w:val="righ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甲乙双方依据《中华人民共和国民法典》及有关规定，按照平等互利原则，为明确双方的权利义务，经协商一致，特委托乙方为其提供7#202、15#202室样板间及s2软装采购业务，并结合业务的具体要求，签订本合同，双方共同遵守。</w:t>
      </w:r>
    </w:p>
    <w:p w14:paraId="32D8A1E4">
      <w:pPr>
        <w:keepNext w:val="0"/>
        <w:keepLines w:val="0"/>
        <w:pageBreakBefore w:val="0"/>
        <w:widowControl w:val="0"/>
        <w:kinsoku/>
        <w:wordWrap/>
        <w:overflowPunct/>
        <w:topLinePunct w:val="0"/>
        <w:autoSpaceDE/>
        <w:autoSpaceDN/>
        <w:bidi w:val="0"/>
        <w:adjustRightInd/>
        <w:snapToGrid/>
        <w:spacing w:line="480" w:lineRule="exact"/>
        <w:ind w:left="218" w:leftChars="104"/>
        <w:jc w:val="left"/>
        <w:textAlignment w:val="auto"/>
        <w:rPr>
          <w:rFonts w:hint="eastAsia" w:ascii="仿宋_GB2312" w:hAnsi="仿宋_GB2312" w:eastAsia="仿宋_GB2312" w:cs="仿宋_GB2312"/>
          <w:b/>
          <w:bCs/>
          <w:kern w:val="0"/>
          <w:sz w:val="24"/>
          <w:szCs w:val="24"/>
          <w:highlight w:val="none"/>
          <w:lang w:val="en-US" w:eastAsia="zh-CN"/>
        </w:rPr>
      </w:pPr>
      <w:r>
        <w:rPr>
          <w:rFonts w:hint="eastAsia" w:ascii="仿宋_GB2312" w:hAnsi="仿宋_GB2312" w:eastAsia="仿宋_GB2312" w:cs="仿宋_GB2312"/>
          <w:b/>
          <w:bCs/>
          <w:kern w:val="0"/>
          <w:sz w:val="24"/>
          <w:szCs w:val="24"/>
          <w:highlight w:val="none"/>
          <w:lang w:val="en-US" w:eastAsia="zh-CN"/>
        </w:rPr>
        <w:t>第一条：项目概况</w:t>
      </w:r>
    </w:p>
    <w:p w14:paraId="406F54D8">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项目名称：亳州古井逸合府项目7#202、15#202室样板间及s2软装</w:t>
      </w:r>
    </w:p>
    <w:p w14:paraId="55C34EAC">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项目内容：家具家电、饰品等制作采购、运输、装卸、安装、人工及场景化布置等（具体详见第五章采购需求、附件2效果图及附件3工程量清单）。</w:t>
      </w:r>
    </w:p>
    <w:p w14:paraId="287738C7">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3、执行地点: 亳州市谯城区利辛路与华佗大道交口逸合府项目营销中心</w:t>
      </w:r>
    </w:p>
    <w:p w14:paraId="381F5BD1">
      <w:pPr>
        <w:keepNext w:val="0"/>
        <w:keepLines w:val="0"/>
        <w:pageBreakBefore w:val="0"/>
        <w:widowControl w:val="0"/>
        <w:kinsoku/>
        <w:wordWrap/>
        <w:overflowPunct/>
        <w:topLinePunct w:val="0"/>
        <w:autoSpaceDE/>
        <w:autoSpaceDN/>
        <w:bidi w:val="0"/>
        <w:adjustRightInd/>
        <w:snapToGrid/>
        <w:spacing w:line="480" w:lineRule="exact"/>
        <w:ind w:left="218" w:leftChars="104"/>
        <w:jc w:val="left"/>
        <w:textAlignment w:val="auto"/>
        <w:rPr>
          <w:rFonts w:hint="eastAsia" w:ascii="仿宋_GB2312" w:hAnsi="仿宋_GB2312" w:eastAsia="仿宋_GB2312" w:cs="仿宋_GB2312"/>
          <w:b/>
          <w:bCs/>
          <w:kern w:val="0"/>
          <w:sz w:val="24"/>
          <w:szCs w:val="24"/>
          <w:highlight w:val="none"/>
          <w:lang w:val="en-US" w:eastAsia="zh-CN"/>
        </w:rPr>
      </w:pPr>
      <w:r>
        <w:rPr>
          <w:rFonts w:hint="eastAsia" w:ascii="仿宋_GB2312" w:hAnsi="仿宋_GB2312" w:eastAsia="仿宋_GB2312" w:cs="仿宋_GB2312"/>
          <w:b/>
          <w:bCs/>
          <w:kern w:val="0"/>
          <w:sz w:val="24"/>
          <w:szCs w:val="24"/>
          <w:highlight w:val="none"/>
          <w:lang w:val="en-US" w:eastAsia="zh-CN"/>
        </w:rPr>
        <w:t>第二条：服务说明</w:t>
      </w:r>
    </w:p>
    <w:p w14:paraId="4111B158">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质量要求：以甲方规定的标准及招标清单和采购需求为依据，甲方有权对乙方的工作内容及工作质量进行监督和指导，发现问题有权要求乙方限期整改直至符合甲方要求及标准，若乙方拒不整改或整改不符合要求的，甲方有权拒绝支付对应项目的全部费用，乙方还需承担合同总价5%的违约金。</w:t>
      </w:r>
    </w:p>
    <w:p w14:paraId="47FC4861">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 xml:space="preserve">2、效果保障：家具、灯具、地毯、窗帘、装饰画、饰品等物料实物还原度不得低于参考图的90%；饰品依据已确认装修方案完成确认，原则上不得进行更换，如需更换需向甲方提供书面说明,获得同意后，在不违反装修风格的基础上，可进行适当调整且品质、价格及展示效果不得低于原饰品。                 </w:t>
      </w:r>
    </w:p>
    <w:p w14:paraId="301CCDA4">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3、交付要求：合同签订后，收到甲方通知日起，20个日历日内完成软装工作并交由甲方验收。如乙方因自身原因（包含但不限制于物流等原因）未能按规定时间完成，乙方应向甲方承担相应的违约责任，每逾期一天乙方向甲方支付违约金500元。</w:t>
      </w:r>
    </w:p>
    <w:p w14:paraId="209A961B">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4、服务期限：自合同签订日起20个日历日；</w:t>
      </w:r>
    </w:p>
    <w:p w14:paraId="31EA91F4">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5、质保期：质保期为3年，如在质保内物品出现质量问题（非人为损坏），乙方需配合维修并承担全部维修费用，如乙方拒不配合，甲方有权拒绝支付质保金。</w:t>
      </w:r>
    </w:p>
    <w:p w14:paraId="3AE6E4C1">
      <w:pPr>
        <w:keepNext w:val="0"/>
        <w:keepLines w:val="0"/>
        <w:pageBreakBefore w:val="0"/>
        <w:widowControl w:val="0"/>
        <w:kinsoku/>
        <w:wordWrap/>
        <w:overflowPunct/>
        <w:topLinePunct w:val="0"/>
        <w:autoSpaceDE/>
        <w:autoSpaceDN/>
        <w:bidi w:val="0"/>
        <w:adjustRightInd/>
        <w:snapToGrid/>
        <w:spacing w:line="480" w:lineRule="exact"/>
        <w:ind w:left="218" w:leftChars="104"/>
        <w:jc w:val="left"/>
        <w:textAlignment w:val="auto"/>
        <w:rPr>
          <w:rFonts w:hint="eastAsia" w:ascii="仿宋_GB2312" w:hAnsi="仿宋_GB2312" w:eastAsia="仿宋_GB2312" w:cs="仿宋_GB2312"/>
          <w:b/>
          <w:bCs/>
          <w:kern w:val="0"/>
          <w:sz w:val="24"/>
          <w:szCs w:val="24"/>
          <w:highlight w:val="none"/>
          <w:lang w:val="en-US" w:eastAsia="zh-CN"/>
        </w:rPr>
      </w:pPr>
      <w:r>
        <w:rPr>
          <w:rFonts w:hint="eastAsia" w:ascii="仿宋_GB2312" w:hAnsi="仿宋_GB2312" w:eastAsia="仿宋_GB2312" w:cs="仿宋_GB2312"/>
          <w:b/>
          <w:bCs/>
          <w:kern w:val="0"/>
          <w:sz w:val="24"/>
          <w:szCs w:val="24"/>
          <w:highlight w:val="none"/>
          <w:lang w:val="en-US" w:eastAsia="zh-CN"/>
        </w:rPr>
        <w:t>第三条：合同总价及付款方式</w:t>
      </w:r>
    </w:p>
    <w:p w14:paraId="5C725618">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1、合同暂定总价:总合同价款为人民币:</w:t>
      </w:r>
      <w:r>
        <w:rPr>
          <w:rFonts w:hint="eastAsia" w:ascii="仿宋_GB2312" w:hAnsi="仿宋_GB2312" w:eastAsia="仿宋_GB2312" w:cs="仿宋_GB2312"/>
          <w:b/>
          <w:bCs/>
          <w:kern w:val="0"/>
          <w:sz w:val="24"/>
          <w:szCs w:val="24"/>
          <w:highlight w:val="none"/>
          <w:u w:val="single"/>
          <w:lang w:val="en-US" w:eastAsia="zh-CN"/>
        </w:rPr>
        <w:t xml:space="preserve">        </w:t>
      </w:r>
      <w:r>
        <w:rPr>
          <w:rFonts w:hint="eastAsia" w:ascii="仿宋_GB2312" w:hAnsi="仿宋_GB2312" w:eastAsia="仿宋_GB2312" w:cs="仿宋_GB2312"/>
          <w:b w:val="0"/>
          <w:bCs w:val="0"/>
          <w:kern w:val="0"/>
          <w:sz w:val="24"/>
          <w:szCs w:val="24"/>
          <w:highlight w:val="none"/>
          <w:lang w:val="en-US" w:eastAsia="zh-CN"/>
        </w:rPr>
        <w:t>元（含  %增值税），大写:</w:t>
      </w:r>
      <w:r>
        <w:rPr>
          <w:rFonts w:hint="eastAsia" w:ascii="仿宋_GB2312" w:hAnsi="仿宋_GB2312" w:eastAsia="仿宋_GB2312" w:cs="仿宋_GB2312"/>
          <w:b w:val="0"/>
          <w:bCs w:val="0"/>
          <w:kern w:val="0"/>
          <w:sz w:val="24"/>
          <w:szCs w:val="24"/>
          <w:highlight w:val="none"/>
          <w:u w:val="single"/>
          <w:lang w:val="en-US" w:eastAsia="zh-CN"/>
        </w:rPr>
        <w:t xml:space="preserve">       </w:t>
      </w:r>
      <w:r>
        <w:rPr>
          <w:rFonts w:hint="eastAsia" w:ascii="仿宋_GB2312" w:hAnsi="仿宋_GB2312" w:eastAsia="仿宋_GB2312" w:cs="仿宋_GB2312"/>
          <w:b w:val="0"/>
          <w:bCs w:val="0"/>
          <w:kern w:val="0"/>
          <w:sz w:val="24"/>
          <w:szCs w:val="24"/>
          <w:highlight w:val="none"/>
          <w:lang w:val="en-US" w:eastAsia="zh-CN"/>
        </w:rPr>
        <w:t xml:space="preserve"> 。本合同为固定单价合同，单价包括制作、送货、装卸、税费、人工、管理、安全保障费等一切费用。</w:t>
      </w:r>
    </w:p>
    <w:p w14:paraId="29662D6C">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2、（1）执行完毕、确认验收合格后付至总价款的90%；</w:t>
      </w:r>
      <w:r>
        <w:rPr>
          <w:rFonts w:hint="eastAsia" w:ascii="仿宋_GB2312" w:hAnsi="仿宋_GB2312" w:eastAsia="仿宋_GB2312" w:cs="仿宋_GB2312"/>
          <w:b w:val="0"/>
          <w:bCs w:val="0"/>
          <w:color w:val="FF0000"/>
          <w:kern w:val="0"/>
          <w:sz w:val="24"/>
          <w:szCs w:val="24"/>
          <w:highlight w:val="none"/>
          <w:lang w:val="en-US" w:eastAsia="zh-CN"/>
        </w:rPr>
        <w:t>质保期到期后无质量问题（或质量问题已解决）后无息付清余款，</w:t>
      </w:r>
      <w:r>
        <w:rPr>
          <w:rFonts w:hint="eastAsia" w:ascii="仿宋_GB2312" w:hAnsi="仿宋_GB2312" w:eastAsia="仿宋_GB2312" w:cs="仿宋_GB2312"/>
          <w:b w:val="0"/>
          <w:bCs w:val="0"/>
          <w:kern w:val="0"/>
          <w:sz w:val="24"/>
          <w:szCs w:val="24"/>
          <w:highlight w:val="none"/>
          <w:lang w:val="en-US" w:eastAsia="zh-CN"/>
        </w:rPr>
        <w:t>付至总价款的100%。付款前乙方需提供增值税专用发票（税率为</w:t>
      </w:r>
      <w:r>
        <w:rPr>
          <w:rFonts w:hint="eastAsia" w:ascii="仿宋_GB2312" w:hAnsi="仿宋_GB2312" w:eastAsia="仿宋_GB2312" w:cs="仿宋_GB2312"/>
          <w:b w:val="0"/>
          <w:bCs w:val="0"/>
          <w:kern w:val="0"/>
          <w:sz w:val="24"/>
          <w:szCs w:val="24"/>
          <w:highlight w:val="none"/>
          <w:u w:val="single"/>
          <w:lang w:val="en-US" w:eastAsia="zh-CN"/>
        </w:rPr>
        <w:t xml:space="preserve">      </w:t>
      </w:r>
      <w:r>
        <w:rPr>
          <w:rFonts w:hint="eastAsia" w:ascii="仿宋_GB2312" w:hAnsi="仿宋_GB2312" w:eastAsia="仿宋_GB2312" w:cs="仿宋_GB2312"/>
          <w:b w:val="0"/>
          <w:bCs w:val="0"/>
          <w:kern w:val="0"/>
          <w:sz w:val="24"/>
          <w:szCs w:val="24"/>
          <w:highlight w:val="none"/>
          <w:lang w:val="en-US" w:eastAsia="zh-CN"/>
        </w:rPr>
        <w:t xml:space="preserve">  %）。</w:t>
      </w:r>
    </w:p>
    <w:p w14:paraId="62DFF3A3">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3、总价包括但不限于</w:t>
      </w:r>
      <w:r>
        <w:rPr>
          <w:rFonts w:hint="eastAsia" w:ascii="仿宋_GB2312" w:hAnsi="仿宋_GB2312" w:eastAsia="仿宋_GB2312" w:cs="仿宋_GB2312"/>
          <w:kern w:val="0"/>
          <w:sz w:val="24"/>
          <w:szCs w:val="24"/>
          <w:highlight w:val="none"/>
          <w:lang w:val="en-US" w:eastAsia="zh-CN"/>
        </w:rPr>
        <w:t>家具家电、饰品等制作采购、运输、装卸、安装、人工、税费及场景化布置等（具体详见采购人要求的清单表）</w:t>
      </w:r>
      <w:r>
        <w:rPr>
          <w:rFonts w:hint="eastAsia" w:ascii="仿宋_GB2312" w:hAnsi="仿宋_GB2312" w:eastAsia="仿宋_GB2312" w:cs="仿宋_GB2312"/>
          <w:b w:val="0"/>
          <w:bCs w:val="0"/>
          <w:kern w:val="0"/>
          <w:sz w:val="24"/>
          <w:szCs w:val="24"/>
          <w:highlight w:val="none"/>
          <w:lang w:val="en-US" w:eastAsia="zh-CN"/>
        </w:rPr>
        <w:t>一切费用。</w:t>
      </w:r>
    </w:p>
    <w:p w14:paraId="0D3F83D5">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4、本合同为固定单价合同，合同期内如需增加或减少项目及服务，需经甲方书面确认。经甲方验收结算时，按实际发生量依据招标清单价格计算发生费用支付于乙方。增加部分的款项自验收合格之日起每半年支付一次，付至增项总价款的100%。付款前乙方需提供增值税专用发票（税率为</w:t>
      </w:r>
      <w:r>
        <w:rPr>
          <w:rFonts w:hint="eastAsia" w:ascii="仿宋_GB2312" w:hAnsi="仿宋_GB2312" w:eastAsia="仿宋_GB2312" w:cs="仿宋_GB2312"/>
          <w:b w:val="0"/>
          <w:bCs w:val="0"/>
          <w:kern w:val="0"/>
          <w:sz w:val="24"/>
          <w:szCs w:val="24"/>
          <w:highlight w:val="none"/>
          <w:u w:val="single"/>
          <w:lang w:val="en-US" w:eastAsia="zh-CN"/>
        </w:rPr>
        <w:t xml:space="preserve">   </w:t>
      </w:r>
      <w:r>
        <w:rPr>
          <w:rFonts w:hint="eastAsia" w:ascii="仿宋_GB2312" w:hAnsi="仿宋_GB2312" w:eastAsia="仿宋_GB2312" w:cs="仿宋_GB2312"/>
          <w:b w:val="0"/>
          <w:bCs w:val="0"/>
          <w:kern w:val="0"/>
          <w:sz w:val="24"/>
          <w:szCs w:val="24"/>
          <w:highlight w:val="none"/>
          <w:lang w:val="en-US" w:eastAsia="zh-CN"/>
        </w:rPr>
        <w:t xml:space="preserve"> %），如未能提供，甲方有权拒绝支付费用。</w:t>
      </w:r>
    </w:p>
    <w:p w14:paraId="717B4A6C">
      <w:pPr>
        <w:keepNext w:val="0"/>
        <w:keepLines w:val="0"/>
        <w:pageBreakBefore w:val="0"/>
        <w:widowControl w:val="0"/>
        <w:kinsoku/>
        <w:wordWrap/>
        <w:overflowPunct/>
        <w:topLinePunct w:val="0"/>
        <w:autoSpaceDE/>
        <w:autoSpaceDN/>
        <w:bidi w:val="0"/>
        <w:adjustRightInd/>
        <w:snapToGrid/>
        <w:spacing w:line="480" w:lineRule="exact"/>
        <w:ind w:left="218" w:leftChars="104"/>
        <w:jc w:val="left"/>
        <w:textAlignment w:val="auto"/>
        <w:rPr>
          <w:rFonts w:hint="eastAsia" w:ascii="仿宋_GB2312" w:hAnsi="仿宋_GB2312" w:eastAsia="仿宋_GB2312" w:cs="仿宋_GB2312"/>
          <w:b/>
          <w:bCs/>
          <w:kern w:val="0"/>
          <w:sz w:val="24"/>
          <w:szCs w:val="24"/>
          <w:highlight w:val="none"/>
          <w:lang w:val="en-US" w:eastAsia="zh-CN"/>
        </w:rPr>
      </w:pPr>
      <w:r>
        <w:rPr>
          <w:rFonts w:hint="eastAsia" w:ascii="仿宋_GB2312" w:hAnsi="仿宋_GB2312" w:eastAsia="仿宋_GB2312" w:cs="仿宋_GB2312"/>
          <w:b/>
          <w:bCs/>
          <w:kern w:val="0"/>
          <w:sz w:val="24"/>
          <w:szCs w:val="24"/>
          <w:highlight w:val="none"/>
          <w:lang w:val="en-US" w:eastAsia="zh-CN"/>
        </w:rPr>
        <w:t>第四条：双方责任</w:t>
      </w:r>
    </w:p>
    <w:p w14:paraId="065DA310">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1、本合同任何一方均须对其了解的对方商业秘密、业务信息及本合同内容绝对保密，在未取得双方书面允许前，双方均不得向外透露，违约一方需赔偿因泄密而给对方造成的全部损失。</w:t>
      </w:r>
    </w:p>
    <w:p w14:paraId="64054C84">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2、工程项目及施工方式如需变更,双方应协商一致，签定书面变更资料，同时调整相关工程费用及工期。</w:t>
      </w:r>
    </w:p>
    <w:p w14:paraId="693B910C">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3、乙方在执行合同内容过程中，如发生工作人员受伤，伤病等任何安全问题及对第三者造成侵权责任时，甲方不承担任何责任，均由乙方自行承担。</w:t>
      </w:r>
    </w:p>
    <w:p w14:paraId="5824C13D">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4、乙方在安装、布置过程中不得损坏已完成的精装饰及土建构成品及半成品，否则承担全部赔偿责任。</w:t>
      </w:r>
    </w:p>
    <w:p w14:paraId="5F04B407">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5、突发安全事故由乙方承担。</w:t>
      </w:r>
    </w:p>
    <w:p w14:paraId="0F6D2241">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6、自合同签订之日起至完成为止。如乙方未能按规定时间、要求完成，乙方应向甲方承担相应的违约责任，针对项目具体费用清单扣除相应费用，并须承担合同总金额20%的违约金。</w:t>
      </w:r>
    </w:p>
    <w:p w14:paraId="212AA388">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7、施工过程中如遇雨、雪、六级以上大风天气工期经甲方同意可适当顺延。</w:t>
      </w:r>
    </w:p>
    <w:p w14:paraId="2B383BB2">
      <w:pPr>
        <w:keepNext w:val="0"/>
        <w:keepLines w:val="0"/>
        <w:pageBreakBefore w:val="0"/>
        <w:widowControl w:val="0"/>
        <w:kinsoku/>
        <w:wordWrap/>
        <w:overflowPunct/>
        <w:topLinePunct w:val="0"/>
        <w:autoSpaceDE/>
        <w:autoSpaceDN/>
        <w:bidi w:val="0"/>
        <w:adjustRightInd/>
        <w:snapToGrid/>
        <w:spacing w:line="480" w:lineRule="exact"/>
        <w:ind w:left="218" w:leftChars="104"/>
        <w:jc w:val="left"/>
        <w:textAlignment w:val="auto"/>
        <w:rPr>
          <w:rFonts w:hint="eastAsia" w:ascii="仿宋_GB2312" w:hAnsi="仿宋_GB2312" w:eastAsia="仿宋_GB2312" w:cs="仿宋_GB2312"/>
          <w:b/>
          <w:bCs/>
          <w:kern w:val="0"/>
          <w:sz w:val="24"/>
          <w:szCs w:val="24"/>
          <w:highlight w:val="none"/>
          <w:lang w:val="en-US" w:eastAsia="zh-CN"/>
        </w:rPr>
      </w:pPr>
      <w:r>
        <w:rPr>
          <w:rFonts w:hint="eastAsia" w:ascii="仿宋_GB2312" w:hAnsi="仿宋_GB2312" w:eastAsia="仿宋_GB2312" w:cs="仿宋_GB2312"/>
          <w:b/>
          <w:bCs/>
          <w:kern w:val="0"/>
          <w:sz w:val="24"/>
          <w:szCs w:val="24"/>
          <w:highlight w:val="none"/>
          <w:lang w:val="en-US" w:eastAsia="zh-CN"/>
        </w:rPr>
        <w:t>第五条：其他</w:t>
      </w:r>
    </w:p>
    <w:p w14:paraId="7FC1267A">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1、本合同任何一方均须对其了解的对方商业秘密、业务信息及本合同内容绝对保密，在未取得双方书面允许前，双方均不得向外透露，违约一方需赔偿因泄密而给对方造成的全部损失。</w:t>
      </w:r>
    </w:p>
    <w:p w14:paraId="06A59504">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 xml:space="preserve">2、本合同未尽事宜，由双方协商解决或签订补充协议，补充协议与本合同具有同等效力。   </w:t>
      </w:r>
    </w:p>
    <w:p w14:paraId="054A503E">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3、争议应协商解决，协商不成向甲方所在地的人民法院提起诉讼。</w:t>
      </w:r>
    </w:p>
    <w:p w14:paraId="13608BC5">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4、本合同自甲乙双方盖章之日起生效。本合同一式【叁】份，甲方执【贰】份，乙方执【壹】份，具有同等法律效力。</w:t>
      </w:r>
    </w:p>
    <w:p w14:paraId="26A837E8">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p>
    <w:p w14:paraId="1D64BE21">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p>
    <w:p w14:paraId="796BF876">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p>
    <w:p w14:paraId="4676C6D8">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p>
    <w:p w14:paraId="78C95AD4">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甲方：亳州通恒置业有限公司              乙方:</w:t>
      </w:r>
    </w:p>
    <w:p w14:paraId="544B1440">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地址：亳州市谯城区药都大道1289号       地址：</w:t>
      </w:r>
    </w:p>
    <w:p w14:paraId="3D974175">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电话：0558-5998970                      电话：</w:t>
      </w:r>
    </w:p>
    <w:p w14:paraId="15AA0156">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开户行：建行亳州市分行                  开户行：                                                       帐号：34050188860800002404              帐号</w:t>
      </w:r>
    </w:p>
    <w:p w14:paraId="4387A804">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签订日期：    年   月   日              签订日期：     年   月   日</w:t>
      </w:r>
    </w:p>
    <w:p w14:paraId="7356E295">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Times New Roman" w:hAnsi="Times New Roman" w:cs="Times New Roman" w:eastAsiaTheme="minorEastAsia"/>
          <w:b w:val="0"/>
          <w:bCs w:val="0"/>
          <w:kern w:val="0"/>
          <w:sz w:val="24"/>
          <w:szCs w:val="24"/>
          <w:highlight w:val="none"/>
          <w:lang w:val="en-US" w:eastAsia="zh-CN"/>
        </w:rPr>
      </w:pPr>
    </w:p>
    <w:p w14:paraId="3477169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07A2F7F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2688D98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6562267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E6B0F4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val="0"/>
        <w:overflowPunct/>
        <w:topLinePunct w:val="0"/>
        <w:autoSpaceDE/>
        <w:autoSpaceDN/>
        <w:bidi w:val="0"/>
        <w:adjustRightInd/>
        <w:snapToGrid/>
        <w:spacing w:line="560" w:lineRule="exact"/>
        <w:ind w:firstLine="562" w:firstLineChars="200"/>
        <w:jc w:val="both"/>
        <w:textAlignment w:val="auto"/>
        <w:rPr>
          <w:rFonts w:hint="default" w:asciiTheme="minorEastAsia" w:hAnsiTheme="minorEastAsia" w:cstheme="minorEastAsia"/>
          <w:b/>
          <w:bCs/>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b/>
          <w:bCs/>
          <w:i w:val="0"/>
          <w:iCs w:val="0"/>
          <w:color w:val="000000" w:themeColor="text1"/>
          <w:sz w:val="28"/>
          <w:szCs w:val="28"/>
          <w:highlight w:val="none"/>
          <w:u w:val="none"/>
          <w:lang w:val="en-US" w:eastAsia="zh-CN"/>
          <w14:textFill>
            <w14:solidFill>
              <w14:schemeClr w14:val="tx1"/>
            </w14:solidFill>
          </w14:textFill>
        </w:rPr>
        <w:t>一、采购需求</w:t>
      </w:r>
    </w:p>
    <w:p w14:paraId="01500C7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kern w:val="0"/>
          <w:sz w:val="24"/>
          <w:szCs w:val="24"/>
          <w:highlight w:val="none"/>
          <w:u w:val="none"/>
          <w:lang w:val="en-US" w:eastAsia="zh-CN"/>
        </w:rPr>
        <w:t>1.采购范围：详见第一章询比公告</w:t>
      </w:r>
    </w:p>
    <w:p w14:paraId="72D546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kern w:val="0"/>
          <w:sz w:val="24"/>
          <w:szCs w:val="24"/>
          <w:highlight w:val="none"/>
          <w:u w:val="none"/>
          <w:lang w:val="en-US" w:eastAsia="zh-CN"/>
        </w:rPr>
        <w:t xml:space="preserve">2.供货地点：华佗大道西、利辛路北；​  </w:t>
      </w:r>
    </w:p>
    <w:p w14:paraId="07C212A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kern w:val="0"/>
          <w:sz w:val="24"/>
          <w:szCs w:val="24"/>
          <w:highlight w:val="none"/>
          <w:u w:val="none"/>
          <w:lang w:val="en-US" w:eastAsia="zh-CN"/>
        </w:rPr>
        <w:t>3、物料送达：物料送达前需提前一天书面通知采购人，获得许可后方可配送，否则采购人有权拒收。供应商应自行负责物料的装车、搬运、拆卸、安装、布置、卫生等工作，在采购人最终验收合格之前，有关物料的毁损和灭失风险由供应商承担；</w:t>
      </w:r>
    </w:p>
    <w:p w14:paraId="166AC83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kern w:val="0"/>
          <w:sz w:val="24"/>
          <w:szCs w:val="24"/>
          <w:highlight w:val="none"/>
          <w:u w:val="none"/>
          <w:lang w:val="en-US" w:eastAsia="zh-CN"/>
        </w:rPr>
        <w:t>4.采购清单及效果图详见附件2、3。</w:t>
      </w:r>
    </w:p>
    <w:p w14:paraId="6CBC47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i w:val="0"/>
          <w:iCs w:val="0"/>
          <w:kern w:val="0"/>
          <w:sz w:val="24"/>
          <w:szCs w:val="24"/>
          <w:highlight w:val="none"/>
          <w:u w:val="none"/>
          <w:lang w:val="en-US" w:eastAsia="zh-CN"/>
        </w:rPr>
      </w:pPr>
    </w:p>
    <w:p w14:paraId="705A4453">
      <w:pPr>
        <w:keepNext w:val="0"/>
        <w:keepLines w:val="0"/>
        <w:pageBreakBefore w:val="0"/>
        <w:widowControl/>
        <w:numPr>
          <w:ilvl w:val="-1"/>
          <w:numId w:val="0"/>
        </w:numPr>
        <w:kinsoku/>
        <w:wordWrap/>
        <w:overflowPunct/>
        <w:topLinePunct w:val="0"/>
        <w:autoSpaceDE/>
        <w:autoSpaceDN/>
        <w:bidi w:val="0"/>
        <w:adjustRightInd/>
        <w:snapToGrid/>
        <w:spacing w:line="240" w:lineRule="auto"/>
        <w:ind w:firstLine="0" w:firstLineChars="0"/>
        <w:jc w:val="left"/>
        <w:textAlignment w:val="auto"/>
        <w:rPr>
          <w:rFonts w:hint="eastAsia" w:asciiTheme="minorEastAsia" w:hAnsiTheme="minorEastAsia" w:cstheme="minorEastAsia"/>
          <w:b w:val="0"/>
          <w:bCs w:val="0"/>
          <w:i w:val="0"/>
          <w:iCs w:val="0"/>
          <w:color w:val="000000" w:themeColor="text1"/>
          <w:sz w:val="28"/>
          <w:szCs w:val="28"/>
          <w:highlight w:val="none"/>
          <w:u w:val="none"/>
          <w:lang w:val="en-US" w:eastAsia="zh-CN"/>
          <w14:textFill>
            <w14:solidFill>
              <w14:schemeClr w14:val="tx1"/>
            </w14:solidFill>
          </w14:textFill>
        </w:rPr>
      </w:pPr>
    </w:p>
    <w:p w14:paraId="139B9530">
      <w:pPr>
        <w:pStyle w:val="22"/>
        <w:rPr>
          <w:rFonts w:hint="eastAsia"/>
          <w:lang w:val="en-US" w:eastAsia="zh-CN"/>
        </w:rPr>
      </w:pPr>
    </w:p>
    <w:p w14:paraId="5B162527">
      <w:pPr>
        <w:pStyle w:val="22"/>
        <w:rPr>
          <w:rFonts w:hint="eastAsia"/>
          <w:lang w:val="en-US" w:eastAsia="zh-CN"/>
        </w:rPr>
      </w:pPr>
    </w:p>
    <w:p w14:paraId="1399021F">
      <w:pPr>
        <w:pStyle w:val="22"/>
        <w:rPr>
          <w:rFonts w:hint="eastAsia"/>
          <w:lang w:val="en-US" w:eastAsia="zh-CN"/>
        </w:rPr>
      </w:pPr>
    </w:p>
    <w:p w14:paraId="0EE64C23">
      <w:pPr>
        <w:pStyle w:val="22"/>
        <w:rPr>
          <w:rFonts w:hint="eastAsia"/>
          <w:lang w:val="en-US" w:eastAsia="zh-CN"/>
        </w:rPr>
      </w:pPr>
    </w:p>
    <w:p w14:paraId="5F64AE2A">
      <w:pPr>
        <w:pStyle w:val="22"/>
        <w:rPr>
          <w:rFonts w:hint="eastAsia"/>
          <w:lang w:val="en-US" w:eastAsia="zh-CN"/>
        </w:rPr>
      </w:pPr>
    </w:p>
    <w:p w14:paraId="5FDBCF4E">
      <w:pPr>
        <w:pStyle w:val="22"/>
        <w:rPr>
          <w:rFonts w:hint="eastAsia"/>
          <w:lang w:val="en-US" w:eastAsia="zh-CN"/>
        </w:rPr>
      </w:pPr>
    </w:p>
    <w:p w14:paraId="723BA5CD">
      <w:pPr>
        <w:pStyle w:val="22"/>
        <w:rPr>
          <w:rFonts w:hint="eastAsia"/>
          <w:lang w:val="en-US" w:eastAsia="zh-CN"/>
        </w:rPr>
      </w:pPr>
    </w:p>
    <w:p w14:paraId="56E046C7">
      <w:pPr>
        <w:pStyle w:val="22"/>
        <w:rPr>
          <w:rFonts w:hint="eastAsia"/>
          <w:lang w:val="en-US" w:eastAsia="zh-CN"/>
        </w:rPr>
      </w:pPr>
    </w:p>
    <w:p w14:paraId="2D2D0BD7">
      <w:pPr>
        <w:pStyle w:val="22"/>
        <w:rPr>
          <w:rFonts w:hint="eastAsia"/>
          <w:lang w:val="en-US" w:eastAsia="zh-CN"/>
        </w:rPr>
      </w:pPr>
    </w:p>
    <w:p w14:paraId="7EC5040E">
      <w:pPr>
        <w:pStyle w:val="22"/>
        <w:rPr>
          <w:rFonts w:hint="eastAsia"/>
          <w:lang w:val="en-US" w:eastAsia="zh-CN"/>
        </w:rPr>
      </w:pPr>
    </w:p>
    <w:p w14:paraId="0400B9A1">
      <w:pPr>
        <w:pStyle w:val="22"/>
        <w:rPr>
          <w:rFonts w:hint="eastAsia"/>
          <w:lang w:val="en-US" w:eastAsia="zh-CN"/>
        </w:rPr>
      </w:pPr>
    </w:p>
    <w:p w14:paraId="18C83CAB">
      <w:pPr>
        <w:pStyle w:val="22"/>
        <w:rPr>
          <w:rFonts w:hint="eastAsia"/>
          <w:lang w:val="en-US" w:eastAsia="zh-CN"/>
        </w:rPr>
      </w:pPr>
    </w:p>
    <w:p w14:paraId="793DA637">
      <w:pPr>
        <w:pStyle w:val="22"/>
        <w:rPr>
          <w:rFonts w:hint="eastAsia"/>
          <w:lang w:val="en-US" w:eastAsia="zh-CN"/>
        </w:rPr>
      </w:pPr>
    </w:p>
    <w:p w14:paraId="3FE71EA5">
      <w:pPr>
        <w:pStyle w:val="22"/>
        <w:rPr>
          <w:rFonts w:hint="eastAsia"/>
          <w:lang w:val="en-US" w:eastAsia="zh-CN"/>
        </w:rPr>
      </w:pPr>
    </w:p>
    <w:p w14:paraId="40D19F9C">
      <w:pPr>
        <w:pStyle w:val="22"/>
        <w:rPr>
          <w:rFonts w:hint="eastAsia"/>
          <w:lang w:val="en-US" w:eastAsia="zh-CN"/>
        </w:rPr>
      </w:pPr>
    </w:p>
    <w:p w14:paraId="576750E9">
      <w:pPr>
        <w:pStyle w:val="22"/>
        <w:rPr>
          <w:rFonts w:hint="eastAsia"/>
          <w:lang w:val="en-US" w:eastAsia="zh-CN"/>
        </w:rPr>
      </w:pPr>
    </w:p>
    <w:p w14:paraId="08B93775">
      <w:pPr>
        <w:pStyle w:val="22"/>
        <w:rPr>
          <w:rFonts w:hint="eastAsia"/>
          <w:lang w:val="en-US" w:eastAsia="zh-CN"/>
        </w:rPr>
      </w:pPr>
    </w:p>
    <w:p w14:paraId="125036AC">
      <w:pPr>
        <w:rPr>
          <w:rFonts w:hint="eastAsia"/>
          <w:sz w:val="28"/>
          <w:szCs w:val="28"/>
          <w:lang w:val="en-US" w:eastAsia="zh-CN"/>
        </w:rPr>
      </w:pPr>
    </w:p>
    <w:p w14:paraId="33E3ECBC">
      <w:pPr>
        <w:rPr>
          <w:rFonts w:hint="eastAsia"/>
          <w:sz w:val="28"/>
          <w:szCs w:val="28"/>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BZJK-2025- </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eastAsia" w:ascii="Times New Roman" w:hAnsi="Times New Roman" w:eastAsia="楷体" w:cs="Times New Roman"/>
          <w:kern w:val="0"/>
          <w:sz w:val="28"/>
          <w:szCs w:val="28"/>
          <w:highlight w:val="none"/>
          <w:u w:val="none"/>
          <w:shd w:val="clear" w:color="auto" w:fill="auto"/>
          <w:lang w:val="en-US" w:eastAsia="zh-CN"/>
        </w:rPr>
        <w:t>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152045787"/>
      <w:bookmarkStart w:id="258" w:name="_Toc247514246"/>
      <w:bookmarkStart w:id="259" w:name="_Toc144974856"/>
      <w:bookmarkStart w:id="260" w:name="_Toc247527827"/>
      <w:bookmarkStart w:id="261" w:name="_Toc300835209"/>
      <w:bookmarkStart w:id="262" w:name="_Toc15204257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560BD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F3E03FD">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6DB74EAC">
            <w:pPr>
              <w:spacing w:line="540" w:lineRule="exact"/>
              <w:jc w:val="center"/>
              <w:rPr>
                <w:rFonts w:hint="eastAsia" w:ascii="Times New Roman" w:hAnsi="Times New Roman" w:cs="Times New Roman"/>
                <w:highlight w:val="none"/>
                <w:lang w:eastAsia="zh-CN"/>
              </w:rPr>
            </w:pPr>
            <w:r>
              <w:rPr>
                <w:rFonts w:hint="eastAsia" w:ascii="Times New Roman" w:hAnsi="Times New Roman" w:cs="Times New Roman"/>
                <w:highlight w:val="none"/>
                <w:lang w:eastAsia="zh-CN"/>
              </w:rPr>
              <w:t>商务和技术偏差表</w:t>
            </w:r>
          </w:p>
        </w:tc>
        <w:tc>
          <w:tcPr>
            <w:tcW w:w="2840" w:type="dxa"/>
            <w:vAlign w:val="center"/>
          </w:tcPr>
          <w:p w14:paraId="2D8FE273">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七</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75374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232DD4B4">
            <w:pPr>
              <w:spacing w:line="540" w:lineRule="exact"/>
              <w:jc w:val="center"/>
              <w:rPr>
                <w:rFonts w:hint="default" w:ascii="Times New Roman" w:hAnsi="Times New Roman" w:cs="Times New Roman"/>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八</w:t>
            </w:r>
          </w:p>
        </w:tc>
        <w:tc>
          <w:tcPr>
            <w:tcW w:w="4681" w:type="dxa"/>
            <w:shd w:val="clear" w:color="auto" w:fill="auto"/>
            <w:vAlign w:val="center"/>
          </w:tcPr>
          <w:p w14:paraId="25CC1803">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响应方案</w:t>
            </w:r>
          </w:p>
        </w:tc>
        <w:tc>
          <w:tcPr>
            <w:tcW w:w="2840" w:type="dxa"/>
            <w:vAlign w:val="center"/>
          </w:tcPr>
          <w:p w14:paraId="083ABB46">
            <w:pPr>
              <w:spacing w:line="540" w:lineRule="exact"/>
              <w:jc w:val="center"/>
              <w:rPr>
                <w:rFonts w:hint="default" w:ascii="Times New Roman" w:hAnsi="Times New Roman" w:cs="Times New Roman"/>
                <w:vertAlign w:val="baseline"/>
              </w:rPr>
            </w:pPr>
          </w:p>
        </w:tc>
      </w:tr>
      <w:tr w14:paraId="13B0E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61CAAC30">
            <w:pPr>
              <w:spacing w:line="540" w:lineRule="exact"/>
              <w:jc w:val="center"/>
              <w:rPr>
                <w:rFonts w:hint="default" w:ascii="Times New Roman" w:hAnsi="Times New Roman" w:cs="Times New Roman"/>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 xml:space="preserve">九 </w:t>
            </w:r>
          </w:p>
        </w:tc>
        <w:tc>
          <w:tcPr>
            <w:tcW w:w="4681" w:type="dxa"/>
            <w:shd w:val="clear" w:color="auto" w:fill="auto"/>
            <w:vAlign w:val="center"/>
          </w:tcPr>
          <w:p w14:paraId="24924CF9">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其他资料</w:t>
            </w:r>
          </w:p>
        </w:tc>
        <w:tc>
          <w:tcPr>
            <w:tcW w:w="2840" w:type="dxa"/>
            <w:vAlign w:val="center"/>
          </w:tcPr>
          <w:p w14:paraId="05A6A091">
            <w:pPr>
              <w:spacing w:line="540" w:lineRule="exact"/>
              <w:jc w:val="center"/>
              <w:rPr>
                <w:rFonts w:hint="default" w:ascii="Times New Roman" w:hAnsi="Times New Roman" w:cs="Times New Roman"/>
                <w:vertAlign w:val="baseline"/>
              </w:rPr>
            </w:pPr>
          </w:p>
        </w:tc>
      </w:tr>
    </w:tbl>
    <w:p w14:paraId="2846C56E">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300835210"/>
      <w:bookmarkStart w:id="264" w:name="_Toc247527828"/>
      <w:bookmarkStart w:id="265" w:name="_Toc152042577"/>
      <w:bookmarkStart w:id="266" w:name="_Toc144974857"/>
      <w:bookmarkStart w:id="267" w:name="_Toc152045788"/>
      <w:bookmarkStart w:id="268"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152045790"/>
      <w:bookmarkStart w:id="270" w:name="_Toc300835212"/>
      <w:bookmarkStart w:id="271" w:name="_Toc144974859"/>
      <w:bookmarkStart w:id="272" w:name="_Toc247527830"/>
      <w:bookmarkStart w:id="273" w:name="_Toc247514249"/>
      <w:bookmarkStart w:id="274" w:name="_Toc15204257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6" w:edGrp="everyone"/>
      <w:r>
        <w:rPr>
          <w:rFonts w:hint="eastAsia" w:ascii="Times New Roman" w:hAnsi="Times New Roman" w:cs="Times New Roman"/>
          <w:szCs w:val="21"/>
          <w:lang w:val="en-US" w:eastAsia="zh-CN"/>
        </w:rPr>
        <w:t>不含税人民币（大写）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6"/>
      <w:r>
        <w:rPr>
          <w:rFonts w:hint="eastAsia" w:ascii="Times New Roman" w:hAnsi="Times New Roman" w:cs="Times New Roman"/>
          <w:szCs w:val="21"/>
          <w:lang w:val="en-US" w:eastAsia="zh-CN"/>
        </w:rPr>
        <w:t>，</w:t>
      </w:r>
      <w:r>
        <w:rPr>
          <w:rFonts w:hint="eastAsia" w:ascii="Times New Roman" w:hAnsi="Times New Roman" w:cs="Times New Roman"/>
          <w:szCs w:val="21"/>
        </w:rPr>
        <w:t>供货期</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自合同签订日起20个日历日。质量要求：符合国家、地方、行业现行相关规范合格标准及采购人要求。</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247514283"/>
      <w:bookmarkStart w:id="276" w:name="_Toc144974860"/>
      <w:bookmarkStart w:id="277" w:name="_Toc300835213"/>
      <w:bookmarkStart w:id="278" w:name="_Toc247527831"/>
      <w:bookmarkStart w:id="279" w:name="_Toc152042580"/>
      <w:bookmarkStart w:id="280" w:name="_Toc15204579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300835214"/>
      <w:bookmarkStart w:id="282" w:name="_Toc247514284"/>
      <w:bookmarkStart w:id="283" w:name="_Toc247527832"/>
      <w:bookmarkStart w:id="284" w:name="_Toc144974861"/>
      <w:bookmarkStart w:id="285" w:name="_Toc152045792"/>
      <w:bookmarkStart w:id="286"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50F5E7D3">
      <w:pPr>
        <w:topLinePunct/>
        <w:spacing w:line="440" w:lineRule="exact"/>
        <w:jc w:val="both"/>
        <w:rPr>
          <w:rFonts w:hint="eastAsia" w:ascii="Times New Roman" w:hAnsi="Times New Roman" w:cs="Times New Roman"/>
          <w:szCs w:val="21"/>
          <w:lang w:val="en-US" w:eastAsia="zh-CN"/>
        </w:rPr>
      </w:pPr>
      <w:bookmarkStart w:id="287" w:name="_Toc247514286"/>
      <w:bookmarkStart w:id="288" w:name="_Toc144974862"/>
      <w:bookmarkStart w:id="289" w:name="_Toc300835216"/>
      <w:bookmarkStart w:id="290" w:name="_Toc152045794"/>
      <w:bookmarkStart w:id="291" w:name="_Toc247527834"/>
      <w:bookmarkStart w:id="292" w:name="_Toc152042583"/>
    </w:p>
    <w:p w14:paraId="2E07687B">
      <w:pPr>
        <w:topLinePunct/>
        <w:spacing w:line="440" w:lineRule="exact"/>
        <w:ind w:firstLine="0" w:firstLineChars="0"/>
        <w:jc w:val="both"/>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3C347A40">
      <w:pPr>
        <w:pStyle w:val="3"/>
        <w:jc w:val="center"/>
        <w:rPr>
          <w:rFonts w:hint="default" w:ascii="Times New Roman" w:hAnsi="Times New Roman" w:cs="Times New Roman"/>
        </w:rPr>
      </w:pPr>
      <w:bookmarkStart w:id="294" w:name="_Toc300835218"/>
      <w:bookmarkStart w:id="295" w:name="_Toc144974863"/>
      <w:bookmarkStart w:id="296" w:name="_Toc152045795"/>
      <w:bookmarkStart w:id="297" w:name="_Toc152042584"/>
      <w:bookmarkStart w:id="298" w:name="_Toc247527835"/>
      <w:bookmarkStart w:id="299" w:name="_Toc247514287"/>
      <w:r>
        <w:rPr>
          <w:rFonts w:hint="default" w:ascii="Times New Roman" w:hAnsi="Times New Roman" w:cs="Times New Roman"/>
        </w:rPr>
        <w:br w:type="page"/>
      </w:r>
      <w:r>
        <w:rPr>
          <w:rFonts w:hint="eastAsia" w:ascii="Times New Roman" w:hAnsi="Times New Roman" w:cs="Times New Roman"/>
          <w:lang w:val="en-US" w:eastAsia="zh-CN"/>
        </w:rPr>
        <w:t>四</w:t>
      </w:r>
      <w:r>
        <w:rPr>
          <w:rFonts w:hint="eastAsia" w:ascii="Times New Roman" w:hAnsi="Times New Roman" w:cs="Times New Roman"/>
        </w:rPr>
        <w:t>、商务和技术偏差表</w:t>
      </w:r>
    </w:p>
    <w:p w14:paraId="663ACC7C">
      <w:pPr>
        <w:rPr>
          <w:rFonts w:hint="default" w:ascii="Times New Roman" w:hAnsi="Times New Roman" w:cs="Times New Roman"/>
        </w:rPr>
      </w:pPr>
    </w:p>
    <w:p w14:paraId="575FD0C8">
      <w:pPr>
        <w:rPr>
          <w:rFonts w:hint="default" w:ascii="Times New Roman" w:hAnsi="Times New Roman" w:cs="Times New Roman"/>
        </w:rPr>
      </w:pPr>
    </w:p>
    <w:tbl>
      <w:tblPr>
        <w:tblStyle w:val="33"/>
        <w:tblW w:w="8238"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1"/>
        <w:gridCol w:w="2825"/>
        <w:gridCol w:w="2834"/>
        <w:gridCol w:w="1558"/>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1021" w:type="dxa"/>
            <w:vAlign w:val="center"/>
          </w:tcPr>
          <w:p w14:paraId="315F8E2C">
            <w:pPr>
              <w:jc w:val="center"/>
              <w:rPr>
                <w:rFonts w:hint="default" w:ascii="Times New Roman" w:hAnsi="Times New Roman" w:cs="Times New Roman"/>
              </w:rPr>
            </w:pPr>
            <w:r>
              <w:rPr>
                <w:rFonts w:hint="default" w:ascii="Times New Roman" w:hAnsi="Times New Roman" w:cs="Times New Roman"/>
              </w:rPr>
              <w:t>序号</w:t>
            </w:r>
          </w:p>
        </w:tc>
        <w:tc>
          <w:tcPr>
            <w:tcW w:w="2825" w:type="dxa"/>
            <w:vAlign w:val="center"/>
          </w:tcPr>
          <w:p w14:paraId="41B11741">
            <w:pPr>
              <w:jc w:val="center"/>
              <w:rPr>
                <w:rFonts w:hint="default" w:ascii="Times New Roman" w:hAnsi="Times New Roman" w:cs="Times New Roman"/>
              </w:rPr>
            </w:pPr>
            <w:r>
              <w:rPr>
                <w:rFonts w:hint="default" w:ascii="Times New Roman" w:hAnsi="Times New Roman" w:cs="Times New Roman"/>
              </w:rPr>
              <w:t>采购文件章节及条款号</w:t>
            </w:r>
          </w:p>
        </w:tc>
        <w:tc>
          <w:tcPr>
            <w:tcW w:w="2834" w:type="dxa"/>
            <w:vAlign w:val="center"/>
          </w:tcPr>
          <w:p w14:paraId="30CF94E4">
            <w:pPr>
              <w:jc w:val="center"/>
              <w:rPr>
                <w:rFonts w:hint="default" w:ascii="Times New Roman" w:hAnsi="Times New Roman" w:cs="Times New Roman"/>
              </w:rPr>
            </w:pPr>
            <w:r>
              <w:rPr>
                <w:rFonts w:hint="default" w:ascii="Times New Roman" w:hAnsi="Times New Roman" w:cs="Times New Roman"/>
              </w:rPr>
              <w:t>响应文件章节及条款号</w:t>
            </w:r>
          </w:p>
        </w:tc>
        <w:tc>
          <w:tcPr>
            <w:tcW w:w="1558" w:type="dxa"/>
            <w:vAlign w:val="center"/>
          </w:tcPr>
          <w:p w14:paraId="4DA0E2C0">
            <w:pPr>
              <w:jc w:val="center"/>
              <w:rPr>
                <w:rFonts w:hint="default" w:ascii="Times New Roman" w:hAnsi="Times New Roman" w:cs="Times New Roman"/>
              </w:rPr>
            </w:pPr>
            <w:r>
              <w:rPr>
                <w:rFonts w:hint="default" w:ascii="Times New Roman" w:hAnsi="Times New Roman" w:cs="Times New Roman"/>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021" w:type="dxa"/>
            <w:vAlign w:val="center"/>
          </w:tcPr>
          <w:p w14:paraId="71C86BA5">
            <w:pPr>
              <w:jc w:val="center"/>
              <w:rPr>
                <w:rFonts w:hint="default" w:ascii="Times New Roman" w:hAnsi="Times New Roman" w:cs="Times New Roman"/>
              </w:rPr>
            </w:pPr>
            <w:r>
              <w:rPr>
                <w:rFonts w:hint="default" w:ascii="Times New Roman" w:hAnsi="Times New Roman" w:cs="Times New Roman"/>
              </w:rPr>
              <w:t>1</w:t>
            </w:r>
          </w:p>
        </w:tc>
        <w:tc>
          <w:tcPr>
            <w:tcW w:w="2825" w:type="dxa"/>
            <w:vAlign w:val="center"/>
          </w:tcPr>
          <w:p w14:paraId="24CB8EE5">
            <w:pPr>
              <w:jc w:val="center"/>
              <w:rPr>
                <w:rFonts w:hint="default" w:ascii="Times New Roman" w:hAnsi="Times New Roman" w:cs="Times New Roman"/>
              </w:rPr>
            </w:pPr>
          </w:p>
        </w:tc>
        <w:tc>
          <w:tcPr>
            <w:tcW w:w="2834" w:type="dxa"/>
            <w:vAlign w:val="center"/>
          </w:tcPr>
          <w:p w14:paraId="60F944A9">
            <w:pPr>
              <w:jc w:val="center"/>
              <w:rPr>
                <w:rFonts w:hint="default" w:ascii="Times New Roman" w:hAnsi="Times New Roman" w:cs="Times New Roman"/>
              </w:rPr>
            </w:pPr>
          </w:p>
        </w:tc>
        <w:tc>
          <w:tcPr>
            <w:tcW w:w="1558" w:type="dxa"/>
            <w:vAlign w:val="center"/>
          </w:tcPr>
          <w:p w14:paraId="664E1077">
            <w:pPr>
              <w:jc w:val="center"/>
              <w:rPr>
                <w:rFonts w:hint="default" w:ascii="Times New Roman" w:hAnsi="Times New Roman" w:cs="Times New Roman"/>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021" w:type="dxa"/>
            <w:vAlign w:val="center"/>
          </w:tcPr>
          <w:p w14:paraId="1DABE844">
            <w:pPr>
              <w:jc w:val="center"/>
              <w:rPr>
                <w:rFonts w:hint="default" w:ascii="Times New Roman" w:hAnsi="Times New Roman" w:cs="Times New Roman"/>
              </w:rPr>
            </w:pPr>
            <w:r>
              <w:rPr>
                <w:rFonts w:hint="default" w:ascii="Times New Roman" w:hAnsi="Times New Roman" w:cs="Times New Roman"/>
              </w:rPr>
              <w:t>2</w:t>
            </w:r>
          </w:p>
        </w:tc>
        <w:tc>
          <w:tcPr>
            <w:tcW w:w="2825" w:type="dxa"/>
            <w:vAlign w:val="center"/>
          </w:tcPr>
          <w:p w14:paraId="75E71A7B">
            <w:pPr>
              <w:jc w:val="center"/>
              <w:rPr>
                <w:rFonts w:hint="default" w:ascii="Times New Roman" w:hAnsi="Times New Roman" w:cs="Times New Roman"/>
              </w:rPr>
            </w:pPr>
          </w:p>
        </w:tc>
        <w:tc>
          <w:tcPr>
            <w:tcW w:w="2834" w:type="dxa"/>
            <w:vAlign w:val="center"/>
          </w:tcPr>
          <w:p w14:paraId="42E9B417">
            <w:pPr>
              <w:jc w:val="center"/>
              <w:rPr>
                <w:rFonts w:hint="default" w:ascii="Times New Roman" w:hAnsi="Times New Roman" w:cs="Times New Roman"/>
              </w:rPr>
            </w:pPr>
          </w:p>
        </w:tc>
        <w:tc>
          <w:tcPr>
            <w:tcW w:w="1558" w:type="dxa"/>
            <w:vAlign w:val="center"/>
          </w:tcPr>
          <w:p w14:paraId="225DE381">
            <w:pPr>
              <w:jc w:val="center"/>
              <w:rPr>
                <w:rFonts w:hint="default" w:ascii="Times New Roman" w:hAnsi="Times New Roman" w:cs="Times New Roman"/>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021" w:type="dxa"/>
            <w:vAlign w:val="center"/>
          </w:tcPr>
          <w:p w14:paraId="0A41FA64">
            <w:pPr>
              <w:jc w:val="center"/>
              <w:rPr>
                <w:rFonts w:hint="default" w:ascii="Times New Roman" w:hAnsi="Times New Roman" w:cs="Times New Roman"/>
              </w:rPr>
            </w:pPr>
            <w:r>
              <w:rPr>
                <w:rFonts w:hint="default" w:ascii="Times New Roman" w:hAnsi="Times New Roman" w:cs="Times New Roman"/>
              </w:rPr>
              <w:t>3</w:t>
            </w:r>
          </w:p>
        </w:tc>
        <w:tc>
          <w:tcPr>
            <w:tcW w:w="2825" w:type="dxa"/>
            <w:vAlign w:val="center"/>
          </w:tcPr>
          <w:p w14:paraId="35927806">
            <w:pPr>
              <w:jc w:val="center"/>
              <w:rPr>
                <w:rFonts w:hint="default" w:ascii="Times New Roman" w:hAnsi="Times New Roman" w:cs="Times New Roman"/>
              </w:rPr>
            </w:pPr>
          </w:p>
        </w:tc>
        <w:tc>
          <w:tcPr>
            <w:tcW w:w="2834" w:type="dxa"/>
            <w:vAlign w:val="center"/>
          </w:tcPr>
          <w:p w14:paraId="51A99220">
            <w:pPr>
              <w:jc w:val="center"/>
              <w:rPr>
                <w:rFonts w:hint="default" w:ascii="Times New Roman" w:hAnsi="Times New Roman" w:cs="Times New Roman"/>
              </w:rPr>
            </w:pPr>
          </w:p>
        </w:tc>
        <w:tc>
          <w:tcPr>
            <w:tcW w:w="1558" w:type="dxa"/>
            <w:vAlign w:val="center"/>
          </w:tcPr>
          <w:p w14:paraId="52F72B7E">
            <w:pPr>
              <w:jc w:val="center"/>
              <w:rPr>
                <w:rFonts w:hint="default" w:ascii="Times New Roman" w:hAnsi="Times New Roman" w:cs="Times New Roman"/>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21" w:type="dxa"/>
            <w:vAlign w:val="center"/>
          </w:tcPr>
          <w:p w14:paraId="71515F75">
            <w:pPr>
              <w:jc w:val="center"/>
              <w:rPr>
                <w:rFonts w:hint="default" w:ascii="Times New Roman" w:hAnsi="Times New Roman" w:cs="Times New Roman"/>
              </w:rPr>
            </w:pPr>
            <w:r>
              <w:rPr>
                <w:rFonts w:hint="default" w:ascii="Times New Roman" w:hAnsi="Times New Roman" w:cs="Times New Roman"/>
              </w:rPr>
              <w:t>4</w:t>
            </w:r>
          </w:p>
        </w:tc>
        <w:tc>
          <w:tcPr>
            <w:tcW w:w="2825" w:type="dxa"/>
            <w:vAlign w:val="center"/>
          </w:tcPr>
          <w:p w14:paraId="0C7A0260">
            <w:pPr>
              <w:jc w:val="center"/>
              <w:rPr>
                <w:rFonts w:hint="default" w:ascii="Times New Roman" w:hAnsi="Times New Roman" w:cs="Times New Roman"/>
              </w:rPr>
            </w:pPr>
          </w:p>
        </w:tc>
        <w:tc>
          <w:tcPr>
            <w:tcW w:w="2834" w:type="dxa"/>
            <w:vAlign w:val="center"/>
          </w:tcPr>
          <w:p w14:paraId="554CEA30">
            <w:pPr>
              <w:jc w:val="center"/>
              <w:rPr>
                <w:rFonts w:hint="default" w:ascii="Times New Roman" w:hAnsi="Times New Roman" w:cs="Times New Roman"/>
              </w:rPr>
            </w:pPr>
          </w:p>
        </w:tc>
        <w:tc>
          <w:tcPr>
            <w:tcW w:w="1558" w:type="dxa"/>
            <w:vAlign w:val="center"/>
          </w:tcPr>
          <w:p w14:paraId="60065D2F">
            <w:pPr>
              <w:jc w:val="center"/>
              <w:rPr>
                <w:rFonts w:hint="default" w:ascii="Times New Roman" w:hAnsi="Times New Roman" w:cs="Times New Roman"/>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1021" w:type="dxa"/>
            <w:vAlign w:val="center"/>
          </w:tcPr>
          <w:p w14:paraId="02171320">
            <w:pPr>
              <w:jc w:val="center"/>
              <w:rPr>
                <w:rFonts w:hint="default" w:ascii="Times New Roman" w:hAnsi="Times New Roman" w:cs="Times New Roman"/>
              </w:rPr>
            </w:pPr>
            <w:r>
              <w:rPr>
                <w:rFonts w:hint="default" w:ascii="Times New Roman" w:hAnsi="Times New Roman" w:cs="Times New Roman"/>
              </w:rPr>
              <w:t>5</w:t>
            </w:r>
          </w:p>
        </w:tc>
        <w:tc>
          <w:tcPr>
            <w:tcW w:w="2825" w:type="dxa"/>
            <w:vAlign w:val="center"/>
          </w:tcPr>
          <w:p w14:paraId="640EA92A">
            <w:pPr>
              <w:jc w:val="center"/>
              <w:rPr>
                <w:rFonts w:hint="default" w:ascii="Times New Roman" w:hAnsi="Times New Roman" w:cs="Times New Roman"/>
              </w:rPr>
            </w:pPr>
          </w:p>
        </w:tc>
        <w:tc>
          <w:tcPr>
            <w:tcW w:w="2834" w:type="dxa"/>
            <w:vAlign w:val="center"/>
          </w:tcPr>
          <w:p w14:paraId="56030B64">
            <w:pPr>
              <w:jc w:val="center"/>
              <w:rPr>
                <w:rFonts w:hint="default" w:ascii="Times New Roman" w:hAnsi="Times New Roman" w:cs="Times New Roman"/>
              </w:rPr>
            </w:pPr>
          </w:p>
        </w:tc>
        <w:tc>
          <w:tcPr>
            <w:tcW w:w="1558" w:type="dxa"/>
            <w:vAlign w:val="center"/>
          </w:tcPr>
          <w:p w14:paraId="719EE152">
            <w:pPr>
              <w:jc w:val="center"/>
              <w:rPr>
                <w:rFonts w:hint="default" w:ascii="Times New Roman" w:hAnsi="Times New Roman" w:cs="Times New Roman"/>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021" w:type="dxa"/>
            <w:vAlign w:val="center"/>
          </w:tcPr>
          <w:p w14:paraId="431C7450">
            <w:pPr>
              <w:jc w:val="center"/>
              <w:rPr>
                <w:rFonts w:hint="default" w:ascii="Times New Roman" w:hAnsi="Times New Roman" w:cs="Times New Roman"/>
              </w:rPr>
            </w:pPr>
            <w:r>
              <w:rPr>
                <w:rFonts w:hint="default" w:ascii="Times New Roman" w:hAnsi="Times New Roman" w:cs="Times New Roman"/>
              </w:rPr>
              <w:t>……</w:t>
            </w:r>
          </w:p>
        </w:tc>
        <w:tc>
          <w:tcPr>
            <w:tcW w:w="2825" w:type="dxa"/>
            <w:vAlign w:val="center"/>
          </w:tcPr>
          <w:p w14:paraId="4B138A17">
            <w:pPr>
              <w:jc w:val="center"/>
              <w:rPr>
                <w:rFonts w:hint="default" w:ascii="Times New Roman" w:hAnsi="Times New Roman" w:cs="Times New Roman"/>
              </w:rPr>
            </w:pPr>
          </w:p>
        </w:tc>
        <w:tc>
          <w:tcPr>
            <w:tcW w:w="2834" w:type="dxa"/>
            <w:vAlign w:val="center"/>
          </w:tcPr>
          <w:p w14:paraId="1CFA5673">
            <w:pPr>
              <w:jc w:val="center"/>
              <w:rPr>
                <w:rFonts w:hint="default" w:ascii="Times New Roman" w:hAnsi="Times New Roman" w:cs="Times New Roman"/>
              </w:rPr>
            </w:pPr>
          </w:p>
        </w:tc>
        <w:tc>
          <w:tcPr>
            <w:tcW w:w="1558" w:type="dxa"/>
            <w:vAlign w:val="center"/>
          </w:tcPr>
          <w:p w14:paraId="4ED4B466">
            <w:pPr>
              <w:jc w:val="center"/>
              <w:rPr>
                <w:rFonts w:hint="default" w:ascii="Times New Roman" w:hAnsi="Times New Roman" w:cs="Times New Roman"/>
              </w:rPr>
            </w:pPr>
          </w:p>
        </w:tc>
      </w:tr>
    </w:tbl>
    <w:p w14:paraId="1F38A81A">
      <w:pPr>
        <w:rPr>
          <w:rFonts w:hint="default" w:ascii="Times New Roman" w:hAnsi="Times New Roman" w:cs="Times New Roman"/>
        </w:rPr>
      </w:pPr>
    </w:p>
    <w:p w14:paraId="109CB59D">
      <w:pPr>
        <w:rPr>
          <w:rFonts w:hint="default" w:ascii="Times New Roman" w:hAnsi="Times New Roman" w:cs="Times New Roman"/>
        </w:rPr>
      </w:pPr>
      <w:r>
        <w:rPr>
          <w:rFonts w:hint="default" w:ascii="Times New Roman" w:hAnsi="Times New Roman" w:cs="Times New Roman"/>
        </w:rPr>
        <w:t>供应商保证：除商务和技术偏差表列出的偏差外，供应商响应采购文件的全部要求。</w:t>
      </w:r>
    </w:p>
    <w:p w14:paraId="5615AE51">
      <w:pPr>
        <w:rPr>
          <w:rFonts w:hint="default" w:ascii="Times New Roman" w:hAnsi="Times New Roman" w:cs="Times New Roman"/>
          <w:lang w:val="en-US" w:eastAsia="zh-CN"/>
        </w:rPr>
      </w:pPr>
    </w:p>
    <w:p w14:paraId="08C28BE3">
      <w:pPr>
        <w:rPr>
          <w:rFonts w:hint="default" w:ascii="Times New Roman" w:hAnsi="Times New Roman" w:cs="Times New Roman"/>
          <w:lang w:val="en-US" w:eastAsia="zh-CN"/>
        </w:rPr>
      </w:pPr>
    </w:p>
    <w:p w14:paraId="7EAE840C">
      <w:pPr>
        <w:rPr>
          <w:rFonts w:hint="default" w:ascii="Times New Roman" w:hAnsi="Times New Roman" w:cs="Times New Roman"/>
        </w:rPr>
      </w:pPr>
    </w:p>
    <w:p w14:paraId="29FAC832">
      <w:pPr>
        <w:rPr>
          <w:rFonts w:hint="default" w:ascii="Times New Roman" w:hAnsi="Times New Roman" w:cs="Times New Roman"/>
        </w:rPr>
      </w:pPr>
    </w:p>
    <w:p w14:paraId="75B8475E">
      <w:pPr>
        <w:rPr>
          <w:rFonts w:hint="default" w:ascii="Times New Roman" w:hAnsi="Times New Roman" w:cs="Times New Roman"/>
        </w:rPr>
      </w:pPr>
    </w:p>
    <w:p w14:paraId="013546BC">
      <w:pPr>
        <w:rPr>
          <w:rFonts w:hint="default" w:ascii="Times New Roman" w:hAnsi="Times New Roman" w:cs="Times New Roman"/>
        </w:rPr>
      </w:pPr>
    </w:p>
    <w:p w14:paraId="50D87565">
      <w:pPr>
        <w:rPr>
          <w:rFonts w:hint="default" w:ascii="Times New Roman" w:hAnsi="Times New Roman" w:cs="Times New Roman"/>
        </w:rPr>
      </w:pPr>
    </w:p>
    <w:p w14:paraId="2C41A7F7">
      <w:pPr>
        <w:rPr>
          <w:rFonts w:hint="default" w:ascii="Times New Roman" w:hAnsi="Times New Roman" w:cs="Times New Roman"/>
        </w:rPr>
      </w:pPr>
    </w:p>
    <w:p w14:paraId="4A601AE5">
      <w:pPr>
        <w:rPr>
          <w:rFonts w:hint="default" w:ascii="Times New Roman" w:hAnsi="Times New Roman" w:cs="Times New Roman"/>
        </w:rPr>
      </w:pPr>
    </w:p>
    <w:p w14:paraId="24835714">
      <w:pPr>
        <w:rPr>
          <w:rFonts w:hint="default" w:ascii="Times New Roman" w:hAnsi="Times New Roman" w:cs="Times New Roman"/>
        </w:rPr>
      </w:pPr>
    </w:p>
    <w:p w14:paraId="7678F63C">
      <w:pPr>
        <w:rPr>
          <w:rFonts w:hint="default" w:ascii="Times New Roman" w:hAnsi="Times New Roman" w:cs="Times New Roman"/>
        </w:rPr>
      </w:pPr>
    </w:p>
    <w:p w14:paraId="1CEA6208">
      <w:pPr>
        <w:rPr>
          <w:rFonts w:hint="default" w:ascii="Times New Roman" w:hAnsi="Times New Roman" w:cs="Times New Roman"/>
        </w:rPr>
      </w:pPr>
    </w:p>
    <w:p w14:paraId="455FD5FA">
      <w:pPr>
        <w:rPr>
          <w:rFonts w:hint="default" w:ascii="Times New Roman" w:hAnsi="Times New Roman" w:cs="Times New Roman"/>
        </w:rPr>
      </w:pPr>
    </w:p>
    <w:p w14:paraId="54219E80">
      <w:pPr>
        <w:rPr>
          <w:rFonts w:hint="default" w:ascii="Times New Roman" w:hAnsi="Times New Roman" w:cs="Times New Roman"/>
        </w:rPr>
      </w:pPr>
    </w:p>
    <w:p w14:paraId="5268C23F">
      <w:pPr>
        <w:rPr>
          <w:rFonts w:hint="default" w:ascii="Times New Roman" w:hAnsi="Times New Roman" w:cs="Times New Roman"/>
        </w:rPr>
      </w:pPr>
    </w:p>
    <w:p w14:paraId="598AA693">
      <w:pPr>
        <w:rPr>
          <w:rFonts w:hint="default" w:ascii="Times New Roman" w:hAnsi="Times New Roman" w:cs="Times New Roman"/>
        </w:rPr>
      </w:pPr>
    </w:p>
    <w:p w14:paraId="717342C8">
      <w:pPr>
        <w:rPr>
          <w:rFonts w:hint="default" w:ascii="Times New Roman" w:hAnsi="Times New Roman" w:cs="Times New Roman"/>
        </w:rPr>
      </w:pPr>
    </w:p>
    <w:p w14:paraId="3280076E">
      <w:pPr>
        <w:rPr>
          <w:rFonts w:hint="default" w:ascii="Times New Roman" w:hAnsi="Times New Roman" w:cs="Times New Roman"/>
        </w:rPr>
      </w:pPr>
    </w:p>
    <w:p w14:paraId="64212C06">
      <w:pPr>
        <w:rPr>
          <w:rFonts w:hint="default" w:ascii="Times New Roman" w:hAnsi="Times New Roman" w:cs="Times New Roman"/>
        </w:rPr>
      </w:pPr>
    </w:p>
    <w:p w14:paraId="14F6C724">
      <w:pPr>
        <w:rPr>
          <w:rFonts w:hint="default" w:ascii="Times New Roman" w:hAnsi="Times New Roman" w:cs="Times New Roma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六</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p w14:paraId="74D3B674">
      <w:pPr>
        <w:jc w:val="center"/>
        <w:rPr>
          <w:rFonts w:hint="default" w:ascii="Times New Roman" w:hAnsi="Times New Roman" w:cs="Times New Roman" w:eastAsiaTheme="minorEastAsia"/>
          <w:color w:val="FF0000"/>
          <w:lang w:val="en-US" w:eastAsia="zh-CN"/>
        </w:rPr>
      </w:pPr>
      <w:bookmarkStart w:id="300" w:name="_Toc247527836"/>
      <w:bookmarkStart w:id="301" w:name="_Toc144974864"/>
      <w:bookmarkStart w:id="302" w:name="_Toc247514288"/>
      <w:bookmarkStart w:id="303" w:name="_Toc152045796"/>
      <w:bookmarkStart w:id="304" w:name="_Toc300835221"/>
      <w:bookmarkStart w:id="305" w:name="_Toc152042585"/>
      <w:r>
        <w:rPr>
          <w:rFonts w:hint="eastAsia" w:ascii="Times New Roman" w:hAnsi="Times New Roman" w:cs="Times New Roman"/>
          <w:color w:val="FF0000"/>
          <w:lang w:val="en-US" w:eastAsia="zh-CN"/>
        </w:rPr>
        <w:t>按照附件3：</w:t>
      </w:r>
      <w:bookmarkStart w:id="309" w:name="_GoBack"/>
      <w:bookmarkEnd w:id="309"/>
      <w:r>
        <w:rPr>
          <w:rFonts w:hint="eastAsia" w:ascii="Times New Roman" w:hAnsi="Times New Roman" w:cs="Times New Roman"/>
          <w:color w:val="FF0000"/>
          <w:lang w:val="en-US" w:eastAsia="zh-CN"/>
        </w:rPr>
        <w:t>工程量清单格式进行填报</w:t>
      </w:r>
    </w:p>
    <w:p w14:paraId="254CD99C">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3"/>
        <w:jc w:val="center"/>
        <w:rPr>
          <w:rFonts w:hint="eastAsia"/>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4D932E03">
      <w:pPr>
        <w:tabs>
          <w:tab w:val="left" w:pos="720"/>
        </w:tabs>
        <w:spacing w:line="440" w:lineRule="exact"/>
        <w:ind w:firstLine="420" w:firstLineChars="200"/>
        <w:jc w:val="center"/>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bookmarkEnd w:id="306"/>
    <w:p w14:paraId="53777D4A">
      <w:pPr>
        <w:pStyle w:val="3"/>
        <w:numPr>
          <w:ilvl w:val="-1"/>
          <w:numId w:val="0"/>
        </w:numPr>
        <w:ind w:left="0" w:firstLine="2891" w:firstLineChars="900"/>
        <w:jc w:val="both"/>
        <w:rPr>
          <w:rFonts w:hint="eastAsia" w:ascii="Times New Roman" w:hAnsi="Times New Roman" w:cs="Times New Roman"/>
          <w:b/>
          <w:bCs/>
          <w:kern w:val="2"/>
          <w:sz w:val="32"/>
          <w:szCs w:val="32"/>
          <w:highlight w:val="none"/>
          <w:lang w:val="en-US" w:eastAsia="zh-CN" w:bidi="ar-SA"/>
        </w:rPr>
      </w:pPr>
    </w:p>
    <w:p w14:paraId="4C779B7F">
      <w:pPr>
        <w:pStyle w:val="3"/>
        <w:numPr>
          <w:ilvl w:val="-1"/>
          <w:numId w:val="0"/>
        </w:numPr>
        <w:ind w:left="0" w:firstLine="2891" w:firstLineChars="900"/>
        <w:jc w:val="both"/>
        <w:rPr>
          <w:rFonts w:hint="eastAsia" w:ascii="Times New Roman" w:hAnsi="Times New Roman" w:cs="Times New Roman"/>
          <w:b/>
          <w:bCs/>
          <w:kern w:val="2"/>
          <w:sz w:val="32"/>
          <w:szCs w:val="32"/>
          <w:highlight w:val="none"/>
          <w:lang w:val="en-US" w:eastAsia="zh-CN" w:bidi="ar-SA"/>
        </w:rPr>
      </w:pPr>
    </w:p>
    <w:p w14:paraId="057776DA">
      <w:pPr>
        <w:pStyle w:val="3"/>
        <w:numPr>
          <w:ilvl w:val="-1"/>
          <w:numId w:val="0"/>
        </w:numPr>
        <w:ind w:left="0" w:firstLine="2891" w:firstLineChars="900"/>
        <w:jc w:val="both"/>
        <w:rPr>
          <w:rFonts w:hint="eastAsia" w:ascii="Times New Roman" w:hAnsi="Times New Roman" w:cs="Times New Roman"/>
          <w:b/>
          <w:bCs/>
          <w:kern w:val="2"/>
          <w:sz w:val="32"/>
          <w:szCs w:val="32"/>
          <w:highlight w:val="none"/>
          <w:lang w:val="en-US" w:eastAsia="zh-CN" w:bidi="ar-SA"/>
        </w:rPr>
      </w:pPr>
    </w:p>
    <w:p w14:paraId="16021A21">
      <w:pPr>
        <w:pStyle w:val="3"/>
        <w:numPr>
          <w:ilvl w:val="-1"/>
          <w:numId w:val="0"/>
        </w:numPr>
        <w:ind w:left="0" w:firstLine="2891" w:firstLineChars="900"/>
        <w:jc w:val="both"/>
        <w:rPr>
          <w:rFonts w:hint="eastAsia" w:ascii="Times New Roman" w:hAnsi="Times New Roman" w:cs="Times New Roman"/>
          <w:b/>
          <w:bCs/>
          <w:kern w:val="2"/>
          <w:sz w:val="32"/>
          <w:szCs w:val="32"/>
          <w:highlight w:val="none"/>
          <w:lang w:val="en-US" w:eastAsia="zh-CN" w:bidi="ar-SA"/>
        </w:rPr>
      </w:pPr>
      <w:r>
        <w:rPr>
          <w:rFonts w:hint="eastAsia" w:ascii="Times New Roman" w:hAnsi="Times New Roman" w:cs="Times New Roman"/>
          <w:b/>
          <w:bCs/>
          <w:kern w:val="2"/>
          <w:sz w:val="32"/>
          <w:szCs w:val="32"/>
          <w:highlight w:val="none"/>
          <w:lang w:val="en-US" w:eastAsia="zh-CN" w:bidi="ar-SA"/>
        </w:rPr>
        <w:t>八、响应方案</w:t>
      </w:r>
    </w:p>
    <w:p w14:paraId="35E22026">
      <w:pPr>
        <w:tabs>
          <w:tab w:val="left" w:pos="720"/>
        </w:tabs>
        <w:spacing w:line="440" w:lineRule="exact"/>
        <w:ind w:firstLine="420" w:firstLineChars="200"/>
        <w:jc w:val="center"/>
        <w:rPr>
          <w:rFonts w:hint="eastAsia" w:ascii="Times New Roman" w:hAnsi="Times New Roman" w:cstheme="minorBidi"/>
          <w:b w:val="0"/>
          <w:bCs w:val="0"/>
          <w:kern w:val="2"/>
          <w:sz w:val="21"/>
          <w:szCs w:val="24"/>
          <w:highlight w:val="none"/>
          <w:lang w:val="en-US" w:eastAsia="zh-CN" w:bidi="ar-SA"/>
        </w:rPr>
      </w:pPr>
      <w:r>
        <w:rPr>
          <w:rFonts w:hint="eastAsia" w:ascii="Times New Roman" w:hAnsi="Times New Roman" w:cstheme="minorBidi"/>
          <w:b w:val="0"/>
          <w:bCs w:val="0"/>
          <w:kern w:val="2"/>
          <w:sz w:val="21"/>
          <w:szCs w:val="24"/>
          <w:highlight w:val="none"/>
          <w:lang w:val="en-US" w:eastAsia="zh-CN" w:bidi="ar-SA"/>
        </w:rPr>
        <w:t>格式内容自拟。</w:t>
      </w:r>
    </w:p>
    <w:p w14:paraId="412B2E04">
      <w:pPr>
        <w:rPr>
          <w:rFonts w:hint="eastAsia" w:ascii="Times New Roman" w:hAnsi="Times New Roman" w:cs="Times New Roman"/>
          <w:b/>
          <w:bCs/>
          <w:kern w:val="2"/>
          <w:sz w:val="32"/>
          <w:szCs w:val="32"/>
          <w:highlight w:val="none"/>
          <w:lang w:val="en-US" w:eastAsia="zh-CN" w:bidi="ar-SA"/>
        </w:rPr>
      </w:pPr>
    </w:p>
    <w:p w14:paraId="6D03ED9D">
      <w:pPr>
        <w:rPr>
          <w:rFonts w:hint="eastAsia" w:ascii="Times New Roman" w:hAnsi="Times New Roman" w:cs="Times New Roman"/>
          <w:b/>
          <w:bCs/>
          <w:kern w:val="2"/>
          <w:sz w:val="32"/>
          <w:szCs w:val="32"/>
          <w:highlight w:val="none"/>
          <w:lang w:val="en-US" w:eastAsia="zh-CN" w:bidi="ar-SA"/>
        </w:rPr>
      </w:pPr>
    </w:p>
    <w:p w14:paraId="1D9FEDA8">
      <w:pPr>
        <w:rPr>
          <w:rFonts w:hint="eastAsia" w:ascii="Times New Roman" w:hAnsi="Times New Roman" w:cs="Times New Roman"/>
          <w:b/>
          <w:bCs/>
          <w:kern w:val="2"/>
          <w:sz w:val="32"/>
          <w:szCs w:val="32"/>
          <w:highlight w:val="none"/>
          <w:lang w:val="en-US" w:eastAsia="zh-CN" w:bidi="ar-SA"/>
        </w:rPr>
      </w:pPr>
    </w:p>
    <w:p w14:paraId="1E5B7EEB">
      <w:pPr>
        <w:pStyle w:val="3"/>
        <w:ind w:firstLine="2570" w:firstLineChars="800"/>
        <w:jc w:val="both"/>
        <w:rPr>
          <w:rFonts w:hint="eastAsia" w:ascii="Times New Roman" w:hAnsi="Times New Roman" w:cs="Times New Roman"/>
          <w:highlight w:val="none"/>
          <w:lang w:val="en-US" w:eastAsia="zh-CN"/>
        </w:rPr>
      </w:pPr>
      <w:bookmarkStart w:id="307" w:name="_Toc300835233"/>
      <w:bookmarkStart w:id="308" w:name="_Toc271821942"/>
      <w:r>
        <w:rPr>
          <w:rFonts w:hint="eastAsia" w:ascii="Times New Roman" w:hAnsi="Times New Roman" w:cs="Times New Roman"/>
          <w:highlight w:val="none"/>
          <w:lang w:val="en-US" w:eastAsia="zh-CN"/>
        </w:rPr>
        <w:t>九、其他资料</w:t>
      </w:r>
      <w:bookmarkEnd w:id="307"/>
      <w:bookmarkEnd w:id="308"/>
    </w:p>
    <w:p w14:paraId="69453AC1">
      <w:pPr>
        <w:rPr>
          <w:rFonts w:hint="default" w:ascii="Times New Roman" w:hAnsi="Times New Roman" w:eastAsia="宋体" w:cs="Times New Roman"/>
          <w:b w:val="0"/>
          <w:bCs w:val="0"/>
          <w:kern w:val="0"/>
          <w:sz w:val="24"/>
          <w:szCs w:val="24"/>
          <w:highlight w:val="none"/>
          <w:lang w:val="en-US" w:eastAsia="zh-CN" w:bidi="ar-SA"/>
        </w:rPr>
      </w:pPr>
      <w:r>
        <w:rPr>
          <w:rFonts w:hint="default" w:ascii="Times New Roman" w:hAnsi="Times New Roman" w:eastAsia="宋体" w:cs="Times New Roman"/>
          <w:b w:val="0"/>
          <w:bCs w:val="0"/>
          <w:kern w:val="0"/>
          <w:sz w:val="24"/>
          <w:szCs w:val="24"/>
          <w:highlight w:val="none"/>
          <w:lang w:val="en-US" w:eastAsia="zh-CN" w:bidi="ar-SA"/>
        </w:rPr>
        <w:t>第六章“响应文件格式”未详尽列举，但询比文件要求或供应商认为有必要提供的资料。</w:t>
      </w:r>
    </w:p>
    <w:p w14:paraId="35F7FCCE">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48CCAF0-F12B-41F5-A40F-CDB33E8FE5E3}"/>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F6BDEF29-FBF8-42C8-A0F3-B4F4F6C1F23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4E25507C-991B-4ABC-8B3E-7659881D6501}"/>
  </w:font>
  <w:font w:name="仿宋_GB2312">
    <w:panose1 w:val="02010609030101010101"/>
    <w:charset w:val="86"/>
    <w:family w:val="modern"/>
    <w:pitch w:val="default"/>
    <w:sig w:usb0="00000001" w:usb1="080E0000" w:usb2="00000000" w:usb3="00000000" w:csb0="00040000" w:csb1="00000000"/>
    <w:embedRegular r:id="rId4" w:fontKey="{FD3D8C08-7068-4824-AB9D-9E280DD90377}"/>
  </w:font>
  <w:font w:name="宋体 ( 正文 )">
    <w:altName w:val="宋体"/>
    <w:panose1 w:val="00000000000000000000"/>
    <w:charset w:val="00"/>
    <w:family w:val="auto"/>
    <w:pitch w:val="default"/>
    <w:sig w:usb0="00000000" w:usb1="00000000" w:usb2="00000000" w:usb3="00000000" w:csb0="00000000" w:csb1="00000000"/>
  </w:font>
  <w:font w:name="方正小标宋简体">
    <w:panose1 w:val="02010600010101010101"/>
    <w:charset w:val="86"/>
    <w:family w:val="auto"/>
    <w:pitch w:val="default"/>
    <w:sig w:usb0="00000001" w:usb1="080E0000" w:usb2="00000000" w:usb3="00000000" w:csb0="00040000" w:csb1="00000000"/>
    <w:embedRegular r:id="rId5" w:fontKey="{0931BC55-6250-48B2-A35B-20EE63C9B17A}"/>
  </w:font>
  <w:font w:name="楷体">
    <w:panose1 w:val="02010609060101010101"/>
    <w:charset w:val="86"/>
    <w:family w:val="auto"/>
    <w:pitch w:val="default"/>
    <w:sig w:usb0="800002BF" w:usb1="38CF7CFA" w:usb2="00000016" w:usb3="00000000" w:csb0="00040001" w:csb1="00000000"/>
    <w:embedRegular r:id="rId6" w:fontKey="{FB4C21E3-6F76-471B-9C66-73B23263F8F9}"/>
  </w:font>
  <w:font w:name="Wingdings 2">
    <w:panose1 w:val="05020102010507070707"/>
    <w:charset w:val="00"/>
    <w:family w:val="auto"/>
    <w:pitch w:val="default"/>
    <w:sig w:usb0="00000000" w:usb1="00000000" w:usb2="00000000" w:usb3="00000000" w:csb0="80000000" w:csb1="00000000"/>
    <w:embedRegular r:id="rId7" w:fontKey="{9702C2CA-8A2B-4EE2-93B2-D8DD4BA19699}"/>
  </w:font>
  <w:font w:name="方正仿宋_GB2312">
    <w:panose1 w:val="02000000000000000000"/>
    <w:charset w:val="86"/>
    <w:family w:val="auto"/>
    <w:pitch w:val="default"/>
    <w:sig w:usb0="A00002BF" w:usb1="184F6CFA" w:usb2="00000012" w:usb3="00000000" w:csb0="00040001" w:csb1="00000000"/>
    <w:embedRegular r:id="rId8" w:fontKey="{B61B51C8-2898-4002-A9DF-DC3B636A9581}"/>
  </w:font>
  <w:font w:name="仿宋">
    <w:panose1 w:val="02010609060101010101"/>
    <w:charset w:val="86"/>
    <w:family w:val="modern"/>
    <w:pitch w:val="default"/>
    <w:sig w:usb0="800002BF" w:usb1="38CF7CFA" w:usb2="00000016" w:usb3="00000000" w:csb0="00040001" w:csb1="00000000"/>
    <w:embedRegular r:id="rId9" w:fontKey="{F94609C7-A0C2-4482-B9AF-BFF724137863}"/>
  </w:font>
  <w:font w:name="WPSEMBED1">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CB1EB4"/>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43130"/>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6F2FCB"/>
    <w:rsid w:val="038E65F9"/>
    <w:rsid w:val="039755A9"/>
    <w:rsid w:val="039D7B38"/>
    <w:rsid w:val="03A03184"/>
    <w:rsid w:val="03B7227C"/>
    <w:rsid w:val="03BD5C19"/>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5F652DD"/>
    <w:rsid w:val="061F0438"/>
    <w:rsid w:val="06292F58"/>
    <w:rsid w:val="063F4D83"/>
    <w:rsid w:val="0644429B"/>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1E0F8F"/>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560A8"/>
    <w:rsid w:val="084A40EA"/>
    <w:rsid w:val="08554A0D"/>
    <w:rsid w:val="08563EE1"/>
    <w:rsid w:val="08673FC1"/>
    <w:rsid w:val="086D3DA1"/>
    <w:rsid w:val="08774BE1"/>
    <w:rsid w:val="088A4F5C"/>
    <w:rsid w:val="088E1D7C"/>
    <w:rsid w:val="088F5820"/>
    <w:rsid w:val="08903F11"/>
    <w:rsid w:val="08932D8F"/>
    <w:rsid w:val="08B056B6"/>
    <w:rsid w:val="08BE35C2"/>
    <w:rsid w:val="08C616D3"/>
    <w:rsid w:val="08DA7138"/>
    <w:rsid w:val="08E13E13"/>
    <w:rsid w:val="08E92ED7"/>
    <w:rsid w:val="08ED571D"/>
    <w:rsid w:val="08F33D56"/>
    <w:rsid w:val="08F53A28"/>
    <w:rsid w:val="090E719A"/>
    <w:rsid w:val="09153CCC"/>
    <w:rsid w:val="0922447E"/>
    <w:rsid w:val="0926237D"/>
    <w:rsid w:val="092D0C4C"/>
    <w:rsid w:val="09311852"/>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335A0"/>
    <w:rsid w:val="0A704DEE"/>
    <w:rsid w:val="0A801619"/>
    <w:rsid w:val="0A8B5261"/>
    <w:rsid w:val="0A8E5075"/>
    <w:rsid w:val="0A9462D3"/>
    <w:rsid w:val="0A952D43"/>
    <w:rsid w:val="0AA913FB"/>
    <w:rsid w:val="0AAE6B76"/>
    <w:rsid w:val="0AB37F43"/>
    <w:rsid w:val="0AB779C9"/>
    <w:rsid w:val="0AB930A2"/>
    <w:rsid w:val="0ADD0DF0"/>
    <w:rsid w:val="0AEB40E8"/>
    <w:rsid w:val="0AF0197B"/>
    <w:rsid w:val="0AF12519"/>
    <w:rsid w:val="0AFF69E2"/>
    <w:rsid w:val="0B040E20"/>
    <w:rsid w:val="0B0A404A"/>
    <w:rsid w:val="0B0E131B"/>
    <w:rsid w:val="0B25729E"/>
    <w:rsid w:val="0B3A2110"/>
    <w:rsid w:val="0B416906"/>
    <w:rsid w:val="0B494074"/>
    <w:rsid w:val="0B5D1C2A"/>
    <w:rsid w:val="0B6158EF"/>
    <w:rsid w:val="0B685C3C"/>
    <w:rsid w:val="0B7202E7"/>
    <w:rsid w:val="0B7C0033"/>
    <w:rsid w:val="0B923CFA"/>
    <w:rsid w:val="0B991D46"/>
    <w:rsid w:val="0B9F686D"/>
    <w:rsid w:val="0BA9780F"/>
    <w:rsid w:val="0BAB4DBC"/>
    <w:rsid w:val="0BDC31C7"/>
    <w:rsid w:val="0BDE31B0"/>
    <w:rsid w:val="0C110CA2"/>
    <w:rsid w:val="0C165556"/>
    <w:rsid w:val="0C3152C1"/>
    <w:rsid w:val="0C581CC5"/>
    <w:rsid w:val="0C711B61"/>
    <w:rsid w:val="0C773477"/>
    <w:rsid w:val="0C873133"/>
    <w:rsid w:val="0C9F113B"/>
    <w:rsid w:val="0CAF7C91"/>
    <w:rsid w:val="0CD3448B"/>
    <w:rsid w:val="0CE045F1"/>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C84989"/>
    <w:rsid w:val="0DD00B0A"/>
    <w:rsid w:val="0DD331D8"/>
    <w:rsid w:val="0DDB677F"/>
    <w:rsid w:val="0E053AB5"/>
    <w:rsid w:val="0E093A81"/>
    <w:rsid w:val="0E1201C4"/>
    <w:rsid w:val="0E2844A2"/>
    <w:rsid w:val="0E3177FA"/>
    <w:rsid w:val="0E323572"/>
    <w:rsid w:val="0E35096D"/>
    <w:rsid w:val="0E3C08A3"/>
    <w:rsid w:val="0E4A09D7"/>
    <w:rsid w:val="0E626142"/>
    <w:rsid w:val="0E6C36EA"/>
    <w:rsid w:val="0E6D3EE4"/>
    <w:rsid w:val="0E8168AC"/>
    <w:rsid w:val="0E9601D9"/>
    <w:rsid w:val="0E9D59AD"/>
    <w:rsid w:val="0EA24254"/>
    <w:rsid w:val="0EA608EA"/>
    <w:rsid w:val="0EAB29B5"/>
    <w:rsid w:val="0EAC50D3"/>
    <w:rsid w:val="0EB42CE2"/>
    <w:rsid w:val="0EBD2E3C"/>
    <w:rsid w:val="0EC51CF1"/>
    <w:rsid w:val="0ED463D8"/>
    <w:rsid w:val="0ED624A7"/>
    <w:rsid w:val="0EDF39F1"/>
    <w:rsid w:val="0EDF4D5E"/>
    <w:rsid w:val="0EE1117F"/>
    <w:rsid w:val="0EE345B0"/>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0E1475"/>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651E6F"/>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45B3A"/>
    <w:rsid w:val="124D3BAD"/>
    <w:rsid w:val="1250061C"/>
    <w:rsid w:val="125A52C4"/>
    <w:rsid w:val="12655D96"/>
    <w:rsid w:val="127557DC"/>
    <w:rsid w:val="127A564B"/>
    <w:rsid w:val="128E3C38"/>
    <w:rsid w:val="129B676B"/>
    <w:rsid w:val="12BF2922"/>
    <w:rsid w:val="12C942C8"/>
    <w:rsid w:val="12D06EB6"/>
    <w:rsid w:val="12D90460"/>
    <w:rsid w:val="12DC5F5E"/>
    <w:rsid w:val="12DC7F8C"/>
    <w:rsid w:val="12E82A0B"/>
    <w:rsid w:val="12E84200"/>
    <w:rsid w:val="131873D2"/>
    <w:rsid w:val="131D498C"/>
    <w:rsid w:val="13274F9C"/>
    <w:rsid w:val="133B4C77"/>
    <w:rsid w:val="13417410"/>
    <w:rsid w:val="134A448A"/>
    <w:rsid w:val="134F427F"/>
    <w:rsid w:val="134F7EA7"/>
    <w:rsid w:val="135107A8"/>
    <w:rsid w:val="13597353"/>
    <w:rsid w:val="136066CF"/>
    <w:rsid w:val="13657E31"/>
    <w:rsid w:val="136C3340"/>
    <w:rsid w:val="1377280D"/>
    <w:rsid w:val="1387094F"/>
    <w:rsid w:val="138D7D05"/>
    <w:rsid w:val="13914897"/>
    <w:rsid w:val="139C08EB"/>
    <w:rsid w:val="13CE33F5"/>
    <w:rsid w:val="13D35238"/>
    <w:rsid w:val="13D44B41"/>
    <w:rsid w:val="13D81B1F"/>
    <w:rsid w:val="14061B66"/>
    <w:rsid w:val="14106ABF"/>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21C8A"/>
    <w:rsid w:val="151779D1"/>
    <w:rsid w:val="151C17D3"/>
    <w:rsid w:val="1522437E"/>
    <w:rsid w:val="15283931"/>
    <w:rsid w:val="15382F40"/>
    <w:rsid w:val="154B07D3"/>
    <w:rsid w:val="155362A8"/>
    <w:rsid w:val="155A7AD3"/>
    <w:rsid w:val="158374C1"/>
    <w:rsid w:val="15A62ECC"/>
    <w:rsid w:val="15A703A2"/>
    <w:rsid w:val="15B14179"/>
    <w:rsid w:val="15C516BD"/>
    <w:rsid w:val="15CC3B64"/>
    <w:rsid w:val="15CF6FE1"/>
    <w:rsid w:val="15D469C1"/>
    <w:rsid w:val="160055BA"/>
    <w:rsid w:val="160475A2"/>
    <w:rsid w:val="160F71A0"/>
    <w:rsid w:val="162304BC"/>
    <w:rsid w:val="16260CA4"/>
    <w:rsid w:val="164D0F49"/>
    <w:rsid w:val="166266B1"/>
    <w:rsid w:val="16932BF5"/>
    <w:rsid w:val="169528F0"/>
    <w:rsid w:val="16A456DD"/>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1FEE"/>
    <w:rsid w:val="1C2075D6"/>
    <w:rsid w:val="1C2B6CB4"/>
    <w:rsid w:val="1C3774BA"/>
    <w:rsid w:val="1C3D55BC"/>
    <w:rsid w:val="1C4859F3"/>
    <w:rsid w:val="1C4E114E"/>
    <w:rsid w:val="1C5D5F8B"/>
    <w:rsid w:val="1C630441"/>
    <w:rsid w:val="1C6934B1"/>
    <w:rsid w:val="1C6E241C"/>
    <w:rsid w:val="1CA7390F"/>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3D83"/>
    <w:rsid w:val="1D8C5045"/>
    <w:rsid w:val="1D9244F8"/>
    <w:rsid w:val="1D931CEA"/>
    <w:rsid w:val="1D9C4E32"/>
    <w:rsid w:val="1DA8115B"/>
    <w:rsid w:val="1DC177D9"/>
    <w:rsid w:val="1DDB508D"/>
    <w:rsid w:val="1DE81558"/>
    <w:rsid w:val="1E015E7F"/>
    <w:rsid w:val="1E1A236E"/>
    <w:rsid w:val="1E225BB3"/>
    <w:rsid w:val="1E2A6113"/>
    <w:rsid w:val="1E2D212B"/>
    <w:rsid w:val="1E2E6E13"/>
    <w:rsid w:val="1E32182A"/>
    <w:rsid w:val="1E454BFC"/>
    <w:rsid w:val="1E4A0464"/>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5F4E35"/>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D6743"/>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B4094"/>
    <w:rsid w:val="213D6756"/>
    <w:rsid w:val="213D7BD8"/>
    <w:rsid w:val="214C4EC5"/>
    <w:rsid w:val="2153567F"/>
    <w:rsid w:val="21592826"/>
    <w:rsid w:val="215C64E4"/>
    <w:rsid w:val="217422B6"/>
    <w:rsid w:val="21791F1C"/>
    <w:rsid w:val="2188758A"/>
    <w:rsid w:val="219537A4"/>
    <w:rsid w:val="2197751D"/>
    <w:rsid w:val="219C0FD7"/>
    <w:rsid w:val="21A5163A"/>
    <w:rsid w:val="21A61686"/>
    <w:rsid w:val="21B56BEB"/>
    <w:rsid w:val="21BC5E24"/>
    <w:rsid w:val="21C13A32"/>
    <w:rsid w:val="21CA7725"/>
    <w:rsid w:val="21CB5418"/>
    <w:rsid w:val="21E23A88"/>
    <w:rsid w:val="21EA7F94"/>
    <w:rsid w:val="21F81A7F"/>
    <w:rsid w:val="2205196D"/>
    <w:rsid w:val="221843E8"/>
    <w:rsid w:val="22270787"/>
    <w:rsid w:val="224D73DD"/>
    <w:rsid w:val="22592601"/>
    <w:rsid w:val="2259286B"/>
    <w:rsid w:val="22603DB2"/>
    <w:rsid w:val="226D7B83"/>
    <w:rsid w:val="2293123C"/>
    <w:rsid w:val="229E633A"/>
    <w:rsid w:val="22A570EC"/>
    <w:rsid w:val="22BA5BB9"/>
    <w:rsid w:val="22D569A0"/>
    <w:rsid w:val="22FE6044"/>
    <w:rsid w:val="230F1167"/>
    <w:rsid w:val="23113332"/>
    <w:rsid w:val="232E56FD"/>
    <w:rsid w:val="233F5F96"/>
    <w:rsid w:val="235A4CA6"/>
    <w:rsid w:val="235F4D23"/>
    <w:rsid w:val="236D4028"/>
    <w:rsid w:val="238A4DFC"/>
    <w:rsid w:val="23955CDE"/>
    <w:rsid w:val="23BD5235"/>
    <w:rsid w:val="23F43380"/>
    <w:rsid w:val="24217571"/>
    <w:rsid w:val="24226CC5"/>
    <w:rsid w:val="24312A4A"/>
    <w:rsid w:val="244A5E9A"/>
    <w:rsid w:val="244C4BB8"/>
    <w:rsid w:val="246851A0"/>
    <w:rsid w:val="24691193"/>
    <w:rsid w:val="246C3A46"/>
    <w:rsid w:val="247152E7"/>
    <w:rsid w:val="247E6772"/>
    <w:rsid w:val="248F4E23"/>
    <w:rsid w:val="24975826"/>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755C9"/>
    <w:rsid w:val="27DD09CE"/>
    <w:rsid w:val="27E965F8"/>
    <w:rsid w:val="27EC553C"/>
    <w:rsid w:val="27FD02F5"/>
    <w:rsid w:val="280C4BFC"/>
    <w:rsid w:val="2813394B"/>
    <w:rsid w:val="2815563F"/>
    <w:rsid w:val="281C1F63"/>
    <w:rsid w:val="281C54D8"/>
    <w:rsid w:val="283610D5"/>
    <w:rsid w:val="28417E9F"/>
    <w:rsid w:val="28523AB6"/>
    <w:rsid w:val="285F5293"/>
    <w:rsid w:val="28622D71"/>
    <w:rsid w:val="286A3DDE"/>
    <w:rsid w:val="286E69FD"/>
    <w:rsid w:val="28740524"/>
    <w:rsid w:val="28A013AD"/>
    <w:rsid w:val="28A10C81"/>
    <w:rsid w:val="28B83236"/>
    <w:rsid w:val="28C56178"/>
    <w:rsid w:val="28DA521F"/>
    <w:rsid w:val="28FA546B"/>
    <w:rsid w:val="28FE025E"/>
    <w:rsid w:val="290F02E0"/>
    <w:rsid w:val="2920429C"/>
    <w:rsid w:val="29245F1A"/>
    <w:rsid w:val="29366359"/>
    <w:rsid w:val="293D4E4D"/>
    <w:rsid w:val="294066EC"/>
    <w:rsid w:val="29586D7A"/>
    <w:rsid w:val="29644475"/>
    <w:rsid w:val="29772B51"/>
    <w:rsid w:val="29791894"/>
    <w:rsid w:val="29836AE4"/>
    <w:rsid w:val="2984235F"/>
    <w:rsid w:val="2984482A"/>
    <w:rsid w:val="29891E41"/>
    <w:rsid w:val="29967FD2"/>
    <w:rsid w:val="29A52D8F"/>
    <w:rsid w:val="29A948BE"/>
    <w:rsid w:val="29C56C3A"/>
    <w:rsid w:val="29D85278"/>
    <w:rsid w:val="29E1380C"/>
    <w:rsid w:val="29E17481"/>
    <w:rsid w:val="29E277A3"/>
    <w:rsid w:val="29E85046"/>
    <w:rsid w:val="2A017BFD"/>
    <w:rsid w:val="2A0A71F8"/>
    <w:rsid w:val="2A4913A2"/>
    <w:rsid w:val="2A6E6670"/>
    <w:rsid w:val="2A7A1DC4"/>
    <w:rsid w:val="2A8F3B49"/>
    <w:rsid w:val="2A8F792B"/>
    <w:rsid w:val="2A9154D8"/>
    <w:rsid w:val="2AA04C57"/>
    <w:rsid w:val="2AAF3A7A"/>
    <w:rsid w:val="2ACB46DB"/>
    <w:rsid w:val="2AD750C3"/>
    <w:rsid w:val="2AE77D08"/>
    <w:rsid w:val="2AEA3011"/>
    <w:rsid w:val="2AFA0B1C"/>
    <w:rsid w:val="2B252D72"/>
    <w:rsid w:val="2B275DB5"/>
    <w:rsid w:val="2B323E4B"/>
    <w:rsid w:val="2B3E0375"/>
    <w:rsid w:val="2B492499"/>
    <w:rsid w:val="2B652A8D"/>
    <w:rsid w:val="2B6C55DB"/>
    <w:rsid w:val="2B7E174D"/>
    <w:rsid w:val="2B82123D"/>
    <w:rsid w:val="2B8D5640"/>
    <w:rsid w:val="2BAA2FC9"/>
    <w:rsid w:val="2BB60EE7"/>
    <w:rsid w:val="2BC075E5"/>
    <w:rsid w:val="2BD96984"/>
    <w:rsid w:val="2BE152C7"/>
    <w:rsid w:val="2BEB6DE3"/>
    <w:rsid w:val="2BED7D50"/>
    <w:rsid w:val="2BF4029C"/>
    <w:rsid w:val="2C1C6937"/>
    <w:rsid w:val="2C1E3C6A"/>
    <w:rsid w:val="2C202757"/>
    <w:rsid w:val="2C270D43"/>
    <w:rsid w:val="2C3F3DE5"/>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5F5CD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9037FD"/>
    <w:rsid w:val="2FB1448A"/>
    <w:rsid w:val="2FC802AE"/>
    <w:rsid w:val="2FCC29AF"/>
    <w:rsid w:val="2FCC2A87"/>
    <w:rsid w:val="30030473"/>
    <w:rsid w:val="301C41BF"/>
    <w:rsid w:val="301D7D6A"/>
    <w:rsid w:val="302369A0"/>
    <w:rsid w:val="303474C0"/>
    <w:rsid w:val="30586A11"/>
    <w:rsid w:val="305C41A9"/>
    <w:rsid w:val="307C26FF"/>
    <w:rsid w:val="30820205"/>
    <w:rsid w:val="308E41B5"/>
    <w:rsid w:val="30952C59"/>
    <w:rsid w:val="30AB4D93"/>
    <w:rsid w:val="30B5176D"/>
    <w:rsid w:val="30D05D96"/>
    <w:rsid w:val="30FF4D69"/>
    <w:rsid w:val="310E5321"/>
    <w:rsid w:val="3113559B"/>
    <w:rsid w:val="311978DB"/>
    <w:rsid w:val="312421F6"/>
    <w:rsid w:val="3127420C"/>
    <w:rsid w:val="3132170E"/>
    <w:rsid w:val="31477BEB"/>
    <w:rsid w:val="315216B2"/>
    <w:rsid w:val="315523B1"/>
    <w:rsid w:val="315840B2"/>
    <w:rsid w:val="3198056E"/>
    <w:rsid w:val="319F5F79"/>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0F0191"/>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5D2848"/>
    <w:rsid w:val="346A0AC1"/>
    <w:rsid w:val="346F257B"/>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A76251"/>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170612"/>
    <w:rsid w:val="372D30A2"/>
    <w:rsid w:val="372F1B4E"/>
    <w:rsid w:val="374A5928"/>
    <w:rsid w:val="374E35E0"/>
    <w:rsid w:val="37560CC6"/>
    <w:rsid w:val="377C2FE5"/>
    <w:rsid w:val="378C0D4E"/>
    <w:rsid w:val="378D0CEB"/>
    <w:rsid w:val="378D4552"/>
    <w:rsid w:val="37940B89"/>
    <w:rsid w:val="379A026D"/>
    <w:rsid w:val="37A2207E"/>
    <w:rsid w:val="37A2434F"/>
    <w:rsid w:val="37AE6F16"/>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61E84"/>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23597"/>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CE5451"/>
    <w:rsid w:val="3AD1427E"/>
    <w:rsid w:val="3AED29FC"/>
    <w:rsid w:val="3AEE2C6F"/>
    <w:rsid w:val="3AF47336"/>
    <w:rsid w:val="3AFF2C64"/>
    <w:rsid w:val="3B010619"/>
    <w:rsid w:val="3B135A0E"/>
    <w:rsid w:val="3B175A3F"/>
    <w:rsid w:val="3B2F69DB"/>
    <w:rsid w:val="3B40257B"/>
    <w:rsid w:val="3B6049CB"/>
    <w:rsid w:val="3B667011"/>
    <w:rsid w:val="3B79226F"/>
    <w:rsid w:val="3B81506E"/>
    <w:rsid w:val="3B8F1138"/>
    <w:rsid w:val="3B904834"/>
    <w:rsid w:val="3B932344"/>
    <w:rsid w:val="3B9D20F5"/>
    <w:rsid w:val="3B9F72A2"/>
    <w:rsid w:val="3BA76467"/>
    <w:rsid w:val="3BB33F88"/>
    <w:rsid w:val="3BC15D34"/>
    <w:rsid w:val="3BCF11DA"/>
    <w:rsid w:val="3BD93153"/>
    <w:rsid w:val="3BDA6996"/>
    <w:rsid w:val="3C0A3047"/>
    <w:rsid w:val="3C26744A"/>
    <w:rsid w:val="3C2E50FB"/>
    <w:rsid w:val="3C300842"/>
    <w:rsid w:val="3C37637A"/>
    <w:rsid w:val="3C4A12AD"/>
    <w:rsid w:val="3C4C7144"/>
    <w:rsid w:val="3C5125FC"/>
    <w:rsid w:val="3C542D40"/>
    <w:rsid w:val="3C690ECB"/>
    <w:rsid w:val="3C720E5A"/>
    <w:rsid w:val="3C7921E9"/>
    <w:rsid w:val="3C7F70D3"/>
    <w:rsid w:val="3C850B8E"/>
    <w:rsid w:val="3C860AC6"/>
    <w:rsid w:val="3C8967A4"/>
    <w:rsid w:val="3C960BC8"/>
    <w:rsid w:val="3C9848A1"/>
    <w:rsid w:val="3C9B534F"/>
    <w:rsid w:val="3CA323DC"/>
    <w:rsid w:val="3CA509B7"/>
    <w:rsid w:val="3CA509D1"/>
    <w:rsid w:val="3CC339BD"/>
    <w:rsid w:val="3CD537E6"/>
    <w:rsid w:val="3CD93879"/>
    <w:rsid w:val="3CDD2711"/>
    <w:rsid w:val="3CE75508"/>
    <w:rsid w:val="3CF47AC1"/>
    <w:rsid w:val="3CF7310E"/>
    <w:rsid w:val="3CF85B73"/>
    <w:rsid w:val="3CFE4971"/>
    <w:rsid w:val="3D2571D3"/>
    <w:rsid w:val="3D2959BD"/>
    <w:rsid w:val="3D3954D4"/>
    <w:rsid w:val="3D624A2B"/>
    <w:rsid w:val="3D7A2818"/>
    <w:rsid w:val="3D8106EA"/>
    <w:rsid w:val="3D834DF8"/>
    <w:rsid w:val="3D884009"/>
    <w:rsid w:val="3D9077EA"/>
    <w:rsid w:val="3DA352B1"/>
    <w:rsid w:val="3DAE7C70"/>
    <w:rsid w:val="3DB94C8D"/>
    <w:rsid w:val="3DBA61E7"/>
    <w:rsid w:val="3DC12D0A"/>
    <w:rsid w:val="3DC14624"/>
    <w:rsid w:val="3DD55956"/>
    <w:rsid w:val="3DFF4B6F"/>
    <w:rsid w:val="3E100FFC"/>
    <w:rsid w:val="3E1334F8"/>
    <w:rsid w:val="3E175815"/>
    <w:rsid w:val="3E201534"/>
    <w:rsid w:val="3E3363C7"/>
    <w:rsid w:val="3E651EE9"/>
    <w:rsid w:val="3E657C0C"/>
    <w:rsid w:val="3E784A78"/>
    <w:rsid w:val="3E787F4E"/>
    <w:rsid w:val="3E8554F5"/>
    <w:rsid w:val="3E8D171A"/>
    <w:rsid w:val="3E993D72"/>
    <w:rsid w:val="3EA10027"/>
    <w:rsid w:val="3EA370A9"/>
    <w:rsid w:val="3EA42E21"/>
    <w:rsid w:val="3EB47508"/>
    <w:rsid w:val="3EB65E71"/>
    <w:rsid w:val="3EC314F9"/>
    <w:rsid w:val="3EC33032"/>
    <w:rsid w:val="3EC61DB3"/>
    <w:rsid w:val="3EE14075"/>
    <w:rsid w:val="3EE33056"/>
    <w:rsid w:val="3EF47905"/>
    <w:rsid w:val="3EF62661"/>
    <w:rsid w:val="3F125160"/>
    <w:rsid w:val="3F205846"/>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C714BD"/>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AC351E"/>
    <w:rsid w:val="40B21FB5"/>
    <w:rsid w:val="40B95E2E"/>
    <w:rsid w:val="40BB2DD0"/>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7C5D59"/>
    <w:rsid w:val="41807B75"/>
    <w:rsid w:val="41864563"/>
    <w:rsid w:val="418A1799"/>
    <w:rsid w:val="41A61C3F"/>
    <w:rsid w:val="41B17185"/>
    <w:rsid w:val="41C45CB4"/>
    <w:rsid w:val="41DB6A6F"/>
    <w:rsid w:val="41EC6DB7"/>
    <w:rsid w:val="41F05895"/>
    <w:rsid w:val="420A5691"/>
    <w:rsid w:val="420C70DA"/>
    <w:rsid w:val="420F4A55"/>
    <w:rsid w:val="42156510"/>
    <w:rsid w:val="4226611D"/>
    <w:rsid w:val="4237749C"/>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09054E"/>
    <w:rsid w:val="431B31A4"/>
    <w:rsid w:val="43263B66"/>
    <w:rsid w:val="43325808"/>
    <w:rsid w:val="433E1CAF"/>
    <w:rsid w:val="43412297"/>
    <w:rsid w:val="43413ED4"/>
    <w:rsid w:val="434C1AB7"/>
    <w:rsid w:val="43560B8E"/>
    <w:rsid w:val="43594499"/>
    <w:rsid w:val="435E7A42"/>
    <w:rsid w:val="43636C3F"/>
    <w:rsid w:val="436674EF"/>
    <w:rsid w:val="436E5353"/>
    <w:rsid w:val="438073DF"/>
    <w:rsid w:val="43972F54"/>
    <w:rsid w:val="439D6340"/>
    <w:rsid w:val="43A90F98"/>
    <w:rsid w:val="43AB7C4E"/>
    <w:rsid w:val="43B11BD7"/>
    <w:rsid w:val="43B753A5"/>
    <w:rsid w:val="43BB3877"/>
    <w:rsid w:val="43FB7987"/>
    <w:rsid w:val="43FD7280"/>
    <w:rsid w:val="44044A8E"/>
    <w:rsid w:val="44137F59"/>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C0EC5"/>
    <w:rsid w:val="44DC0CFE"/>
    <w:rsid w:val="44DC4FCA"/>
    <w:rsid w:val="44FC7513"/>
    <w:rsid w:val="44FD1C6D"/>
    <w:rsid w:val="45245377"/>
    <w:rsid w:val="453F207E"/>
    <w:rsid w:val="454276A8"/>
    <w:rsid w:val="454513E5"/>
    <w:rsid w:val="45465AD9"/>
    <w:rsid w:val="45533857"/>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163F5"/>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D97FDF"/>
    <w:rsid w:val="47EF335F"/>
    <w:rsid w:val="47F72214"/>
    <w:rsid w:val="47FC33A5"/>
    <w:rsid w:val="48012A31"/>
    <w:rsid w:val="481D4366"/>
    <w:rsid w:val="485803F1"/>
    <w:rsid w:val="485E2C28"/>
    <w:rsid w:val="4864699B"/>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C1A97"/>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5F07FC"/>
    <w:rsid w:val="4B625BF7"/>
    <w:rsid w:val="4B6B61F5"/>
    <w:rsid w:val="4B810772"/>
    <w:rsid w:val="4B8464B4"/>
    <w:rsid w:val="4B895879"/>
    <w:rsid w:val="4B8E3DC5"/>
    <w:rsid w:val="4BB21AF4"/>
    <w:rsid w:val="4BB54107"/>
    <w:rsid w:val="4BB67EEE"/>
    <w:rsid w:val="4BD17814"/>
    <w:rsid w:val="4BD20FCE"/>
    <w:rsid w:val="4BDC5109"/>
    <w:rsid w:val="4BE84FA7"/>
    <w:rsid w:val="4BF70C92"/>
    <w:rsid w:val="4BFB5105"/>
    <w:rsid w:val="4BFD0513"/>
    <w:rsid w:val="4C005E77"/>
    <w:rsid w:val="4C1A02C6"/>
    <w:rsid w:val="4C2B76C1"/>
    <w:rsid w:val="4C2C2DD4"/>
    <w:rsid w:val="4C5419A1"/>
    <w:rsid w:val="4C5429A3"/>
    <w:rsid w:val="4C645A11"/>
    <w:rsid w:val="4C845B43"/>
    <w:rsid w:val="4C87254B"/>
    <w:rsid w:val="4C9F5870"/>
    <w:rsid w:val="4CA75A30"/>
    <w:rsid w:val="4CB8194E"/>
    <w:rsid w:val="4CBD57DA"/>
    <w:rsid w:val="4CD46FC7"/>
    <w:rsid w:val="4CDE4416"/>
    <w:rsid w:val="4CF66FCE"/>
    <w:rsid w:val="4D004DF6"/>
    <w:rsid w:val="4D110FBB"/>
    <w:rsid w:val="4D185106"/>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7445BE"/>
    <w:rsid w:val="4E8D762E"/>
    <w:rsid w:val="4E9B1112"/>
    <w:rsid w:val="4E9D1D67"/>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DA5080"/>
    <w:rsid w:val="51E8779D"/>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BB519A"/>
    <w:rsid w:val="54C41B11"/>
    <w:rsid w:val="54C92123"/>
    <w:rsid w:val="54CD67D6"/>
    <w:rsid w:val="54D45DB6"/>
    <w:rsid w:val="54FE296A"/>
    <w:rsid w:val="55094F55"/>
    <w:rsid w:val="550E49C6"/>
    <w:rsid w:val="55124B31"/>
    <w:rsid w:val="55160C9A"/>
    <w:rsid w:val="55346855"/>
    <w:rsid w:val="556832A2"/>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545A9D"/>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73D9C"/>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166AE8"/>
    <w:rsid w:val="5B203F15"/>
    <w:rsid w:val="5B353486"/>
    <w:rsid w:val="5B3A7E78"/>
    <w:rsid w:val="5B3D442E"/>
    <w:rsid w:val="5B412C22"/>
    <w:rsid w:val="5B4B2EB1"/>
    <w:rsid w:val="5B4C40CD"/>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6F2B20"/>
    <w:rsid w:val="5D7C5A81"/>
    <w:rsid w:val="5DB46388"/>
    <w:rsid w:val="5DB839FA"/>
    <w:rsid w:val="5DD31E8F"/>
    <w:rsid w:val="5DDF2196"/>
    <w:rsid w:val="5DF704AE"/>
    <w:rsid w:val="5DF954B7"/>
    <w:rsid w:val="5DFD2403"/>
    <w:rsid w:val="5DFF05CD"/>
    <w:rsid w:val="5E015742"/>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73B3A"/>
    <w:rsid w:val="5E9B7ABC"/>
    <w:rsid w:val="5E9C6226"/>
    <w:rsid w:val="5EAE18C5"/>
    <w:rsid w:val="5EBA601D"/>
    <w:rsid w:val="5EF83794"/>
    <w:rsid w:val="5F0173CC"/>
    <w:rsid w:val="5F1A1A93"/>
    <w:rsid w:val="5F1D3030"/>
    <w:rsid w:val="5F287F7E"/>
    <w:rsid w:val="5F374C3D"/>
    <w:rsid w:val="5F3833E6"/>
    <w:rsid w:val="5F4315DF"/>
    <w:rsid w:val="5F475677"/>
    <w:rsid w:val="5F484198"/>
    <w:rsid w:val="5F567498"/>
    <w:rsid w:val="5F5B4CBC"/>
    <w:rsid w:val="5F6E0BB6"/>
    <w:rsid w:val="5F7D71F9"/>
    <w:rsid w:val="5F8420E2"/>
    <w:rsid w:val="5F8623A3"/>
    <w:rsid w:val="5F887220"/>
    <w:rsid w:val="5F9022AB"/>
    <w:rsid w:val="5FA37EA0"/>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DC031F"/>
    <w:rsid w:val="60DD05BA"/>
    <w:rsid w:val="60E82C1A"/>
    <w:rsid w:val="60EC0541"/>
    <w:rsid w:val="60FD245E"/>
    <w:rsid w:val="61033EA8"/>
    <w:rsid w:val="610453B8"/>
    <w:rsid w:val="610A1613"/>
    <w:rsid w:val="610B7637"/>
    <w:rsid w:val="610E0DD2"/>
    <w:rsid w:val="61111FBE"/>
    <w:rsid w:val="6118702B"/>
    <w:rsid w:val="611E1B53"/>
    <w:rsid w:val="61251167"/>
    <w:rsid w:val="613170F5"/>
    <w:rsid w:val="61432D9E"/>
    <w:rsid w:val="614623F7"/>
    <w:rsid w:val="615D3929"/>
    <w:rsid w:val="61683AEB"/>
    <w:rsid w:val="61716634"/>
    <w:rsid w:val="618A70BC"/>
    <w:rsid w:val="618D5E50"/>
    <w:rsid w:val="61963F6D"/>
    <w:rsid w:val="619D39D4"/>
    <w:rsid w:val="61B03707"/>
    <w:rsid w:val="61B56F70"/>
    <w:rsid w:val="61BD1F9D"/>
    <w:rsid w:val="61BF394A"/>
    <w:rsid w:val="61C37858"/>
    <w:rsid w:val="61DB394B"/>
    <w:rsid w:val="61DB4C28"/>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22C43"/>
    <w:rsid w:val="639E415F"/>
    <w:rsid w:val="63A94039"/>
    <w:rsid w:val="63AA2F6D"/>
    <w:rsid w:val="63AA30D7"/>
    <w:rsid w:val="63AB78F4"/>
    <w:rsid w:val="63BB0188"/>
    <w:rsid w:val="63C35974"/>
    <w:rsid w:val="63C642C7"/>
    <w:rsid w:val="63C85688"/>
    <w:rsid w:val="63CD5666"/>
    <w:rsid w:val="63D01EF3"/>
    <w:rsid w:val="63D2038C"/>
    <w:rsid w:val="63E15DFA"/>
    <w:rsid w:val="63E631E1"/>
    <w:rsid w:val="63F66CE6"/>
    <w:rsid w:val="640E7E19"/>
    <w:rsid w:val="642503DD"/>
    <w:rsid w:val="64502D47"/>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83BBC"/>
    <w:rsid w:val="653B0F51"/>
    <w:rsid w:val="65434194"/>
    <w:rsid w:val="65477730"/>
    <w:rsid w:val="654912E0"/>
    <w:rsid w:val="654A79CF"/>
    <w:rsid w:val="655A5E64"/>
    <w:rsid w:val="656A4332"/>
    <w:rsid w:val="65733372"/>
    <w:rsid w:val="65744876"/>
    <w:rsid w:val="65772C72"/>
    <w:rsid w:val="657845AE"/>
    <w:rsid w:val="6579224B"/>
    <w:rsid w:val="657C58B7"/>
    <w:rsid w:val="657F531F"/>
    <w:rsid w:val="65991D3E"/>
    <w:rsid w:val="659E280B"/>
    <w:rsid w:val="65B743E6"/>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5F3C06"/>
    <w:rsid w:val="676777C3"/>
    <w:rsid w:val="677D4B8A"/>
    <w:rsid w:val="67802ACE"/>
    <w:rsid w:val="67804B33"/>
    <w:rsid w:val="67A755AC"/>
    <w:rsid w:val="67C40A09"/>
    <w:rsid w:val="67D020A7"/>
    <w:rsid w:val="67D600B8"/>
    <w:rsid w:val="67E4087E"/>
    <w:rsid w:val="67E44038"/>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C44E21"/>
    <w:rsid w:val="68D0468F"/>
    <w:rsid w:val="68D60630"/>
    <w:rsid w:val="68E00D76"/>
    <w:rsid w:val="68ED6FEF"/>
    <w:rsid w:val="68F00432"/>
    <w:rsid w:val="68F8555D"/>
    <w:rsid w:val="68FE2FAA"/>
    <w:rsid w:val="68FE744E"/>
    <w:rsid w:val="691D712E"/>
    <w:rsid w:val="6931512E"/>
    <w:rsid w:val="693D7F76"/>
    <w:rsid w:val="69423164"/>
    <w:rsid w:val="697E7396"/>
    <w:rsid w:val="69A009FE"/>
    <w:rsid w:val="69A729C5"/>
    <w:rsid w:val="69BD10B7"/>
    <w:rsid w:val="69BE2739"/>
    <w:rsid w:val="69BF206E"/>
    <w:rsid w:val="69E46DF1"/>
    <w:rsid w:val="69E8174D"/>
    <w:rsid w:val="69EB7655"/>
    <w:rsid w:val="69F66247"/>
    <w:rsid w:val="69F820EF"/>
    <w:rsid w:val="69F86AAF"/>
    <w:rsid w:val="6A042842"/>
    <w:rsid w:val="6A08670B"/>
    <w:rsid w:val="6A0E546F"/>
    <w:rsid w:val="6A1F6154"/>
    <w:rsid w:val="6A2746CC"/>
    <w:rsid w:val="6A4F7CF0"/>
    <w:rsid w:val="6A5517EC"/>
    <w:rsid w:val="6A6634FD"/>
    <w:rsid w:val="6A694BA1"/>
    <w:rsid w:val="6A734205"/>
    <w:rsid w:val="6A804B8C"/>
    <w:rsid w:val="6A8B7D14"/>
    <w:rsid w:val="6A8F1913"/>
    <w:rsid w:val="6A995680"/>
    <w:rsid w:val="6ABC3292"/>
    <w:rsid w:val="6AC04F0B"/>
    <w:rsid w:val="6AD00976"/>
    <w:rsid w:val="6AD34458"/>
    <w:rsid w:val="6AD77F57"/>
    <w:rsid w:val="6ADC4801"/>
    <w:rsid w:val="6ADF25FC"/>
    <w:rsid w:val="6AEF704E"/>
    <w:rsid w:val="6AF01018"/>
    <w:rsid w:val="6AF97ECD"/>
    <w:rsid w:val="6B020CD0"/>
    <w:rsid w:val="6B0B19AE"/>
    <w:rsid w:val="6B1148AC"/>
    <w:rsid w:val="6B27444D"/>
    <w:rsid w:val="6B3929BF"/>
    <w:rsid w:val="6B3E0351"/>
    <w:rsid w:val="6B3E1D84"/>
    <w:rsid w:val="6B42449D"/>
    <w:rsid w:val="6B4A5562"/>
    <w:rsid w:val="6B4C26F3"/>
    <w:rsid w:val="6B4D1FC7"/>
    <w:rsid w:val="6B565807"/>
    <w:rsid w:val="6B5925FD"/>
    <w:rsid w:val="6B5B2936"/>
    <w:rsid w:val="6B6537B4"/>
    <w:rsid w:val="6B685053"/>
    <w:rsid w:val="6B7174EC"/>
    <w:rsid w:val="6B7A369F"/>
    <w:rsid w:val="6BA33A98"/>
    <w:rsid w:val="6BAC2823"/>
    <w:rsid w:val="6BB32772"/>
    <w:rsid w:val="6BBD5024"/>
    <w:rsid w:val="6BF37DF1"/>
    <w:rsid w:val="6BF863D7"/>
    <w:rsid w:val="6C2076DB"/>
    <w:rsid w:val="6C255C39"/>
    <w:rsid w:val="6C272818"/>
    <w:rsid w:val="6C2E1DF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1327E"/>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3B4F58"/>
    <w:rsid w:val="6F40631D"/>
    <w:rsid w:val="6F444552"/>
    <w:rsid w:val="6F452492"/>
    <w:rsid w:val="6F4E1ABB"/>
    <w:rsid w:val="6F5953DE"/>
    <w:rsid w:val="6F5C03A9"/>
    <w:rsid w:val="6F5F03D4"/>
    <w:rsid w:val="6F5F10A7"/>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20DC1"/>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C0208"/>
    <w:rsid w:val="728E7595"/>
    <w:rsid w:val="72A70177"/>
    <w:rsid w:val="72CD2240"/>
    <w:rsid w:val="72DC19E2"/>
    <w:rsid w:val="72E871A5"/>
    <w:rsid w:val="72EC4E12"/>
    <w:rsid w:val="72F6484A"/>
    <w:rsid w:val="731F693F"/>
    <w:rsid w:val="73245DD0"/>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73CFD"/>
    <w:rsid w:val="742A10F7"/>
    <w:rsid w:val="74377094"/>
    <w:rsid w:val="746565D3"/>
    <w:rsid w:val="74694C3B"/>
    <w:rsid w:val="746A6AAD"/>
    <w:rsid w:val="746E74A8"/>
    <w:rsid w:val="747A4FBC"/>
    <w:rsid w:val="7487654A"/>
    <w:rsid w:val="748B466B"/>
    <w:rsid w:val="749018A2"/>
    <w:rsid w:val="74987BF9"/>
    <w:rsid w:val="74A6176B"/>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D3662B"/>
    <w:rsid w:val="75E27D49"/>
    <w:rsid w:val="760342F6"/>
    <w:rsid w:val="760D6BC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D4E4C"/>
    <w:rsid w:val="775F421B"/>
    <w:rsid w:val="776668EA"/>
    <w:rsid w:val="777C1603"/>
    <w:rsid w:val="777D1E86"/>
    <w:rsid w:val="77814A03"/>
    <w:rsid w:val="77892A1A"/>
    <w:rsid w:val="77A14CDE"/>
    <w:rsid w:val="77AA2F7D"/>
    <w:rsid w:val="77BE04D4"/>
    <w:rsid w:val="77C96BD3"/>
    <w:rsid w:val="77D17C4B"/>
    <w:rsid w:val="77E616E5"/>
    <w:rsid w:val="77F263D0"/>
    <w:rsid w:val="78266CE5"/>
    <w:rsid w:val="7827421F"/>
    <w:rsid w:val="782B4A23"/>
    <w:rsid w:val="78302F8F"/>
    <w:rsid w:val="784117AB"/>
    <w:rsid w:val="78510397"/>
    <w:rsid w:val="78552936"/>
    <w:rsid w:val="786D1EFA"/>
    <w:rsid w:val="78731F0E"/>
    <w:rsid w:val="78754CBA"/>
    <w:rsid w:val="78922723"/>
    <w:rsid w:val="789456D9"/>
    <w:rsid w:val="78962FA5"/>
    <w:rsid w:val="78AA0A59"/>
    <w:rsid w:val="78C148AC"/>
    <w:rsid w:val="78C53AE4"/>
    <w:rsid w:val="78CA1FEE"/>
    <w:rsid w:val="78CB3FEB"/>
    <w:rsid w:val="78CE219D"/>
    <w:rsid w:val="78CF04BF"/>
    <w:rsid w:val="78FA04B4"/>
    <w:rsid w:val="79053EE1"/>
    <w:rsid w:val="79346574"/>
    <w:rsid w:val="793B5CE2"/>
    <w:rsid w:val="794762A8"/>
    <w:rsid w:val="794C1437"/>
    <w:rsid w:val="795C411F"/>
    <w:rsid w:val="796834B3"/>
    <w:rsid w:val="797B3C8A"/>
    <w:rsid w:val="797F45FC"/>
    <w:rsid w:val="79970647"/>
    <w:rsid w:val="79A81CC2"/>
    <w:rsid w:val="79C2242D"/>
    <w:rsid w:val="79C97604"/>
    <w:rsid w:val="79D9682C"/>
    <w:rsid w:val="79DB75C0"/>
    <w:rsid w:val="79E37881"/>
    <w:rsid w:val="79E4486C"/>
    <w:rsid w:val="79EA2E0E"/>
    <w:rsid w:val="79ED08FA"/>
    <w:rsid w:val="79ED6E4F"/>
    <w:rsid w:val="7A044199"/>
    <w:rsid w:val="7A067AFA"/>
    <w:rsid w:val="7A0C585A"/>
    <w:rsid w:val="7A0D5743"/>
    <w:rsid w:val="7A2C5699"/>
    <w:rsid w:val="7A2C7450"/>
    <w:rsid w:val="7A326B5A"/>
    <w:rsid w:val="7A4E3666"/>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A0BB6"/>
    <w:rsid w:val="7B7B20CE"/>
    <w:rsid w:val="7B7F3C83"/>
    <w:rsid w:val="7B8E1216"/>
    <w:rsid w:val="7B9A1345"/>
    <w:rsid w:val="7BC36A67"/>
    <w:rsid w:val="7BC4600E"/>
    <w:rsid w:val="7BC71922"/>
    <w:rsid w:val="7BCA6C86"/>
    <w:rsid w:val="7BDF6C6B"/>
    <w:rsid w:val="7BF42D23"/>
    <w:rsid w:val="7BFF2E69"/>
    <w:rsid w:val="7C003703"/>
    <w:rsid w:val="7C044924"/>
    <w:rsid w:val="7C044DA1"/>
    <w:rsid w:val="7C084243"/>
    <w:rsid w:val="7C0861C2"/>
    <w:rsid w:val="7C224DAA"/>
    <w:rsid w:val="7C2942B5"/>
    <w:rsid w:val="7C365DE1"/>
    <w:rsid w:val="7C5112EB"/>
    <w:rsid w:val="7C6453C2"/>
    <w:rsid w:val="7C8B1F44"/>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37838"/>
    <w:rsid w:val="7E391FE6"/>
    <w:rsid w:val="7E655B4E"/>
    <w:rsid w:val="7E916762"/>
    <w:rsid w:val="7EA45F4A"/>
    <w:rsid w:val="7EA916FD"/>
    <w:rsid w:val="7EAB552B"/>
    <w:rsid w:val="7EBD0F6E"/>
    <w:rsid w:val="7EC96455"/>
    <w:rsid w:val="7EE53C64"/>
    <w:rsid w:val="7F271155"/>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0F37"/>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next w:val="1"/>
    <w:qFormat/>
    <w:uiPriority w:val="0"/>
    <w:pPr>
      <w:widowControl/>
      <w:snapToGrid w:val="0"/>
    </w:pPr>
    <w:rPr>
      <w:rFonts w:ascii="Arial" w:hAnsi="Arial" w:eastAsia="宋体" w:cs="Times New Roman"/>
      <w:kern w:val="0"/>
      <w:szCs w:val="21"/>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9"/>
    <w:qFormat/>
    <w:uiPriority w:val="0"/>
    <w:pPr>
      <w:ind w:firstLine="420"/>
    </w:pPr>
    <w:rPr>
      <w:rFonts w:eastAsia="宋体"/>
      <w:sz w:val="24"/>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TOC 3"/>
    <w:basedOn w:val="1"/>
    <w:next w:val="1"/>
    <w:qFormat/>
    <w:uiPriority w:val="39"/>
    <w:pPr>
      <w:ind w:left="840" w:leftChars="400"/>
    </w:pPr>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 w:type="character" w:customStyle="1" w:styleId="34">
    <w:name w:val="font51"/>
    <w:basedOn w:val="20"/>
    <w:qFormat/>
    <w:uiPriority w:val="0"/>
    <w:rPr>
      <w:rFonts w:hint="eastAsia" w:ascii="宋体" w:hAnsi="宋体" w:eastAsia="宋体" w:cs="宋体"/>
      <w:color w:val="000000"/>
      <w:sz w:val="18"/>
      <w:szCs w:val="18"/>
      <w:u w:val="none"/>
    </w:rPr>
  </w:style>
  <w:style w:type="character" w:customStyle="1" w:styleId="35">
    <w:name w:val="font41"/>
    <w:basedOn w:val="20"/>
    <w:qFormat/>
    <w:uiPriority w:val="0"/>
    <w:rPr>
      <w:rFonts w:hint="default" w:ascii="宋体 ( 正文 )" w:hAnsi="宋体 ( 正文 )" w:eastAsia="宋体 ( 正文 )" w:cs="宋体 ( 正文 )"/>
      <w:color w:val="000000"/>
      <w:sz w:val="18"/>
      <w:szCs w:val="18"/>
      <w:u w:val="none"/>
    </w:rPr>
  </w:style>
  <w:style w:type="character" w:customStyle="1" w:styleId="36">
    <w:name w:val="font61"/>
    <w:basedOn w:val="20"/>
    <w:qFormat/>
    <w:uiPriority w:val="0"/>
    <w:rPr>
      <w:rFonts w:hint="default" w:ascii="宋体 ( 正文 )" w:hAnsi="宋体 ( 正文 )" w:eastAsia="宋体 ( 正文 )" w:cs="宋体 ( 正文 )"/>
      <w:b/>
      <w:bCs/>
      <w:color w:val="000000"/>
      <w:sz w:val="18"/>
      <w:szCs w:val="18"/>
      <w:u w:val="none"/>
    </w:rPr>
  </w:style>
  <w:style w:type="character" w:customStyle="1" w:styleId="37">
    <w:name w:val="font71"/>
    <w:basedOn w:val="20"/>
    <w:qFormat/>
    <w:uiPriority w:val="0"/>
    <w:rPr>
      <w:rFonts w:hint="eastAsia" w:ascii="宋体" w:hAnsi="宋体" w:eastAsia="宋体" w:cs="宋体"/>
      <w:b/>
      <w:bCs/>
      <w:color w:val="000000"/>
      <w:sz w:val="20"/>
      <w:szCs w:val="20"/>
      <w:u w:val="none"/>
    </w:rPr>
  </w:style>
  <w:style w:type="character" w:customStyle="1" w:styleId="38">
    <w:name w:val="font81"/>
    <w:basedOn w:val="2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7384</Words>
  <Characters>8248</Characters>
  <Lines>0</Lines>
  <Paragraphs>0</Paragraphs>
  <TotalTime>1</TotalTime>
  <ScaleCrop>false</ScaleCrop>
  <LinksUpToDate>false</LinksUpToDate>
  <CharactersWithSpaces>8441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2025-11-14T07:37:00Z</cp:lastPrinted>
  <dcterms:modified xsi:type="dcterms:W3CDTF">2025-11-14T08:22:55Z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C943DEDE389E4470B202F48FA5524ADE_13</vt:lpwstr>
  </property>
  <property fmtid="{D5CDD505-2E9C-101B-9397-08002B2CF9AE}" pid="4" name="KSOTemplateDocerSaveRecord">
    <vt:lpwstr>eyJoZGlkIjoiODQ5NjkzN2ZlZjQxZjYzMzcyZDI3NmZhNzYzYWFlNDAiLCJ1c2VySWQiOiI0MjMyNDI2MzkifQ==</vt:lpwstr>
  </property>
</Properties>
</file>