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亳州市城市重点区域交通补短板项目-涡阳路（利辛路-和平路）、新华北路（和平路-香附路）更新改造工程设计施工总承包交通工程专业分包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AHTKJS-2025-91号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亳州市城市重点区域交通补短板项目-涡阳路（利辛路-和平路）、新华北路（和平路-香附路）更新改造工程设计施工总承包交通工程专业分包</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亳州市城市重点区域交通补短板项目-涡阳路（利辛路-和平路）、新华北路（和平路-香附路）更新改造工程设计施工总承包交通工程专业分包</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AHTKJS-2025-91号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1808427元</w:t>
      </w:r>
      <w:r>
        <w:rPr>
          <w:rFonts w:hint="eastAsia" w:ascii="宋体" w:hAnsi="宋体" w:cs="宋体"/>
          <w:sz w:val="28"/>
          <w:szCs w:val="28"/>
          <w:lang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eastAsiaTheme="minorEastAsia" w:cstheme="minorEastAsia"/>
          <w:kern w:val="2"/>
          <w:sz w:val="28"/>
          <w:szCs w:val="28"/>
          <w:highlight w:val="none"/>
          <w:lang w:val="en-US" w:eastAsia="zh-CN"/>
        </w:rPr>
        <w:t>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overflowPunct/>
        <w:topLinePunct w:val="0"/>
        <w:autoSpaceDE/>
        <w:autoSpaceDN/>
        <w:bidi w:val="0"/>
        <w:adjustRightInd/>
        <w:snapToGrid/>
        <w:spacing w:line="440" w:lineRule="exact"/>
        <w:ind w:left="0" w:leftChars="0" w:firstLine="560" w:firstLineChars="200"/>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b w:val="0"/>
          <w:bCs w:val="0"/>
          <w:sz w:val="28"/>
          <w:szCs w:val="28"/>
          <w:highlight w:val="none"/>
          <w:lang w:val="en-US" w:eastAsia="zh-CN"/>
        </w:rPr>
        <w:t>本次采购范围为</w:t>
      </w:r>
      <w:r>
        <w:rPr>
          <w:rFonts w:hint="default" w:asciiTheme="minorEastAsia" w:hAnsiTheme="minorEastAsia" w:eastAsiaTheme="minorEastAsia" w:cstheme="minorEastAsia"/>
          <w:b w:val="0"/>
          <w:bCs w:val="0"/>
          <w:sz w:val="28"/>
          <w:szCs w:val="28"/>
          <w:highlight w:val="none"/>
          <w:lang w:val="en-US" w:eastAsia="zh-CN"/>
        </w:rPr>
        <w:t>涡阳路（利辛路-和平路）、新华北路（和平路-香附路）更新改造工程</w:t>
      </w:r>
      <w:r>
        <w:rPr>
          <w:rFonts w:hint="eastAsia" w:asciiTheme="minorEastAsia" w:hAnsiTheme="minorEastAsia" w:eastAsiaTheme="minorEastAsia" w:cstheme="minorEastAsia"/>
          <w:b w:val="0"/>
          <w:bCs w:val="0"/>
          <w:sz w:val="28"/>
          <w:szCs w:val="28"/>
          <w:highlight w:val="none"/>
          <w:lang w:val="en-US" w:eastAsia="zh-CN"/>
        </w:rPr>
        <w:t>提供交通工程专业分包施工，包括但不限于凸起型反光标线、反光标线、标记、导向箭头标线、停车位标线等，具体内容详见采购清单。</w:t>
      </w:r>
    </w:p>
    <w:permEnd w:id="9"/>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b w:val="0"/>
          <w:bCs w:val="0"/>
          <w:sz w:val="28"/>
          <w:szCs w:val="28"/>
          <w:highlight w:val="none"/>
          <w:lang w:val="en-US" w:eastAsia="zh-CN"/>
        </w:rPr>
        <w:t>自合同签订之日起180日历天（暂定）。</w:t>
      </w:r>
      <w:permEnd w:id="10"/>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（三）建设地点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亳州市谯城区涡阳路（利辛路-和平路）、新华北路（和平路-香附路）。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kern w:val="2"/>
          <w:sz w:val="28"/>
          <w:szCs w:val="28"/>
          <w:highlight w:val="none"/>
          <w:lang w:val="en-US" w:eastAsia="zh-CN"/>
        </w:rPr>
        <w:t>具有独立法人资格，并在人员、设备、施工机具、资金等方面具有承担本工程项目的能力；</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lang w:val="en-US" w:eastAsia="zh-CN"/>
        </w:rPr>
      </w:pPr>
      <w:r>
        <w:rPr>
          <w:rFonts w:hint="eastAsia" w:asciiTheme="minorEastAsia" w:hAnsiTheme="minorEastAsia" w:eastAsiaTheme="minorEastAsia" w:cstheme="minorEastAsia"/>
          <w:kern w:val="2"/>
          <w:sz w:val="28"/>
          <w:szCs w:val="28"/>
          <w:highlight w:val="none"/>
          <w:lang w:val="en-US" w:eastAsia="zh-CN"/>
        </w:rPr>
        <w:t>（二）资质要求：具有公路交通工程专业承包（公路安全设施分项）二级资质及以上资质，并具有有效的安全生产许可证。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宋体" w:hAnsi="宋体" w:eastAsia="宋体" w:cs="宋体"/>
          <w:color w:val="FF0000"/>
          <w:kern w:val="2"/>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（三）</w:t>
      </w:r>
      <w:r>
        <w:rPr>
          <w:rFonts w:hint="eastAsia" w:asciiTheme="minorEastAsia" w:hAnsiTheme="minorEastAsia" w:eastAsiaTheme="minorEastAsia" w:cstheme="minorEastAsia"/>
          <w:color w:val="FF0000"/>
          <w:kern w:val="2"/>
          <w:sz w:val="28"/>
          <w:szCs w:val="28"/>
          <w:highlight w:val="none"/>
          <w:lang w:val="en-US" w:eastAsia="zh-CN"/>
        </w:rPr>
        <w:t>业绩要求：</w:t>
      </w:r>
      <w:r>
        <w:rPr>
          <w:rFonts w:hint="eastAsia" w:asciiTheme="minorEastAsia" w:hAnsiTheme="minorEastAsia" w:eastAsiaTheme="minorEastAsia" w:cstheme="minorEastAsia"/>
          <w:color w:val="FF0000"/>
          <w:sz w:val="28"/>
          <w:szCs w:val="28"/>
          <w:highlight w:val="none"/>
          <w:lang w:val="en-US" w:eastAsia="zh-CN"/>
        </w:rPr>
        <w:t>提供 2022年至今企业类似项目业绩 1 个，以合同签订时间为准。类似项目业绩指：合同金额不低于</w:t>
      </w:r>
      <w:r>
        <w:rPr>
          <w:rFonts w:hint="eastAsia" w:asciiTheme="minorEastAsia" w:hAnsiTheme="minorEastAsia" w:eastAsiaTheme="minorEastAsia" w:cstheme="minorEastAsia"/>
          <w:color w:val="FF0000"/>
          <w:sz w:val="28"/>
          <w:szCs w:val="28"/>
          <w:highlight w:val="none"/>
          <w:u w:val="single"/>
          <w:lang w:val="en-US" w:eastAsia="zh-CN"/>
        </w:rPr>
        <w:t>110</w:t>
      </w:r>
      <w:r>
        <w:rPr>
          <w:rFonts w:hint="eastAsia" w:asciiTheme="minorEastAsia" w:hAnsiTheme="minorEastAsia" w:eastAsiaTheme="minorEastAsia" w:cstheme="minorEastAsia"/>
          <w:color w:val="FF0000"/>
          <w:sz w:val="28"/>
          <w:szCs w:val="28"/>
          <w:highlight w:val="none"/>
          <w:lang w:val="en-US" w:eastAsia="zh-CN"/>
        </w:rPr>
        <w:t>万元的道路标线专业分包业绩或标线劳务施划施工业绩。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2"/>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4"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11</w:t>
      </w:r>
      <w:r>
        <w:rPr>
          <w:rFonts w:hint="eastAsia" w:asciiTheme="minorEastAsia" w:hAnsiTheme="minorEastAsia" w:cstheme="minorEastAsia"/>
          <w:sz w:val="28"/>
          <w:szCs w:val="28"/>
          <w:highlight w:val="none"/>
          <w:lang w:val="en-US" w:eastAsia="zh-CN"/>
        </w:rPr>
        <w:t xml:space="preserve">月  </w:t>
      </w:r>
      <w:bookmarkStart w:id="323" w:name="_GoBack"/>
      <w:bookmarkEnd w:id="323"/>
      <w:r>
        <w:rPr>
          <w:rFonts w:hint="eastAsia" w:asciiTheme="minorEastAsia" w:hAnsi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4"/>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5"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6" w:edGrp="everyone"/>
      <w:r>
        <w:rPr>
          <w:rFonts w:hint="eastAsia" w:asciiTheme="minorEastAsia" w:hAnsiTheme="minorEastAsia" w:cstheme="minorEastAsia"/>
          <w:sz w:val="28"/>
          <w:szCs w:val="28"/>
          <w:highlight w:val="none"/>
          <w:u w:val="single"/>
          <w:lang w:val="en-US" w:eastAsia="zh-CN"/>
        </w:rPr>
        <w:t>36000.00元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 xml:space="preserve">纪经理 </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18756795976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9"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13</w:t>
      </w:r>
      <w:r>
        <w:rPr>
          <w:rFonts w:hint="eastAsia" w:asciiTheme="minorEastAsia" w:hAnsiTheme="minorEastAsia" w:eastAsiaTheme="minorEastAsia" w:cstheme="minorEastAsia"/>
          <w:color w:val="FF0000"/>
          <w:sz w:val="28"/>
          <w:szCs w:val="28"/>
          <w:highlight w:val="none"/>
          <w:lang w:val="en-US" w:eastAsia="zh-CN"/>
        </w:rPr>
        <w:t>日</w:t>
      </w:r>
      <w:permEnd w:id="19"/>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2"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20</w:t>
            </w:r>
            <w:r>
              <w:rPr>
                <w:rFonts w:hint="eastAsia" w:ascii="Times New Roman" w:hAnsi="Times New Roman" w:cs="Times New Roman"/>
                <w:b/>
                <w:bCs/>
                <w:color w:val="FF0000"/>
                <w:szCs w:val="21"/>
                <w:highlight w:val="none"/>
                <w:u w:val="none"/>
                <w:lang w:val="en-US" w:eastAsia="zh-CN"/>
              </w:rPr>
              <w:t>日前</w:t>
            </w:r>
            <w:permEnd w:id="2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5"/>
            <w:r>
              <w:rPr>
                <w:rFonts w:hint="default" w:ascii="Times New Roman" w:hAnsi="Times New Roman" w:cs="Times New Roman"/>
                <w:szCs w:val="21"/>
                <w:highlight w:val="none"/>
              </w:rPr>
              <w:t>的形式：</w:t>
            </w:r>
            <w:permStart w:id="26" w:edGrp="everyone"/>
            <w:r>
              <w:rPr>
                <w:rFonts w:hint="default" w:ascii="Times New Roman" w:hAnsi="Times New Roman" w:cs="Times New Roman"/>
                <w:b/>
                <w:bCs/>
                <w:color w:val="FF0000"/>
                <w:szCs w:val="21"/>
                <w:highlight w:val="none"/>
              </w:rPr>
              <w:t>银行汇款或转账</w:t>
            </w:r>
            <w:permEnd w:id="26"/>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7" w:edGrp="everyone"/>
            <w:r>
              <w:rPr>
                <w:rFonts w:hint="eastAsia" w:ascii="Times New Roman" w:hAnsi="Times New Roman" w:cs="Times New Roman"/>
                <w:b/>
                <w:bCs/>
                <w:color w:val="FF0000"/>
                <w:szCs w:val="21"/>
                <w:highlight w:val="none"/>
                <w:u w:val="single"/>
                <w:lang w:val="en-US" w:eastAsia="zh-CN"/>
              </w:rPr>
              <w:t xml:space="preserve">36000.00元  </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b/>
                <w:bCs/>
                <w:color w:val="FF0000"/>
                <w:szCs w:val="21"/>
                <w:highlight w:val="none"/>
                <w:lang w:val="en-US" w:eastAsia="zh-CN"/>
              </w:rPr>
              <w:t>AHTKJS-2025-91号保证金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9"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9"/>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亳州市城市重点区域交通补短板项目-涡阳路（利辛路-和平路）、新华北路（和平路-香附路）更新改造工程设计施工总承包交通工程专业分包</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项目编号：AHTKJS-2025-91号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5"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144974500"/>
      <w:bookmarkStart w:id="2" w:name="_Toc152042308"/>
      <w:bookmarkStart w:id="3" w:name="_Toc246996178"/>
      <w:bookmarkStart w:id="4" w:name="_Toc296602423"/>
      <w:bookmarkStart w:id="5" w:name="_Toc247085692"/>
      <w:bookmarkStart w:id="6" w:name="_Toc179632549"/>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152045536"/>
      <w:bookmarkStart w:id="10" w:name="_Toc246996924"/>
      <w:bookmarkStart w:id="11" w:name="_Toc152042312"/>
      <w:bookmarkStart w:id="12" w:name="_Toc246996181"/>
      <w:bookmarkStart w:id="13" w:name="_Toc144974504"/>
      <w:bookmarkStart w:id="14" w:name="_Toc296602426"/>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246996925"/>
      <w:bookmarkStart w:id="19" w:name="_Toc152045537"/>
      <w:bookmarkStart w:id="20" w:name="_Toc296602427"/>
      <w:bookmarkStart w:id="21" w:name="_Toc152042313"/>
      <w:bookmarkStart w:id="22" w:name="_Toc247085696"/>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246996183"/>
      <w:bookmarkStart w:id="26" w:name="_Toc246996926"/>
      <w:bookmarkStart w:id="27" w:name="_Toc247085697"/>
      <w:bookmarkStart w:id="28" w:name="_Toc152045538"/>
      <w:bookmarkStart w:id="29" w:name="_Toc152042314"/>
      <w:bookmarkStart w:id="30"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152042318"/>
      <w:bookmarkStart w:id="33" w:name="_Toc152045542"/>
      <w:bookmarkStart w:id="34" w:name="_Toc179632560"/>
      <w:bookmarkStart w:id="35" w:name="_Toc144974510"/>
      <w:bookmarkStart w:id="36" w:name="_Toc247085701"/>
      <w:bookmarkStart w:id="37" w:name="_Toc296602432"/>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46996188"/>
      <w:bookmarkStart w:id="41" w:name="_Toc144974511"/>
      <w:bookmarkStart w:id="42" w:name="_Toc246996931"/>
      <w:bookmarkStart w:id="43" w:name="_Toc247085702"/>
      <w:bookmarkStart w:id="44" w:name="_Toc296602433"/>
      <w:bookmarkStart w:id="45" w:name="_Toc152045543"/>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2"/>
      <w:bookmarkStart w:id="48" w:name="_Toc152045544"/>
      <w:bookmarkStart w:id="49" w:name="_Toc144974512"/>
      <w:bookmarkStart w:id="50" w:name="_Toc246996189"/>
      <w:bookmarkStart w:id="51" w:name="_Toc152042320"/>
      <w:bookmarkStart w:id="52" w:name="_Toc296602434"/>
      <w:bookmarkStart w:id="53" w:name="_Toc247085703"/>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152042321"/>
      <w:bookmarkStart w:id="57" w:name="_Toc246996190"/>
      <w:bookmarkStart w:id="58" w:name="_Toc246996933"/>
      <w:bookmarkStart w:id="59" w:name="_Toc144974513"/>
      <w:bookmarkStart w:id="60" w:name="_Toc296602435"/>
      <w:bookmarkStart w:id="61" w:name="_Toc247085704"/>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246996191"/>
      <w:bookmarkStart w:id="65" w:name="_Toc152042322"/>
      <w:bookmarkStart w:id="66" w:name="_Toc246996934"/>
      <w:bookmarkStart w:id="67" w:name="_Toc247085705"/>
      <w:bookmarkStart w:id="68" w:name="_Toc144974514"/>
      <w:bookmarkStart w:id="69" w:name="_Toc179632564"/>
      <w:bookmarkStart w:id="70"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5547"/>
      <w:bookmarkStart w:id="73" w:name="_Toc296602437"/>
      <w:bookmarkStart w:id="74" w:name="_Toc179632565"/>
      <w:bookmarkStart w:id="75" w:name="_Toc246996935"/>
      <w:bookmarkStart w:id="76" w:name="_Toc152042323"/>
      <w:bookmarkStart w:id="77" w:name="_Toc144974515"/>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52045548"/>
      <w:bookmarkStart w:id="81" w:name="_Toc179632566"/>
      <w:bookmarkStart w:id="82" w:name="_Toc144974516"/>
      <w:bookmarkStart w:id="83" w:name="_Toc296602438"/>
      <w:bookmarkStart w:id="84" w:name="_Toc246996936"/>
      <w:bookmarkStart w:id="85" w:name="_Toc247085707"/>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79632567"/>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247085713"/>
      <w:bookmarkStart w:id="97" w:name="_Toc152042331"/>
      <w:bookmarkStart w:id="98" w:name="_Toc152045555"/>
      <w:bookmarkStart w:id="99" w:name="_Toc179632573"/>
      <w:bookmarkStart w:id="100" w:name="_Toc144974523"/>
      <w:bookmarkStart w:id="101" w:name="_Toc246996942"/>
      <w:bookmarkStart w:id="102" w:name="_Toc29660244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43"/>
      <w:bookmarkStart w:id="104" w:name="_Toc296602444"/>
      <w:bookmarkStart w:id="105" w:name="_Toc247085714"/>
      <w:bookmarkStart w:id="106" w:name="_Toc246996200"/>
      <w:bookmarkStart w:id="107" w:name="_Toc152042332"/>
      <w:bookmarkStart w:id="108" w:name="_Toc144974524"/>
      <w:bookmarkStart w:id="109" w:name="_Toc152045556"/>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44974525"/>
      <w:bookmarkStart w:id="113" w:name="_Toc152042333"/>
      <w:bookmarkStart w:id="114" w:name="_Toc246996201"/>
      <w:bookmarkStart w:id="115" w:name="_Toc179632575"/>
      <w:bookmarkStart w:id="116" w:name="_Toc24708571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246996202"/>
      <w:bookmarkStart w:id="120" w:name="_Toc246996945"/>
      <w:bookmarkStart w:id="121" w:name="_Toc296602446"/>
      <w:bookmarkStart w:id="122" w:name="_Toc152042334"/>
      <w:bookmarkStart w:id="123" w:name="_Toc179632576"/>
      <w:bookmarkStart w:id="124" w:name="_Toc247085716"/>
      <w:bookmarkStart w:id="125" w:name="_Toc14497452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79632577"/>
      <w:bookmarkStart w:id="128" w:name="_Toc246996946"/>
      <w:bookmarkStart w:id="129" w:name="_Toc152042335"/>
      <w:bookmarkStart w:id="130" w:name="_Toc296602447"/>
      <w:bookmarkStart w:id="131" w:name="_Toc247085717"/>
      <w:bookmarkStart w:id="132" w:name="_Toc14497452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52045560"/>
      <w:bookmarkStart w:id="136" w:name="_Toc247085718"/>
      <w:bookmarkStart w:id="137" w:name="_Toc144974528"/>
      <w:bookmarkStart w:id="138" w:name="_Toc179632578"/>
      <w:bookmarkStart w:id="139" w:name="_Toc246996947"/>
      <w:bookmarkStart w:id="140" w:name="_Toc152042336"/>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79632579"/>
      <w:bookmarkStart w:id="144" w:name="_Toc246996948"/>
      <w:bookmarkStart w:id="145" w:name="_Toc247085719"/>
      <w:bookmarkStart w:id="146" w:name="_Toc246996205"/>
      <w:bookmarkStart w:id="147" w:name="_Toc144974529"/>
      <w:bookmarkStart w:id="148" w:name="_Toc152042337"/>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152045563"/>
      <w:bookmarkStart w:id="152" w:name="_Toc144974531"/>
      <w:bookmarkStart w:id="153" w:name="_Toc246996207"/>
      <w:bookmarkStart w:id="154" w:name="_Toc152042339"/>
      <w:bookmarkStart w:id="155" w:name="_Toc246996950"/>
      <w:bookmarkStart w:id="156" w:name="_Toc247085721"/>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96602455"/>
      <w:bookmarkStart w:id="160" w:name="_Toc144974534"/>
      <w:bookmarkStart w:id="161" w:name="_Toc152045566"/>
      <w:bookmarkStart w:id="162" w:name="_Toc152042342"/>
      <w:bookmarkStart w:id="163" w:name="_Toc246996210"/>
      <w:bookmarkStart w:id="164" w:name="_Toc24708572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152042343"/>
      <w:bookmarkStart w:id="168" w:name="_Toc246996211"/>
      <w:bookmarkStart w:id="169" w:name="_Toc296602456"/>
      <w:bookmarkStart w:id="170" w:name="_Toc246996954"/>
      <w:bookmarkStart w:id="171" w:name="_Toc247085725"/>
      <w:bookmarkStart w:id="172" w:name="_Toc152045567"/>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144974536"/>
      <w:bookmarkStart w:id="177" w:name="_Toc179632586"/>
      <w:bookmarkStart w:id="178" w:name="_Toc296602458"/>
      <w:bookmarkStart w:id="179" w:name="_Toc247085726"/>
      <w:bookmarkStart w:id="180" w:name="_Toc246996212"/>
      <w:bookmarkStart w:id="181" w:name="_Toc246996955"/>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152045569"/>
      <w:bookmarkStart w:id="185" w:name="_Toc247085727"/>
      <w:bookmarkStart w:id="186" w:name="_Toc246996956"/>
      <w:bookmarkStart w:id="187" w:name="_Toc296602459"/>
      <w:bookmarkStart w:id="188" w:name="_Toc152042345"/>
      <w:bookmarkStart w:id="189" w:name="_Toc144974537"/>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246996219"/>
      <w:bookmarkStart w:id="194" w:name="_Toc179632593"/>
      <w:bookmarkStart w:id="195" w:name="_Toc296590983"/>
      <w:bookmarkStart w:id="196" w:name="_Toc152042351"/>
      <w:bookmarkStart w:id="197" w:name="_Toc152045575"/>
      <w:bookmarkStart w:id="198" w:name="_Toc296602462"/>
      <w:bookmarkStart w:id="199" w:name="_Toc246996962"/>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144974544"/>
      <w:bookmarkStart w:id="202" w:name="_Toc246996220"/>
      <w:bookmarkStart w:id="203" w:name="_Toc247085734"/>
      <w:bookmarkStart w:id="204" w:name="_Toc246996963"/>
      <w:bookmarkStart w:id="205" w:name="_Toc296602463"/>
      <w:bookmarkStart w:id="206" w:name="_Toc152045576"/>
      <w:bookmarkStart w:id="207" w:name="_Toc179632594"/>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79632595"/>
      <w:bookmarkStart w:id="210" w:name="_Toc247085735"/>
      <w:bookmarkStart w:id="211" w:name="_Toc296602464"/>
      <w:bookmarkStart w:id="212" w:name="_Toc246996221"/>
      <w:bookmarkStart w:id="213" w:name="_Toc152042353"/>
      <w:bookmarkStart w:id="214" w:name="_Toc152045577"/>
      <w:bookmarkStart w:id="215" w:name="_Toc144974545"/>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47085747"/>
            <w:bookmarkStart w:id="219" w:name="_Toc152045589"/>
            <w:bookmarkStart w:id="220" w:name="_Toc179632607"/>
            <w:bookmarkStart w:id="221" w:name="_Toc246996232"/>
            <w:bookmarkStart w:id="222" w:name="_Toc296602477"/>
            <w:bookmarkStart w:id="223" w:name="_Toc246996975"/>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144974560"/>
      <w:bookmarkStart w:id="226" w:name="_Toc179632611"/>
      <w:bookmarkStart w:id="227" w:name="_Toc246996979"/>
      <w:bookmarkStart w:id="228" w:name="_Toc152045593"/>
      <w:bookmarkStart w:id="229" w:name="_Toc152042370"/>
      <w:bookmarkStart w:id="230" w:name="_Toc246996236"/>
      <w:bookmarkStart w:id="231" w:name="_Toc296602481"/>
      <w:bookmarkStart w:id="232" w:name="_Toc247085751"/>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7085754"/>
      <w:bookmarkStart w:id="235" w:name="_Toc246996982"/>
      <w:bookmarkStart w:id="236" w:name="_Toc296602484"/>
      <w:bookmarkStart w:id="237" w:name="_Toc179632614"/>
      <w:bookmarkStart w:id="238" w:name="_Toc152045596"/>
      <w:bookmarkStart w:id="239" w:name="_Toc246996239"/>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进度款（含农民工工资，下同）按月支付，根据成交人每月实际完成合格工程量，采购人次月向成交人支付上月实际完成合格工程量价款的70%;工程竣工验收合格，经采购人审核后，支付至已完成合格工程量价款的 85%；工程竣工备案完成、竣工资料移交发包人、承包人报送本项目竣工结算资料并经建设单位委托的第三方协审单位审核完成后，支付至审定合格工程量价款的的 97%；余款3%作为质保金，待质保期满且无质量问题或质量问题已解决后无息支付。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w:t>
            </w:r>
            <w:r>
              <w:rPr>
                <w:rFonts w:hint="eastAsia" w:ascii="仿宋_GB2312" w:hAnsi="仿宋_GB2312" w:cs="仿宋_GB2312"/>
                <w:b w:val="0"/>
                <w:bCs w:val="0"/>
                <w:sz w:val="24"/>
                <w:szCs w:val="24"/>
                <w:lang w:val="en-US" w:eastAsia="zh-CN"/>
              </w:rPr>
              <w:t>工程竣工验收合格之日起2年。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所有款项支付，采购人应与成交人委托的代理人签字确认付款对象、方式和金额后，视采购人资金状况向成交人分期支付，根据风险分担原则，发生下列情形之一的，采购人有权对应支付给成交人的款额和期限作相应调整和顺延或采取其他相应解决措施，并不承担由此而产生的违约责任和利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1.工程建设单位（即：发包人、业主）未将工程款按约支付给采购人；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2.成交人因履行本合同与第三人签订的聘用、雇佣等劳动合同、租赁、买卖等经济合同已经或可能发生纠纷，且成交人依法应当承担合同债务而未妥善处理的；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3.成交人在履行与采购人签订的合同期间，因发生侵权纠纷、工伤、交通等事故，且成交人依法应当承担责任而未妥善处理的；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4.成交人擅自使用采购人企业和（或）其项目经理部、队部等名称、名义对外进行经济活动被采购人发现的；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5.成交人实施其他损害采购人权益行为的。</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26"/>
        <w:gridCol w:w="1621"/>
        <w:gridCol w:w="995"/>
        <w:gridCol w:w="527"/>
        <w:gridCol w:w="965"/>
        <w:gridCol w:w="1735"/>
        <w:gridCol w:w="1621"/>
        <w:gridCol w:w="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0" w:hRule="atLeast"/>
        </w:trPr>
        <w:tc>
          <w:tcPr>
            <w:tcW w:w="5000" w:type="pct"/>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亳州市城市重点区域交通补短板项目-新华北路改造工程交通工程采购清单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309" w:type="pct"/>
            <w:shd w:val="clear" w:color="auto" w:fill="auto"/>
            <w:noWrap/>
            <w:vAlign w:val="center"/>
          </w:tcPr>
          <w:p>
            <w:pPr>
              <w:keepNext w:val="0"/>
              <w:keepLines w:val="0"/>
              <w:widowControl/>
              <w:suppressLineNumbers w:val="0"/>
              <w:ind w:left="0" w:leftChars="0" w:firstLine="0" w:firstLineChars="0"/>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序号</w:t>
            </w:r>
          </w:p>
        </w:tc>
        <w:tc>
          <w:tcPr>
            <w:tcW w:w="951" w:type="pct"/>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项目名称</w:t>
            </w:r>
          </w:p>
        </w:tc>
        <w:tc>
          <w:tcPr>
            <w:tcW w:w="584" w:type="pct"/>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施工内容</w:t>
            </w:r>
          </w:p>
        </w:tc>
        <w:tc>
          <w:tcPr>
            <w:tcW w:w="309" w:type="pct"/>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w:t>
            </w:r>
          </w:p>
        </w:tc>
        <w:tc>
          <w:tcPr>
            <w:tcW w:w="566" w:type="pct"/>
            <w:shd w:val="clear" w:color="auto" w:fill="FFFFFF"/>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w:t>
            </w:r>
          </w:p>
        </w:tc>
        <w:tc>
          <w:tcPr>
            <w:tcW w:w="1015" w:type="pct"/>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单价</w:t>
            </w:r>
            <w:r>
              <w:rPr>
                <w:rFonts w:hint="eastAsia" w:ascii="仿宋_GB2312" w:hAnsi="宋体" w:cs="仿宋_GB2312"/>
                <w:i w:val="0"/>
                <w:iCs w:val="0"/>
                <w:color w:val="000000"/>
                <w:kern w:val="0"/>
                <w:sz w:val="20"/>
                <w:szCs w:val="20"/>
                <w:u w:val="none"/>
                <w:lang w:val="en-US" w:eastAsia="zh-CN" w:bidi="ar"/>
              </w:rPr>
              <w:t>报价（元，不含税）</w:t>
            </w:r>
          </w:p>
        </w:tc>
        <w:tc>
          <w:tcPr>
            <w:tcW w:w="951" w:type="pct"/>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cs="仿宋_GB2312"/>
                <w:i w:val="0"/>
                <w:iCs w:val="0"/>
                <w:color w:val="000000"/>
                <w:kern w:val="0"/>
                <w:sz w:val="20"/>
                <w:szCs w:val="20"/>
                <w:u w:val="none"/>
                <w:lang w:val="en-US" w:eastAsia="zh-CN" w:bidi="ar"/>
              </w:rPr>
              <w:t>合价（元，不含税）</w:t>
            </w:r>
          </w:p>
        </w:tc>
        <w:tc>
          <w:tcPr>
            <w:tcW w:w="309" w:type="pct"/>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cs="仿宋_GB2312"/>
                <w:i w:val="0"/>
                <w:iCs w:val="0"/>
                <w:color w:val="000000"/>
                <w:kern w:val="0"/>
                <w:sz w:val="20"/>
                <w:szCs w:val="20"/>
                <w:u w:val="none"/>
                <w:lang w:val="en-US" w:eastAsia="zh-CN" w:bidi="ar"/>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车行道边缘线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对向车道分界线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车行道分界线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停止线/导向箭头</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846.00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地面标识</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2、包含自行车图案、注意人行横道标识线等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371.00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人行横道线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1568.00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导向车道线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951"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公交车站台地面标线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禁停网格线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停车位标线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123.00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51" w:type="pct"/>
            <w:shd w:val="clear" w:color="auto" w:fill="auto"/>
            <w:noWrap/>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震荡标线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3"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标线擦除</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1、旧标线清除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5631.00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路名牌标志-单柱式</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停车让行标志-单柱式</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3、符合设计图纸要求，包含机械设备、劳务、材料、安装、小型工器具、安全防护措施，包括但不限于反光锥等物资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3"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51" w:type="pct"/>
            <w:vMerge w:val="restart"/>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附着式标志</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直径80cm</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3"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951"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边长80cm</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36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951"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250*100</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1"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单悬臂</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400*200</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2"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机非隔离护栏</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详见大样图</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1794</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中央隔离栏</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详见大样图</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1887</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刚性警示桩</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详见大样图</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5"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1、旧路名牌拆除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传力杆</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1、直径30mm，长度45cm，光圆钢筋，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2、相关参数要求须符合施工图式设计要求，</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5000.00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w:t>
            </w:r>
          </w:p>
        </w:tc>
        <w:tc>
          <w:tcPr>
            <w:tcW w:w="3428" w:type="pct"/>
            <w:gridSpan w:val="5"/>
            <w:shd w:val="clear" w:color="auto" w:fill="auto"/>
            <w:noWrap/>
            <w:vAlign w:val="center"/>
          </w:tcPr>
          <w:p>
            <w:pPr>
              <w:jc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小计（A）</w:t>
            </w: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bl>
    <w:tbl>
      <w:tblPr>
        <w:tblStyle w:val="18"/>
        <w:tblpPr w:leftFromText="180" w:rightFromText="180" w:vertAnchor="text" w:horzAnchor="page" w:tblpX="1887" w:tblpY="46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33"/>
        <w:gridCol w:w="1655"/>
        <w:gridCol w:w="854"/>
        <w:gridCol w:w="535"/>
        <w:gridCol w:w="968"/>
        <w:gridCol w:w="1783"/>
        <w:gridCol w:w="1655"/>
        <w:gridCol w:w="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0" w:hRule="atLeast"/>
        </w:trPr>
        <w:tc>
          <w:tcPr>
            <w:tcW w:w="5000" w:type="pct"/>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亳州市城市重点区域交通补短板项目-涡阳路改造工程交通工程采购清单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312" w:type="pct"/>
            <w:shd w:val="clear" w:color="auto" w:fill="auto"/>
            <w:noWrap/>
            <w:vAlign w:val="center"/>
          </w:tcPr>
          <w:p>
            <w:pPr>
              <w:keepNext w:val="0"/>
              <w:keepLines w:val="0"/>
              <w:widowControl/>
              <w:suppressLineNumbers w:val="0"/>
              <w:ind w:left="0" w:leftChars="0" w:firstLine="0" w:firstLineChars="0"/>
              <w:jc w:val="both"/>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序号</w:t>
            </w:r>
          </w:p>
        </w:tc>
        <w:tc>
          <w:tcPr>
            <w:tcW w:w="971"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项目名称</w:t>
            </w:r>
          </w:p>
        </w:tc>
        <w:tc>
          <w:tcPr>
            <w:tcW w:w="501" w:type="pct"/>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施工内容</w:t>
            </w:r>
          </w:p>
        </w:tc>
        <w:tc>
          <w:tcPr>
            <w:tcW w:w="313"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w:t>
            </w:r>
          </w:p>
        </w:tc>
        <w:tc>
          <w:tcPr>
            <w:tcW w:w="567"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w:t>
            </w:r>
          </w:p>
        </w:tc>
        <w:tc>
          <w:tcPr>
            <w:tcW w:w="1046"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单价</w:t>
            </w:r>
            <w:r>
              <w:rPr>
                <w:rFonts w:hint="eastAsia" w:ascii="仿宋_GB2312" w:hAnsi="宋体" w:cs="仿宋_GB2312"/>
                <w:i w:val="0"/>
                <w:iCs w:val="0"/>
                <w:color w:val="000000"/>
                <w:kern w:val="0"/>
                <w:sz w:val="20"/>
                <w:szCs w:val="20"/>
                <w:u w:val="none"/>
                <w:lang w:val="en-US" w:eastAsia="zh-CN" w:bidi="ar"/>
              </w:rPr>
              <w:t>报价（元，不含税）</w:t>
            </w:r>
          </w:p>
        </w:tc>
        <w:tc>
          <w:tcPr>
            <w:tcW w:w="971"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合价</w:t>
            </w:r>
            <w:r>
              <w:rPr>
                <w:rFonts w:hint="eastAsia" w:ascii="仿宋_GB2312" w:hAnsi="宋体" w:cs="仿宋_GB2312"/>
                <w:i w:val="0"/>
                <w:iCs w:val="0"/>
                <w:color w:val="000000"/>
                <w:kern w:val="0"/>
                <w:sz w:val="20"/>
                <w:szCs w:val="20"/>
                <w:u w:val="none"/>
                <w:lang w:val="en-US" w:eastAsia="zh-CN" w:bidi="ar"/>
              </w:rPr>
              <w:t>（元，不含税）</w:t>
            </w:r>
          </w:p>
        </w:tc>
        <w:tc>
          <w:tcPr>
            <w:tcW w:w="316"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cs="仿宋_GB2312"/>
                <w:i w:val="0"/>
                <w:iCs w:val="0"/>
                <w:color w:val="000000"/>
                <w:kern w:val="0"/>
                <w:sz w:val="20"/>
                <w:szCs w:val="20"/>
                <w:u w:val="none"/>
                <w:lang w:val="en-US" w:eastAsia="zh-CN" w:bidi="ar"/>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车行道边缘线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442.00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中心黄线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89.00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停止线/导向箭头</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246.00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人行横道线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740.00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42.00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导向车道线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105.00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7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公交车站台地面标线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禁停网格线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76.70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导流线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7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震荡标线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地面标识</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2、包含自行车图案、注意人行横道标识线等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2"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标线擦除</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1、旧标线清除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1931.70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路名牌标志-单柱式</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停车让行标志-单柱式</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3、符合设计图纸要求，包含机械设备、劳务、材料、安装、小型工器具、安全防护措施，包括但不限于反光锥等物资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附着式标志</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1、内容：限速30km/h，禁止停车标识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2、尺寸：直径80cm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3、符合设计图纸要求，铝板、反光膜、安装、安全防护措施，包括但不限于反光锥等物资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1、旧路名牌拆除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传力杆</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1、直径30mm，长度45cm，光圆钢筋，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2、相关参数要求须符合施工图式设计要求，</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3000.00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w:t>
            </w:r>
          </w:p>
        </w:tc>
        <w:tc>
          <w:tcPr>
            <w:tcW w:w="3400" w:type="pct"/>
            <w:gridSpan w:val="5"/>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小计（B）</w:t>
            </w: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3400" w:type="pct"/>
            <w:gridSpan w:val="5"/>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合计（A＋B）</w:t>
            </w: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2.成交后提供一名项目负责人。</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亳州市城市重点区域交通补短板项目-涡阳路（利辛路-和平路）、新华北路（和平路-香附路）更新改造工程设计施工总承包交通工程专业分包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AHTKJS-2025-91号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44974856"/>
      <w:bookmarkStart w:id="242" w:name="_Toc152045787"/>
      <w:bookmarkStart w:id="243" w:name="_Toc247527827"/>
      <w:bookmarkStart w:id="244" w:name="_Toc300835209"/>
      <w:bookmarkStart w:id="245" w:name="_Toc247514246"/>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247527828"/>
      <w:bookmarkStart w:id="248" w:name="_Toc300835210"/>
      <w:bookmarkStart w:id="249" w:name="_Toc152042577"/>
      <w:bookmarkStart w:id="250" w:name="_Toc144974857"/>
      <w:bookmarkStart w:id="251" w:name="_Toc24751424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247527830"/>
      <w:bookmarkStart w:id="254" w:name="_Toc300835212"/>
      <w:bookmarkStart w:id="255" w:name="_Toc144974859"/>
      <w:bookmarkStart w:id="256" w:name="_Toc152042579"/>
      <w:bookmarkStart w:id="257" w:name="_Toc247514249"/>
      <w:bookmarkStart w:id="258"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亳州市城市重点区域交通补短板项目-涡阳路（利辛路-和平路）、新华北路（和平路-香附路）更新改造工程设计施工总承包交通工程专业分包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9"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AHTKJS-2025-91号</w:t>
      </w:r>
      <w:permEnd w:id="39"/>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的总报价（不含税，另外为增值税税率为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w:t>
      </w:r>
      <w:permEnd w:id="40"/>
      <w:r>
        <w:rPr>
          <w:rFonts w:hint="eastAsia" w:ascii="Times New Roman" w:hAnsi="Times New Roman" w:cs="Times New Roman"/>
          <w:szCs w:val="21"/>
          <w:lang w:val="en-US" w:eastAsia="zh-CN"/>
        </w:rPr>
        <w:t>，计划工期：自采购人下达开工指令之日起120日历天，按合同约定完成本项目全部工作。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52042580"/>
      <w:bookmarkStart w:id="260" w:name="_Toc300835213"/>
      <w:bookmarkStart w:id="261" w:name="_Toc247527831"/>
      <w:bookmarkStart w:id="262" w:name="_Toc144974860"/>
      <w:bookmarkStart w:id="263" w:name="_Toc152045791"/>
      <w:bookmarkStart w:id="264" w:name="_Toc247514283"/>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247514284"/>
      <w:bookmarkStart w:id="267" w:name="_Toc144974861"/>
      <w:bookmarkStart w:id="268" w:name="_Toc300835214"/>
      <w:bookmarkStart w:id="269" w:name="_Toc15204258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52042583"/>
      <w:bookmarkStart w:id="273" w:name="_Toc144974862"/>
      <w:bookmarkStart w:id="274" w:name="_Toc152045794"/>
      <w:bookmarkStart w:id="275" w:name="_Toc247514286"/>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152042584"/>
      <w:bookmarkStart w:id="279" w:name="_Toc247514287"/>
      <w:bookmarkStart w:id="280" w:name="_Toc247527835"/>
      <w:bookmarkStart w:id="281" w:name="_Toc300835218"/>
      <w:bookmarkStart w:id="282" w:name="_Toc152045795"/>
      <w:bookmarkStart w:id="283" w:name="_Toc144974863"/>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26"/>
        <w:gridCol w:w="1621"/>
        <w:gridCol w:w="995"/>
        <w:gridCol w:w="527"/>
        <w:gridCol w:w="965"/>
        <w:gridCol w:w="1735"/>
        <w:gridCol w:w="1621"/>
        <w:gridCol w:w="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0" w:hRule="atLeast"/>
          <w:jc w:val="center"/>
        </w:trPr>
        <w:tc>
          <w:tcPr>
            <w:tcW w:w="5000" w:type="pct"/>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亳州市城市重点区域交通补短板项目-新华北路改造工程交通工程报价表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序号</w:t>
            </w:r>
          </w:p>
        </w:tc>
        <w:tc>
          <w:tcPr>
            <w:tcW w:w="951" w:type="pct"/>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项目名称</w:t>
            </w:r>
          </w:p>
        </w:tc>
        <w:tc>
          <w:tcPr>
            <w:tcW w:w="584" w:type="pct"/>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施工内容</w:t>
            </w:r>
          </w:p>
        </w:tc>
        <w:tc>
          <w:tcPr>
            <w:tcW w:w="309" w:type="pct"/>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w:t>
            </w:r>
          </w:p>
        </w:tc>
        <w:tc>
          <w:tcPr>
            <w:tcW w:w="566" w:type="pct"/>
            <w:shd w:val="clear" w:color="auto" w:fill="FFFFFF"/>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w:t>
            </w:r>
          </w:p>
        </w:tc>
        <w:tc>
          <w:tcPr>
            <w:tcW w:w="1015" w:type="pct"/>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单价</w:t>
            </w:r>
            <w:r>
              <w:rPr>
                <w:rFonts w:hint="eastAsia" w:ascii="仿宋_GB2312" w:hAnsi="宋体" w:cs="仿宋_GB2312"/>
                <w:i w:val="0"/>
                <w:iCs w:val="0"/>
                <w:color w:val="000000"/>
                <w:kern w:val="0"/>
                <w:sz w:val="20"/>
                <w:szCs w:val="20"/>
                <w:u w:val="none"/>
                <w:lang w:val="en-US" w:eastAsia="zh-CN" w:bidi="ar"/>
              </w:rPr>
              <w:t>报价（元，不含税）</w:t>
            </w:r>
          </w:p>
        </w:tc>
        <w:tc>
          <w:tcPr>
            <w:tcW w:w="951" w:type="pct"/>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cs="仿宋_GB2312"/>
                <w:i w:val="0"/>
                <w:iCs w:val="0"/>
                <w:color w:val="000000"/>
                <w:kern w:val="0"/>
                <w:sz w:val="20"/>
                <w:szCs w:val="20"/>
                <w:u w:val="none"/>
                <w:lang w:val="en-US" w:eastAsia="zh-CN" w:bidi="ar"/>
              </w:rPr>
              <w:t>合价（元，不含税）</w:t>
            </w:r>
          </w:p>
        </w:tc>
        <w:tc>
          <w:tcPr>
            <w:tcW w:w="309" w:type="pct"/>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cs="仿宋_GB2312"/>
                <w:i w:val="0"/>
                <w:iCs w:val="0"/>
                <w:color w:val="000000"/>
                <w:kern w:val="0"/>
                <w:sz w:val="20"/>
                <w:szCs w:val="20"/>
                <w:u w:val="none"/>
                <w:lang w:val="en-US" w:eastAsia="zh-CN" w:bidi="ar"/>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车行道边缘线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对向车道分界线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车行道分界线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停止线/导向箭头</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846.00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地面标识</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2、包含自行车图案、注意人行横道标识线等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371.00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人行横道线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1568.00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导向车道线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951"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公交车站台地面标线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禁停网格线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停车位标线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123.00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51" w:type="pct"/>
            <w:shd w:val="clear" w:color="auto" w:fill="auto"/>
            <w:noWrap/>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震荡标线</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3"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标线擦除</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1、旧标线清除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Style w:val="27"/>
                <w:lang w:val="en-US" w:eastAsia="zh-CN" w:bidi="ar"/>
              </w:rPr>
              <w:t>m</w:t>
            </w:r>
            <w:r>
              <w:rPr>
                <w:rStyle w:val="34"/>
                <w:lang w:val="en-US" w:eastAsia="zh-CN" w:bidi="ar"/>
              </w:rPr>
              <w:t>2</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5631.00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路名牌标志-单柱式</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停车让行标志-单柱式</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3、符合设计图纸要求，包含机械设备、劳务、材料、安装、小型工器具、安全防护措施，包括但不限于反光锥等物资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3"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51" w:type="pct"/>
            <w:vMerge w:val="restart"/>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附着式标志</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直径80cm</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3"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951"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边长80cm</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951" w:type="pct"/>
            <w:vMerge w:val="continue"/>
            <w:shd w:val="clear" w:color="auto" w:fill="auto"/>
            <w:vAlign w:val="center"/>
          </w:tcPr>
          <w:p>
            <w:pPr>
              <w:jc w:val="center"/>
              <w:rPr>
                <w:rFonts w:hint="eastAsia" w:ascii="宋体" w:hAnsi="宋体" w:eastAsia="宋体" w:cs="宋体"/>
                <w:i w:val="0"/>
                <w:iCs w:val="0"/>
                <w:color w:val="000000"/>
                <w:sz w:val="20"/>
                <w:szCs w:val="20"/>
                <w:u w:val="none"/>
              </w:rPr>
            </w:pP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250*100</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1"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单悬臂</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400*200</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2"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机非隔离护栏</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详见大样图</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1794</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中央隔离栏</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详见大样图</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1887</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刚性警示桩</w:t>
            </w:r>
          </w:p>
        </w:tc>
        <w:tc>
          <w:tcPr>
            <w:tcW w:w="5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详见大样图</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5"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1、旧路名牌拆除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51" w:type="pct"/>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传力杆</w:t>
            </w:r>
          </w:p>
        </w:tc>
        <w:tc>
          <w:tcPr>
            <w:tcW w:w="58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1、直径30mm，长度45cm，光圆钢筋，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2、相关参数要求须符合施工图式设计要求，</w:t>
            </w:r>
          </w:p>
        </w:tc>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66"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5000.00 </w:t>
            </w:r>
          </w:p>
        </w:tc>
        <w:tc>
          <w:tcPr>
            <w:tcW w:w="1015" w:type="pct"/>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309"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w:t>
            </w:r>
          </w:p>
        </w:tc>
        <w:tc>
          <w:tcPr>
            <w:tcW w:w="3428" w:type="pct"/>
            <w:gridSpan w:val="5"/>
            <w:shd w:val="clear" w:color="auto" w:fill="auto"/>
            <w:noWrap/>
            <w:vAlign w:val="center"/>
          </w:tcPr>
          <w:p>
            <w:pPr>
              <w:jc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小计（A）</w:t>
            </w:r>
          </w:p>
        </w:tc>
        <w:tc>
          <w:tcPr>
            <w:tcW w:w="951" w:type="pct"/>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09" w:type="pct"/>
            <w:shd w:val="clear" w:color="auto" w:fill="auto"/>
            <w:noWrap/>
            <w:vAlign w:val="center"/>
          </w:tcPr>
          <w:p>
            <w:pPr>
              <w:jc w:val="center"/>
              <w:rPr>
                <w:rFonts w:hint="eastAsia" w:ascii="宋体" w:hAnsi="宋体" w:eastAsia="宋体" w:cs="宋体"/>
                <w:i w:val="0"/>
                <w:iCs w:val="0"/>
                <w:color w:val="000000"/>
                <w:sz w:val="20"/>
                <w:szCs w:val="20"/>
                <w:u w:val="none"/>
              </w:rPr>
            </w:pPr>
          </w:p>
        </w:tc>
      </w:tr>
    </w:tbl>
    <w:tbl>
      <w:tblPr>
        <w:tblStyle w:val="18"/>
        <w:tblpPr w:leftFromText="180" w:rightFromText="180" w:vertAnchor="text" w:horzAnchor="page" w:tblpXSpec="center" w:tblpY="468"/>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33"/>
        <w:gridCol w:w="1655"/>
        <w:gridCol w:w="854"/>
        <w:gridCol w:w="535"/>
        <w:gridCol w:w="968"/>
        <w:gridCol w:w="1783"/>
        <w:gridCol w:w="1655"/>
        <w:gridCol w:w="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0" w:hRule="atLeast"/>
          <w:jc w:val="center"/>
        </w:trPr>
        <w:tc>
          <w:tcPr>
            <w:tcW w:w="5000" w:type="pct"/>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亳州市城市重点区域交通补短板项目-涡阳路改造工程交通工程采购清单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312" w:type="pct"/>
            <w:shd w:val="clear" w:color="auto" w:fill="auto"/>
            <w:noWrap/>
            <w:vAlign w:val="center"/>
          </w:tcPr>
          <w:p>
            <w:pPr>
              <w:keepNext w:val="0"/>
              <w:keepLines w:val="0"/>
              <w:widowControl/>
              <w:suppressLineNumbers w:val="0"/>
              <w:ind w:left="0" w:leftChars="0" w:firstLine="0" w:firstLineChars="0"/>
              <w:jc w:val="both"/>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序号</w:t>
            </w:r>
          </w:p>
        </w:tc>
        <w:tc>
          <w:tcPr>
            <w:tcW w:w="971"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项目名称</w:t>
            </w:r>
          </w:p>
        </w:tc>
        <w:tc>
          <w:tcPr>
            <w:tcW w:w="501" w:type="pct"/>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施工内容</w:t>
            </w:r>
          </w:p>
        </w:tc>
        <w:tc>
          <w:tcPr>
            <w:tcW w:w="313" w:type="pct"/>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w:t>
            </w:r>
          </w:p>
        </w:tc>
        <w:tc>
          <w:tcPr>
            <w:tcW w:w="567" w:type="pct"/>
            <w:shd w:val="clear" w:color="auto" w:fill="FFFFFF"/>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数量</w:t>
            </w:r>
          </w:p>
        </w:tc>
        <w:tc>
          <w:tcPr>
            <w:tcW w:w="1046"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单价</w:t>
            </w:r>
            <w:r>
              <w:rPr>
                <w:rFonts w:hint="eastAsia" w:ascii="仿宋_GB2312" w:hAnsi="宋体" w:cs="仿宋_GB2312"/>
                <w:i w:val="0"/>
                <w:iCs w:val="0"/>
                <w:color w:val="000000"/>
                <w:kern w:val="0"/>
                <w:sz w:val="20"/>
                <w:szCs w:val="20"/>
                <w:u w:val="none"/>
                <w:lang w:val="en-US" w:eastAsia="zh-CN" w:bidi="ar"/>
              </w:rPr>
              <w:t>报价（元，不含税）</w:t>
            </w:r>
          </w:p>
        </w:tc>
        <w:tc>
          <w:tcPr>
            <w:tcW w:w="971"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合价</w:t>
            </w:r>
            <w:r>
              <w:rPr>
                <w:rFonts w:hint="eastAsia" w:ascii="仿宋_GB2312" w:hAnsi="宋体" w:cs="仿宋_GB2312"/>
                <w:i w:val="0"/>
                <w:iCs w:val="0"/>
                <w:color w:val="000000"/>
                <w:kern w:val="0"/>
                <w:sz w:val="20"/>
                <w:szCs w:val="20"/>
                <w:u w:val="none"/>
                <w:lang w:val="en-US" w:eastAsia="zh-CN" w:bidi="ar"/>
              </w:rPr>
              <w:t>（元，不含税）</w:t>
            </w:r>
          </w:p>
        </w:tc>
        <w:tc>
          <w:tcPr>
            <w:tcW w:w="316" w:type="pct"/>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cs="仿宋_GB2312"/>
                <w:i w:val="0"/>
                <w:iCs w:val="0"/>
                <w:color w:val="000000"/>
                <w:kern w:val="0"/>
                <w:sz w:val="20"/>
                <w:szCs w:val="20"/>
                <w:u w:val="none"/>
                <w:lang w:val="en-US" w:eastAsia="zh-CN" w:bidi="ar"/>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车行道边缘线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442.00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中心黄线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89.00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停止线/导向箭头</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246.00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人行横道线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2、尺寸：线宽40cm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740.00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42.00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导向车道线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2、尺寸：线宽15cm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105.00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7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公交车站台地面标线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2、尺寸：详见大样图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禁停网格线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76.70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导流线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71"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震荡标线</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地面标识</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1、材质：热熔型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2、包含自行车图案、注意人行横道标识线等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2"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标线擦除</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1、旧标线清除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1931.70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路名牌标志-单柱式</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停车让行标志-单柱式</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3、符合设计图纸要求，包含机械设备、劳务、材料、安装、小型工器具、安全防护措施，包括但不限于反光锥等物资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附着式标志</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1、内容：限速30km/h，禁止停车标识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2、尺寸：直径80cm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3、符合设计图纸要求，铝板、反光膜、安装、安全防护措施，包括但不限于反光锥等物资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1、旧路名牌拆除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2、符合设计图纸要求，包含机械设备、劳务、材料、安装、小型工器具、安全防护措施，包括但不限于反光锥等物资</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97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传力杆</w:t>
            </w:r>
          </w:p>
        </w:tc>
        <w:tc>
          <w:tcPr>
            <w:tcW w:w="501"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1、直径30mm，长度45cm，光圆钢筋，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2、相关参数要求须符合施工图式设计要求，</w:t>
            </w:r>
          </w:p>
        </w:tc>
        <w:tc>
          <w:tcPr>
            <w:tcW w:w="313"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67" w:type="pct"/>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3000.00 </w:t>
            </w:r>
          </w:p>
        </w:tc>
        <w:tc>
          <w:tcPr>
            <w:tcW w:w="104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right"/>
              <w:rPr>
                <w:rFonts w:hint="eastAsia" w:ascii="宋体" w:hAnsi="宋体" w:eastAsia="宋体" w:cs="宋体"/>
                <w:i w:val="0"/>
                <w:iCs w:val="0"/>
                <w:color w:val="000000"/>
                <w:sz w:val="20"/>
                <w:szCs w:val="20"/>
                <w:u w:val="none"/>
              </w:rPr>
            </w:pP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w:t>
            </w:r>
          </w:p>
        </w:tc>
        <w:tc>
          <w:tcPr>
            <w:tcW w:w="3400" w:type="pct"/>
            <w:gridSpan w:val="5"/>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小计（B）</w:t>
            </w: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31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3400" w:type="pct"/>
            <w:gridSpan w:val="5"/>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合计（A＋B）</w:t>
            </w:r>
          </w:p>
        </w:tc>
        <w:tc>
          <w:tcPr>
            <w:tcW w:w="971"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c>
          <w:tcPr>
            <w:tcW w:w="316" w:type="pct"/>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0"/>
                <w:szCs w:val="20"/>
                <w:u w:val="none"/>
              </w:rPr>
            </w:pP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152045796"/>
      <w:bookmarkStart w:id="285" w:name="_Toc247527836"/>
      <w:bookmarkStart w:id="286" w:name="_Toc300835221"/>
      <w:bookmarkStart w:id="287" w:name="_Toc247514288"/>
      <w:bookmarkStart w:id="288" w:name="_Toc152042585"/>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247085891"/>
      <w:bookmarkStart w:id="292" w:name="_Toc246997116"/>
      <w:bookmarkStart w:id="293" w:name="_Toc296602618"/>
      <w:bookmarkStart w:id="294" w:name="_Toc246996373"/>
      <w:bookmarkStart w:id="295" w:name="_Toc179632828"/>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7085888"/>
      <w:bookmarkStart w:id="297" w:name="_Toc296602615"/>
      <w:bookmarkStart w:id="298" w:name="_Toc246997113"/>
      <w:bookmarkStart w:id="299" w:name="_Toc246996370"/>
      <w:bookmarkStart w:id="300" w:name="_Toc247514302"/>
      <w:bookmarkStart w:id="301" w:name="_Toc152045810"/>
      <w:bookmarkStart w:id="302" w:name="_Toc247527850"/>
      <w:bookmarkStart w:id="303" w:name="_Toc300835226"/>
      <w:bookmarkStart w:id="304" w:name="_Toc144974878"/>
      <w:bookmarkStart w:id="305" w:name="_Toc152042599"/>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7085889"/>
      <w:bookmarkStart w:id="307" w:name="_Toc246996371"/>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52045811"/>
      <w:bookmarkStart w:id="311" w:name="_Toc247527851"/>
      <w:bookmarkStart w:id="312" w:name="_Toc247514303"/>
      <w:bookmarkStart w:id="313" w:name="_Toc144974879"/>
      <w:bookmarkStart w:id="314" w:name="_Toc152042600"/>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44974881"/>
      <w:bookmarkStart w:id="317" w:name="_Toc152042602"/>
      <w:bookmarkStart w:id="318" w:name="_Toc247530162"/>
      <w:bookmarkStart w:id="319" w:name="_Toc247514305"/>
      <w:bookmarkStart w:id="320" w:name="_Toc152045813"/>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7542640-707D-4F83-B9E2-7E015FB21FAC}"/>
  </w:font>
  <w:font w:name="Arial">
    <w:panose1 w:val="020B0604020202020204"/>
    <w:charset w:val="01"/>
    <w:family w:val="swiss"/>
    <w:pitch w:val="default"/>
    <w:sig w:usb0="E0002EFF" w:usb1="C000785B" w:usb2="00000009" w:usb3="00000000" w:csb0="400001FF" w:csb1="FFFF0000"/>
    <w:embedRegular r:id="rId2" w:fontKey="{87D51481-A9B1-4799-8EE8-207798DD6D8D}"/>
  </w:font>
  <w:font w:name="黑体">
    <w:panose1 w:val="02010609060101010101"/>
    <w:charset w:val="86"/>
    <w:family w:val="auto"/>
    <w:pitch w:val="default"/>
    <w:sig w:usb0="800002BF" w:usb1="38CF7CFA" w:usb2="00000016" w:usb3="00000000" w:csb0="00040001" w:csb1="00000000"/>
    <w:embedRegular r:id="rId3" w:fontKey="{F67A5446-1999-42E9-86BC-52A20FE8978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171E4049-8FBE-45C4-9214-85DBA5D96452}"/>
  </w:font>
  <w:font w:name="仿宋_GB2312">
    <w:panose1 w:val="02010609030101010101"/>
    <w:charset w:val="86"/>
    <w:family w:val="modern"/>
    <w:pitch w:val="default"/>
    <w:sig w:usb0="00000001" w:usb1="080E0000" w:usb2="00000000" w:usb3="00000000" w:csb0="00040000" w:csb1="00000000"/>
    <w:embedRegular r:id="rId5" w:fontKey="{97C9BD7D-81AD-4A4C-AF35-70E4E4F98CE6}"/>
  </w:font>
  <w:font w:name="楷体">
    <w:panose1 w:val="02010609060101010101"/>
    <w:charset w:val="86"/>
    <w:family w:val="auto"/>
    <w:pitch w:val="default"/>
    <w:sig w:usb0="800002BF" w:usb1="38CF7CFA" w:usb2="00000016" w:usb3="00000000" w:csb0="00040001" w:csb1="00000000"/>
    <w:embedRegular r:id="rId6" w:fontKey="{F343B26E-A6C4-424D-B3CC-88537579A76A}"/>
  </w:font>
  <w:font w:name="Wingdings 2">
    <w:panose1 w:val="05020102010507070707"/>
    <w:charset w:val="00"/>
    <w:family w:val="auto"/>
    <w:pitch w:val="default"/>
    <w:sig w:usb0="00000000" w:usb1="00000000" w:usb2="00000000" w:usb3="00000000" w:csb0="80000000" w:csb1="00000000"/>
    <w:embedRegular r:id="rId7" w:fontKey="{81A51DA3-2C98-4785-815B-A088D8256D8C}"/>
  </w:font>
  <w:font w:name="方正仿宋_GB2312">
    <w:panose1 w:val="02000000000000000000"/>
    <w:charset w:val="86"/>
    <w:family w:val="auto"/>
    <w:pitch w:val="default"/>
    <w:sig w:usb0="A00002BF" w:usb1="184F6CFA" w:usb2="00000012" w:usb3="00000000" w:csb0="00040001" w:csb1="00000000"/>
    <w:embedRegular r:id="rId8" w:fontKey="{6CA43DB1-FA98-4216-9A7C-FB215CEA5849}"/>
  </w:font>
  <w:font w:name="方正小标宋简体">
    <w:panose1 w:val="02000000000000000000"/>
    <w:charset w:val="86"/>
    <w:family w:val="auto"/>
    <w:pitch w:val="default"/>
    <w:sig w:usb0="00000001" w:usb1="08000000" w:usb2="00000000" w:usb3="00000000" w:csb0="00040000" w:csb1="00000000"/>
    <w:embedRegular r:id="rId9" w:fontKey="{70DA1CBB-E3E6-4D88-83F5-25D8E9C765B6}"/>
  </w:font>
  <w:font w:name="仿宋">
    <w:panose1 w:val="02010609060101010101"/>
    <w:charset w:val="86"/>
    <w:family w:val="modern"/>
    <w:pitch w:val="default"/>
    <w:sig w:usb0="800002BF" w:usb1="38CF7CFA" w:usb2="00000016" w:usb3="00000000" w:csb0="00040001" w:csb1="00000000"/>
    <w:embedRegular r:id="rId10" w:fontKey="{437BBDAF-42CB-4DE5-A0B8-073D633DF0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7F41B5"/>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981239"/>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564F2"/>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761B7"/>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374B1"/>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CF54D4"/>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45473"/>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41"/>
    <w:basedOn w:val="20"/>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69</Pages>
  <Words>21438</Words>
  <Characters>23014</Characters>
  <Lines>0</Lines>
  <Paragraphs>0</Paragraphs>
  <TotalTime>15</TotalTime>
  <ScaleCrop>false</ScaleCrop>
  <LinksUpToDate>false</LinksUpToDate>
  <CharactersWithSpaces>24265</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2025-10-30T01:11:00Z</cp:lastPrinted>
  <dcterms:modified xsi:type="dcterms:W3CDTF">2025-11-13T07:09:45Z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