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安车集团办公设备采购项目（三次）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月28日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bookmarkStart w:id="306" w:name="_GoBack"/>
      <w:bookmarkEnd w:id="306"/>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安车集团办公设备采购项目（三次）询比公告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44974487"/>
      <w:bookmarkStart w:id="2" w:name="_Toc246996166"/>
      <w:bookmarkStart w:id="3" w:name="_Toc247085680"/>
      <w:bookmarkStart w:id="4" w:name="_Toc152042295"/>
      <w:bookmarkStart w:id="5" w:name="_Toc296602410"/>
      <w:bookmarkStart w:id="6" w:name="_Toc246996909"/>
      <w:bookmarkStart w:id="7" w:name="_Toc179632536"/>
      <w:r>
        <w:rPr>
          <w:rFonts w:hint="eastAsia" w:ascii="宋体" w:hAnsi="宋体" w:eastAsia="宋体" w:cs="宋体"/>
          <w:sz w:val="28"/>
          <w:szCs w:val="28"/>
          <w:highlight w:val="none"/>
          <w:u w:val="single"/>
          <w:lang w:val="en-US" w:eastAsia="zh-CN"/>
        </w:rPr>
        <w:t>安车集团办公设备采购项目（三次）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47085681"/>
      <w:bookmarkStart w:id="10" w:name="_Toc144974488"/>
      <w:bookmarkStart w:id="11" w:name="_Toc246996910"/>
      <w:bookmarkStart w:id="12" w:name="_Toc152045520"/>
      <w:bookmarkStart w:id="13" w:name="_Toc179632537"/>
      <w:bookmarkStart w:id="14" w:name="_Toc29660241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安车集团办公设备采购项目（三次）</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011 </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w:t>
      </w:r>
      <w:r>
        <w:rPr>
          <w:rFonts w:hint="default" w:ascii="Times New Roman" w:hAnsi="Times New Roman" w:eastAsia="宋体" w:cs="Times New Roman"/>
          <w:kern w:val="2"/>
          <w:sz w:val="28"/>
          <w:szCs w:val="28"/>
          <w:highlight w:val="none"/>
          <w:lang w:val="en-US" w:eastAsia="zh-CN" w:bidi="ar-SA"/>
        </w:rPr>
        <w:t>税率13 %）</w:t>
      </w:r>
      <w:permEnd w:id="9"/>
      <w:r>
        <w:rPr>
          <w:rFonts w:hint="default" w:ascii="Times New Roman" w:hAnsi="Times New Roman" w:eastAsia="宋体" w:cs="Times New Roman"/>
          <w:kern w:val="2"/>
          <w:sz w:val="28"/>
          <w:szCs w:val="28"/>
          <w:highlight w:val="none"/>
          <w:lang w:val="en-US" w:eastAsia="zh-CN" w:bidi="ar-SA"/>
        </w:rPr>
        <w:t>：</w:t>
      </w:r>
      <w:permStart w:id="10" w:edGrp="everyone"/>
      <w:r>
        <w:rPr>
          <w:rFonts w:hint="default" w:ascii="Times New Roman" w:hAnsi="Times New Roman" w:cs="Times New Roman" w:eastAsiaTheme="minorEastAsia"/>
          <w:sz w:val="28"/>
          <w:szCs w:val="28"/>
          <w:highlight w:val="none"/>
          <w:u w:val="single"/>
          <w:lang w:val="en-US" w:eastAsia="zh-CN"/>
        </w:rPr>
        <w:t xml:space="preserve">  </w:t>
      </w:r>
      <w:r>
        <w:rPr>
          <w:rFonts w:hint="default" w:ascii="Times New Roman" w:hAnsi="Times New Roman" w:cs="Times New Roman"/>
          <w:sz w:val="28"/>
          <w:szCs w:val="28"/>
          <w:highlight w:val="none"/>
          <w:u w:val="single"/>
          <w:lang w:val="en-US" w:eastAsia="zh-CN"/>
        </w:rPr>
        <w:t>78700元</w:t>
      </w:r>
      <w:r>
        <w:rPr>
          <w:rFonts w:hint="default" w:ascii="Times New Roman" w:hAnsi="Times New Roman" w:cs="Times New Roman" w:eastAsiaTheme="minorEastAsia"/>
          <w:sz w:val="28"/>
          <w:szCs w:val="28"/>
          <w:highlight w:val="none"/>
          <w:u w:val="single"/>
          <w:lang w:val="en-US" w:eastAsia="zh-CN"/>
        </w:rPr>
        <w:t xml:space="preserve"> </w:t>
      </w:r>
      <w:permEnd w:id="10"/>
      <w:r>
        <w:rPr>
          <w:rFonts w:hint="default"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包括台式电脑、笔记本电脑、电脑显示屏(详见物品清单)</w:t>
      </w:r>
    </w:p>
    <w:permEnd w:id="12"/>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自合同签订之日起7日历天内完成供货。</w:t>
      </w:r>
      <w:r>
        <w:rPr>
          <w:rFonts w:hint="eastAsia" w:asciiTheme="minorEastAsia" w:hAnsiTheme="minorEastAsia" w:eastAsiaTheme="minorEastAsia" w:cstheme="minorEastAsia"/>
          <w:sz w:val="28"/>
          <w:szCs w:val="28"/>
          <w:highlight w:val="none"/>
          <w:lang w:val="en-US" w:eastAsia="zh-CN"/>
        </w:rPr>
        <w:t xml:space="preserve"> </w:t>
      </w:r>
      <w:permEnd w:id="13"/>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4"/>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宋体" w:hAnsi="宋体" w:eastAsia="宋体" w:cs="宋体"/>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宋体" w:hAnsi="宋体" w:eastAsia="宋体" w:cs="宋体"/>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w:t>
      </w:r>
      <w:r>
        <w:rPr>
          <w:rFonts w:hint="eastAsia" w:asciiTheme="minorEastAsia" w:hAnsiTheme="minorEastAsia" w:cstheme="minorEastAsia"/>
          <w:sz w:val="28"/>
          <w:szCs w:val="28"/>
          <w:highlight w:val="none"/>
          <w:lang w:val="en-US" w:eastAsia="zh-CN"/>
        </w:rPr>
        <w:t>三次</w:t>
      </w:r>
      <w:r>
        <w:rPr>
          <w:rFonts w:hint="default" w:asciiTheme="minorEastAsia" w:hAnsiTheme="minorEastAsia" w:eastAsiaTheme="minorEastAsia" w:cstheme="minorEastAsia"/>
          <w:sz w:val="28"/>
          <w:szCs w:val="28"/>
          <w:highlight w:val="none"/>
          <w:lang w:val="en-US" w:eastAsia="zh-CN"/>
        </w:rPr>
        <w:t>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lang w:val="en-US" w:eastAsia="zh-CN"/>
        </w:rPr>
        <w:t>1</w:t>
      </w:r>
      <w:r>
        <w:rPr>
          <w:rFonts w:hint="eastAsia" w:asciiTheme="minorEastAsia" w:hAnsiTheme="minorEastAsia" w:cstheme="minorEastAsia"/>
          <w:sz w:val="28"/>
          <w:szCs w:val="28"/>
          <w:highlight w:val="none"/>
          <w:u w:val="single"/>
          <w:lang w:val="en-US" w:eastAsia="zh-CN"/>
        </w:rPr>
        <w:t>000</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安徽省安车交通运输集团有限公司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28</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2" w:edGrp="everyone"/>
            <w:r>
              <w:rPr>
                <w:rFonts w:hint="eastAsia" w:ascii="Times New Roman" w:hAnsi="Times New Roman" w:cs="Times New Roman"/>
                <w:color w:val="FF0000"/>
                <w:szCs w:val="21"/>
                <w:highlight w:val="none"/>
                <w:u w:val="single"/>
                <w:lang w:val="en-US" w:eastAsia="zh-CN"/>
              </w:rPr>
              <w:t>1000</w:t>
            </w:r>
            <w:r>
              <w:rPr>
                <w:rFonts w:hint="eastAsia" w:ascii="Times New Roman" w:hAnsi="Times New Roman" w:cs="Times New Roman"/>
                <w:color w:val="auto"/>
                <w:szCs w:val="21"/>
                <w:highlight w:val="none"/>
                <w:u w:val="single"/>
                <w:lang w:val="en-US" w:eastAsia="zh-CN"/>
              </w:rPr>
              <w:t xml:space="preserve">元整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ACJT-2025- 011号保证金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采购人：安徽省安车交通运输集团有限公司办公设备采购项目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安徽省安车交通运输集团有限公司办公设备采购项目响应文件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011 </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2308"/>
      <w:bookmarkStart w:id="17" w:name="_Toc144974500"/>
      <w:bookmarkStart w:id="18" w:name="_Toc246996921"/>
      <w:bookmarkStart w:id="19" w:name="_Toc296602423"/>
      <w:bookmarkStart w:id="20" w:name="_Toc247085692"/>
      <w:bookmarkStart w:id="21" w:name="_Toc152045532"/>
      <w:bookmarkStart w:id="22" w:name="_Toc179632549"/>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47085695"/>
      <w:bookmarkStart w:id="26" w:name="_Toc246996924"/>
      <w:bookmarkStart w:id="27" w:name="_Toc296602426"/>
      <w:bookmarkStart w:id="28" w:name="_Toc152045536"/>
      <w:bookmarkStart w:id="29" w:name="_Toc179632553"/>
      <w:bookmarkStart w:id="30" w:name="_Toc152042312"/>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246996925"/>
      <w:bookmarkStart w:id="35" w:name="_Toc247085696"/>
      <w:bookmarkStart w:id="36" w:name="_Toc296602427"/>
      <w:bookmarkStart w:id="37" w:name="_Toc152045537"/>
      <w:bookmarkStart w:id="38" w:name="_Toc179632554"/>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7085697"/>
      <w:bookmarkStart w:id="42" w:name="_Toc246996183"/>
      <w:bookmarkStart w:id="43" w:name="_Toc152042314"/>
      <w:bookmarkStart w:id="44" w:name="_Toc246996926"/>
      <w:bookmarkStart w:id="45" w:name="_Toc179632555"/>
      <w:bookmarkStart w:id="46"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179632560"/>
      <w:bookmarkStart w:id="49" w:name="_Toc152042318"/>
      <w:bookmarkStart w:id="50" w:name="_Toc246996930"/>
      <w:bookmarkStart w:id="51" w:name="_Toc246996187"/>
      <w:bookmarkStart w:id="52" w:name="_Toc296602432"/>
      <w:bookmarkStart w:id="53" w:name="_Toc144974510"/>
      <w:bookmarkStart w:id="54" w:name="_Toc15204554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46996931"/>
      <w:bookmarkStart w:id="57" w:name="_Toc144974511"/>
      <w:bookmarkStart w:id="58" w:name="_Toc246996188"/>
      <w:bookmarkStart w:id="59" w:name="_Toc247085702"/>
      <w:bookmarkStart w:id="60" w:name="_Toc152042319"/>
      <w:bookmarkStart w:id="61" w:name="_Toc152045543"/>
      <w:bookmarkStart w:id="62" w:name="_Toc29660243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152042320"/>
      <w:bookmarkStart w:id="65" w:name="_Toc179632562"/>
      <w:bookmarkStart w:id="66" w:name="_Toc246996932"/>
      <w:bookmarkStart w:id="67" w:name="_Toc296602434"/>
      <w:bookmarkStart w:id="68" w:name="_Toc144974512"/>
      <w:bookmarkStart w:id="69" w:name="_Toc246996189"/>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52042321"/>
      <w:bookmarkStart w:id="73" w:name="_Toc179632563"/>
      <w:bookmarkStart w:id="74" w:name="_Toc144974513"/>
      <w:bookmarkStart w:id="75" w:name="_Toc246996190"/>
      <w:bookmarkStart w:id="76" w:name="_Toc152045545"/>
      <w:bookmarkStart w:id="77" w:name="_Toc296602435"/>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47085705"/>
      <w:bookmarkStart w:id="81" w:name="_Toc144974514"/>
      <w:bookmarkStart w:id="82" w:name="_Toc246996191"/>
      <w:bookmarkStart w:id="83" w:name="_Toc152042322"/>
      <w:bookmarkStart w:id="84" w:name="_Toc179632564"/>
      <w:bookmarkStart w:id="85" w:name="_Toc246996934"/>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179632565"/>
      <w:bookmarkStart w:id="89" w:name="_Toc296602437"/>
      <w:bookmarkStart w:id="90" w:name="_Toc144974515"/>
      <w:bookmarkStart w:id="91" w:name="_Toc246996935"/>
      <w:bookmarkStart w:id="92" w:name="_Toc152042323"/>
      <w:bookmarkStart w:id="93" w:name="_Toc152045547"/>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44974516"/>
      <w:bookmarkStart w:id="97" w:name="_Toc296602438"/>
      <w:bookmarkStart w:id="98" w:name="_Toc152045548"/>
      <w:bookmarkStart w:id="99" w:name="_Toc247085707"/>
      <w:bookmarkStart w:id="100" w:name="_Toc179632566"/>
      <w:bookmarkStart w:id="101" w:name="_Toc152042324"/>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52042325"/>
      <w:bookmarkStart w:id="105" w:name="_Toc152045549"/>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6996194"/>
      <w:bookmarkStart w:id="109" w:name="_Toc247085708"/>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246996199"/>
      <w:bookmarkStart w:id="113" w:name="_Toc247085713"/>
      <w:bookmarkStart w:id="114" w:name="_Toc152042331"/>
      <w:bookmarkStart w:id="115" w:name="_Toc152045555"/>
      <w:bookmarkStart w:id="116" w:name="_Toc296602443"/>
      <w:bookmarkStart w:id="117" w:name="_Toc246996942"/>
      <w:bookmarkStart w:id="118" w:name="_Toc17963257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2"/>
      <w:bookmarkStart w:id="120" w:name="_Toc247085714"/>
      <w:bookmarkStart w:id="121" w:name="_Toc179632574"/>
      <w:bookmarkStart w:id="122" w:name="_Toc152045556"/>
      <w:bookmarkStart w:id="123" w:name="_Toc296602444"/>
      <w:bookmarkStart w:id="124" w:name="_Toc246996200"/>
      <w:bookmarkStart w:id="125" w:name="_Toc144974524"/>
      <w:bookmarkStart w:id="126" w:name="_Toc246996943"/>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246996201"/>
      <w:bookmarkStart w:id="129" w:name="_Toc179632575"/>
      <w:bookmarkStart w:id="130" w:name="_Toc247085715"/>
      <w:bookmarkStart w:id="131" w:name="_Toc246996944"/>
      <w:bookmarkStart w:id="132" w:name="_Toc144974525"/>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246996202"/>
      <w:bookmarkStart w:id="136" w:name="_Toc179632576"/>
      <w:bookmarkStart w:id="137" w:name="_Toc247085716"/>
      <w:bookmarkStart w:id="138" w:name="_Toc296602446"/>
      <w:bookmarkStart w:id="139" w:name="_Toc144974526"/>
      <w:bookmarkStart w:id="140" w:name="_Toc246996945"/>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96602447"/>
      <w:bookmarkStart w:id="144" w:name="_Toc179632577"/>
      <w:bookmarkStart w:id="145" w:name="_Toc247085717"/>
      <w:bookmarkStart w:id="146" w:name="_Toc152045559"/>
      <w:bookmarkStart w:id="147" w:name="_Toc144974527"/>
      <w:bookmarkStart w:id="148" w:name="_Toc246996946"/>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246996204"/>
      <w:bookmarkStart w:id="152" w:name="_Toc144974528"/>
      <w:bookmarkStart w:id="153" w:name="_Toc152042336"/>
      <w:bookmarkStart w:id="154" w:name="_Toc152045560"/>
      <w:bookmarkStart w:id="155" w:name="_Toc296602448"/>
      <w:bookmarkStart w:id="156" w:name="_Toc247085718"/>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7"/>
      <w:bookmarkStart w:id="159" w:name="_Toc246996205"/>
      <w:bookmarkStart w:id="160" w:name="_Toc246996948"/>
      <w:bookmarkStart w:id="161" w:name="_Toc179632579"/>
      <w:bookmarkStart w:id="162" w:name="_Toc296602449"/>
      <w:bookmarkStart w:id="163" w:name="_Toc152045561"/>
      <w:bookmarkStart w:id="164" w:name="_Toc144974529"/>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1"/>
      <w:bookmarkStart w:id="167" w:name="_Toc152045563"/>
      <w:bookmarkStart w:id="168" w:name="_Toc246996207"/>
      <w:bookmarkStart w:id="169" w:name="_Toc296602452"/>
      <w:bookmarkStart w:id="170" w:name="_Toc179632581"/>
      <w:bookmarkStart w:id="171" w:name="_Toc246996950"/>
      <w:bookmarkStart w:id="172" w:name="_Toc152042339"/>
      <w:bookmarkStart w:id="173" w:name="_Toc14497453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246996210"/>
      <w:bookmarkStart w:id="176" w:name="_Toc247085724"/>
      <w:bookmarkStart w:id="177" w:name="_Toc152045566"/>
      <w:bookmarkStart w:id="178" w:name="_Toc296602455"/>
      <w:bookmarkStart w:id="179" w:name="_Toc152042342"/>
      <w:bookmarkStart w:id="180" w:name="_Toc144974534"/>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44974535"/>
      <w:bookmarkStart w:id="184" w:name="_Toc296602456"/>
      <w:bookmarkStart w:id="185" w:name="_Toc246996954"/>
      <w:bookmarkStart w:id="186" w:name="_Toc152042343"/>
      <w:bookmarkStart w:id="187" w:name="_Toc152045567"/>
      <w:bookmarkStart w:id="188" w:name="_Toc246996211"/>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6"/>
      <w:bookmarkStart w:id="192" w:name="_Toc152042344"/>
      <w:bookmarkStart w:id="193" w:name="_Toc246996955"/>
      <w:bookmarkStart w:id="194" w:name="_Toc247085726"/>
      <w:bookmarkStart w:id="195" w:name="_Toc144974536"/>
      <w:bookmarkStart w:id="196" w:name="_Toc246996212"/>
      <w:bookmarkStart w:id="197" w:name="_Toc152045568"/>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79632587"/>
      <w:bookmarkStart w:id="200" w:name="_Toc152042345"/>
      <w:bookmarkStart w:id="201" w:name="_Toc144974537"/>
      <w:bookmarkStart w:id="202" w:name="_Toc246996956"/>
      <w:bookmarkStart w:id="203" w:name="_Toc246996213"/>
      <w:bookmarkStart w:id="204" w:name="_Toc152045569"/>
      <w:bookmarkStart w:id="205" w:name="_Toc296602459"/>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179632593"/>
      <w:bookmarkStart w:id="210" w:name="_Toc246996219"/>
      <w:bookmarkStart w:id="211" w:name="_Toc152042351"/>
      <w:bookmarkStart w:id="212" w:name="_Toc152045575"/>
      <w:bookmarkStart w:id="213" w:name="_Toc246996962"/>
      <w:bookmarkStart w:id="214" w:name="_Toc144974543"/>
      <w:bookmarkStart w:id="215" w:name="_Toc296602462"/>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44974544"/>
      <w:bookmarkStart w:id="219" w:name="_Toc179632594"/>
      <w:bookmarkStart w:id="220" w:name="_Toc246996963"/>
      <w:bookmarkStart w:id="221" w:name="_Toc246996220"/>
      <w:bookmarkStart w:id="222" w:name="_Toc296602463"/>
      <w:bookmarkStart w:id="223" w:name="_Toc152042352"/>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144974545"/>
      <w:bookmarkStart w:id="227" w:name="_Toc296602464"/>
      <w:bookmarkStart w:id="228" w:name="_Toc246996964"/>
      <w:bookmarkStart w:id="229" w:name="_Toc247085735"/>
      <w:bookmarkStart w:id="230" w:name="_Toc179632595"/>
      <w:bookmarkStart w:id="231" w:name="_Toc152042353"/>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6996975"/>
      <w:bookmarkStart w:id="234" w:name="_Toc144974556"/>
      <w:bookmarkStart w:id="235" w:name="_Toc152042366"/>
      <w:bookmarkStart w:id="236" w:name="_Toc296602477"/>
      <w:bookmarkStart w:id="237" w:name="_Toc179632607"/>
      <w:bookmarkStart w:id="238" w:name="_Toc247085747"/>
      <w:bookmarkStart w:id="239" w:name="_Toc152045589"/>
      <w:bookmarkStart w:id="240"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179632611"/>
      <w:bookmarkStart w:id="242" w:name="_Toc152042370"/>
      <w:bookmarkStart w:id="243" w:name="_Toc296602481"/>
      <w:bookmarkStart w:id="244" w:name="_Toc246996979"/>
      <w:bookmarkStart w:id="245" w:name="_Toc144974560"/>
      <w:bookmarkStart w:id="246" w:name="_Toc152045593"/>
      <w:bookmarkStart w:id="247" w:name="_Toc247085751"/>
      <w:bookmarkStart w:id="248"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296602484"/>
      <w:bookmarkStart w:id="252" w:name="_Toc247085754"/>
      <w:bookmarkStart w:id="253" w:name="_Toc179632614"/>
      <w:bookmarkStart w:id="254" w:name="_Toc152042373"/>
      <w:bookmarkStart w:id="255" w:name="_Toc246996982"/>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3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供货安装完毕且经相关主管部门验收合格后付至合同价款的97%，余款</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作为货物质量保证金，质保期为</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年（自设备验收合格之日起），第</w:t>
            </w: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年质保期满后无质量问题，质保金无息退还。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按照招标人指定地点交付设备。</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2925C44">
      <w:pPr>
        <w:pStyle w:val="3"/>
        <w:tabs>
          <w:tab w:val="left" w:pos="420"/>
        </w:tabs>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40E8E9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bl>
      <w:tblPr>
        <w:tblStyle w:val="16"/>
        <w:tblW w:w="851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9"/>
        <w:gridCol w:w="1226"/>
        <w:gridCol w:w="2075"/>
        <w:gridCol w:w="1075"/>
        <w:gridCol w:w="1125"/>
        <w:gridCol w:w="788"/>
        <w:gridCol w:w="1075"/>
      </w:tblGrid>
      <w:tr w14:paraId="05800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107671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序号</w:t>
            </w:r>
          </w:p>
        </w:tc>
        <w:tc>
          <w:tcPr>
            <w:tcW w:w="1226" w:type="dxa"/>
            <w:tcBorders>
              <w:top w:val="single" w:color="000000" w:sz="4" w:space="0"/>
              <w:left w:val="single" w:color="000000" w:sz="4" w:space="0"/>
              <w:bottom w:val="single" w:color="000000" w:sz="4" w:space="0"/>
              <w:right w:val="single" w:color="000000" w:sz="4" w:space="0"/>
            </w:tcBorders>
            <w:noWrap/>
            <w:vAlign w:val="center"/>
          </w:tcPr>
          <w:p w14:paraId="35F968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03AD3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185EC0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EBFF4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620002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69371A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r>
      <w:tr w14:paraId="063F0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968D5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6" w:type="dxa"/>
            <w:vMerge w:val="restart"/>
            <w:tcBorders>
              <w:top w:val="single" w:color="000000" w:sz="4" w:space="0"/>
              <w:left w:val="single" w:color="000000" w:sz="4" w:space="0"/>
              <w:bottom w:val="nil"/>
              <w:right w:val="single" w:color="000000" w:sz="4" w:space="0"/>
            </w:tcBorders>
            <w:noWrap w:val="0"/>
            <w:vAlign w:val="center"/>
          </w:tcPr>
          <w:p w14:paraId="0E6EB6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05278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164D7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067CC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2D29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3FC65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2A770B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15287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84CC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6" w:type="dxa"/>
            <w:vMerge w:val="continue"/>
            <w:tcBorders>
              <w:top w:val="single" w:color="000000" w:sz="4" w:space="0"/>
              <w:left w:val="single" w:color="000000" w:sz="4" w:space="0"/>
              <w:bottom w:val="nil"/>
              <w:right w:val="single" w:color="000000" w:sz="4" w:space="0"/>
            </w:tcBorders>
            <w:noWrap w:val="0"/>
            <w:vAlign w:val="center"/>
          </w:tcPr>
          <w:p w14:paraId="406F5D47">
            <w:pPr>
              <w:jc w:val="center"/>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7C2D5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7-14700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4D14A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A1BA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0C499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3013D7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3B6F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7B2EA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6" w:type="dxa"/>
            <w:tcBorders>
              <w:top w:val="single" w:color="000000" w:sz="4" w:space="0"/>
              <w:left w:val="single" w:color="000000" w:sz="4" w:space="0"/>
              <w:bottom w:val="nil"/>
              <w:right w:val="single" w:color="000000" w:sz="4" w:space="0"/>
            </w:tcBorders>
            <w:noWrap w:val="0"/>
            <w:vAlign w:val="center"/>
          </w:tcPr>
          <w:p w14:paraId="448F0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2075" w:type="dxa"/>
            <w:tcBorders>
              <w:top w:val="single" w:color="000000" w:sz="4" w:space="0"/>
              <w:left w:val="single" w:color="000000" w:sz="4" w:space="0"/>
              <w:bottom w:val="nil"/>
              <w:right w:val="single" w:color="000000" w:sz="4" w:space="0"/>
            </w:tcBorders>
            <w:noWrap/>
            <w:vAlign w:val="center"/>
          </w:tcPr>
          <w:p w14:paraId="61085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1075" w:type="dxa"/>
            <w:tcBorders>
              <w:top w:val="single" w:color="000000" w:sz="4" w:space="0"/>
              <w:left w:val="single" w:color="000000" w:sz="4" w:space="0"/>
              <w:bottom w:val="nil"/>
              <w:right w:val="single" w:color="000000" w:sz="4" w:space="0"/>
            </w:tcBorders>
            <w:noWrap/>
            <w:vAlign w:val="center"/>
          </w:tcPr>
          <w:p w14:paraId="7CFF3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1125" w:type="dxa"/>
            <w:tcBorders>
              <w:top w:val="single" w:color="000000" w:sz="4" w:space="0"/>
              <w:left w:val="single" w:color="000000" w:sz="4" w:space="0"/>
              <w:bottom w:val="nil"/>
              <w:right w:val="single" w:color="000000" w:sz="4" w:space="0"/>
            </w:tcBorders>
            <w:noWrap/>
            <w:vAlign w:val="center"/>
          </w:tcPr>
          <w:p w14:paraId="6F74F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nil"/>
              <w:right w:val="single" w:color="000000" w:sz="4" w:space="0"/>
            </w:tcBorders>
            <w:noWrap/>
            <w:vAlign w:val="center"/>
          </w:tcPr>
          <w:p w14:paraId="1D307C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nil"/>
              <w:right w:val="single" w:color="000000" w:sz="4" w:space="0"/>
            </w:tcBorders>
            <w:noWrap/>
            <w:vAlign w:val="center"/>
          </w:tcPr>
          <w:p w14:paraId="1BDB91D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37C47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622E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3D53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14:paraId="5904D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78FEFBD4">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3CFDF9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22D7727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2C6A69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bl>
    <w:p w14:paraId="47348483">
      <w:pPr>
        <w:rPr>
          <w:rFonts w:hint="eastAsia" w:eastAsia="宋体"/>
          <w:lang w:eastAsia="zh-CN"/>
        </w:rPr>
      </w:pPr>
      <w:r>
        <w:rPr>
          <w:rFonts w:hint="eastAsia"/>
          <w:sz w:val="24"/>
          <w:szCs w:val="24"/>
        </w:rPr>
        <w:t>备注：为提高办公效率，保障办公设备使用的稳定性，建议报送联想、戴尔、惠普等一线品牌机型价格。提供13%增值税专用发票，提供装机、维保等服务</w:t>
      </w:r>
      <w:r>
        <w:rPr>
          <w:rFonts w:hint="eastAsia"/>
          <w:sz w:val="24"/>
          <w:szCs w:val="24"/>
          <w:lang w:eastAsia="zh-CN"/>
        </w:rPr>
        <w:t>，</w:t>
      </w:r>
      <w:r>
        <w:rPr>
          <w:rFonts w:hint="eastAsia"/>
          <w:sz w:val="24"/>
          <w:szCs w:val="24"/>
          <w:lang w:val="en-US" w:eastAsia="zh-CN"/>
        </w:rPr>
        <w:t>该批办公电脑根据实际需求分批次进行采购</w:t>
      </w:r>
      <w:r>
        <w:rPr>
          <w:rFonts w:hint="eastAsia"/>
          <w:sz w:val="24"/>
          <w:szCs w:val="24"/>
        </w:rPr>
        <w:t>。</w:t>
      </w:r>
    </w:p>
    <w:p w14:paraId="28F5D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247527827"/>
      <w:bookmarkStart w:id="259" w:name="_Toc144974856"/>
      <w:bookmarkStart w:id="260" w:name="_Toc247514246"/>
      <w:bookmarkStart w:id="261" w:name="_Toc152042576"/>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247527828"/>
      <w:bookmarkStart w:id="265" w:name="_Toc144974857"/>
      <w:bookmarkStart w:id="266" w:name="_Toc152045788"/>
      <w:bookmarkStart w:id="267" w:name="_Toc247514247"/>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247514249"/>
      <w:bookmarkStart w:id="271" w:name="_Toc152045790"/>
      <w:bookmarkStart w:id="272" w:name="_Toc152042579"/>
      <w:bookmarkStart w:id="273" w:name="_Toc144974859"/>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permStart w:id="40"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0"/>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152045791"/>
      <w:bookmarkStart w:id="277" w:name="_Toc300835213"/>
      <w:bookmarkStart w:id="278" w:name="_Toc152042580"/>
      <w:bookmarkStart w:id="279" w:name="_Toc247514283"/>
      <w:bookmarkStart w:id="280"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52045792"/>
      <w:bookmarkStart w:id="283" w:name="_Toc247514284"/>
      <w:bookmarkStart w:id="284" w:name="_Toc152042581"/>
      <w:bookmarkStart w:id="285" w:name="_Toc247527832"/>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14286"/>
      <w:bookmarkStart w:id="288" w:name="_Toc152042583"/>
      <w:bookmarkStart w:id="289" w:name="_Toc152045794"/>
      <w:bookmarkStart w:id="290" w:name="_Toc144974862"/>
      <w:bookmarkStart w:id="291" w:name="_Toc247527834"/>
      <w:bookmarkStart w:id="292" w:name="_Toc300835216"/>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152042584"/>
      <w:bookmarkStart w:id="296" w:name="_Toc144974863"/>
      <w:bookmarkStart w:id="297" w:name="_Toc152045795"/>
      <w:bookmarkStart w:id="298" w:name="_Toc247527835"/>
      <w:bookmarkStart w:id="299" w:name="_Toc247514287"/>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pPr w:leftFromText="180" w:rightFromText="180" w:vertAnchor="text" w:horzAnchor="page" w:tblpX="1845" w:tblpY="308"/>
        <w:tblOverlap w:val="never"/>
        <w:tblW w:w="86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7"/>
        <w:gridCol w:w="945"/>
        <w:gridCol w:w="1655"/>
        <w:gridCol w:w="745"/>
        <w:gridCol w:w="800"/>
        <w:gridCol w:w="855"/>
        <w:gridCol w:w="943"/>
        <w:gridCol w:w="867"/>
        <w:gridCol w:w="1089"/>
      </w:tblGrid>
      <w:tr w14:paraId="7C10E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131198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bookmarkStart w:id="300" w:name="_Toc300835221"/>
            <w:bookmarkStart w:id="301" w:name="_Toc144974864"/>
            <w:bookmarkStart w:id="302" w:name="_Toc247527836"/>
            <w:bookmarkStart w:id="303" w:name="_Toc152042585"/>
            <w:bookmarkStart w:id="304" w:name="_Toc247514288"/>
            <w:bookmarkStart w:id="305" w:name="_Toc152045796"/>
            <w:r>
              <w:rPr>
                <w:rFonts w:hint="eastAsia" w:ascii="宋体" w:hAnsi="宋体" w:eastAsia="宋体" w:cs="宋体"/>
                <w:b/>
                <w:bCs/>
                <w:i w:val="0"/>
                <w:iCs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968F6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0A2609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6B8FB8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59D63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EC979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28AB2F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942868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281037B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总价/元</w:t>
            </w:r>
          </w:p>
        </w:tc>
      </w:tr>
      <w:tr w14:paraId="4478B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63CD5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45" w:type="dxa"/>
            <w:vMerge w:val="restart"/>
            <w:tcBorders>
              <w:top w:val="single" w:color="000000" w:sz="4" w:space="0"/>
              <w:left w:val="single" w:color="000000" w:sz="4" w:space="0"/>
              <w:bottom w:val="nil"/>
              <w:right w:val="single" w:color="000000" w:sz="4" w:space="0"/>
            </w:tcBorders>
            <w:noWrap w:val="0"/>
            <w:vAlign w:val="center"/>
          </w:tcPr>
          <w:p w14:paraId="56A6B5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3EEE5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12773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535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0C4A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16A6F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AAB2AA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800B7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C3FFA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65A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40155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45" w:type="dxa"/>
            <w:vMerge w:val="continue"/>
            <w:tcBorders>
              <w:top w:val="single" w:color="000000" w:sz="4" w:space="0"/>
              <w:left w:val="single" w:color="000000" w:sz="4" w:space="0"/>
              <w:bottom w:val="nil"/>
              <w:right w:val="single" w:color="000000" w:sz="4" w:space="0"/>
            </w:tcBorders>
            <w:noWrap w:val="0"/>
            <w:vAlign w:val="center"/>
          </w:tcPr>
          <w:p w14:paraId="53341D33">
            <w:pPr>
              <w:jc w:val="center"/>
              <w:rPr>
                <w:rFonts w:hint="eastAsia" w:ascii="宋体" w:hAnsi="宋体" w:eastAsia="宋体" w:cs="宋体"/>
                <w:i w:val="0"/>
                <w:iCs w:val="0"/>
                <w:color w:val="000000"/>
                <w:sz w:val="22"/>
                <w:szCs w:val="22"/>
                <w:u w:val="none"/>
              </w:rPr>
            </w:pP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69C2C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7-14700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9C82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DE22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D0BE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F06397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12FE5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628BEF5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8FD7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3FEDF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5" w:type="dxa"/>
            <w:tcBorders>
              <w:top w:val="single" w:color="000000" w:sz="4" w:space="0"/>
              <w:left w:val="single" w:color="000000" w:sz="4" w:space="0"/>
              <w:bottom w:val="nil"/>
              <w:right w:val="single" w:color="000000" w:sz="4" w:space="0"/>
            </w:tcBorders>
            <w:noWrap w:val="0"/>
            <w:vAlign w:val="center"/>
          </w:tcPr>
          <w:p w14:paraId="470D4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1655" w:type="dxa"/>
            <w:tcBorders>
              <w:top w:val="single" w:color="000000" w:sz="4" w:space="0"/>
              <w:left w:val="single" w:color="000000" w:sz="4" w:space="0"/>
              <w:bottom w:val="nil"/>
              <w:right w:val="single" w:color="000000" w:sz="4" w:space="0"/>
            </w:tcBorders>
            <w:noWrap/>
            <w:vAlign w:val="center"/>
          </w:tcPr>
          <w:p w14:paraId="1A132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745" w:type="dxa"/>
            <w:tcBorders>
              <w:top w:val="single" w:color="000000" w:sz="4" w:space="0"/>
              <w:left w:val="single" w:color="000000" w:sz="4" w:space="0"/>
              <w:bottom w:val="nil"/>
              <w:right w:val="single" w:color="000000" w:sz="4" w:space="0"/>
            </w:tcBorders>
            <w:noWrap/>
            <w:vAlign w:val="center"/>
          </w:tcPr>
          <w:p w14:paraId="5174F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800" w:type="dxa"/>
            <w:tcBorders>
              <w:top w:val="single" w:color="000000" w:sz="4" w:space="0"/>
              <w:left w:val="single" w:color="000000" w:sz="4" w:space="0"/>
              <w:bottom w:val="nil"/>
              <w:right w:val="single" w:color="000000" w:sz="4" w:space="0"/>
            </w:tcBorders>
            <w:noWrap/>
            <w:vAlign w:val="center"/>
          </w:tcPr>
          <w:p w14:paraId="1869E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nil"/>
              <w:right w:val="single" w:color="000000" w:sz="4" w:space="0"/>
            </w:tcBorders>
            <w:noWrap/>
            <w:vAlign w:val="center"/>
          </w:tcPr>
          <w:p w14:paraId="686E3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nil"/>
              <w:right w:val="single" w:color="000000" w:sz="4" w:space="0"/>
            </w:tcBorders>
            <w:noWrap/>
            <w:vAlign w:val="center"/>
          </w:tcPr>
          <w:p w14:paraId="7A1275B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867" w:type="dxa"/>
            <w:tcBorders>
              <w:top w:val="single" w:color="000000" w:sz="4" w:space="0"/>
              <w:left w:val="single" w:color="000000" w:sz="4" w:space="0"/>
              <w:bottom w:val="nil"/>
              <w:right w:val="single" w:color="000000" w:sz="4" w:space="0"/>
            </w:tcBorders>
            <w:noWrap/>
            <w:vAlign w:val="center"/>
          </w:tcPr>
          <w:p w14:paraId="3FCFFF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nil"/>
              <w:right w:val="single" w:color="000000" w:sz="4" w:space="0"/>
            </w:tcBorders>
            <w:noWrap/>
            <w:vAlign w:val="center"/>
          </w:tcPr>
          <w:p w14:paraId="0B4CFC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7BE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5F7BA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14:paraId="7245D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14:paraId="453CC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1B0B93E6">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A736FC3">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4B66C7">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0C135D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43266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A7B3B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0874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517" w:type="dxa"/>
            <w:gridSpan w:val="8"/>
            <w:tcBorders>
              <w:top w:val="single" w:color="000000" w:sz="4" w:space="0"/>
              <w:left w:val="single" w:color="000000" w:sz="4" w:space="0"/>
              <w:bottom w:val="single" w:color="000000" w:sz="4" w:space="0"/>
              <w:right w:val="single" w:color="000000" w:sz="4" w:space="0"/>
            </w:tcBorders>
            <w:noWrap/>
            <w:vAlign w:val="center"/>
          </w:tcPr>
          <w:p w14:paraId="111516C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合计（含税价）：</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77BDD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6034EAD1">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E49C614">
      <w:pPr>
        <w:spacing w:line="440" w:lineRule="exact"/>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1560B99-CC91-47FB-B830-2BE3E97AA15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68AFCC5-7AAF-45AF-8B2E-4A063BB7D2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2CF0E27-FF41-4849-8D9E-06FAE5D6D510}"/>
  </w:font>
  <w:font w:name="仿宋_GB2312">
    <w:panose1 w:val="02010609030101010101"/>
    <w:charset w:val="86"/>
    <w:family w:val="modern"/>
    <w:pitch w:val="default"/>
    <w:sig w:usb0="00000001" w:usb1="080E0000" w:usb2="00000000" w:usb3="00000000" w:csb0="00040000" w:csb1="00000000"/>
    <w:embedRegular r:id="rId4" w:fontKey="{64C9B23B-3FA6-467C-92A3-B618B542FDF5}"/>
  </w:font>
  <w:font w:name="方正小标宋简体">
    <w:panose1 w:val="03000509000000000000"/>
    <w:charset w:val="86"/>
    <w:family w:val="auto"/>
    <w:pitch w:val="default"/>
    <w:sig w:usb0="00000001" w:usb1="080E0000" w:usb2="00000000" w:usb3="00000000" w:csb0="00040000" w:csb1="00000000"/>
    <w:embedRegular r:id="rId5" w:fontKey="{FE6C134C-5F02-4266-BF39-5C9C51372B05}"/>
  </w:font>
  <w:font w:name="楷体">
    <w:panose1 w:val="02010609060101010101"/>
    <w:charset w:val="86"/>
    <w:family w:val="auto"/>
    <w:pitch w:val="default"/>
    <w:sig w:usb0="800002BF" w:usb1="38CF7CFA" w:usb2="00000016" w:usb3="00000000" w:csb0="00040001" w:csb1="00000000"/>
    <w:embedRegular r:id="rId6" w:fontKey="{2C50C594-1682-4EA2-929C-1EB2A48F7996}"/>
  </w:font>
  <w:font w:name="Wingdings 2">
    <w:altName w:val="Wingdings"/>
    <w:panose1 w:val="05020102010507070707"/>
    <w:charset w:val="00"/>
    <w:family w:val="auto"/>
    <w:pitch w:val="default"/>
    <w:sig w:usb0="00000000" w:usb1="00000000" w:usb2="00000000" w:usb3="00000000" w:csb0="80000000" w:csb1="00000000"/>
    <w:embedRegular r:id="rId7" w:fontKey="{89C9E0C0-7C21-4BC9-88A7-E0320A9430E2}"/>
  </w:font>
  <w:font w:name="方正仿宋_GB2312">
    <w:panose1 w:val="02000000000000000000"/>
    <w:charset w:val="86"/>
    <w:family w:val="auto"/>
    <w:pitch w:val="default"/>
    <w:sig w:usb0="A00002BF" w:usb1="184F6CFA" w:usb2="00000012" w:usb3="00000000" w:csb0="00040001" w:csb1="00000000"/>
    <w:embedRegular r:id="rId8" w:fontKey="{6B756483-746D-4AAB-BC8C-1617F7638EB0}"/>
  </w:font>
  <w:font w:name="仿宋">
    <w:panose1 w:val="02010609060101010101"/>
    <w:charset w:val="86"/>
    <w:family w:val="modern"/>
    <w:pitch w:val="default"/>
    <w:sig w:usb0="800002BF" w:usb1="38CF7CFA" w:usb2="00000016" w:usb3="00000000" w:csb0="00040001" w:csb1="00000000"/>
    <w:embedRegular r:id="rId9" w:fontKey="{0E64C48C-05F1-4997-9D63-A334CE2B9D4C}"/>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5E2274"/>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C13B52"/>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774AC"/>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7845F5"/>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24658"/>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B83DB4"/>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BF19CF"/>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E4B03"/>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7647A"/>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2552</Words>
  <Characters>3097</Characters>
  <Lines>0</Lines>
  <Paragraphs>0</Paragraphs>
  <TotalTime>209</TotalTime>
  <ScaleCrop>false</ScaleCrop>
  <LinksUpToDate>false</LinksUpToDate>
  <CharactersWithSpaces>3201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I am you</cp:lastModifiedBy>
  <cp:lastPrinted>2025-10-27T03:27:50Z</cp:lastPrinted>
  <dcterms:modified xsi:type="dcterms:W3CDTF">2025-10-27T06:45:09Z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103A1FD74B5F4719A26994AD1D5E14C8_13</vt:lpwstr>
  </property>
  <property fmtid="{D5CDD505-2E9C-101B-9397-08002B2CF9AE}" pid="4" name="KSOTemplateDocerSaveRecord">
    <vt:lpwstr>eyJoZGlkIjoiMDllOTBkMTE4ODE5YTZjNmUzNmQ3MDY2NzhjYzMyZTEiLCJ1c2VySWQiOiI0MDAzODU3NzgifQ==</vt:lpwstr>
  </property>
</Properties>
</file>