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亳州市西部片区城市更新二期项目杜仲路（古井大道-望州路段）施工总承包项目人行道劳务分包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亳州市西部片区城市更新二期项目杜仲路（古井大道-望州路段）施工总承包项目人行道劳务分包</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亳州市西部片区城市更新二期项目杜仲路（古井大道-望州路段）施工总承包项目人行道劳务分包</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69号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318254元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项目人行道劳务，具体施工内容详见工程量清单及图纸，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具有独立法人资格，并在人员、设备、施工机具、资金等方面具有承担本工程施工的能力。</w:t>
      </w:r>
    </w:p>
    <w:p w14:paraId="09773F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（二）供应商须具有有效的施工劳务企业资质及安全生产许可证。</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（三）业绩要求：提供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w:t>
      </w:r>
      <w:r>
        <w:rPr>
          <w:rFonts w:hint="eastAsia" w:ascii="宋体" w:hAnsi="宋体" w:cs="宋体"/>
          <w:color w:val="FF0000"/>
          <w:kern w:val="2"/>
          <w:sz w:val="28"/>
          <w:szCs w:val="28"/>
          <w:highlight w:val="none"/>
          <w:u w:val="single"/>
          <w:lang w:val="en-US" w:eastAsia="zh-CN"/>
        </w:rPr>
        <w:t>20</w:t>
      </w:r>
      <w:r>
        <w:rPr>
          <w:rFonts w:hint="eastAsia" w:ascii="宋体" w:hAnsi="宋体" w:eastAsia="宋体" w:cs="宋体"/>
          <w:color w:val="FF0000"/>
          <w:kern w:val="2"/>
          <w:sz w:val="28"/>
          <w:szCs w:val="28"/>
          <w:highlight w:val="none"/>
          <w:u w:val="single"/>
          <w:lang w:val="en-US" w:eastAsia="zh-CN"/>
        </w:rPr>
        <w:t>万元的</w:t>
      </w:r>
      <w:r>
        <w:rPr>
          <w:rFonts w:hint="eastAsia" w:ascii="宋体" w:hAnsi="宋体" w:cs="宋体"/>
          <w:color w:val="FF0000"/>
          <w:kern w:val="2"/>
          <w:sz w:val="28"/>
          <w:szCs w:val="28"/>
          <w:highlight w:val="none"/>
          <w:u w:val="single"/>
          <w:lang w:val="en-US" w:eastAsia="zh-CN"/>
        </w:rPr>
        <w:t>路面工程劳务施工</w:t>
      </w:r>
      <w:r>
        <w:rPr>
          <w:rFonts w:hint="eastAsia" w:ascii="宋体" w:hAnsi="宋体" w:eastAsia="宋体" w:cs="宋体"/>
          <w:color w:val="FF0000"/>
          <w:kern w:val="2"/>
          <w:sz w:val="28"/>
          <w:szCs w:val="28"/>
          <w:highlight w:val="none"/>
          <w:u w:val="single"/>
          <w:lang w:val="en-US" w:eastAsia="zh-CN"/>
        </w:rPr>
        <w:t>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五</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28</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w:t>
      </w:r>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27</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6000元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AHTKJS-2025-69号保证金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亳州市西部片区城市更新二期项目杜仲路（古井大道-望州路段）施工总承包项目人行道劳务分包</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69号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或转账</w:t>
            </w:r>
            <w:r>
              <w:rPr>
                <w:rFonts w:hint="default" w:ascii="Times New Roman" w:hAnsi="Times New Roman" w:cs="Times New Roman"/>
                <w:color w:val="FF0000"/>
                <w:szCs w:val="21"/>
                <w:highlight w:val="none"/>
              </w:rPr>
              <w:t>。</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79632549"/>
      <w:bookmarkStart w:id="2" w:name="_Toc296602423"/>
      <w:bookmarkStart w:id="3" w:name="_Toc152042308"/>
      <w:bookmarkStart w:id="4" w:name="_Toc152045532"/>
      <w:bookmarkStart w:id="5" w:name="_Toc246996178"/>
      <w:bookmarkStart w:id="6" w:name="_Toc24708569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44974504"/>
      <w:bookmarkStart w:id="10" w:name="_Toc247085695"/>
      <w:bookmarkStart w:id="11" w:name="_Toc246996924"/>
      <w:bookmarkStart w:id="12" w:name="_Toc246996181"/>
      <w:bookmarkStart w:id="13" w:name="_Toc179632553"/>
      <w:bookmarkStart w:id="14" w:name="_Toc152042312"/>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79632554"/>
      <w:bookmarkStart w:id="19" w:name="_Toc152042313"/>
      <w:bookmarkStart w:id="20" w:name="_Toc296602427"/>
      <w:bookmarkStart w:id="21" w:name="_Toc247085696"/>
      <w:bookmarkStart w:id="22" w:name="_Toc15204553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7085697"/>
      <w:bookmarkStart w:id="26" w:name="_Toc152045538"/>
      <w:bookmarkStart w:id="27" w:name="_Toc152042314"/>
      <w:bookmarkStart w:id="28" w:name="_Toc246996183"/>
      <w:bookmarkStart w:id="29" w:name="_Toc179632555"/>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52042318"/>
      <w:bookmarkStart w:id="33" w:name="_Toc246996930"/>
      <w:bookmarkStart w:id="34" w:name="_Toc144974510"/>
      <w:bookmarkStart w:id="35" w:name="_Toc152045542"/>
      <w:bookmarkStart w:id="36" w:name="_Toc296602432"/>
      <w:bookmarkStart w:id="37" w:name="_Toc246996187"/>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152045543"/>
      <w:bookmarkStart w:id="41" w:name="_Toc246996188"/>
      <w:bookmarkStart w:id="42" w:name="_Toc144974511"/>
      <w:bookmarkStart w:id="43" w:name="_Toc179632561"/>
      <w:bookmarkStart w:id="44" w:name="_Toc152042319"/>
      <w:bookmarkStart w:id="45" w:name="_Toc247085702"/>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44974512"/>
      <w:bookmarkStart w:id="49" w:name="_Toc152042320"/>
      <w:bookmarkStart w:id="50" w:name="_Toc296602434"/>
      <w:bookmarkStart w:id="51" w:name="_Toc246996932"/>
      <w:bookmarkStart w:id="52" w:name="_Toc246996189"/>
      <w:bookmarkStart w:id="53" w:name="_Toc152045544"/>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152042321"/>
      <w:bookmarkStart w:id="57" w:name="_Toc152045545"/>
      <w:bookmarkStart w:id="58" w:name="_Toc144974513"/>
      <w:bookmarkStart w:id="59" w:name="_Toc246996933"/>
      <w:bookmarkStart w:id="60" w:name="_Toc247085704"/>
      <w:bookmarkStart w:id="61" w:name="_Toc17963256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46996191"/>
      <w:bookmarkStart w:id="65" w:name="_Toc246996934"/>
      <w:bookmarkStart w:id="66" w:name="_Toc152042322"/>
      <w:bookmarkStart w:id="67" w:name="_Toc296602436"/>
      <w:bookmarkStart w:id="68" w:name="_Toc179632564"/>
      <w:bookmarkStart w:id="69" w:name="_Toc144974514"/>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2323"/>
      <w:bookmarkStart w:id="73" w:name="_Toc247085706"/>
      <w:bookmarkStart w:id="74" w:name="_Toc152045547"/>
      <w:bookmarkStart w:id="75" w:name="_Toc296602437"/>
      <w:bookmarkStart w:id="76" w:name="_Toc179632565"/>
      <w:bookmarkStart w:id="77" w:name="_Toc246996935"/>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47085707"/>
      <w:bookmarkStart w:id="81" w:name="_Toc296602438"/>
      <w:bookmarkStart w:id="82" w:name="_Toc152045548"/>
      <w:bookmarkStart w:id="83" w:name="_Toc246996193"/>
      <w:bookmarkStart w:id="84" w:name="_Toc246996936"/>
      <w:bookmarkStart w:id="85" w:name="_Toc179632566"/>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144974523"/>
      <w:bookmarkStart w:id="97" w:name="_Toc296602443"/>
      <w:bookmarkStart w:id="98" w:name="_Toc247085713"/>
      <w:bookmarkStart w:id="99" w:name="_Toc246996942"/>
      <w:bookmarkStart w:id="100" w:name="_Toc246996199"/>
      <w:bookmarkStart w:id="101" w:name="_Toc17963257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6996943"/>
      <w:bookmarkStart w:id="105" w:name="_Toc144974524"/>
      <w:bookmarkStart w:id="106" w:name="_Toc179632574"/>
      <w:bookmarkStart w:id="107" w:name="_Toc152045556"/>
      <w:bookmarkStart w:id="108" w:name="_Toc247085714"/>
      <w:bookmarkStart w:id="109" w:name="_Toc296602444"/>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247085715"/>
      <w:bookmarkStart w:id="113" w:name="_Toc144974525"/>
      <w:bookmarkStart w:id="114" w:name="_Toc152045557"/>
      <w:bookmarkStart w:id="115" w:name="_Toc179632575"/>
      <w:bookmarkStart w:id="116" w:name="_Toc152042333"/>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52042334"/>
      <w:bookmarkStart w:id="120" w:name="_Toc246996945"/>
      <w:bookmarkStart w:id="121" w:name="_Toc296602446"/>
      <w:bookmarkStart w:id="122" w:name="_Toc152045558"/>
      <w:bookmarkStart w:id="123" w:name="_Toc247085716"/>
      <w:bookmarkStart w:id="124" w:name="_Toc14497452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96602447"/>
      <w:bookmarkStart w:id="128" w:name="_Toc179632577"/>
      <w:bookmarkStart w:id="129" w:name="_Toc246996203"/>
      <w:bookmarkStart w:id="130" w:name="_Toc152042335"/>
      <w:bookmarkStart w:id="131" w:name="_Toc152045559"/>
      <w:bookmarkStart w:id="132" w:name="_Toc144974527"/>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246996947"/>
      <w:bookmarkStart w:id="136" w:name="_Toc152042336"/>
      <w:bookmarkStart w:id="137" w:name="_Toc152045560"/>
      <w:bookmarkStart w:id="138" w:name="_Toc179632578"/>
      <w:bookmarkStart w:id="139" w:name="_Toc296602448"/>
      <w:bookmarkStart w:id="140" w:name="_Toc246996204"/>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205"/>
      <w:bookmarkStart w:id="144" w:name="_Toc144974529"/>
      <w:bookmarkStart w:id="145" w:name="_Toc296602449"/>
      <w:bookmarkStart w:id="146" w:name="_Toc246996948"/>
      <w:bookmarkStart w:id="147" w:name="_Toc152042337"/>
      <w:bookmarkStart w:id="148" w:name="_Toc17963257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296602452"/>
      <w:bookmarkStart w:id="152" w:name="_Toc246996950"/>
      <w:bookmarkStart w:id="153" w:name="_Toc144974531"/>
      <w:bookmarkStart w:id="154" w:name="_Toc179632581"/>
      <w:bookmarkStart w:id="155" w:name="_Toc246996207"/>
      <w:bookmarkStart w:id="156" w:name="_Toc24708572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44974534"/>
      <w:bookmarkStart w:id="160" w:name="_Toc179632584"/>
      <w:bookmarkStart w:id="161" w:name="_Toc246996953"/>
      <w:bookmarkStart w:id="162" w:name="_Toc152045566"/>
      <w:bookmarkStart w:id="163" w:name="_Toc296602455"/>
      <w:bookmarkStart w:id="164" w:name="_Toc152042342"/>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144974535"/>
      <w:bookmarkStart w:id="169" w:name="_Toc152042343"/>
      <w:bookmarkStart w:id="170" w:name="_Toc296602456"/>
      <w:bookmarkStart w:id="171" w:name="_Toc246996954"/>
      <w:bookmarkStart w:id="172" w:name="_Toc246996211"/>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79632586"/>
      <w:bookmarkStart w:id="177" w:name="_Toc144974536"/>
      <w:bookmarkStart w:id="178" w:name="_Toc296602458"/>
      <w:bookmarkStart w:id="179" w:name="_Toc247085726"/>
      <w:bookmarkStart w:id="180" w:name="_Toc152042344"/>
      <w:bookmarkStart w:id="181" w:name="_Toc152045568"/>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5569"/>
      <w:bookmarkStart w:id="185" w:name="_Toc247085727"/>
      <w:bookmarkStart w:id="186" w:name="_Toc152042345"/>
      <w:bookmarkStart w:id="187" w:name="_Toc179632587"/>
      <w:bookmarkStart w:id="188" w:name="_Toc144974537"/>
      <w:bookmarkStart w:id="189" w:name="_Toc246996956"/>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6996219"/>
      <w:bookmarkStart w:id="194" w:name="_Toc144974543"/>
      <w:bookmarkStart w:id="195" w:name="_Toc247085733"/>
      <w:bookmarkStart w:id="196" w:name="_Toc296602462"/>
      <w:bookmarkStart w:id="197" w:name="_Toc152045575"/>
      <w:bookmarkStart w:id="198" w:name="_Toc152042351"/>
      <w:bookmarkStart w:id="199" w:name="_Toc246996962"/>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52045576"/>
      <w:bookmarkStart w:id="202" w:name="_Toc152042352"/>
      <w:bookmarkStart w:id="203" w:name="_Toc296602463"/>
      <w:bookmarkStart w:id="204" w:name="_Toc179632594"/>
      <w:bookmarkStart w:id="205" w:name="_Toc144974544"/>
      <w:bookmarkStart w:id="206" w:name="_Toc246996963"/>
      <w:bookmarkStart w:id="207" w:name="_Toc246996220"/>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6996221"/>
      <w:bookmarkStart w:id="211" w:name="_Toc296602464"/>
      <w:bookmarkStart w:id="212" w:name="_Toc152045577"/>
      <w:bookmarkStart w:id="213" w:name="_Toc247085735"/>
      <w:bookmarkStart w:id="214" w:name="_Toc179632595"/>
      <w:bookmarkStart w:id="215" w:name="_Toc152042353"/>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6996975"/>
            <w:bookmarkStart w:id="219" w:name="_Toc246996232"/>
            <w:bookmarkStart w:id="220" w:name="_Toc247085747"/>
            <w:bookmarkStart w:id="221" w:name="_Toc296602477"/>
            <w:bookmarkStart w:id="222" w:name="_Toc152045589"/>
            <w:bookmarkStart w:id="223" w:name="_Toc144974556"/>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9EA4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2F67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C642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E86D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179632611"/>
      <w:bookmarkStart w:id="227" w:name="_Toc152042370"/>
      <w:bookmarkStart w:id="228" w:name="_Toc246996979"/>
      <w:bookmarkStart w:id="229" w:name="_Toc144974560"/>
      <w:bookmarkStart w:id="230" w:name="_Toc247085751"/>
      <w:bookmarkStart w:id="231" w:name="_Toc152045593"/>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152045596"/>
      <w:bookmarkStart w:id="236" w:name="_Toc152042373"/>
      <w:bookmarkStart w:id="237" w:name="_Toc179632614"/>
      <w:bookmarkStart w:id="238" w:name="_Toc296602484"/>
      <w:bookmarkStart w:id="239" w:name="_Toc24708575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3158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1）无预付款，采购人按月支付进度款；</w:t>
            </w:r>
          </w:p>
          <w:p w14:paraId="3C7D8B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2）当月进度完成时，采购人向成交人支付至审定合格工程量对应合同价款的70%；</w:t>
            </w:r>
          </w:p>
          <w:p w14:paraId="27F2CD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3）全部工程竣工验收合格后，采购人向成交人支付至审定合格工程量对应合同价款的85%；</w:t>
            </w:r>
          </w:p>
          <w:p w14:paraId="56B534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4）待工程结算审核完成后且工程无质量缺陷（或缺陷已修复）后，采购人向成交人付至工程结算审核审定价款的97%；</w:t>
            </w:r>
          </w:p>
          <w:p w14:paraId="284FD8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5）余款3%为质保金，待缺陷责任期（自竣工验收合格之日起24个月）满且工程无质量缺陷（或缺陷已修复）后，经成交人申请后无息付清余款（如有相应维修等费用需扣除）。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5ACD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21E12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32730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1A470F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0CF0E7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如在规定的缺陷责任期内存在质量缺陷，待缺陷修复后，自修复完成之日起顺延一年，期满后（到期时间如在缺陷责任期内则以缺陷责任期到期时间为准，如超出缺陷责任期，则以实际延期的时间为准）经采购人检验合格后，无息付清全部余款，如仍存在质量问题按有关法律法规的规定解决。</w:t>
            </w:r>
          </w:p>
          <w:p w14:paraId="653F1D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成交人原因导致施工质量达不到国家质量要求及合同约定质量标准的，成交人必须无偿返修至合格标准，如成交人在采购人下达返修通知后三日内未返修或拒不返修，采购人将暂停工程结算，且成交人须按本合同总价款的20%向采购人支付违约金。因工程质量不合格对采购人所造成的一切实际损失均由成交人承担。</w:t>
            </w:r>
          </w:p>
          <w:p w14:paraId="2BE47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3）审计时，成交人所报工程结算审减率不得超过5%，若所报工程结算审减率等于或超过5%，则由成交人支付全额的审计费用。</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BBA51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符合总承包合同、设计图纸、法律法规、技术规范等相关要求；成交人须按照合同要求进行各项工作（包括但不限于施工范围的图纸深化设计、施工方案、施工计划及其他各项工程施工有关的管理方案、措施的编制），按照采购人的要求完成所有工作任务。</w:t>
      </w:r>
    </w:p>
    <w:p w14:paraId="18ABD12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2.施工内容包含但不限于人行道垫层、基础施工、人行道板、安砌侧平石、车止石安砌以及设计单位要求变更增加的人行道劳务一切工作，未尽事宜具体详见图纸。</w:t>
      </w:r>
    </w:p>
    <w:p w14:paraId="700C31B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成交人包劳务、包模板、包辅材、包质量、包工期、包安全、包资料、包方案、包施工机械、包施工措施、包税费、包检测、包文明施工、包竣工验收合格、包工程保修、包市场风险；施工所用材料的名称、种类、规格、质量、品牌必须符合图纸、相关规范、总包合同约定以及专业分包合同约定。</w:t>
      </w:r>
    </w:p>
    <w:p w14:paraId="61AEC8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3.如因设计变更而导致的工程量增加，结算以最终审核审定的实际完成合格工程量为准。</w:t>
      </w:r>
    </w:p>
    <w:p w14:paraId="3CA22F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4.成交人须按发包人要求建立健全劳资专管员制度，对施工人员进行实名制管理和登记，成交人每月上报本工程农民工工资清单。成交人违反上述规定或者因拖欠工资出现农民工群体事件和讨薪事件及农民工投诉、政府监管部门、建设单位处罚等情况发生的，成交人应承担两倍欠薪金额且不少于二万元的违约责任。</w:t>
      </w:r>
    </w:p>
    <w:p w14:paraId="51F9830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5.成交人须配合采购人技术标准达到芍花杯评审要求，在施工过程中按照芍花杯要求指导现场施工，满足参与芍花杯评审的相关要求，确保芍花杯评审通过。</w:t>
      </w:r>
    </w:p>
    <w:p w14:paraId="1AFF304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6.如出现以下情形，成交人均不得以此为由向采购人提出赔偿、索赔等要求。</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7779"/>
      </w:tblGrid>
      <w:tr w14:paraId="5FD9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1A4922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w:t>
            </w:r>
          </w:p>
        </w:tc>
        <w:tc>
          <w:tcPr>
            <w:tcW w:w="8670" w:type="dxa"/>
            <w:noWrap w:val="0"/>
            <w:vAlign w:val="top"/>
          </w:tcPr>
          <w:p w14:paraId="27814F7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因政府征迁及建设单位资金支付问题造成工期延长等情况</w:t>
            </w:r>
          </w:p>
        </w:tc>
      </w:tr>
      <w:tr w14:paraId="079C8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3E9B019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w:t>
            </w:r>
          </w:p>
        </w:tc>
        <w:tc>
          <w:tcPr>
            <w:tcW w:w="8670" w:type="dxa"/>
            <w:noWrap w:val="0"/>
            <w:vAlign w:val="top"/>
          </w:tcPr>
          <w:p w14:paraId="230C5F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如建设单位未支付给采购人工程款，导致采购人不能及时支付给成交人进度款，成交人不得以此为由擅自停工且应主动垫付农民工工资。</w:t>
            </w:r>
          </w:p>
        </w:tc>
      </w:tr>
      <w:tr w14:paraId="0367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4E9EB9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w:t>
            </w:r>
          </w:p>
        </w:tc>
        <w:tc>
          <w:tcPr>
            <w:tcW w:w="8670" w:type="dxa"/>
            <w:noWrap w:val="0"/>
            <w:vAlign w:val="top"/>
          </w:tcPr>
          <w:p w14:paraId="7BEED4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因设计变更等情形发生导致工程量减少</w:t>
            </w:r>
          </w:p>
        </w:tc>
      </w:tr>
    </w:tbl>
    <w:p w14:paraId="108CA3D8">
      <w:pPr>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br w:type="page"/>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asciiTheme="minorHAnsi" w:hAnsiTheme="minorHAnsi" w:eastAsiaTheme="minorEastAsia" w:cstheme="minorBidi"/>
          <w:kern w:val="2"/>
          <w:sz w:val="21"/>
          <w:szCs w:val="24"/>
          <w:lang w:val="en-US" w:eastAsia="zh-CN" w:bidi="ar-SA"/>
        </w:rPr>
        <w:t>7.</w:t>
      </w:r>
      <w:r>
        <w:rPr>
          <w:rFonts w:hint="eastAsia"/>
          <w:lang w:val="en-US" w:eastAsia="zh-CN"/>
        </w:rPr>
        <w:t>工程量清单</w:t>
      </w:r>
    </w:p>
    <w:tbl>
      <w:tblPr>
        <w:tblStyle w:val="19"/>
        <w:tblpPr w:leftFromText="180" w:rightFromText="180" w:vertAnchor="text" w:horzAnchor="page" w:tblpX="1606" w:tblpY="445"/>
        <w:tblOverlap w:val="never"/>
        <w:tblW w:w="560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2022"/>
        <w:gridCol w:w="1567"/>
        <w:gridCol w:w="3088"/>
        <w:gridCol w:w="790"/>
        <w:gridCol w:w="1443"/>
      </w:tblGrid>
      <w:tr w14:paraId="73B1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37"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249E6C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58"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406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项目编码</w:t>
            </w:r>
          </w:p>
        </w:tc>
        <w:tc>
          <w:tcPr>
            <w:tcW w:w="819"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945F9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161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B162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项目特征描述</w:t>
            </w:r>
          </w:p>
        </w:tc>
        <w:tc>
          <w:tcPr>
            <w:tcW w:w="413"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6303C8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5904BC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75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B83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r>
      <w:tr w14:paraId="34270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3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B7D46AD">
            <w:pPr>
              <w:jc w:val="center"/>
              <w:rPr>
                <w:rFonts w:hint="eastAsia" w:asciiTheme="minorEastAsia" w:hAnsiTheme="minorEastAsia" w:eastAsiaTheme="minorEastAsia" w:cstheme="minorEastAsia"/>
                <w:i w:val="0"/>
                <w:iCs w:val="0"/>
                <w:color w:val="000000"/>
                <w:sz w:val="21"/>
                <w:szCs w:val="21"/>
                <w:u w:val="none"/>
              </w:rPr>
            </w:pPr>
          </w:p>
        </w:tc>
        <w:tc>
          <w:tcPr>
            <w:tcW w:w="1058"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466790">
            <w:pPr>
              <w:jc w:val="center"/>
              <w:rPr>
                <w:rFonts w:hint="eastAsia" w:asciiTheme="minorEastAsia" w:hAnsiTheme="minorEastAsia" w:eastAsiaTheme="minorEastAsia" w:cstheme="minorEastAsia"/>
                <w:i w:val="0"/>
                <w:iCs w:val="0"/>
                <w:color w:val="000000"/>
                <w:sz w:val="21"/>
                <w:szCs w:val="21"/>
                <w:u w:val="none"/>
              </w:rPr>
            </w:pPr>
          </w:p>
        </w:tc>
        <w:tc>
          <w:tcPr>
            <w:tcW w:w="819"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554D78D9">
            <w:pPr>
              <w:jc w:val="center"/>
              <w:rPr>
                <w:rFonts w:hint="eastAsia" w:asciiTheme="minorEastAsia" w:hAnsiTheme="minorEastAsia" w:eastAsiaTheme="minorEastAsia" w:cstheme="minorEastAsia"/>
                <w:i w:val="0"/>
                <w:iCs w:val="0"/>
                <w:color w:val="000000"/>
                <w:sz w:val="21"/>
                <w:szCs w:val="21"/>
                <w:u w:val="none"/>
              </w:rPr>
            </w:pPr>
          </w:p>
        </w:tc>
        <w:tc>
          <w:tcPr>
            <w:tcW w:w="161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A2F0B85">
            <w:pPr>
              <w:jc w:val="center"/>
              <w:rPr>
                <w:rFonts w:hint="eastAsia" w:asciiTheme="minorEastAsia" w:hAnsiTheme="minorEastAsia" w:eastAsiaTheme="minorEastAsia" w:cstheme="minorEastAsia"/>
                <w:i w:val="0"/>
                <w:iCs w:val="0"/>
                <w:color w:val="000000"/>
                <w:sz w:val="21"/>
                <w:szCs w:val="21"/>
                <w:u w:val="none"/>
              </w:rPr>
            </w:pPr>
          </w:p>
        </w:tc>
        <w:tc>
          <w:tcPr>
            <w:tcW w:w="413"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1EC9671">
            <w:pPr>
              <w:jc w:val="center"/>
              <w:rPr>
                <w:rFonts w:hint="eastAsia" w:asciiTheme="minorEastAsia" w:hAnsiTheme="minorEastAsia" w:eastAsiaTheme="minorEastAsia" w:cstheme="minorEastAsia"/>
                <w:i w:val="0"/>
                <w:iCs w:val="0"/>
                <w:color w:val="000000"/>
                <w:sz w:val="21"/>
                <w:szCs w:val="21"/>
                <w:u w:val="none"/>
              </w:rPr>
            </w:pPr>
          </w:p>
        </w:tc>
        <w:tc>
          <w:tcPr>
            <w:tcW w:w="75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FDFA83">
            <w:pPr>
              <w:jc w:val="center"/>
              <w:rPr>
                <w:rFonts w:hint="eastAsia" w:asciiTheme="minorEastAsia" w:hAnsiTheme="minorEastAsia" w:eastAsiaTheme="minorEastAsia" w:cstheme="minorEastAsia"/>
                <w:i w:val="0"/>
                <w:iCs w:val="0"/>
                <w:color w:val="000000"/>
                <w:sz w:val="21"/>
                <w:szCs w:val="21"/>
                <w:u w:val="none"/>
              </w:rPr>
            </w:pPr>
          </w:p>
        </w:tc>
      </w:tr>
      <w:tr w14:paraId="593D6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3FC4D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2CC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040202011001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C63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E33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1、石料规格：级配碎石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2、厚度：10CM</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796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6EE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4C39B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D6D0D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4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WB040204009001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FA5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w:t>
            </w:r>
          </w:p>
          <w:p w14:paraId="25958C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垫层</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F6A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1、材料品种：C20细石混凝土</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2、厚度：15cm厚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9DE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9A4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r>
      <w:tr w14:paraId="03311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8"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F269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0E4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040204002001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A52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人行道板安砌</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123E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1、块料品种、规格：纽西兰砖（含盲道砖）</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2、垫层品种、规格：3cm厚1:3水泥砂浆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3、厚度：6cm厚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93D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C79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0E48A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DAA69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A69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624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D3C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1．材料品种、规格：立缘石，花岗岩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2．80*15*35CM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4．未尽事项详见设计图纸、图纸疑问回复、现场现状、政府相关文件、规范等其它资料，满足验收要求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F1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D8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5E3C1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4CE87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355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040204004004</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F5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1F1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1．材料品种、规格：路侧石，花岗岩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2．80*10*20CM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82E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B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r>
      <w:tr w14:paraId="78A6B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2"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1BCD9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A73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040204005001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47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5B6164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C44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1．材料品种：平石B(花岗岩）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2．尺寸：80*20*8CM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3．2cm1:3水泥砂浆垫层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4FD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A2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6E85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B2D1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392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040205018002</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FD3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3E4C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1、材料品种：花岗岩车止石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2、规格、型号：详见施工图</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EB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919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r>
      <w:tr w14:paraId="083C9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6"/>
            <w:tcBorders>
              <w:top w:val="single" w:color="000000" w:sz="4" w:space="0"/>
              <w:left w:val="single" w:color="000000" w:sz="8" w:space="0"/>
              <w:bottom w:val="single" w:color="000000" w:sz="4" w:space="0"/>
              <w:right w:val="single" w:color="000000" w:sz="4" w:space="0"/>
            </w:tcBorders>
            <w:shd w:val="clear" w:color="auto" w:fill="auto"/>
            <w:vAlign w:val="center"/>
          </w:tcPr>
          <w:p w14:paraId="09C1860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431C502F">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367304AC">
            <w:pPr>
              <w:keepNext w:val="0"/>
              <w:keepLines w:val="0"/>
              <w:widowControl/>
              <w:numPr>
                <w:ilvl w:val="0"/>
                <w:numId w:val="0"/>
              </w:numPr>
              <w:suppressLineNumbers w:val="0"/>
              <w:ind w:firstLine="420" w:firstLineChars="200"/>
              <w:jc w:val="left"/>
              <w:textAlignment w:val="center"/>
              <w:rPr>
                <w:rFonts w:hint="eastAsia" w:asciiTheme="minorEastAsia" w:hAnsiTheme="minorEastAsia" w:eastAsiaTheme="minorEastAsia" w:cstheme="minorEastAsia"/>
                <w:lang w:val="en-US" w:eastAsia="zh-CN"/>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亳州市西部片区城市更新二期项目杜仲路（古井大道-望州路段）施工总承包项目人行道劳务分包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44974856"/>
      <w:bookmarkStart w:id="242" w:name="_Toc247527827"/>
      <w:bookmarkStart w:id="243" w:name="_Toc152042576"/>
      <w:bookmarkStart w:id="244" w:name="_Toc152045787"/>
      <w:bookmarkStart w:id="245" w:name="_Toc300835209"/>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52042577"/>
      <w:bookmarkStart w:id="248" w:name="_Toc247527828"/>
      <w:bookmarkStart w:id="249" w:name="_Toc144974857"/>
      <w:bookmarkStart w:id="250" w:name="_Toc247514247"/>
      <w:bookmarkStart w:id="251" w:name="_Toc15204578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52042579"/>
      <w:bookmarkStart w:id="255" w:name="_Toc144974859"/>
      <w:bookmarkStart w:id="256" w:name="_Toc152045790"/>
      <w:bookmarkStart w:id="257" w:name="_Toc24751424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亳州市西部片区城市更新二期项目杜仲路（古井大道-望州路段）施工总承包项目人行道劳务分包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AHTKJS-2025-69号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300835213"/>
      <w:bookmarkStart w:id="260" w:name="_Toc144974860"/>
      <w:bookmarkStart w:id="261" w:name="_Toc152045791"/>
      <w:bookmarkStart w:id="262" w:name="_Toc247514283"/>
      <w:bookmarkStart w:id="263" w:name="_Toc152042580"/>
      <w:bookmarkStart w:id="264" w:name="_Toc24752783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14284"/>
      <w:bookmarkStart w:id="267" w:name="_Toc144974861"/>
      <w:bookmarkStart w:id="268" w:name="_Toc247527832"/>
      <w:bookmarkStart w:id="269" w:name="_Toc152045792"/>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300835216"/>
      <w:bookmarkStart w:id="273" w:name="_Toc152042583"/>
      <w:bookmarkStart w:id="274" w:name="_Toc152045794"/>
      <w:bookmarkStart w:id="275" w:name="_Toc144974862"/>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27835"/>
      <w:bookmarkStart w:id="280" w:name="_Toc152045795"/>
      <w:bookmarkStart w:id="281" w:name="_Toc247514287"/>
      <w:bookmarkStart w:id="282" w:name="_Toc144974863"/>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606" w:tblpY="445"/>
        <w:tblOverlap w:val="never"/>
        <w:tblW w:w="54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5"/>
        <w:gridCol w:w="2177"/>
        <w:gridCol w:w="856"/>
        <w:gridCol w:w="1189"/>
        <w:gridCol w:w="1622"/>
        <w:gridCol w:w="1622"/>
        <w:gridCol w:w="923"/>
      </w:tblGrid>
      <w:tr w14:paraId="5B3F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4E60CF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1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485637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46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3D20F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09FAD7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64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266232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249B17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不含税单价</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01C678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不含税合价</w:t>
            </w:r>
          </w:p>
        </w:tc>
        <w:tc>
          <w:tcPr>
            <w:tcW w:w="49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88941E8">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税率</w:t>
            </w:r>
          </w:p>
        </w:tc>
      </w:tr>
      <w:tr w14:paraId="2D7B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AE4F3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387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16C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CDB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81B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C2B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5C5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AF5F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C5F5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9EA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人行道混凝土垫层</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CBB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74F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E7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49F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630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806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6E2DF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A3B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w:t>
            </w:r>
          </w:p>
          <w:p w14:paraId="0806D3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B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B61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61C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6CC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4AE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CEB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80BAA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FA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2E7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727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10F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7F3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E9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80E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A85BD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CE2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84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54C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8FE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B7F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5F0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13FA6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E790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AF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47DBF4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532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4F6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5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D1F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CCC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41FC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9A11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615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399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02D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DC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814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E7B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1E86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06569B">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8</w:t>
            </w:r>
          </w:p>
        </w:tc>
        <w:tc>
          <w:tcPr>
            <w:tcW w:w="2286" w:type="pct"/>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0CC921D6">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27E2E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合计</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53AC26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A758A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r>
      <w:tr w14:paraId="56784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558706D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0B78B4B5">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0AB3184E">
            <w:pPr>
              <w:keepNext w:val="0"/>
              <w:keepLines w:val="0"/>
              <w:widowControl/>
              <w:suppressLineNumbers w:val="0"/>
              <w:ind w:firstLine="420" w:firstLineChars="20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71CEAE08">
      <w:pPr>
        <w:pStyle w:val="4"/>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27836"/>
      <w:bookmarkStart w:id="285" w:name="_Toc152042585"/>
      <w:bookmarkStart w:id="286" w:name="_Toc247514288"/>
      <w:bookmarkStart w:id="287" w:name="_Toc144974864"/>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7085891"/>
      <w:bookmarkStart w:id="293" w:name="_Toc296602618"/>
      <w:bookmarkStart w:id="294" w:name="_Toc246997116"/>
      <w:bookmarkStart w:id="295" w:name="_Toc246996373"/>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7113"/>
      <w:bookmarkStart w:id="298" w:name="_Toc246996370"/>
      <w:bookmarkStart w:id="299" w:name="_Toc247085888"/>
      <w:bookmarkStart w:id="300" w:name="_Toc144974878"/>
      <w:bookmarkStart w:id="301" w:name="_Toc152045810"/>
      <w:bookmarkStart w:id="302" w:name="_Toc300835226"/>
      <w:bookmarkStart w:id="303" w:name="_Toc247527850"/>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14303"/>
      <w:bookmarkStart w:id="312" w:name="_Toc144974879"/>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A0D7FFE">
      <w:pPr>
        <w:numPr>
          <w:ilvl w:val="0"/>
          <w:numId w:val="0"/>
        </w:numPr>
        <w:tabs>
          <w:tab w:val="left" w:pos="720"/>
        </w:tabs>
        <w:spacing w:line="440" w:lineRule="exact"/>
        <w:ind w:firstLine="422" w:firstLineChars="200"/>
        <w:jc w:val="left"/>
        <w:rPr>
          <w:rFonts w:hint="eastAsia" w:ascii="Times New Roman" w:hAnsi="Times New Roman" w:eastAsiaTheme="minorEastAsia" w:cstheme="minorBidi"/>
          <w:b/>
          <w:bCs/>
          <w:color w:val="FF0000"/>
          <w:kern w:val="2"/>
          <w:sz w:val="21"/>
          <w:szCs w:val="24"/>
          <w:lang w:val="en-US" w:eastAsia="zh-CN" w:bidi="ar-SA"/>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提供供应商的有效施工劳务企业资质及安全生产许可证的复印件或扫描件，加盖供应商单位公章；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w:t>
      </w:r>
      <w:bookmarkStart w:id="323" w:name="_GoBack"/>
      <w:bookmarkEnd w:id="323"/>
      <w:r>
        <w:rPr>
          <w:rFonts w:hint="eastAsia" w:ascii="Times New Roman" w:hAnsi="Times New Roman"/>
          <w:b/>
          <w:bCs/>
          <w:color w:val="FF0000"/>
          <w:lang w:val="en-US" w:eastAsia="zh-CN"/>
        </w:rPr>
        <w:t>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52045813"/>
      <w:bookmarkStart w:id="317" w:name="_Toc247527853"/>
      <w:bookmarkStart w:id="318" w:name="_Toc152042602"/>
      <w:bookmarkStart w:id="319" w:name="_Toc144974881"/>
      <w:bookmarkStart w:id="320" w:name="_Toc247530162"/>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3A6FDEB-F221-4561-8FE3-AF00F49451A8}"/>
  </w:font>
  <w:font w:name="Arial">
    <w:panose1 w:val="020B0604020202020204"/>
    <w:charset w:val="01"/>
    <w:family w:val="swiss"/>
    <w:pitch w:val="default"/>
    <w:sig w:usb0="E0002EFF" w:usb1="C000785B" w:usb2="00000009" w:usb3="00000000" w:csb0="400001FF" w:csb1="FFFF0000"/>
    <w:embedRegular r:id="rId2" w:fontKey="{FE15958F-D5FC-4CAC-B7B2-779011616BFF}"/>
  </w:font>
  <w:font w:name="黑体">
    <w:panose1 w:val="02010609060101010101"/>
    <w:charset w:val="86"/>
    <w:family w:val="auto"/>
    <w:pitch w:val="default"/>
    <w:sig w:usb0="800002BF" w:usb1="38CF7CFA" w:usb2="00000016" w:usb3="00000000" w:csb0="00040001" w:csb1="00000000"/>
    <w:embedRegular r:id="rId3" w:fontKey="{4ACE3BA3-86EB-4D1B-9DAC-FCD962360F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DC6C3B7D-8158-477A-A544-855CF5BA4617}"/>
  </w:font>
  <w:font w:name="仿宋_GB2312">
    <w:panose1 w:val="02010609030101010101"/>
    <w:charset w:val="86"/>
    <w:family w:val="modern"/>
    <w:pitch w:val="default"/>
    <w:sig w:usb0="00000001" w:usb1="080E0000" w:usb2="00000000" w:usb3="00000000" w:csb0="00040000" w:csb1="00000000"/>
    <w:embedRegular r:id="rId5" w:fontKey="{37058205-69A0-4357-B68C-820A38E4143F}"/>
  </w:font>
  <w:font w:name="楷体">
    <w:panose1 w:val="02010609060101010101"/>
    <w:charset w:val="86"/>
    <w:family w:val="auto"/>
    <w:pitch w:val="default"/>
    <w:sig w:usb0="800002BF" w:usb1="38CF7CFA" w:usb2="00000016" w:usb3="00000000" w:csb0="00040001" w:csb1="00000000"/>
    <w:embedRegular r:id="rId6" w:fontKey="{5ADA0101-F1E0-448D-B689-3E4D657E6DCF}"/>
  </w:font>
  <w:font w:name="Wingdings 2">
    <w:panose1 w:val="05020102010507070707"/>
    <w:charset w:val="00"/>
    <w:family w:val="auto"/>
    <w:pitch w:val="default"/>
    <w:sig w:usb0="00000000" w:usb1="00000000" w:usb2="00000000" w:usb3="00000000" w:csb0="80000000" w:csb1="00000000"/>
    <w:embedRegular r:id="rId7" w:fontKey="{F3ED008A-C0EF-4FE8-BA92-A1085C96DD7A}"/>
  </w:font>
  <w:font w:name="方正仿宋_GB2312">
    <w:panose1 w:val="02000000000000000000"/>
    <w:charset w:val="86"/>
    <w:family w:val="auto"/>
    <w:pitch w:val="default"/>
    <w:sig w:usb0="A00002BF" w:usb1="184F6CFA" w:usb2="00000012" w:usb3="00000000" w:csb0="00040001" w:csb1="00000000"/>
    <w:embedRegular r:id="rId8" w:fontKey="{7FDB7645-FF61-47C9-9CB7-982C9F328AAF}"/>
  </w:font>
  <w:font w:name="方正小标宋简体">
    <w:panose1 w:val="03000509000000000000"/>
    <w:charset w:val="86"/>
    <w:family w:val="auto"/>
    <w:pitch w:val="default"/>
    <w:sig w:usb0="00000001" w:usb1="080E0000" w:usb2="00000000" w:usb3="00000000" w:csb0="00040000" w:csb1="00000000"/>
    <w:embedRegular r:id="rId9" w:fontKey="{900A19B3-3616-441C-971D-A0B8A196DDC4}"/>
  </w:font>
  <w:font w:name="仿宋">
    <w:panose1 w:val="02010609060101010101"/>
    <w:charset w:val="86"/>
    <w:family w:val="modern"/>
    <w:pitch w:val="default"/>
    <w:sig w:usb0="800002BF" w:usb1="38CF7CFA" w:usb2="00000016" w:usb3="00000000" w:csb0="00040001" w:csb1="00000000"/>
    <w:embedRegular r:id="rId10" w:fontKey="{2E65EC9B-18EA-4C63-83A7-958F8D40C621}"/>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61470"/>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23DA3"/>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41F76"/>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6F51EA"/>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33F69"/>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3FB7469"/>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14608</Words>
  <Characters>15744</Characters>
  <Lines>0</Lines>
  <Paragraphs>0</Paragraphs>
  <TotalTime>9</TotalTime>
  <ScaleCrop>false</ScaleCrop>
  <LinksUpToDate>false</LinksUpToDate>
  <CharactersWithSpaces>15882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2025-10-14T03:52:00Z</cp:lastPrinted>
  <dcterms:modified xsi:type="dcterms:W3CDTF">2025-10-17T03:51:04Z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