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安车集团办公设备采购项目（二次）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月16日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lang w:val="en-US" w:eastAsia="zh-CN"/>
        </w:rPr>
        <w:t>安车集团办公设备采购项目（二次）询比公告</w:t>
      </w:r>
      <w:permEnd w:id="4"/>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44974487"/>
      <w:bookmarkStart w:id="2" w:name="_Toc246996166"/>
      <w:bookmarkStart w:id="3" w:name="_Toc246996909"/>
      <w:bookmarkStart w:id="4" w:name="_Toc152042295"/>
      <w:bookmarkStart w:id="5" w:name="_Toc179632536"/>
      <w:bookmarkStart w:id="6" w:name="_Toc296602410"/>
      <w:bookmarkStart w:id="7" w:name="_Toc247085680"/>
      <w:r>
        <w:rPr>
          <w:rFonts w:hint="eastAsia" w:ascii="宋体" w:hAnsi="宋体" w:eastAsia="宋体" w:cs="宋体"/>
          <w:sz w:val="28"/>
          <w:szCs w:val="28"/>
          <w:highlight w:val="none"/>
          <w:u w:val="single"/>
          <w:lang w:val="en-US" w:eastAsia="zh-CN"/>
        </w:rPr>
        <w:t>安车集团办公设备采购项目（二次）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246996910"/>
      <w:bookmarkStart w:id="10" w:name="_Toc152045520"/>
      <w:bookmarkStart w:id="11" w:name="_Toc144974488"/>
      <w:bookmarkStart w:id="12" w:name="_Toc296602411"/>
      <w:bookmarkStart w:id="13" w:name="_Toc179632537"/>
      <w:bookmarkStart w:id="14" w:name="_Toc152042296"/>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highlight w:val="none"/>
          <w:u w:val="single"/>
          <w:lang w:val="en-US" w:eastAsia="zh-CN"/>
        </w:rPr>
        <w:t>安车集团办公设备采购项目（二次）</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imes New Roman" w:hAnsi="Times New Roman" w:eastAsia="楷体" w:cs="Times New Roman"/>
          <w:color w:val="FF0000"/>
          <w:kern w:val="0"/>
          <w:sz w:val="28"/>
          <w:szCs w:val="28"/>
          <w:highlight w:val="none"/>
          <w:shd w:val="clear" w:color="auto" w:fill="auto"/>
          <w:lang w:val="en-US" w:eastAsia="zh-CN"/>
        </w:rPr>
        <w:t>ACJT-2025</w:t>
      </w:r>
      <w:r>
        <w:rPr>
          <w:rFonts w:hint="default" w:ascii="Times New Roman" w:hAnsi="Times New Roman" w:eastAsia="楷体" w:cs="Times New Roman"/>
          <w:color w:val="FF0000"/>
          <w:kern w:val="0"/>
          <w:sz w:val="28"/>
          <w:szCs w:val="28"/>
          <w:highlight w:val="none"/>
          <w:shd w:val="clear" w:color="auto" w:fill="auto"/>
          <w:lang w:val="en-US" w:eastAsia="zh-CN"/>
        </w:rPr>
        <w:t>-</w:t>
      </w:r>
      <w:r>
        <w:rPr>
          <w:rFonts w:hint="eastAsia" w:ascii="Times New Roman" w:hAnsi="Times New Roman" w:eastAsia="楷体" w:cs="Times New Roman"/>
          <w:color w:val="FF0000"/>
          <w:kern w:val="0"/>
          <w:sz w:val="28"/>
          <w:szCs w:val="28"/>
          <w:highlight w:val="none"/>
          <w:u w:val="single"/>
          <w:shd w:val="clear" w:color="auto" w:fill="auto"/>
          <w:lang w:val="en-US" w:eastAsia="zh-CN"/>
        </w:rPr>
        <w:t xml:space="preserve"> 011 </w:t>
      </w:r>
      <w:r>
        <w:rPr>
          <w:rFonts w:hint="default" w:ascii="Times New Roman" w:hAnsi="Times New Roman" w:eastAsia="楷体" w:cs="Times New Roman"/>
          <w:color w:val="FF0000"/>
          <w:kern w:val="0"/>
          <w:sz w:val="28"/>
          <w:szCs w:val="28"/>
          <w:highlight w:val="none"/>
          <w:shd w:val="clear" w:color="auto" w:fill="auto"/>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安徽省安车交通运输集团有限公司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 xml:space="preserve"> 已落实 </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9" w:edGrp="everyone"/>
      <w:r>
        <w:rPr>
          <w:rFonts w:hint="eastAsia" w:ascii="宋体" w:hAnsi="宋体" w:eastAsia="宋体" w:cs="宋体"/>
          <w:kern w:val="2"/>
          <w:sz w:val="28"/>
          <w:szCs w:val="28"/>
          <w:highlight w:val="none"/>
          <w:lang w:val="en-US" w:eastAsia="zh-CN" w:bidi="ar-SA"/>
        </w:rPr>
        <w:t>（含税</w:t>
      </w:r>
      <w:r>
        <w:rPr>
          <w:rFonts w:hint="eastAsia" w:eastAsia="宋体" w:cs="宋体"/>
          <w:kern w:val="2"/>
          <w:sz w:val="28"/>
          <w:szCs w:val="28"/>
          <w:highlight w:val="none"/>
          <w:lang w:val="en-US" w:eastAsia="zh-CN" w:bidi="ar-SA"/>
        </w:rPr>
        <w:t>，</w:t>
      </w:r>
      <w:r>
        <w:rPr>
          <w:rFonts w:hint="default" w:ascii="Times New Roman" w:hAnsi="Times New Roman" w:eastAsia="宋体" w:cs="Times New Roman"/>
          <w:kern w:val="2"/>
          <w:sz w:val="28"/>
          <w:szCs w:val="28"/>
          <w:highlight w:val="none"/>
          <w:lang w:val="en-US" w:eastAsia="zh-CN" w:bidi="ar-SA"/>
        </w:rPr>
        <w:t>税率13 %）</w:t>
      </w:r>
      <w:permEnd w:id="9"/>
      <w:r>
        <w:rPr>
          <w:rFonts w:hint="default" w:ascii="Times New Roman" w:hAnsi="Times New Roman" w:eastAsia="宋体" w:cs="Times New Roman"/>
          <w:kern w:val="2"/>
          <w:sz w:val="28"/>
          <w:szCs w:val="28"/>
          <w:highlight w:val="none"/>
          <w:lang w:val="en-US" w:eastAsia="zh-CN" w:bidi="ar-SA"/>
        </w:rPr>
        <w:t>：</w:t>
      </w:r>
      <w:permStart w:id="10" w:edGrp="everyone"/>
      <w:r>
        <w:rPr>
          <w:rFonts w:hint="default" w:ascii="Times New Roman" w:hAnsi="Times New Roman" w:cs="Times New Roman" w:eastAsiaTheme="minorEastAsia"/>
          <w:sz w:val="28"/>
          <w:szCs w:val="28"/>
          <w:highlight w:val="none"/>
          <w:u w:val="single"/>
          <w:lang w:val="en-US" w:eastAsia="zh-CN"/>
        </w:rPr>
        <w:t xml:space="preserve">  </w:t>
      </w:r>
      <w:r>
        <w:rPr>
          <w:rFonts w:hint="default" w:ascii="Times New Roman" w:hAnsi="Times New Roman" w:cs="Times New Roman"/>
          <w:sz w:val="28"/>
          <w:szCs w:val="28"/>
          <w:highlight w:val="none"/>
          <w:u w:val="single"/>
          <w:lang w:val="en-US" w:eastAsia="zh-CN"/>
        </w:rPr>
        <w:t>78700元</w:t>
      </w:r>
      <w:r>
        <w:rPr>
          <w:rFonts w:hint="default" w:ascii="Times New Roman" w:hAnsi="Times New Roman" w:cs="Times New Roman" w:eastAsiaTheme="minorEastAsia"/>
          <w:sz w:val="28"/>
          <w:szCs w:val="28"/>
          <w:highlight w:val="none"/>
          <w:u w:val="single"/>
          <w:lang w:val="en-US" w:eastAsia="zh-CN"/>
        </w:rPr>
        <w:t xml:space="preserve"> </w:t>
      </w:r>
      <w:permEnd w:id="10"/>
      <w:r>
        <w:rPr>
          <w:rFonts w:hint="default" w:ascii="Times New Roman" w:hAnsi="Times New Roman" w:cs="Times New Roman"/>
          <w:sz w:val="28"/>
          <w:szCs w:val="28"/>
          <w:highlight w:val="none"/>
          <w:lang w:val="en-US" w:eastAsia="zh-CN"/>
        </w:rPr>
        <w:t>，</w:t>
      </w:r>
      <w:r>
        <w:rPr>
          <w:rFonts w:hint="default" w:ascii="Times New Roman" w:hAnsi="Times New Roman" w:cs="Times New Roman" w:eastAsia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包括台式电脑、笔记本电脑、电脑显示屏(详见物品清单)</w:t>
      </w:r>
    </w:p>
    <w:permEnd w:id="12"/>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自合同签订之日起7日历天内完成供货。</w:t>
      </w:r>
      <w:r>
        <w:rPr>
          <w:rFonts w:hint="eastAsia" w:asciiTheme="minorEastAsia" w:hAnsiTheme="minorEastAsia" w:eastAsiaTheme="minorEastAsia" w:cstheme="minorEastAsia"/>
          <w:sz w:val="28"/>
          <w:szCs w:val="28"/>
          <w:highlight w:val="none"/>
          <w:lang w:val="en-US" w:eastAsia="zh-CN"/>
        </w:rPr>
        <w:t xml:space="preserve"> </w:t>
      </w:r>
      <w:permEnd w:id="13"/>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亳州市城区内，采购人指定地。</w:t>
      </w:r>
      <w:r>
        <w:rPr>
          <w:rFonts w:hint="eastAsia" w:asciiTheme="minorEastAsia" w:hAnsiTheme="minorEastAsia" w:cstheme="minorEastAsia"/>
          <w:color w:val="FF0000"/>
          <w:sz w:val="28"/>
          <w:szCs w:val="28"/>
          <w:highlight w:val="none"/>
          <w:lang w:val="en-US" w:eastAsia="zh-CN"/>
        </w:rPr>
        <w:t xml:space="preserve"> </w:t>
      </w:r>
      <w:permEnd w:id="14"/>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5" w:edGrp="everyone"/>
      <w:r>
        <w:rPr>
          <w:rFonts w:hint="default" w:asciiTheme="minorEastAsia" w:hAnsi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宋体" w:hAnsi="宋体" w:eastAsia="宋体" w:cs="宋体"/>
          <w:sz w:val="28"/>
          <w:szCs w:val="28"/>
          <w:highlight w:val="none"/>
          <w:lang w:val="en-US" w:eastAsia="zh-CN"/>
        </w:rPr>
        <w:t>/</w:t>
      </w:r>
      <w:r>
        <w:rPr>
          <w:rFonts w:hint="eastAsia" w:asciiTheme="minorEastAsia" w:hAnsi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宋体" w:hAnsi="宋体" w:eastAsia="宋体" w:cs="宋体"/>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i w:val="0"/>
          <w:iCs w:val="0"/>
          <w:color w:val="auto"/>
          <w:sz w:val="28"/>
          <w:szCs w:val="28"/>
          <w:highlight w:val="none"/>
          <w:u w:val="single"/>
          <w:lang w:val="en-US" w:eastAsia="zh-CN"/>
        </w:rPr>
        <w:t>安徽省</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color w:val="auto"/>
          <w:sz w:val="28"/>
          <w:szCs w:val="28"/>
          <w:highlight w:val="none"/>
          <w:u w:val="single"/>
          <w:lang w:val="en-US" w:eastAsia="zh-CN"/>
        </w:rPr>
        <w:t>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w:t>
      </w:r>
      <w:r>
        <w:rPr>
          <w:rFonts w:hint="eastAsia" w:asciiTheme="minorEastAsia" w:hAnsiTheme="minorEastAsia" w:cstheme="minorEastAsia"/>
          <w:i w:val="0"/>
          <w:iCs w:val="0"/>
          <w:sz w:val="28"/>
          <w:szCs w:val="28"/>
          <w:highlight w:val="none"/>
          <w:lang w:val="en-US" w:eastAsia="zh-CN"/>
        </w:rPr>
        <w:t>；</w:t>
      </w:r>
      <w:permEnd w:id="19"/>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sz w:val="28"/>
          <w:szCs w:val="28"/>
          <w:highlight w:val="none"/>
          <w:lang w:val="en-US" w:eastAsia="zh-CN"/>
        </w:rPr>
        <w:t>1</w:t>
      </w:r>
      <w:r>
        <w:rPr>
          <w:rFonts w:hint="eastAsia" w:asciiTheme="minorEastAsia" w:hAnsiTheme="minorEastAsia" w:cstheme="minorEastAsia"/>
          <w:sz w:val="28"/>
          <w:szCs w:val="28"/>
          <w:highlight w:val="none"/>
          <w:u w:val="single"/>
          <w:lang w:val="en-US" w:eastAsia="zh-CN"/>
        </w:rPr>
        <w:t>000</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安徽省安车交通运输集团有限公司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eastAsiaTheme="minorEastAsia" w:cstheme="minorEastAsia"/>
          <w:sz w:val="28"/>
          <w:szCs w:val="28"/>
          <w:highlight w:val="none"/>
          <w:lang w:val="en-US" w:eastAsia="zh-CN"/>
        </w:rPr>
        <w:t>亳州市高新区银杏路与宋汤河路交叉口</w:t>
      </w:r>
      <w:permEnd w:id="23"/>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1B311D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 xml:space="preserve">安徽省安车交通运输集团有限公司 </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 xml:space="preserve">                            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ermEnd w:id="24"/>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bookmarkStart w:id="306" w:name="_GoBack"/>
            <w:r>
              <w:rPr>
                <w:rFonts w:hint="eastAsia" w:ascii="Times New Roman" w:hAnsi="Times New Roman" w:cs="Times New Roman"/>
                <w:szCs w:val="21"/>
                <w:highlight w:val="none"/>
                <w:u w:val="single"/>
                <w:lang w:val="en-US" w:eastAsia="zh-CN"/>
              </w:rPr>
              <w:t>27</w:t>
            </w:r>
            <w:bookmarkEnd w:id="306"/>
            <w:r>
              <w:rPr>
                <w:rFonts w:hint="eastAsia" w:ascii="Times New Roman" w:hAnsi="Times New Roman" w:cs="Times New Roman"/>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default" w:ascii="Times New Roman" w:hAnsi="Times New Roman" w:cs="Times New Roman"/>
                <w:color w:val="FF0000"/>
                <w:szCs w:val="21"/>
                <w:highlight w:val="none"/>
                <w:u w:val="single"/>
              </w:rPr>
              <w:t>：</w:t>
            </w:r>
            <w:permStart w:id="32" w:edGrp="everyone"/>
            <w:r>
              <w:rPr>
                <w:rFonts w:hint="eastAsia" w:ascii="Times New Roman" w:hAnsi="Times New Roman" w:cs="Times New Roman"/>
                <w:color w:val="FF0000"/>
                <w:szCs w:val="21"/>
                <w:highlight w:val="none"/>
                <w:u w:val="single"/>
                <w:lang w:val="en-US" w:eastAsia="zh-CN"/>
              </w:rPr>
              <w:t>1000</w:t>
            </w:r>
            <w:r>
              <w:rPr>
                <w:rFonts w:hint="eastAsia" w:ascii="Times New Roman" w:hAnsi="Times New Roman" w:cs="Times New Roman"/>
                <w:color w:val="auto"/>
                <w:szCs w:val="21"/>
                <w:highlight w:val="none"/>
                <w:u w:val="single"/>
                <w:lang w:val="en-US" w:eastAsia="zh-CN"/>
              </w:rPr>
              <w:t xml:space="preserve">元整   </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56C2F3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开户名称：</w:t>
            </w:r>
            <w:r>
              <w:rPr>
                <w:rFonts w:hint="eastAsia" w:asciiTheme="minorEastAsia" w:hAnsiTheme="minorEastAsia" w:cstheme="minorEastAsia"/>
                <w:color w:val="auto"/>
                <w:sz w:val="21"/>
                <w:szCs w:val="21"/>
                <w:highlight w:val="none"/>
                <w:lang w:val="en-US" w:eastAsia="zh-CN"/>
              </w:rPr>
              <w:t>安徽省安车交通运输集团有限公司</w:t>
            </w:r>
          </w:p>
          <w:p w14:paraId="0E67407E">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开户银行：</w:t>
            </w:r>
            <w:r>
              <w:rPr>
                <w:rFonts w:hint="default" w:ascii="Times New Roman" w:hAnsi="Times New Roman" w:cs="Times New Roman"/>
                <w:color w:val="auto"/>
                <w:sz w:val="21"/>
                <w:szCs w:val="21"/>
                <w:highlight w:val="none"/>
              </w:rPr>
              <w:t>中国</w:t>
            </w:r>
            <w:r>
              <w:rPr>
                <w:rFonts w:hint="eastAsia" w:ascii="Times New Roman" w:hAnsi="Times New Roman" w:cs="Times New Roman"/>
                <w:color w:val="auto"/>
                <w:sz w:val="21"/>
                <w:szCs w:val="21"/>
                <w:highlight w:val="none"/>
                <w:lang w:val="en-US" w:eastAsia="zh-CN"/>
              </w:rPr>
              <w:t>工商银行亳州高新区支行</w:t>
            </w:r>
          </w:p>
          <w:p w14:paraId="551647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 w:val="21"/>
                <w:szCs w:val="21"/>
                <w:highlight w:val="none"/>
                <w:lang w:val="en-US" w:eastAsia="zh-CN"/>
              </w:rPr>
            </w:pPr>
            <w:r>
              <w:rPr>
                <w:rFonts w:hint="eastAsia" w:asciiTheme="minorEastAsia" w:hAnsiTheme="minorEastAsia" w:eastAsiaTheme="minorEastAsia" w:cstheme="minorEastAsia"/>
                <w:sz w:val="21"/>
                <w:szCs w:val="21"/>
                <w:highlight w:val="none"/>
              </w:rPr>
              <w:t>银行账号：</w:t>
            </w: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val="en-US" w:eastAsia="zh-CN"/>
              </w:rPr>
              <w:t>318061809100024751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color w:val="FF0000"/>
                <w:szCs w:val="21"/>
                <w:highlight w:val="none"/>
                <w:lang w:val="en-US" w:eastAsia="zh-CN"/>
              </w:rPr>
              <w:t>ACJT-2025- 011号保证金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1419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5" w:edGrp="everyone"/>
            <w:r>
              <w:rPr>
                <w:rFonts w:hint="eastAsia" w:ascii="Times New Roman" w:hAnsi="Times New Roman" w:cs="Times New Roman"/>
                <w:szCs w:val="21"/>
                <w:highlight w:val="none"/>
                <w:u w:val="none"/>
                <w:lang w:val="en-US" w:eastAsia="zh-CN"/>
              </w:rPr>
              <w:t>开启地址：安徽省安车交通运输集团有限公司2楼开标室（亳州市高新区银杏路与宋汤河路交叉口</w:t>
            </w:r>
          </w:p>
          <w:p w14:paraId="50229035">
            <w:pPr>
              <w:keepNext w:val="0"/>
              <w:keepLines w:val="0"/>
              <w:pageBreakBefore w:val="0"/>
              <w:widowControl w:val="0"/>
              <w:kinsoku/>
              <w:wordWrap w:val="0"/>
              <w:overflowPunct/>
              <w:topLinePunct w:val="0"/>
              <w:autoSpaceDE/>
              <w:autoSpaceDN/>
              <w:bidi w:val="0"/>
              <w:adjustRightInd/>
              <w:snapToGrid/>
              <w:spacing w:line="480" w:lineRule="exact"/>
              <w:ind w:firstLine="210" w:firstLineChars="1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采购人：安徽省安车交通运输集团有限公司办公设备采购项目</w:t>
            </w:r>
          </w:p>
          <w:p w14:paraId="057746AC">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安徽省安车交通运输集团有限公司办公设备采购项目响应文件</w:t>
            </w:r>
          </w:p>
          <w:p w14:paraId="1755B2D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011 </w:t>
            </w:r>
            <w:r>
              <w:rPr>
                <w:rFonts w:hint="eastAsia" w:ascii="Times New Roman" w:hAnsi="Times New Roman" w:cs="Times New Roman"/>
                <w:color w:val="FF0000"/>
                <w:szCs w:val="21"/>
                <w:highlight w:val="none"/>
                <w:u w:val="none"/>
                <w:lang w:val="en-US" w:eastAsia="zh-CN"/>
              </w:rPr>
              <w:t>号</w:t>
            </w:r>
          </w:p>
          <w:p w14:paraId="2DEB5E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921"/>
      <w:bookmarkStart w:id="17" w:name="_Toc152045532"/>
      <w:bookmarkStart w:id="18" w:name="_Toc152042308"/>
      <w:bookmarkStart w:id="19" w:name="_Toc296602423"/>
      <w:bookmarkStart w:id="20" w:name="_Toc144974500"/>
      <w:bookmarkStart w:id="21" w:name="_Toc179632549"/>
      <w:bookmarkStart w:id="22" w:name="_Toc246996178"/>
      <w:bookmarkStart w:id="23" w:name="_Toc24708569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6"/>
      <w:bookmarkStart w:id="25" w:name="_Toc246996924"/>
      <w:bookmarkStart w:id="26" w:name="_Toc144974504"/>
      <w:bookmarkStart w:id="27" w:name="_Toc152042312"/>
      <w:bookmarkStart w:id="28" w:name="_Toc179632553"/>
      <w:bookmarkStart w:id="29" w:name="_Toc247085695"/>
      <w:bookmarkStart w:id="30" w:name="_Toc246996181"/>
      <w:bookmarkStart w:id="31" w:name="_Toc296602426"/>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152042313"/>
      <w:bookmarkStart w:id="35" w:name="_Toc152045537"/>
      <w:bookmarkStart w:id="36" w:name="_Toc179632554"/>
      <w:bookmarkStart w:id="37" w:name="_Toc296602427"/>
      <w:bookmarkStart w:id="38" w:name="_Toc247085696"/>
      <w:bookmarkStart w:id="39" w:name="_Toc246996182"/>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2314"/>
      <w:bookmarkStart w:id="41" w:name="_Toc246996926"/>
      <w:bookmarkStart w:id="42" w:name="_Toc179632555"/>
      <w:bookmarkStart w:id="43" w:name="_Toc247085697"/>
      <w:bookmarkStart w:id="44" w:name="_Toc152045538"/>
      <w:bookmarkStart w:id="45" w:name="_Toc246996183"/>
      <w:bookmarkStart w:id="46"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7"/>
      <w:bookmarkStart w:id="48" w:name="_Toc144974510"/>
      <w:bookmarkStart w:id="49" w:name="_Toc296602432"/>
      <w:bookmarkStart w:id="50" w:name="_Toc152045542"/>
      <w:bookmarkStart w:id="51" w:name="_Toc179632560"/>
      <w:bookmarkStart w:id="52" w:name="_Toc246996930"/>
      <w:bookmarkStart w:id="53" w:name="_Toc152042318"/>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296602433"/>
      <w:bookmarkStart w:id="57" w:name="_Toc246996931"/>
      <w:bookmarkStart w:id="58" w:name="_Toc152042319"/>
      <w:bookmarkStart w:id="59" w:name="_Toc179632561"/>
      <w:bookmarkStart w:id="60" w:name="_Toc144974511"/>
      <w:bookmarkStart w:id="61" w:name="_Toc152045543"/>
      <w:bookmarkStart w:id="62" w:name="_Toc246996188"/>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246996932"/>
      <w:bookmarkStart w:id="65" w:name="_Toc296602434"/>
      <w:bookmarkStart w:id="66" w:name="_Toc247085703"/>
      <w:bookmarkStart w:id="67" w:name="_Toc246996189"/>
      <w:bookmarkStart w:id="68" w:name="_Toc152045544"/>
      <w:bookmarkStart w:id="69" w:name="_Toc152042320"/>
      <w:bookmarkStart w:id="70" w:name="_Toc144974512"/>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247085704"/>
      <w:bookmarkStart w:id="73" w:name="_Toc246996933"/>
      <w:bookmarkStart w:id="74" w:name="_Toc179632563"/>
      <w:bookmarkStart w:id="75" w:name="_Toc296602435"/>
      <w:bookmarkStart w:id="76" w:name="_Toc144974513"/>
      <w:bookmarkStart w:id="77" w:name="_Toc152045545"/>
      <w:bookmarkStart w:id="78" w:name="_Toc246996190"/>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44974514"/>
      <w:bookmarkStart w:id="80" w:name="_Toc152045546"/>
      <w:bookmarkStart w:id="81" w:name="_Toc246996934"/>
      <w:bookmarkStart w:id="82" w:name="_Toc246996191"/>
      <w:bookmarkStart w:id="83" w:name="_Toc247085705"/>
      <w:bookmarkStart w:id="84" w:name="_Toc179632564"/>
      <w:bookmarkStart w:id="85" w:name="_Toc296602436"/>
      <w:bookmarkStart w:id="86" w:name="_Toc152042322"/>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152042323"/>
      <w:bookmarkStart w:id="89" w:name="_Toc296602437"/>
      <w:bookmarkStart w:id="90" w:name="_Toc246996192"/>
      <w:bookmarkStart w:id="91" w:name="_Toc247085706"/>
      <w:bookmarkStart w:id="92" w:name="_Toc246996935"/>
      <w:bookmarkStart w:id="93" w:name="_Toc179632565"/>
      <w:bookmarkStart w:id="94"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144974516"/>
      <w:bookmarkStart w:id="97" w:name="_Toc246996936"/>
      <w:bookmarkStart w:id="98" w:name="_Toc152042324"/>
      <w:bookmarkStart w:id="99" w:name="_Toc246996193"/>
      <w:bookmarkStart w:id="100" w:name="_Toc152045548"/>
      <w:bookmarkStart w:id="101" w:name="_Toc247085707"/>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7085708"/>
      <w:bookmarkStart w:id="109" w:name="_Toc246996937"/>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55"/>
      <w:bookmarkStart w:id="112" w:name="_Toc247085713"/>
      <w:bookmarkStart w:id="113" w:name="_Toc246996199"/>
      <w:bookmarkStart w:id="114" w:name="_Toc246996942"/>
      <w:bookmarkStart w:id="115" w:name="_Toc296602443"/>
      <w:bookmarkStart w:id="116" w:name="_Toc144974523"/>
      <w:bookmarkStart w:id="117" w:name="_Toc152042331"/>
      <w:bookmarkStart w:id="118" w:name="_Toc17963257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74"/>
      <w:bookmarkStart w:id="120" w:name="_Toc247085714"/>
      <w:bookmarkStart w:id="121" w:name="_Toc152045556"/>
      <w:bookmarkStart w:id="122" w:name="_Toc246996943"/>
      <w:bookmarkStart w:id="123" w:name="_Toc152042332"/>
      <w:bookmarkStart w:id="124" w:name="_Toc296602444"/>
      <w:bookmarkStart w:id="125" w:name="_Toc246996200"/>
      <w:bookmarkStart w:id="126" w:name="_Toc14497452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5557"/>
      <w:bookmarkStart w:id="128" w:name="_Toc179632575"/>
      <w:bookmarkStart w:id="129" w:name="_Toc246996201"/>
      <w:bookmarkStart w:id="130" w:name="_Toc247085715"/>
      <w:bookmarkStart w:id="131" w:name="_Toc152042333"/>
      <w:bookmarkStart w:id="132" w:name="_Toc144974525"/>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179632576"/>
      <w:bookmarkStart w:id="136" w:name="_Toc144974526"/>
      <w:bookmarkStart w:id="137" w:name="_Toc247085716"/>
      <w:bookmarkStart w:id="138" w:name="_Toc246996945"/>
      <w:bookmarkStart w:id="139" w:name="_Toc296602446"/>
      <w:bookmarkStart w:id="140" w:name="_Toc152045558"/>
      <w:bookmarkStart w:id="141" w:name="_Toc152042334"/>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144974527"/>
      <w:bookmarkStart w:id="144" w:name="_Toc246996946"/>
      <w:bookmarkStart w:id="145" w:name="_Toc296602447"/>
      <w:bookmarkStart w:id="146" w:name="_Toc179632577"/>
      <w:bookmarkStart w:id="147" w:name="_Toc247085717"/>
      <w:bookmarkStart w:id="148" w:name="_Toc152045559"/>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144974528"/>
      <w:bookmarkStart w:id="152" w:name="_Toc152045560"/>
      <w:bookmarkStart w:id="153" w:name="_Toc246996947"/>
      <w:bookmarkStart w:id="154" w:name="_Toc179632578"/>
      <w:bookmarkStart w:id="155" w:name="_Toc246996204"/>
      <w:bookmarkStart w:id="156" w:name="_Toc296602448"/>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205"/>
      <w:bookmarkStart w:id="159" w:name="_Toc296602449"/>
      <w:bookmarkStart w:id="160" w:name="_Toc152042337"/>
      <w:bookmarkStart w:id="161" w:name="_Toc152045561"/>
      <w:bookmarkStart w:id="162" w:name="_Toc144974529"/>
      <w:bookmarkStart w:id="163" w:name="_Toc247085719"/>
      <w:bookmarkStart w:id="164" w:name="_Toc179632579"/>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1"/>
      <w:bookmarkStart w:id="167" w:name="_Toc296602452"/>
      <w:bookmarkStart w:id="168" w:name="_Toc247085721"/>
      <w:bookmarkStart w:id="169" w:name="_Toc246996207"/>
      <w:bookmarkStart w:id="170" w:name="_Toc152045563"/>
      <w:bookmarkStart w:id="171" w:name="_Toc144974531"/>
      <w:bookmarkStart w:id="172" w:name="_Toc152042339"/>
      <w:bookmarkStart w:id="173" w:name="_Toc246996950"/>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44974534"/>
      <w:bookmarkStart w:id="175" w:name="_Toc246996210"/>
      <w:bookmarkStart w:id="176" w:name="_Toc179632584"/>
      <w:bookmarkStart w:id="177" w:name="_Toc296602455"/>
      <w:bookmarkStart w:id="178" w:name="_Toc246996953"/>
      <w:bookmarkStart w:id="179" w:name="_Toc247085724"/>
      <w:bookmarkStart w:id="180" w:name="_Toc152045566"/>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152045567"/>
      <w:bookmarkStart w:id="184" w:name="_Toc246996954"/>
      <w:bookmarkStart w:id="185" w:name="_Toc246996211"/>
      <w:bookmarkStart w:id="186" w:name="_Toc144974535"/>
      <w:bookmarkStart w:id="187" w:name="_Toc152042343"/>
      <w:bookmarkStart w:id="188" w:name="_Toc296602456"/>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246996212"/>
      <w:bookmarkStart w:id="193" w:name="_Toc246996955"/>
      <w:bookmarkStart w:id="194" w:name="_Toc247085726"/>
      <w:bookmarkStart w:id="195" w:name="_Toc152045568"/>
      <w:bookmarkStart w:id="196" w:name="_Toc179632586"/>
      <w:bookmarkStart w:id="197" w:name="_Toc152042344"/>
      <w:bookmarkStart w:id="198" w:name="_Toc14497453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213"/>
      <w:bookmarkStart w:id="200" w:name="_Toc247085727"/>
      <w:bookmarkStart w:id="201" w:name="_Toc152045569"/>
      <w:bookmarkStart w:id="202" w:name="_Toc179632587"/>
      <w:bookmarkStart w:id="203" w:name="_Toc246996956"/>
      <w:bookmarkStart w:id="204" w:name="_Toc296602459"/>
      <w:bookmarkStart w:id="205" w:name="_Toc152042345"/>
      <w:bookmarkStart w:id="206" w:name="_Toc14497453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2351"/>
      <w:bookmarkStart w:id="209" w:name="_Toc247085733"/>
      <w:bookmarkStart w:id="210" w:name="_Toc246996962"/>
      <w:bookmarkStart w:id="211" w:name="_Toc246996219"/>
      <w:bookmarkStart w:id="212" w:name="_Toc296590983"/>
      <w:bookmarkStart w:id="213" w:name="_Toc179632593"/>
      <w:bookmarkStart w:id="214" w:name="_Toc152045575"/>
      <w:bookmarkStart w:id="215" w:name="_Toc296602462"/>
      <w:bookmarkStart w:id="216" w:name="_Toc14497454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963"/>
      <w:bookmarkStart w:id="218" w:name="_Toc152045576"/>
      <w:bookmarkStart w:id="219" w:name="_Toc179632594"/>
      <w:bookmarkStart w:id="220" w:name="_Toc247085734"/>
      <w:bookmarkStart w:id="221" w:name="_Toc296602463"/>
      <w:bookmarkStart w:id="222" w:name="_Toc144974544"/>
      <w:bookmarkStart w:id="223" w:name="_Toc152042352"/>
      <w:bookmarkStart w:id="224" w:name="_Toc246996220"/>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7085735"/>
      <w:bookmarkStart w:id="226" w:name="_Toc152042353"/>
      <w:bookmarkStart w:id="227" w:name="_Toc246996221"/>
      <w:bookmarkStart w:id="228" w:name="_Toc179632595"/>
      <w:bookmarkStart w:id="229" w:name="_Toc296602464"/>
      <w:bookmarkStart w:id="230" w:name="_Toc152045577"/>
      <w:bookmarkStart w:id="231" w:name="_Toc246996964"/>
      <w:bookmarkStart w:id="232" w:name="_Toc14497454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96602477"/>
      <w:bookmarkStart w:id="234" w:name="_Toc247085747"/>
      <w:bookmarkStart w:id="235" w:name="_Toc152042366"/>
      <w:bookmarkStart w:id="236" w:name="_Toc246996975"/>
      <w:bookmarkStart w:id="237" w:name="_Toc152045589"/>
      <w:bookmarkStart w:id="238" w:name="_Toc144974556"/>
      <w:bookmarkStart w:id="239" w:name="_Toc179632607"/>
      <w:bookmarkStart w:id="240" w:name="_Toc246996232"/>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0FB8CBEC">
      <w:pPr>
        <w:rPr>
          <w:rFonts w:hint="default" w:ascii="Times New Roman" w:hAnsi="Times New Roman" w:cs="Times New Roman" w:eastAsiaTheme="minorEastAsia"/>
          <w:b/>
          <w:bCs/>
          <w:kern w:val="0"/>
          <w:sz w:val="28"/>
          <w:szCs w:val="28"/>
          <w:highlight w:val="none"/>
        </w:rPr>
      </w:pPr>
      <w:bookmarkStart w:id="241" w:name="_Toc152042370"/>
      <w:bookmarkStart w:id="242" w:name="_Toc144974560"/>
      <w:bookmarkStart w:id="243" w:name="_Toc246996979"/>
      <w:bookmarkStart w:id="244" w:name="_Toc152045593"/>
      <w:bookmarkStart w:id="245" w:name="_Toc179632611"/>
      <w:bookmarkStart w:id="246" w:name="_Toc247085751"/>
      <w:bookmarkStart w:id="247" w:name="_Toc246996236"/>
      <w:bookmarkStart w:id="248"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982"/>
      <w:bookmarkStart w:id="251" w:name="_Toc296602484"/>
      <w:bookmarkStart w:id="252" w:name="_Toc179632614"/>
      <w:bookmarkStart w:id="253" w:name="_Toc246996239"/>
      <w:bookmarkStart w:id="254" w:name="_Toc247085754"/>
      <w:bookmarkStart w:id="255" w:name="_Toc152045596"/>
      <w:bookmarkStart w:id="256"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ermEnd w:id="38"/>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供货安装完毕且经相关主管部门验收合格后付至合同价款的97%，余款</w:t>
            </w:r>
            <w:r>
              <w:rPr>
                <w:rFonts w:hint="default" w:ascii="Times New Roman" w:hAnsi="Times New Roman" w:cs="Times New Roman"/>
                <w:kern w:val="0"/>
                <w:sz w:val="24"/>
                <w:szCs w:val="24"/>
                <w:highlight w:val="non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作为货物质量保证金，质保期为</w:t>
            </w:r>
            <w:r>
              <w:rPr>
                <w:rFonts w:hint="default" w:ascii="Times New Roman" w:hAnsi="Times New Roman" w:cs="Times New Roman"/>
                <w:kern w:val="0"/>
                <w:sz w:val="24"/>
                <w:szCs w:val="24"/>
                <w:highlight w:val="non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年（自设备验收合格之日起），第</w:t>
            </w:r>
            <w:r>
              <w:rPr>
                <w:rFonts w:hint="default"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kern w:val="0"/>
                <w:sz w:val="24"/>
                <w:szCs w:val="24"/>
                <w:highlight w:val="none"/>
                <w:shd w:val="clear" w:color="auto" w:fill="auto"/>
                <w:vertAlign w:val="baseline"/>
                <w:lang w:val="en-US" w:eastAsia="zh-CN"/>
              </w:rPr>
              <w:t>年质保期满后无质量问题，质保金无息退还。</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按照招标人指定地点交付设备。</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2925C44">
      <w:pPr>
        <w:pStyle w:val="3"/>
        <w:tabs>
          <w:tab w:val="left" w:pos="420"/>
        </w:tabs>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14:paraId="40E8E95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bl>
      <w:tblPr>
        <w:tblStyle w:val="16"/>
        <w:tblW w:w="8513"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49"/>
        <w:gridCol w:w="1226"/>
        <w:gridCol w:w="2075"/>
        <w:gridCol w:w="1075"/>
        <w:gridCol w:w="1125"/>
        <w:gridCol w:w="788"/>
        <w:gridCol w:w="1075"/>
      </w:tblGrid>
      <w:tr w14:paraId="05800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107671E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序号</w:t>
            </w:r>
          </w:p>
        </w:tc>
        <w:tc>
          <w:tcPr>
            <w:tcW w:w="1226" w:type="dxa"/>
            <w:tcBorders>
              <w:top w:val="single" w:color="000000" w:sz="4" w:space="0"/>
              <w:left w:val="single" w:color="000000" w:sz="4" w:space="0"/>
              <w:bottom w:val="single" w:color="000000" w:sz="4" w:space="0"/>
              <w:right w:val="single" w:color="000000" w:sz="4" w:space="0"/>
            </w:tcBorders>
            <w:noWrap/>
            <w:vAlign w:val="center"/>
          </w:tcPr>
          <w:p w14:paraId="35F96857">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03AD334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处理器</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185EC01E">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内存</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EBFF4A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硬盘</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620002C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系统</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069371AB">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数量/台</w:t>
            </w:r>
          </w:p>
        </w:tc>
      </w:tr>
      <w:tr w14:paraId="063F0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2968D5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6" w:type="dxa"/>
            <w:vMerge w:val="restart"/>
            <w:tcBorders>
              <w:top w:val="single" w:color="000000" w:sz="4" w:space="0"/>
              <w:left w:val="single" w:color="000000" w:sz="4" w:space="0"/>
              <w:bottom w:val="nil"/>
              <w:right w:val="single" w:color="000000" w:sz="4" w:space="0"/>
            </w:tcBorders>
            <w:noWrap w:val="0"/>
            <w:vAlign w:val="center"/>
          </w:tcPr>
          <w:p w14:paraId="0E6EB6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台式机</w:t>
            </w:r>
          </w:p>
          <w:p w14:paraId="05278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（含鼠标、键盘）</w:t>
            </w: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164D7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5-12400</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067CC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2D29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3FC651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02A770B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15287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284CC1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6" w:type="dxa"/>
            <w:vMerge w:val="continue"/>
            <w:tcBorders>
              <w:top w:val="single" w:color="000000" w:sz="4" w:space="0"/>
              <w:left w:val="single" w:color="000000" w:sz="4" w:space="0"/>
              <w:bottom w:val="nil"/>
              <w:right w:val="single" w:color="000000" w:sz="4" w:space="0"/>
            </w:tcBorders>
            <w:noWrap w:val="0"/>
            <w:vAlign w:val="center"/>
          </w:tcPr>
          <w:p w14:paraId="406F5D47">
            <w:pPr>
              <w:jc w:val="center"/>
              <w:rPr>
                <w:rFonts w:hint="eastAsia" w:ascii="宋体" w:hAnsi="宋体" w:eastAsia="宋体" w:cs="宋体"/>
                <w:i w:val="0"/>
                <w:iCs w:val="0"/>
                <w:color w:val="000000"/>
                <w:sz w:val="22"/>
                <w:szCs w:val="22"/>
                <w:u w:val="none"/>
              </w:rPr>
            </w:pPr>
          </w:p>
        </w:tc>
        <w:tc>
          <w:tcPr>
            <w:tcW w:w="2075" w:type="dxa"/>
            <w:tcBorders>
              <w:top w:val="single" w:color="000000" w:sz="4" w:space="0"/>
              <w:left w:val="single" w:color="000000" w:sz="4" w:space="0"/>
              <w:bottom w:val="single" w:color="000000" w:sz="4" w:space="0"/>
              <w:right w:val="single" w:color="000000" w:sz="4" w:space="0"/>
            </w:tcBorders>
            <w:noWrap/>
            <w:vAlign w:val="center"/>
          </w:tcPr>
          <w:p w14:paraId="7C2D50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7-14700</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4D14A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G</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A1BA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0C499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63013D7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3B6F5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7B2EA0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6" w:type="dxa"/>
            <w:tcBorders>
              <w:top w:val="single" w:color="000000" w:sz="4" w:space="0"/>
              <w:left w:val="single" w:color="000000" w:sz="4" w:space="0"/>
              <w:bottom w:val="nil"/>
              <w:right w:val="single" w:color="000000" w:sz="4" w:space="0"/>
            </w:tcBorders>
            <w:noWrap w:val="0"/>
            <w:vAlign w:val="center"/>
          </w:tcPr>
          <w:p w14:paraId="448F0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笔记本</w:t>
            </w:r>
          </w:p>
        </w:tc>
        <w:tc>
          <w:tcPr>
            <w:tcW w:w="2075" w:type="dxa"/>
            <w:tcBorders>
              <w:top w:val="single" w:color="000000" w:sz="4" w:space="0"/>
              <w:left w:val="single" w:color="000000" w:sz="4" w:space="0"/>
              <w:bottom w:val="nil"/>
              <w:right w:val="single" w:color="000000" w:sz="4" w:space="0"/>
            </w:tcBorders>
            <w:noWrap/>
            <w:vAlign w:val="center"/>
          </w:tcPr>
          <w:p w14:paraId="61085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5-13420H</w:t>
            </w:r>
          </w:p>
        </w:tc>
        <w:tc>
          <w:tcPr>
            <w:tcW w:w="1075" w:type="dxa"/>
            <w:tcBorders>
              <w:top w:val="single" w:color="000000" w:sz="4" w:space="0"/>
              <w:left w:val="single" w:color="000000" w:sz="4" w:space="0"/>
              <w:bottom w:val="nil"/>
              <w:right w:val="single" w:color="000000" w:sz="4" w:space="0"/>
            </w:tcBorders>
            <w:noWrap/>
            <w:vAlign w:val="center"/>
          </w:tcPr>
          <w:p w14:paraId="7CFF3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w:t>
            </w:r>
          </w:p>
        </w:tc>
        <w:tc>
          <w:tcPr>
            <w:tcW w:w="1125" w:type="dxa"/>
            <w:tcBorders>
              <w:top w:val="single" w:color="000000" w:sz="4" w:space="0"/>
              <w:left w:val="single" w:color="000000" w:sz="4" w:space="0"/>
              <w:bottom w:val="nil"/>
              <w:right w:val="single" w:color="000000" w:sz="4" w:space="0"/>
            </w:tcBorders>
            <w:noWrap/>
            <w:vAlign w:val="center"/>
          </w:tcPr>
          <w:p w14:paraId="6F74F6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788" w:type="dxa"/>
            <w:tcBorders>
              <w:top w:val="single" w:color="000000" w:sz="4" w:space="0"/>
              <w:left w:val="single" w:color="000000" w:sz="4" w:space="0"/>
              <w:bottom w:val="nil"/>
              <w:right w:val="single" w:color="000000" w:sz="4" w:space="0"/>
            </w:tcBorders>
            <w:noWrap/>
            <w:vAlign w:val="center"/>
          </w:tcPr>
          <w:p w14:paraId="1D307C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1075" w:type="dxa"/>
            <w:tcBorders>
              <w:top w:val="single" w:color="000000" w:sz="4" w:space="0"/>
              <w:left w:val="single" w:color="000000" w:sz="4" w:space="0"/>
              <w:bottom w:val="nil"/>
              <w:right w:val="single" w:color="000000" w:sz="4" w:space="0"/>
            </w:tcBorders>
            <w:noWrap/>
            <w:vAlign w:val="center"/>
          </w:tcPr>
          <w:p w14:paraId="1BDB91D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r>
      <w:tr w14:paraId="37C47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149" w:type="dxa"/>
            <w:tcBorders>
              <w:top w:val="single" w:color="000000" w:sz="4" w:space="0"/>
              <w:left w:val="single" w:color="000000" w:sz="4" w:space="0"/>
              <w:bottom w:val="single" w:color="000000" w:sz="4" w:space="0"/>
              <w:right w:val="single" w:color="000000" w:sz="4" w:space="0"/>
            </w:tcBorders>
            <w:noWrap/>
            <w:vAlign w:val="center"/>
          </w:tcPr>
          <w:p w14:paraId="622ED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6" w:type="dxa"/>
            <w:tcBorders>
              <w:top w:val="single" w:color="000000" w:sz="4" w:space="0"/>
              <w:left w:val="single" w:color="000000" w:sz="4" w:space="0"/>
              <w:bottom w:val="single" w:color="000000" w:sz="4" w:space="0"/>
              <w:right w:val="single" w:color="000000" w:sz="4" w:space="0"/>
            </w:tcBorders>
            <w:noWrap w:val="0"/>
            <w:vAlign w:val="center"/>
          </w:tcPr>
          <w:p w14:paraId="63D53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显示器</w:t>
            </w:r>
          </w:p>
        </w:tc>
        <w:tc>
          <w:tcPr>
            <w:tcW w:w="2075" w:type="dxa"/>
            <w:tcBorders>
              <w:top w:val="single" w:color="000000" w:sz="4" w:space="0"/>
              <w:left w:val="single" w:color="000000" w:sz="4" w:space="0"/>
              <w:bottom w:val="single" w:color="000000" w:sz="4" w:space="0"/>
              <w:right w:val="single" w:color="000000" w:sz="4" w:space="0"/>
            </w:tcBorders>
            <w:noWrap w:val="0"/>
            <w:vAlign w:val="center"/>
          </w:tcPr>
          <w:p w14:paraId="5904D0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23.8英寸+1920*1080 +HDMI线+底座</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78FEFBD4">
            <w:pPr>
              <w:keepNext w:val="0"/>
              <w:keepLines w:val="0"/>
              <w:widowControl/>
              <w:suppressLineNumbers w:val="0"/>
              <w:jc w:val="center"/>
              <w:textAlignment w:val="center"/>
              <w:rPr>
                <w:rFonts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3CFDF9A">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22D77279">
            <w:pPr>
              <w:keepNext w:val="0"/>
              <w:keepLines w:val="0"/>
              <w:widowControl/>
              <w:suppressLineNumbers w:val="0"/>
              <w:jc w:val="center"/>
              <w:textAlignment w:val="center"/>
              <w:rPr>
                <w:rFonts w:hint="eastAsia" w:ascii="仿宋_GB2312" w:hAnsi="宋体" w:eastAsia="仿宋_GB2312" w:cs="仿宋_GB2312"/>
                <w:i w:val="0"/>
                <w:iCs w:val="0"/>
                <w:color w:val="000000"/>
                <w:sz w:val="22"/>
                <w:szCs w:val="22"/>
                <w:u w:val="none"/>
              </w:rPr>
            </w:pPr>
            <w:r>
              <w:rPr>
                <w:rFonts w:hint="eastAsia" w:ascii="仿宋_GB2312" w:hAnsi="宋体" w:eastAsia="仿宋_GB2312" w:cs="仿宋_GB2312"/>
                <w:i w:val="0"/>
                <w:iCs w:val="0"/>
                <w:color w:val="000000"/>
                <w:kern w:val="0"/>
                <w:sz w:val="22"/>
                <w:szCs w:val="22"/>
                <w:u w:val="none"/>
                <w:lang w:val="en-US" w:eastAsia="zh-CN" w:bidi="ar"/>
              </w:rPr>
              <w:t>/</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2C6A6998">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r>
    </w:tbl>
    <w:p w14:paraId="47348483">
      <w:pPr>
        <w:rPr>
          <w:rFonts w:hint="eastAsia" w:eastAsia="宋体"/>
          <w:lang w:eastAsia="zh-CN"/>
        </w:rPr>
      </w:pPr>
      <w:r>
        <w:rPr>
          <w:rFonts w:hint="eastAsia"/>
          <w:sz w:val="24"/>
          <w:szCs w:val="24"/>
        </w:rPr>
        <w:t>备注：为提高办公效率，保障办公设备使用的稳定性，建议报送联想、戴尔、惠普等一线品牌机型价格。提供13%增值税专用发票，提供装机、维保等服务</w:t>
      </w:r>
      <w:r>
        <w:rPr>
          <w:rFonts w:hint="eastAsia"/>
          <w:sz w:val="24"/>
          <w:szCs w:val="24"/>
          <w:lang w:eastAsia="zh-CN"/>
        </w:rPr>
        <w:t>，</w:t>
      </w:r>
      <w:r>
        <w:rPr>
          <w:rFonts w:hint="eastAsia"/>
          <w:sz w:val="24"/>
          <w:szCs w:val="24"/>
          <w:lang w:val="en-US" w:eastAsia="zh-CN"/>
        </w:rPr>
        <w:t>该批办公电脑根据实际需求分批次进行采购</w:t>
      </w:r>
      <w:r>
        <w:rPr>
          <w:rFonts w:hint="eastAsia"/>
          <w:sz w:val="24"/>
          <w:szCs w:val="24"/>
        </w:rPr>
        <w:t>。</w:t>
      </w:r>
    </w:p>
    <w:p w14:paraId="28F5D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52045787"/>
      <w:bookmarkStart w:id="258" w:name="_Toc247514246"/>
      <w:bookmarkStart w:id="259" w:name="_Toc152042576"/>
      <w:bookmarkStart w:id="260" w:name="_Toc144974856"/>
      <w:bookmarkStart w:id="261" w:name="_Toc247527827"/>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资格审查资料（营业执照）</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5788"/>
      <w:bookmarkStart w:id="264" w:name="_Toc247514247"/>
      <w:bookmarkStart w:id="265" w:name="_Toc247527828"/>
      <w:bookmarkStart w:id="266" w:name="_Toc300835210"/>
      <w:bookmarkStart w:id="267" w:name="_Toc144974857"/>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52045790"/>
      <w:bookmarkStart w:id="270" w:name="_Toc300835212"/>
      <w:bookmarkStart w:id="271" w:name="_Toc144974859"/>
      <w:bookmarkStart w:id="272" w:name="_Toc152042579"/>
      <w:bookmarkStart w:id="273" w:name="_Toc247527830"/>
      <w:bookmarkStart w:id="274" w:name="_Toc24751424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w:t>
      </w:r>
      <w:permStart w:id="40"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40"/>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5791"/>
      <w:bookmarkStart w:id="276" w:name="_Toc152042580"/>
      <w:bookmarkStart w:id="277" w:name="_Toc144974860"/>
      <w:bookmarkStart w:id="278" w:name="_Toc247527831"/>
      <w:bookmarkStart w:id="279" w:name="_Toc247514283"/>
      <w:bookmarkStart w:id="280"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27832"/>
      <w:bookmarkStart w:id="282" w:name="_Toc300835214"/>
      <w:bookmarkStart w:id="283" w:name="_Toc144974861"/>
      <w:bookmarkStart w:id="284" w:name="_Toc152045792"/>
      <w:bookmarkStart w:id="285" w:name="_Toc247514284"/>
      <w:bookmarkStart w:id="286"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6AA9AA8D">
      <w:pPr>
        <w:topLinePunct/>
        <w:spacing w:line="440" w:lineRule="exact"/>
        <w:jc w:val="both"/>
        <w:rPr>
          <w:rFonts w:hint="eastAsia" w:ascii="Times New Roman" w:hAnsi="Times New Roman" w:cs="Times New Roman"/>
          <w:szCs w:val="21"/>
          <w:lang w:val="en-US" w:eastAsia="zh-CN"/>
        </w:rPr>
      </w:pPr>
      <w:bookmarkStart w:id="287" w:name="_Toc152045794"/>
      <w:bookmarkStart w:id="288" w:name="_Toc144974862"/>
      <w:bookmarkStart w:id="289" w:name="_Toc152042583"/>
      <w:bookmarkStart w:id="290" w:name="_Toc247527834"/>
      <w:bookmarkStart w:id="291" w:name="_Toc300835216"/>
      <w:bookmarkStart w:id="292" w:name="_Toc247514286"/>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300835218"/>
      <w:bookmarkStart w:id="295" w:name="_Toc152045795"/>
      <w:bookmarkStart w:id="296" w:name="_Toc247527835"/>
      <w:bookmarkStart w:id="297" w:name="_Toc247514287"/>
      <w:bookmarkStart w:id="298" w:name="_Toc144974863"/>
      <w:bookmarkStart w:id="299" w:name="_Toc152042584"/>
      <w:r>
        <w:rPr>
          <w:rFonts w:hint="default" w:ascii="Times New Roman" w:hAnsi="Times New Roman" w:cs="Times New Roman"/>
        </w:rPr>
        <w:br w:type="page"/>
      </w: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tbl>
      <w:tblPr>
        <w:tblStyle w:val="16"/>
        <w:tblpPr w:leftFromText="180" w:rightFromText="180" w:vertAnchor="text" w:horzAnchor="page" w:tblpX="1845" w:tblpY="308"/>
        <w:tblOverlap w:val="never"/>
        <w:tblW w:w="86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7"/>
        <w:gridCol w:w="945"/>
        <w:gridCol w:w="1655"/>
        <w:gridCol w:w="745"/>
        <w:gridCol w:w="800"/>
        <w:gridCol w:w="855"/>
        <w:gridCol w:w="943"/>
        <w:gridCol w:w="867"/>
        <w:gridCol w:w="1089"/>
      </w:tblGrid>
      <w:tr w14:paraId="7C10E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1311989D">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bookmarkStart w:id="300" w:name="_Toc247527836"/>
            <w:bookmarkStart w:id="301" w:name="_Toc152045796"/>
            <w:bookmarkStart w:id="302" w:name="_Toc247514288"/>
            <w:bookmarkStart w:id="303" w:name="_Toc144974864"/>
            <w:bookmarkStart w:id="304" w:name="_Toc300835221"/>
            <w:bookmarkStart w:id="305" w:name="_Toc152042585"/>
            <w:r>
              <w:rPr>
                <w:rFonts w:hint="eastAsia" w:ascii="宋体" w:hAnsi="宋体" w:eastAsia="宋体" w:cs="宋体"/>
                <w:b/>
                <w:bCs/>
                <w:i w:val="0"/>
                <w:iCs w:val="0"/>
                <w:color w:val="000000"/>
                <w:kern w:val="0"/>
                <w:sz w:val="22"/>
                <w:szCs w:val="22"/>
                <w:u w:val="none"/>
                <w:lang w:val="en-US" w:eastAsia="zh-CN" w:bidi="ar"/>
              </w:rPr>
              <w:t>序号</w:t>
            </w:r>
          </w:p>
        </w:tc>
        <w:tc>
          <w:tcPr>
            <w:tcW w:w="945" w:type="dxa"/>
            <w:tcBorders>
              <w:top w:val="single" w:color="000000" w:sz="4" w:space="0"/>
              <w:left w:val="single" w:color="000000" w:sz="4" w:space="0"/>
              <w:bottom w:val="single" w:color="000000" w:sz="4" w:space="0"/>
              <w:right w:val="single" w:color="000000" w:sz="4" w:space="0"/>
            </w:tcBorders>
            <w:noWrap/>
            <w:vAlign w:val="center"/>
          </w:tcPr>
          <w:p w14:paraId="4968F614">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名称</w:t>
            </w: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0A260926">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处理器</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6B8FB85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内存</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259D6338">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硬盘</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2EC979C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系统</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628AB2F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数量/台</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4942868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单价/元</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281037B3">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总价/元</w:t>
            </w:r>
          </w:p>
        </w:tc>
      </w:tr>
      <w:tr w14:paraId="4478B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63CD5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45" w:type="dxa"/>
            <w:vMerge w:val="restart"/>
            <w:tcBorders>
              <w:top w:val="single" w:color="000000" w:sz="4" w:space="0"/>
              <w:left w:val="single" w:color="000000" w:sz="4" w:space="0"/>
              <w:bottom w:val="nil"/>
              <w:right w:val="single" w:color="000000" w:sz="4" w:space="0"/>
            </w:tcBorders>
            <w:noWrap w:val="0"/>
            <w:vAlign w:val="center"/>
          </w:tcPr>
          <w:p w14:paraId="56A6B5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台式机</w:t>
            </w:r>
          </w:p>
          <w:p w14:paraId="3EEE5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（含鼠标、键盘）</w:t>
            </w: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127738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5-12400</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3535B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8G</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0C4A8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16A6F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3AAB2AA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800B7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C3FFA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65AC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401552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45" w:type="dxa"/>
            <w:vMerge w:val="continue"/>
            <w:tcBorders>
              <w:top w:val="single" w:color="000000" w:sz="4" w:space="0"/>
              <w:left w:val="single" w:color="000000" w:sz="4" w:space="0"/>
              <w:bottom w:val="nil"/>
              <w:right w:val="single" w:color="000000" w:sz="4" w:space="0"/>
            </w:tcBorders>
            <w:noWrap w:val="0"/>
            <w:vAlign w:val="center"/>
          </w:tcPr>
          <w:p w14:paraId="53341D33">
            <w:pPr>
              <w:jc w:val="center"/>
              <w:rPr>
                <w:rFonts w:hint="eastAsia" w:ascii="宋体" w:hAnsi="宋体" w:eastAsia="宋体" w:cs="宋体"/>
                <w:i w:val="0"/>
                <w:iCs w:val="0"/>
                <w:color w:val="000000"/>
                <w:sz w:val="22"/>
                <w:szCs w:val="22"/>
                <w:u w:val="none"/>
              </w:rPr>
            </w:pPr>
          </w:p>
        </w:tc>
        <w:tc>
          <w:tcPr>
            <w:tcW w:w="1655" w:type="dxa"/>
            <w:tcBorders>
              <w:top w:val="single" w:color="000000" w:sz="4" w:space="0"/>
              <w:left w:val="single" w:color="000000" w:sz="4" w:space="0"/>
              <w:bottom w:val="single" w:color="000000" w:sz="4" w:space="0"/>
              <w:right w:val="single" w:color="000000" w:sz="4" w:space="0"/>
            </w:tcBorders>
            <w:noWrap/>
            <w:vAlign w:val="center"/>
          </w:tcPr>
          <w:p w14:paraId="69C2CF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7-14700</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39C82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16</w:t>
            </w:r>
            <w:r>
              <w:rPr>
                <w:rFonts w:hint="eastAsia" w:ascii="宋体" w:hAnsi="宋体" w:eastAsia="宋体" w:cs="宋体"/>
                <w:i w:val="0"/>
                <w:iCs w:val="0"/>
                <w:color w:val="000000"/>
                <w:kern w:val="0"/>
                <w:sz w:val="22"/>
                <w:szCs w:val="22"/>
                <w:u w:val="none"/>
                <w:lang w:val="en-US" w:eastAsia="zh-CN" w:bidi="ar"/>
              </w:rPr>
              <w:t>G</w:t>
            </w: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1DE222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5D0BE5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F06397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512FE5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628BEF5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8FD7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3FEDF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45" w:type="dxa"/>
            <w:tcBorders>
              <w:top w:val="single" w:color="000000" w:sz="4" w:space="0"/>
              <w:left w:val="single" w:color="000000" w:sz="4" w:space="0"/>
              <w:bottom w:val="nil"/>
              <w:right w:val="single" w:color="000000" w:sz="4" w:space="0"/>
            </w:tcBorders>
            <w:noWrap w:val="0"/>
            <w:vAlign w:val="center"/>
          </w:tcPr>
          <w:p w14:paraId="470D4C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笔记本</w:t>
            </w:r>
          </w:p>
        </w:tc>
        <w:tc>
          <w:tcPr>
            <w:tcW w:w="1655" w:type="dxa"/>
            <w:tcBorders>
              <w:top w:val="single" w:color="000000" w:sz="4" w:space="0"/>
              <w:left w:val="single" w:color="000000" w:sz="4" w:space="0"/>
              <w:bottom w:val="nil"/>
              <w:right w:val="single" w:color="000000" w:sz="4" w:space="0"/>
            </w:tcBorders>
            <w:noWrap/>
            <w:vAlign w:val="center"/>
          </w:tcPr>
          <w:p w14:paraId="1A132E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i</w:t>
            </w:r>
            <w:r>
              <w:rPr>
                <w:rFonts w:hint="eastAsia" w:ascii="宋体" w:hAnsi="宋体" w:eastAsia="宋体" w:cs="宋体"/>
                <w:i w:val="0"/>
                <w:iCs w:val="0"/>
                <w:color w:val="000000"/>
                <w:kern w:val="0"/>
                <w:sz w:val="22"/>
                <w:szCs w:val="22"/>
                <w:u w:val="none"/>
                <w:lang w:val="en-US" w:eastAsia="zh-CN" w:bidi="ar"/>
              </w:rPr>
              <w:t>5-13420H</w:t>
            </w:r>
          </w:p>
        </w:tc>
        <w:tc>
          <w:tcPr>
            <w:tcW w:w="745" w:type="dxa"/>
            <w:tcBorders>
              <w:top w:val="single" w:color="000000" w:sz="4" w:space="0"/>
              <w:left w:val="single" w:color="000000" w:sz="4" w:space="0"/>
              <w:bottom w:val="nil"/>
              <w:right w:val="single" w:color="000000" w:sz="4" w:space="0"/>
            </w:tcBorders>
            <w:noWrap/>
            <w:vAlign w:val="center"/>
          </w:tcPr>
          <w:p w14:paraId="5174F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16G</w:t>
            </w:r>
          </w:p>
        </w:tc>
        <w:tc>
          <w:tcPr>
            <w:tcW w:w="800" w:type="dxa"/>
            <w:tcBorders>
              <w:top w:val="single" w:color="000000" w:sz="4" w:space="0"/>
              <w:left w:val="single" w:color="000000" w:sz="4" w:space="0"/>
              <w:bottom w:val="nil"/>
              <w:right w:val="single" w:color="000000" w:sz="4" w:space="0"/>
            </w:tcBorders>
            <w:noWrap/>
            <w:vAlign w:val="center"/>
          </w:tcPr>
          <w:p w14:paraId="1869E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512G</w:t>
            </w:r>
          </w:p>
        </w:tc>
        <w:tc>
          <w:tcPr>
            <w:tcW w:w="855" w:type="dxa"/>
            <w:tcBorders>
              <w:top w:val="single" w:color="000000" w:sz="4" w:space="0"/>
              <w:left w:val="single" w:color="000000" w:sz="4" w:space="0"/>
              <w:bottom w:val="nil"/>
              <w:right w:val="single" w:color="000000" w:sz="4" w:space="0"/>
            </w:tcBorders>
            <w:noWrap/>
            <w:vAlign w:val="center"/>
          </w:tcPr>
          <w:p w14:paraId="686E3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W11</w:t>
            </w:r>
          </w:p>
        </w:tc>
        <w:tc>
          <w:tcPr>
            <w:tcW w:w="943" w:type="dxa"/>
            <w:tcBorders>
              <w:top w:val="single" w:color="000000" w:sz="4" w:space="0"/>
              <w:left w:val="single" w:color="000000" w:sz="4" w:space="0"/>
              <w:bottom w:val="nil"/>
              <w:right w:val="single" w:color="000000" w:sz="4" w:space="0"/>
            </w:tcBorders>
            <w:noWrap/>
            <w:vAlign w:val="center"/>
          </w:tcPr>
          <w:p w14:paraId="7A1275B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867" w:type="dxa"/>
            <w:tcBorders>
              <w:top w:val="single" w:color="000000" w:sz="4" w:space="0"/>
              <w:left w:val="single" w:color="000000" w:sz="4" w:space="0"/>
              <w:bottom w:val="nil"/>
              <w:right w:val="single" w:color="000000" w:sz="4" w:space="0"/>
            </w:tcBorders>
            <w:noWrap/>
            <w:vAlign w:val="center"/>
          </w:tcPr>
          <w:p w14:paraId="3FCFFF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nil"/>
              <w:right w:val="single" w:color="000000" w:sz="4" w:space="0"/>
            </w:tcBorders>
            <w:noWrap/>
            <w:vAlign w:val="center"/>
          </w:tcPr>
          <w:p w14:paraId="0B4CFC1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7BE0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707" w:type="dxa"/>
            <w:tcBorders>
              <w:top w:val="single" w:color="000000" w:sz="4" w:space="0"/>
              <w:left w:val="single" w:color="000000" w:sz="4" w:space="0"/>
              <w:bottom w:val="single" w:color="000000" w:sz="4" w:space="0"/>
              <w:right w:val="single" w:color="000000" w:sz="4" w:space="0"/>
            </w:tcBorders>
            <w:noWrap/>
            <w:vAlign w:val="center"/>
          </w:tcPr>
          <w:p w14:paraId="5F7BAC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45" w:type="dxa"/>
            <w:tcBorders>
              <w:top w:val="single" w:color="000000" w:sz="4" w:space="0"/>
              <w:left w:val="single" w:color="000000" w:sz="4" w:space="0"/>
              <w:bottom w:val="single" w:color="000000" w:sz="4" w:space="0"/>
              <w:right w:val="single" w:color="000000" w:sz="4" w:space="0"/>
            </w:tcBorders>
            <w:noWrap w:val="0"/>
            <w:vAlign w:val="center"/>
          </w:tcPr>
          <w:p w14:paraId="7245DB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显示器</w:t>
            </w:r>
          </w:p>
        </w:tc>
        <w:tc>
          <w:tcPr>
            <w:tcW w:w="1655" w:type="dxa"/>
            <w:tcBorders>
              <w:top w:val="single" w:color="000000" w:sz="4" w:space="0"/>
              <w:left w:val="single" w:color="000000" w:sz="4" w:space="0"/>
              <w:bottom w:val="single" w:color="000000" w:sz="4" w:space="0"/>
              <w:right w:val="single" w:color="000000" w:sz="4" w:space="0"/>
            </w:tcBorders>
            <w:noWrap w:val="0"/>
            <w:vAlign w:val="center"/>
          </w:tcPr>
          <w:p w14:paraId="453CC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23.8英寸+1920*1080 +HDMI线+底座</w:t>
            </w:r>
          </w:p>
        </w:tc>
        <w:tc>
          <w:tcPr>
            <w:tcW w:w="745" w:type="dxa"/>
            <w:tcBorders>
              <w:top w:val="single" w:color="000000" w:sz="4" w:space="0"/>
              <w:left w:val="single" w:color="000000" w:sz="4" w:space="0"/>
              <w:bottom w:val="single" w:color="000000" w:sz="4" w:space="0"/>
              <w:right w:val="single" w:color="000000" w:sz="4" w:space="0"/>
            </w:tcBorders>
            <w:noWrap/>
            <w:vAlign w:val="center"/>
          </w:tcPr>
          <w:p w14:paraId="1B0B93E6">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p>
        </w:tc>
        <w:tc>
          <w:tcPr>
            <w:tcW w:w="800" w:type="dxa"/>
            <w:tcBorders>
              <w:top w:val="single" w:color="000000" w:sz="4" w:space="0"/>
              <w:left w:val="single" w:color="000000" w:sz="4" w:space="0"/>
              <w:bottom w:val="single" w:color="000000" w:sz="4" w:space="0"/>
              <w:right w:val="single" w:color="000000" w:sz="4" w:space="0"/>
            </w:tcBorders>
            <w:noWrap/>
            <w:vAlign w:val="center"/>
          </w:tcPr>
          <w:p w14:paraId="0A736FC3">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p>
        </w:tc>
        <w:tc>
          <w:tcPr>
            <w:tcW w:w="855" w:type="dxa"/>
            <w:tcBorders>
              <w:top w:val="single" w:color="000000" w:sz="4" w:space="0"/>
              <w:left w:val="single" w:color="000000" w:sz="4" w:space="0"/>
              <w:bottom w:val="single" w:color="000000" w:sz="4" w:space="0"/>
              <w:right w:val="single" w:color="000000" w:sz="4" w:space="0"/>
            </w:tcBorders>
            <w:noWrap/>
            <w:vAlign w:val="center"/>
          </w:tcPr>
          <w:p w14:paraId="464B66C7">
            <w:pPr>
              <w:keepNext w:val="0"/>
              <w:keepLines w:val="0"/>
              <w:widowControl/>
              <w:suppressLineNumbers w:val="0"/>
              <w:jc w:val="center"/>
              <w:textAlignment w:val="center"/>
              <w:rPr>
                <w:rFonts w:hint="default" w:ascii="仿宋_GB2312" w:hAnsi="宋体" w:eastAsia="仿宋_GB2312" w:cs="仿宋_GB2312"/>
                <w:i w:val="0"/>
                <w:iCs w:val="0"/>
                <w:color w:val="000000"/>
                <w:sz w:val="22"/>
                <w:szCs w:val="22"/>
                <w:u w:val="none"/>
                <w:lang w:val="en-US"/>
              </w:rPr>
            </w:pPr>
          </w:p>
        </w:tc>
        <w:tc>
          <w:tcPr>
            <w:tcW w:w="943" w:type="dxa"/>
            <w:tcBorders>
              <w:top w:val="single" w:color="000000" w:sz="4" w:space="0"/>
              <w:left w:val="single" w:color="000000" w:sz="4" w:space="0"/>
              <w:bottom w:val="single" w:color="000000" w:sz="4" w:space="0"/>
              <w:right w:val="single" w:color="000000" w:sz="4" w:space="0"/>
            </w:tcBorders>
            <w:noWrap/>
            <w:vAlign w:val="center"/>
          </w:tcPr>
          <w:p w14:paraId="40C135D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867" w:type="dxa"/>
            <w:tcBorders>
              <w:top w:val="single" w:color="000000" w:sz="4" w:space="0"/>
              <w:left w:val="single" w:color="000000" w:sz="4" w:space="0"/>
              <w:bottom w:val="single" w:color="000000" w:sz="4" w:space="0"/>
              <w:right w:val="single" w:color="000000" w:sz="4" w:space="0"/>
            </w:tcBorders>
            <w:noWrap/>
            <w:vAlign w:val="center"/>
          </w:tcPr>
          <w:p w14:paraId="243266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3A7B3B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0874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7517" w:type="dxa"/>
            <w:gridSpan w:val="8"/>
            <w:tcBorders>
              <w:top w:val="single" w:color="000000" w:sz="4" w:space="0"/>
              <w:left w:val="single" w:color="000000" w:sz="4" w:space="0"/>
              <w:bottom w:val="single" w:color="000000" w:sz="4" w:space="0"/>
              <w:right w:val="single" w:color="000000" w:sz="4" w:space="0"/>
            </w:tcBorders>
            <w:noWrap/>
            <w:vAlign w:val="center"/>
          </w:tcPr>
          <w:p w14:paraId="111516C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合计（含税价）：</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77BDD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bl>
    <w:p w14:paraId="6034EAD1">
      <w:pPr>
        <w:rPr>
          <w:rFonts w:hint="default" w:ascii="Times New Roman" w:hAnsi="Times New Roman" w:cs="Times New Roman"/>
        </w:rPr>
      </w:pPr>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33781BC">
      <w:pPr>
        <w:pStyle w:val="4"/>
        <w:jc w:val="center"/>
        <w:rPr>
          <w:rFonts w:hint="eastAsia" w:ascii="Times New Roman" w:hAnsi="Times New Roman" w:cs="Times New Roman" w:eastAsiaTheme="minorEastAsia"/>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eastAsia="zh-CN"/>
        </w:rPr>
        <w:t>资格审查资料</w:t>
      </w:r>
    </w:p>
    <w:p w14:paraId="7E49C614">
      <w:pPr>
        <w:spacing w:line="440" w:lineRule="exact"/>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F9D0F62-B9A9-4919-BFF3-DA38D9C1CA86}"/>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AC7C50E-F5EE-486A-89DE-79F712671AC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64D78835-26E6-4A9C-91EF-3F595FE81B50}"/>
  </w:font>
  <w:font w:name="仿宋_GB2312">
    <w:panose1 w:val="02010609030101010101"/>
    <w:charset w:val="86"/>
    <w:family w:val="modern"/>
    <w:pitch w:val="default"/>
    <w:sig w:usb0="00000001" w:usb1="080E0000" w:usb2="00000000" w:usb3="00000000" w:csb0="00040000" w:csb1="00000000"/>
    <w:embedRegular r:id="rId4" w:fontKey="{DE34010C-0DE2-4B9D-BBDA-F421B3084F1F}"/>
  </w:font>
  <w:font w:name="方正小标宋简体">
    <w:panose1 w:val="03000509000000000000"/>
    <w:charset w:val="86"/>
    <w:family w:val="auto"/>
    <w:pitch w:val="default"/>
    <w:sig w:usb0="00000001" w:usb1="080E0000" w:usb2="00000000" w:usb3="00000000" w:csb0="00040000" w:csb1="00000000"/>
    <w:embedRegular r:id="rId5" w:fontKey="{1E091FE3-D665-46D0-BE83-0FF1898FB781}"/>
  </w:font>
  <w:font w:name="楷体">
    <w:panose1 w:val="02010609060101010101"/>
    <w:charset w:val="86"/>
    <w:family w:val="auto"/>
    <w:pitch w:val="default"/>
    <w:sig w:usb0="800002BF" w:usb1="38CF7CFA" w:usb2="00000016" w:usb3="00000000" w:csb0="00040001" w:csb1="00000000"/>
    <w:embedRegular r:id="rId6" w:fontKey="{1FB5C4CC-9B93-411A-A3EB-DFF140BEE936}"/>
  </w:font>
  <w:font w:name="Wingdings 2">
    <w:altName w:val="Wingdings"/>
    <w:panose1 w:val="05020102010507070707"/>
    <w:charset w:val="00"/>
    <w:family w:val="auto"/>
    <w:pitch w:val="default"/>
    <w:sig w:usb0="00000000" w:usb1="00000000" w:usb2="00000000" w:usb3="00000000" w:csb0="80000000" w:csb1="00000000"/>
    <w:embedRegular r:id="rId7" w:fontKey="{59A5CB1D-34B8-4C99-AA82-28DAB7AB34A0}"/>
  </w:font>
  <w:font w:name="方正仿宋_GB2312">
    <w:panose1 w:val="02000000000000000000"/>
    <w:charset w:val="86"/>
    <w:family w:val="auto"/>
    <w:pitch w:val="default"/>
    <w:sig w:usb0="A00002BF" w:usb1="184F6CFA" w:usb2="00000012" w:usb3="00000000" w:csb0="00040001" w:csb1="00000000"/>
    <w:embedRegular r:id="rId8" w:fontKey="{AACEA470-E50C-4C0C-8D3E-CADF8CAD3367}"/>
  </w:font>
  <w:font w:name="仿宋">
    <w:panose1 w:val="02010609060101010101"/>
    <w:charset w:val="86"/>
    <w:family w:val="modern"/>
    <w:pitch w:val="default"/>
    <w:sig w:usb0="800002BF" w:usb1="38CF7CFA" w:usb2="00000016" w:usb3="00000000" w:csb0="00040001" w:csb1="00000000"/>
    <w:embedRegular r:id="rId9" w:fontKey="{6324B82E-D571-4878-AA03-66802A0734B5}"/>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45149"/>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5E2274"/>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51475"/>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6C6406"/>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197416"/>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1FEB494D"/>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24658"/>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67942"/>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71E51"/>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9D04D5"/>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BF19CF"/>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AB0D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EE4B03"/>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50C07"/>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1429</Words>
  <Characters>1924</Characters>
  <Lines>0</Lines>
  <Paragraphs>0</Paragraphs>
  <TotalTime>29</TotalTime>
  <ScaleCrop>false</ScaleCrop>
  <LinksUpToDate>false</LinksUpToDate>
  <CharactersWithSpaces>2013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嘚儿架</cp:lastModifiedBy>
  <cp:lastPrinted>2025-10-15T03:45:00Z</cp:lastPrinted>
  <dcterms:modified xsi:type="dcterms:W3CDTF">2025-10-16T06:42:00Z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eyJoZGlkIjoiMWFlMzY4MTEzYzc2MGUzMWUyMTU5YmZjY2YyZGFjYjkiLCJ1c2VySWQiOiIxNzIwNTkyMDc0In0=</vt:lpwstr>
  </property>
</Properties>
</file>