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安车集团办公设备采购项目</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011</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安车集团办公设备采购项目询比公告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52042295"/>
      <w:bookmarkStart w:id="2" w:name="_Toc246996909"/>
      <w:bookmarkStart w:id="3" w:name="_Toc152045519"/>
      <w:bookmarkStart w:id="4" w:name="_Toc296602410"/>
      <w:bookmarkStart w:id="5" w:name="_Toc247085680"/>
      <w:bookmarkStart w:id="6" w:name="_Toc144974487"/>
      <w:bookmarkStart w:id="7" w:name="_Toc246996166"/>
      <w:r>
        <w:rPr>
          <w:rFonts w:hint="eastAsia" w:ascii="宋体" w:hAnsi="宋体" w:eastAsia="宋体" w:cs="宋体"/>
          <w:sz w:val="28"/>
          <w:szCs w:val="28"/>
          <w:highlight w:val="none"/>
          <w:u w:val="single"/>
          <w:lang w:val="en-US" w:eastAsia="zh-CN"/>
        </w:rPr>
        <w:t>安车集团办公设备采购项目</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246996910"/>
      <w:bookmarkStart w:id="10" w:name="_Toc296602411"/>
      <w:bookmarkStart w:id="11" w:name="_Toc144974488"/>
      <w:bookmarkStart w:id="12" w:name="_Toc152042296"/>
      <w:bookmarkStart w:id="13" w:name="_Toc152045520"/>
      <w:bookmarkStart w:id="14" w:name="_Toc17963253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sz w:val="28"/>
          <w:szCs w:val="28"/>
          <w:highlight w:val="none"/>
          <w:u w:val="single"/>
          <w:lang w:val="en-US" w:eastAsia="zh-CN"/>
        </w:rPr>
        <w:t>安车集团办公设备采购项目</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color w:val="FF0000"/>
          <w:kern w:val="0"/>
          <w:sz w:val="28"/>
          <w:szCs w:val="28"/>
          <w:highlight w:val="none"/>
          <w:shd w:val="clear" w:color="auto" w:fill="auto"/>
          <w:lang w:val="en-US" w:eastAsia="zh-CN"/>
        </w:rPr>
        <w:t>ACJT-2025</w:t>
      </w:r>
      <w:r>
        <w:rPr>
          <w:rFonts w:hint="default" w:ascii="Times New Roman" w:hAnsi="Times New Roman" w:eastAsia="楷体" w:cs="Times New Roman"/>
          <w:color w:val="FF0000"/>
          <w:kern w:val="0"/>
          <w:sz w:val="28"/>
          <w:szCs w:val="28"/>
          <w:highlight w:val="none"/>
          <w:shd w:val="clear" w:color="auto" w:fill="auto"/>
          <w:lang w:val="en-US" w:eastAsia="zh-CN"/>
        </w:rPr>
        <w:t>-</w:t>
      </w:r>
      <w:r>
        <w:rPr>
          <w:rFonts w:hint="eastAsia" w:ascii="Times New Roman" w:hAnsi="Times New Roman" w:eastAsia="楷体" w:cs="Times New Roman"/>
          <w:color w:val="FF0000"/>
          <w:kern w:val="0"/>
          <w:sz w:val="28"/>
          <w:szCs w:val="28"/>
          <w:highlight w:val="none"/>
          <w:u w:val="single"/>
          <w:shd w:val="clear" w:color="auto" w:fill="auto"/>
          <w:lang w:val="en-US" w:eastAsia="zh-CN"/>
        </w:rPr>
        <w:t>011</w:t>
      </w:r>
      <w:bookmarkStart w:id="312" w:name="_GoBack"/>
      <w:bookmarkEnd w:id="312"/>
      <w:r>
        <w:rPr>
          <w:rFonts w:hint="default" w:ascii="Times New Roman" w:hAnsi="Times New Roman" w:eastAsia="楷体" w:cs="Times New Roman"/>
          <w:color w:val="FF0000"/>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安徽省安车交通运输集团有限公司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w:t>
      </w:r>
      <w:r>
        <w:rPr>
          <w:rFonts w:hint="eastAsia" w:ascii="仿宋_GB2312" w:hAnsi="仿宋_GB2312" w:eastAsia="仿宋_GB2312" w:cs="仿宋_GB2312"/>
          <w:sz w:val="32"/>
          <w:szCs w:val="32"/>
          <w:u w:val="none"/>
          <w:lang w:val="en-US" w:eastAsia="zh-CN"/>
        </w:rPr>
        <w:t>已落实</w:t>
      </w:r>
      <w:r>
        <w:rPr>
          <w:rFonts w:hint="eastAsia" w:asciiTheme="minorEastAsia" w:hAnsiTheme="minorEastAsia" w:cstheme="minorEastAsia"/>
          <w:color w:val="FF0000"/>
          <w:sz w:val="28"/>
          <w:szCs w:val="28"/>
          <w:highlight w:val="none"/>
          <w:u w:val="none"/>
          <w:lang w:val="en-US" w:eastAsia="zh-CN"/>
        </w:rPr>
        <w:t xml:space="preserve"> </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，税率1</w:t>
      </w:r>
      <w:r>
        <w:rPr>
          <w:rFonts w:hint="eastAsia" w:ascii="宋体" w:hAnsi="宋体" w:eastAsia="宋体" w:cs="宋体"/>
          <w:kern w:val="2"/>
          <w:sz w:val="28"/>
          <w:szCs w:val="28"/>
          <w:highlight w:val="none"/>
          <w:lang w:val="en-US" w:eastAsia="zh-CN" w:bidi="ar-SA"/>
        </w:rPr>
        <w:t>3 %）</w:t>
      </w:r>
      <w:permEnd w:id="9"/>
      <w:r>
        <w:rPr>
          <w:rFonts w:hint="eastAsia" w:ascii="宋体" w:hAnsi="宋体" w:eastAsia="宋体" w:cs="宋体"/>
          <w:kern w:val="2"/>
          <w:sz w:val="28"/>
          <w:szCs w:val="28"/>
          <w:highlight w:val="none"/>
          <w:lang w:val="en-US" w:eastAsia="zh-CN" w:bidi="ar-SA"/>
        </w:rPr>
        <w:t>：</w:t>
      </w:r>
      <w:permStart w:id="10" w:edGrp="everyone"/>
      <w:r>
        <w:rPr>
          <w:rFonts w:hint="eastAsia" w:asciiTheme="minorEastAsia" w:hAnsiTheme="minorEastAsia" w:cstheme="minorEastAsia"/>
          <w:sz w:val="28"/>
          <w:szCs w:val="28"/>
          <w:highlight w:val="none"/>
          <w:u w:val="single"/>
          <w:lang w:val="en-US" w:eastAsia="zh-CN"/>
        </w:rPr>
        <w:t>78700元</w:t>
      </w:r>
      <w:permEnd w:id="10"/>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1" w:edGrp="everyone"/>
      <w:r>
        <w:rPr>
          <w:rFonts w:hint="eastAsia" w:asciiTheme="minorEastAsia" w:hAnsiTheme="minorEastAsia" w:cstheme="minorEastAsia"/>
          <w:color w:val="FF0000"/>
          <w:sz w:val="28"/>
          <w:szCs w:val="28"/>
          <w:highlight w:val="none"/>
          <w:u w:val="single"/>
          <w:lang w:val="en-US" w:eastAsia="zh-CN"/>
        </w:rPr>
        <w:t>固定单价</w:t>
      </w:r>
      <w:permEnd w:id="11"/>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包括台式电脑、笔记本电脑、电脑显示屏(详见物品清单)</w:t>
      </w:r>
    </w:p>
    <w:permEnd w:id="12"/>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自合同签订之日起7日历天内完成供货。</w:t>
      </w:r>
      <w:r>
        <w:rPr>
          <w:rFonts w:hint="eastAsia" w:asciiTheme="minorEastAsia" w:hAnsiTheme="minorEastAsia" w:eastAsiaTheme="minorEastAsia" w:cstheme="minorEastAsia"/>
          <w:sz w:val="28"/>
          <w:szCs w:val="28"/>
          <w:highlight w:val="none"/>
          <w:lang w:val="en-US" w:eastAsia="zh-CN"/>
        </w:rPr>
        <w:t xml:space="preserve"> </w:t>
      </w:r>
      <w:permEnd w:id="13"/>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亳州市城区内，采购人指定地。</w:t>
      </w:r>
      <w:r>
        <w:rPr>
          <w:rFonts w:hint="eastAsia" w:asciiTheme="minorEastAsia" w:hAnsiTheme="minorEastAsia" w:cstheme="minorEastAsia"/>
          <w:color w:val="FF0000"/>
          <w:sz w:val="28"/>
          <w:szCs w:val="28"/>
          <w:highlight w:val="none"/>
          <w:lang w:val="en-US" w:eastAsia="zh-CN"/>
        </w:rPr>
        <w:t xml:space="preserve"> </w:t>
      </w:r>
      <w:permEnd w:id="14"/>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5" w:edGrp="everyone"/>
      <w:r>
        <w:rPr>
          <w:rFonts w:hint="default" w:asciiTheme="minorEastAsia" w:hAnsi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5"/>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宋体" w:hAnsi="宋体" w:eastAsia="宋体" w:cs="宋体"/>
          <w:sz w:val="28"/>
          <w:szCs w:val="28"/>
          <w:highlight w:val="none"/>
          <w:lang w:val="en-US" w:eastAsia="zh-CN"/>
        </w:rPr>
        <w:t>/</w:t>
      </w:r>
      <w:r>
        <w:rPr>
          <w:rFonts w:hint="eastAsia" w:asciiTheme="minorEastAsia" w:hAnsi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宋体" w:hAnsi="宋体" w:eastAsia="宋体" w:cs="宋体"/>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开启时间（同</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19"/>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0"/>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sz w:val="28"/>
          <w:szCs w:val="28"/>
          <w:highlight w:val="none"/>
          <w:u w:val="single"/>
          <w:lang w:val="en-US" w:eastAsia="zh-CN"/>
        </w:rPr>
        <w:t>1000元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安徽省安车交通运输集团有限公司</w:t>
      </w:r>
    </w:p>
    <w:permEnd w:id="22"/>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eastAsiaTheme="minorEastAsia" w:cstheme="minorEastAsia"/>
          <w:sz w:val="28"/>
          <w:szCs w:val="28"/>
          <w:highlight w:val="none"/>
          <w:lang w:val="en-US" w:eastAsia="zh-CN"/>
        </w:rPr>
        <w:t>亳州市高新区银杏路与宋汤河路交叉口</w:t>
      </w:r>
      <w:permEnd w:id="23"/>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8E39F5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6B0A1C5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32526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0C9F83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B255E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 xml:space="preserve">安徽省安车交通运输集团有限公司 </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ermEnd w:id="24"/>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default" w:ascii="Times New Roman" w:hAnsi="Times New Roman" w:cs="Times New Roman"/>
                <w:color w:val="FF0000"/>
                <w:szCs w:val="21"/>
                <w:highlight w:val="none"/>
                <w:u w:val="single"/>
              </w:rPr>
              <w:t>：</w:t>
            </w:r>
            <w:permStart w:id="32" w:edGrp="everyone"/>
            <w:r>
              <w:rPr>
                <w:rFonts w:hint="eastAsia" w:ascii="Times New Roman" w:hAnsi="Times New Roman" w:cs="Times New Roman"/>
                <w:color w:val="FF0000"/>
                <w:szCs w:val="21"/>
                <w:highlight w:val="none"/>
                <w:u w:val="single"/>
                <w:lang w:val="en-US" w:eastAsia="zh-CN"/>
              </w:rPr>
              <w:t>1000</w:t>
            </w:r>
            <w:r>
              <w:rPr>
                <w:rFonts w:hint="eastAsia" w:ascii="Times New Roman" w:hAnsi="Times New Roman" w:cs="Times New Roman"/>
                <w:color w:val="auto"/>
                <w:szCs w:val="21"/>
                <w:highlight w:val="none"/>
                <w:u w:val="single"/>
                <w:lang w:val="en-US" w:eastAsia="zh-CN"/>
              </w:rPr>
              <w:t xml:space="preserve">元整   </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56C2F3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安徽省安车交通运输集团有限公司</w:t>
            </w:r>
          </w:p>
          <w:p w14:paraId="0E67407E">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default" w:ascii="Times New Roman" w:hAnsi="Times New Roman" w:cs="Times New Roman"/>
                <w:color w:val="auto"/>
                <w:sz w:val="21"/>
                <w:szCs w:val="21"/>
                <w:highlight w:val="none"/>
              </w:rPr>
              <w:t>中国</w:t>
            </w:r>
            <w:r>
              <w:rPr>
                <w:rFonts w:hint="eastAsia" w:ascii="Times New Roman" w:hAnsi="Times New Roman" w:cs="Times New Roman"/>
                <w:color w:val="auto"/>
                <w:sz w:val="21"/>
                <w:szCs w:val="21"/>
                <w:highlight w:val="none"/>
                <w:lang w:val="en-US" w:eastAsia="zh-CN"/>
              </w:rPr>
              <w:t>工商银行亳州高新区支行</w:t>
            </w:r>
          </w:p>
          <w:p w14:paraId="551647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318061809100024751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color w:val="FF0000"/>
                <w:szCs w:val="21"/>
                <w:highlight w:val="none"/>
                <w:lang w:val="en-US" w:eastAsia="zh-CN"/>
              </w:rPr>
              <w:t>ACJT-2025- 011号保证金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5"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采购人：安徽省安车交通运输集团有限公司办公设备采购项目</w:t>
            </w:r>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安徽省安车交通运输集团有限公司办公设备采购项目响应文件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011</w:t>
            </w:r>
            <w:r>
              <w:rPr>
                <w:rFonts w:hint="eastAsia" w:ascii="Times New Roman" w:hAnsi="Times New Roman" w:cs="Times New Roman"/>
                <w:color w:val="FF0000"/>
                <w:szCs w:val="21"/>
                <w:highlight w:val="none"/>
                <w:u w:val="none"/>
                <w:lang w:val="en-US" w:eastAsia="zh-CN"/>
              </w:rPr>
              <w:t>号</w:t>
            </w:r>
          </w:p>
          <w:p w14:paraId="2DEB5E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213F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44974500"/>
      <w:bookmarkStart w:id="17" w:name="_Toc246996178"/>
      <w:bookmarkStart w:id="18" w:name="_Toc247085692"/>
      <w:bookmarkStart w:id="19" w:name="_Toc152042308"/>
      <w:bookmarkStart w:id="20" w:name="_Toc152045532"/>
      <w:bookmarkStart w:id="21" w:name="_Toc296602423"/>
      <w:bookmarkStart w:id="22" w:name="_Toc246996921"/>
      <w:bookmarkStart w:id="23" w:name="_Toc179632549"/>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4"/>
      <w:bookmarkStart w:id="25" w:name="_Toc247085695"/>
      <w:bookmarkStart w:id="26" w:name="_Toc179632553"/>
      <w:bookmarkStart w:id="27" w:name="_Toc296602426"/>
      <w:bookmarkStart w:id="28" w:name="_Toc246996924"/>
      <w:bookmarkStart w:id="29" w:name="_Toc246996181"/>
      <w:bookmarkStart w:id="30" w:name="_Toc152045536"/>
      <w:bookmarkStart w:id="31" w:name="_Toc152042312"/>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296602427"/>
      <w:bookmarkStart w:id="35" w:name="_Toc179632554"/>
      <w:bookmarkStart w:id="36" w:name="_Toc247085696"/>
      <w:bookmarkStart w:id="37" w:name="_Toc246996182"/>
      <w:bookmarkStart w:id="38" w:name="_Toc152045537"/>
      <w:bookmarkStart w:id="39" w:name="_Toc152042313"/>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183"/>
      <w:bookmarkStart w:id="41" w:name="_Toc152042314"/>
      <w:bookmarkStart w:id="42" w:name="_Toc247085697"/>
      <w:bookmarkStart w:id="43" w:name="_Toc144974506"/>
      <w:bookmarkStart w:id="44" w:name="_Toc152045538"/>
      <w:bookmarkStart w:id="45" w:name="_Toc246996926"/>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152042318"/>
      <w:bookmarkStart w:id="49" w:name="_Toc152045542"/>
      <w:bookmarkStart w:id="50" w:name="_Toc246996187"/>
      <w:bookmarkStart w:id="51" w:name="_Toc246996930"/>
      <w:bookmarkStart w:id="52" w:name="_Toc144974510"/>
      <w:bookmarkStart w:id="53" w:name="_Toc179632560"/>
      <w:bookmarkStart w:id="54" w:name="_Toc247085701"/>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7085702"/>
      <w:bookmarkStart w:id="56" w:name="_Toc179632561"/>
      <w:bookmarkStart w:id="57" w:name="_Toc152045543"/>
      <w:bookmarkStart w:id="58" w:name="_Toc246996931"/>
      <w:bookmarkStart w:id="59" w:name="_Toc246996188"/>
      <w:bookmarkStart w:id="60" w:name="_Toc144974511"/>
      <w:bookmarkStart w:id="61" w:name="_Toc296602433"/>
      <w:bookmarkStart w:id="62" w:name="_Toc152042319"/>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44974512"/>
      <w:bookmarkStart w:id="65" w:name="_Toc246996189"/>
      <w:bookmarkStart w:id="66" w:name="_Toc246996932"/>
      <w:bookmarkStart w:id="67" w:name="_Toc152042320"/>
      <w:bookmarkStart w:id="68" w:name="_Toc179632562"/>
      <w:bookmarkStart w:id="69" w:name="_Toc247085703"/>
      <w:bookmarkStart w:id="70" w:name="_Toc15204554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90"/>
      <w:bookmarkStart w:id="72" w:name="_Toc246996933"/>
      <w:bookmarkStart w:id="73" w:name="_Toc152045545"/>
      <w:bookmarkStart w:id="74" w:name="_Toc247085704"/>
      <w:bookmarkStart w:id="75" w:name="_Toc179632563"/>
      <w:bookmarkStart w:id="76" w:name="_Toc296602435"/>
      <w:bookmarkStart w:id="77" w:name="_Toc144974513"/>
      <w:bookmarkStart w:id="78" w:name="_Toc152042321"/>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2322"/>
      <w:bookmarkStart w:id="80" w:name="_Toc144974514"/>
      <w:bookmarkStart w:id="81" w:name="_Toc246996191"/>
      <w:bookmarkStart w:id="82" w:name="_Toc246996934"/>
      <w:bookmarkStart w:id="83" w:name="_Toc247085705"/>
      <w:bookmarkStart w:id="84" w:name="_Toc179632564"/>
      <w:bookmarkStart w:id="85" w:name="_Toc152045546"/>
      <w:bookmarkStart w:id="86" w:name="_Toc29660243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96602437"/>
      <w:bookmarkStart w:id="89" w:name="_Toc179632565"/>
      <w:bookmarkStart w:id="90" w:name="_Toc144974515"/>
      <w:bookmarkStart w:id="91" w:name="_Toc246996935"/>
      <w:bookmarkStart w:id="92" w:name="_Toc152042323"/>
      <w:bookmarkStart w:id="93" w:name="_Toc247085706"/>
      <w:bookmarkStart w:id="94"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44974516"/>
      <w:bookmarkStart w:id="96" w:name="_Toc152042324"/>
      <w:bookmarkStart w:id="97" w:name="_Toc296602438"/>
      <w:bookmarkStart w:id="98" w:name="_Toc247085707"/>
      <w:bookmarkStart w:id="99" w:name="_Toc179632566"/>
      <w:bookmarkStart w:id="100" w:name="_Toc246996193"/>
      <w:bookmarkStart w:id="101" w:name="_Toc246996936"/>
      <w:bookmarkStart w:id="102" w:name="_Toc152045548"/>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79632567"/>
      <w:bookmarkStart w:id="105" w:name="_Toc144974517"/>
      <w:bookmarkStart w:id="106"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96602439"/>
      <w:bookmarkStart w:id="109" w:name="_Toc246996937"/>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23"/>
      <w:bookmarkStart w:id="112" w:name="_Toc152045555"/>
      <w:bookmarkStart w:id="113" w:name="_Toc246996199"/>
      <w:bookmarkStart w:id="114" w:name="_Toc247085713"/>
      <w:bookmarkStart w:id="115" w:name="_Toc179632573"/>
      <w:bookmarkStart w:id="116" w:name="_Toc246996942"/>
      <w:bookmarkStart w:id="117" w:name="_Toc296602443"/>
      <w:bookmarkStart w:id="118" w:name="_Toc152042331"/>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32"/>
      <w:bookmarkStart w:id="120" w:name="_Toc144974524"/>
      <w:bookmarkStart w:id="121" w:name="_Toc247085714"/>
      <w:bookmarkStart w:id="122" w:name="_Toc152045556"/>
      <w:bookmarkStart w:id="123" w:name="_Toc246996943"/>
      <w:bookmarkStart w:id="124" w:name="_Toc246996200"/>
      <w:bookmarkStart w:id="125" w:name="_Toc296602444"/>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2333"/>
      <w:bookmarkStart w:id="128" w:name="_Toc144974525"/>
      <w:bookmarkStart w:id="129" w:name="_Toc152045557"/>
      <w:bookmarkStart w:id="130" w:name="_Toc247085715"/>
      <w:bookmarkStart w:id="131" w:name="_Toc246996944"/>
      <w:bookmarkStart w:id="132" w:name="_Toc246996201"/>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6"/>
      <w:bookmarkStart w:id="135" w:name="_Toc144974526"/>
      <w:bookmarkStart w:id="136" w:name="_Toc152042334"/>
      <w:bookmarkStart w:id="137" w:name="_Toc152045558"/>
      <w:bookmarkStart w:id="138" w:name="_Toc296602446"/>
      <w:bookmarkStart w:id="139" w:name="_Toc246996945"/>
      <w:bookmarkStart w:id="140" w:name="_Toc246996202"/>
      <w:bookmarkStart w:id="141" w:name="_Toc17963257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152045559"/>
      <w:bookmarkStart w:id="144" w:name="_Toc246996946"/>
      <w:bookmarkStart w:id="145" w:name="_Toc246996203"/>
      <w:bookmarkStart w:id="146" w:name="_Toc144974527"/>
      <w:bookmarkStart w:id="147" w:name="_Toc152042335"/>
      <w:bookmarkStart w:id="148" w:name="_Toc296602447"/>
      <w:bookmarkStart w:id="149" w:name="_Toc24708571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4"/>
      <w:bookmarkStart w:id="151" w:name="_Toc247085718"/>
      <w:bookmarkStart w:id="152" w:name="_Toc152042336"/>
      <w:bookmarkStart w:id="153" w:name="_Toc152045560"/>
      <w:bookmarkStart w:id="154" w:name="_Toc179632578"/>
      <w:bookmarkStart w:id="155" w:name="_Toc144974528"/>
      <w:bookmarkStart w:id="156" w:name="_Toc246996947"/>
      <w:bookmarkStart w:id="157"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96602449"/>
      <w:bookmarkStart w:id="159" w:name="_Toc179632579"/>
      <w:bookmarkStart w:id="160" w:name="_Toc247085719"/>
      <w:bookmarkStart w:id="161" w:name="_Toc246996948"/>
      <w:bookmarkStart w:id="162" w:name="_Toc152042337"/>
      <w:bookmarkStart w:id="163" w:name="_Toc152045561"/>
      <w:bookmarkStart w:id="164" w:name="_Toc144974529"/>
      <w:bookmarkStart w:id="165" w:name="_Toc246996205"/>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3"/>
      <w:bookmarkStart w:id="167" w:name="_Toc296602452"/>
      <w:bookmarkStart w:id="168" w:name="_Toc152042339"/>
      <w:bookmarkStart w:id="169" w:name="_Toc246996950"/>
      <w:bookmarkStart w:id="170" w:name="_Toc247085721"/>
      <w:bookmarkStart w:id="171" w:name="_Toc144974531"/>
      <w:bookmarkStart w:id="172" w:name="_Toc179632581"/>
      <w:bookmarkStart w:id="173" w:name="_Toc246996207"/>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79632584"/>
      <w:bookmarkStart w:id="175" w:name="_Toc246996953"/>
      <w:bookmarkStart w:id="176" w:name="_Toc152042342"/>
      <w:bookmarkStart w:id="177" w:name="_Toc144974534"/>
      <w:bookmarkStart w:id="178" w:name="_Toc152045566"/>
      <w:bookmarkStart w:id="179" w:name="_Toc296602455"/>
      <w:bookmarkStart w:id="180" w:name="_Toc246996210"/>
      <w:bookmarkStart w:id="181" w:name="_Toc24708572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2343"/>
      <w:bookmarkStart w:id="183" w:name="_Toc247085725"/>
      <w:bookmarkStart w:id="184" w:name="_Toc179632585"/>
      <w:bookmarkStart w:id="185" w:name="_Toc152045567"/>
      <w:bookmarkStart w:id="186" w:name="_Toc246996211"/>
      <w:bookmarkStart w:id="187" w:name="_Toc246996954"/>
      <w:bookmarkStart w:id="188" w:name="_Toc144974535"/>
      <w:bookmarkStart w:id="189" w:name="_Toc296602456"/>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955"/>
      <w:bookmarkStart w:id="192" w:name="_Toc247085726"/>
      <w:bookmarkStart w:id="193" w:name="_Toc296602458"/>
      <w:bookmarkStart w:id="194" w:name="_Toc144974536"/>
      <w:bookmarkStart w:id="195" w:name="_Toc179632586"/>
      <w:bookmarkStart w:id="196" w:name="_Toc152042344"/>
      <w:bookmarkStart w:id="197" w:name="_Toc152045568"/>
      <w:bookmarkStart w:id="198" w:name="_Toc246996212"/>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246996213"/>
      <w:bookmarkStart w:id="201" w:name="_Toc152045569"/>
      <w:bookmarkStart w:id="202" w:name="_Toc152042345"/>
      <w:bookmarkStart w:id="203" w:name="_Toc296602459"/>
      <w:bookmarkStart w:id="204" w:name="_Toc247085727"/>
      <w:bookmarkStart w:id="205" w:name="_Toc246996956"/>
      <w:bookmarkStart w:id="206" w:name="_Toc17963258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2351"/>
      <w:bookmarkStart w:id="209" w:name="_Toc246996962"/>
      <w:bookmarkStart w:id="210" w:name="_Toc246996219"/>
      <w:bookmarkStart w:id="211" w:name="_Toc152045575"/>
      <w:bookmarkStart w:id="212" w:name="_Toc179632593"/>
      <w:bookmarkStart w:id="213" w:name="_Toc144974543"/>
      <w:bookmarkStart w:id="214" w:name="_Toc296590983"/>
      <w:bookmarkStart w:id="215" w:name="_Toc247085733"/>
      <w:bookmarkStart w:id="216" w:name="_Toc2966024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7085734"/>
      <w:bookmarkStart w:id="218" w:name="_Toc246996963"/>
      <w:bookmarkStart w:id="219" w:name="_Toc144974544"/>
      <w:bookmarkStart w:id="220" w:name="_Toc179632594"/>
      <w:bookmarkStart w:id="221" w:name="_Toc152045576"/>
      <w:bookmarkStart w:id="222" w:name="_Toc246996220"/>
      <w:bookmarkStart w:id="223" w:name="_Toc296602463"/>
      <w:bookmarkStart w:id="224" w:name="_Toc152042352"/>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964"/>
      <w:bookmarkStart w:id="226" w:name="_Toc246996221"/>
      <w:bookmarkStart w:id="227" w:name="_Toc144974545"/>
      <w:bookmarkStart w:id="228" w:name="_Toc179632595"/>
      <w:bookmarkStart w:id="229" w:name="_Toc152045577"/>
      <w:bookmarkStart w:id="230" w:name="_Toc296602464"/>
      <w:bookmarkStart w:id="231" w:name="_Toc152042353"/>
      <w:bookmarkStart w:id="232" w:name="_Toc24708573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47085747"/>
      <w:bookmarkStart w:id="234" w:name="_Toc152042366"/>
      <w:bookmarkStart w:id="235" w:name="_Toc246996232"/>
      <w:bookmarkStart w:id="236" w:name="_Toc152045589"/>
      <w:bookmarkStart w:id="237" w:name="_Toc246996975"/>
      <w:bookmarkStart w:id="238" w:name="_Toc296602477"/>
      <w:bookmarkStart w:id="239" w:name="_Toc144974556"/>
      <w:bookmarkStart w:id="240" w:name="_Toc179632607"/>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FB8CBEC">
      <w:pPr>
        <w:rPr>
          <w:rFonts w:hint="default" w:ascii="Times New Roman" w:hAnsi="Times New Roman" w:cs="Times New Roman" w:eastAsiaTheme="minorEastAsia"/>
          <w:b/>
          <w:bCs/>
          <w:kern w:val="0"/>
          <w:sz w:val="28"/>
          <w:szCs w:val="28"/>
          <w:highlight w:val="none"/>
        </w:rPr>
      </w:pPr>
      <w:bookmarkStart w:id="241" w:name="_Toc247085751"/>
      <w:bookmarkStart w:id="242" w:name="_Toc179632611"/>
      <w:bookmarkStart w:id="243" w:name="_Toc152045593"/>
      <w:bookmarkStart w:id="244" w:name="_Toc296602481"/>
      <w:bookmarkStart w:id="245" w:name="_Toc144974560"/>
      <w:bookmarkStart w:id="246" w:name="_Toc246996979"/>
      <w:bookmarkStart w:id="247" w:name="_Toc152042370"/>
      <w:bookmarkStart w:id="248"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247085754"/>
      <w:bookmarkStart w:id="252" w:name="_Toc152045596"/>
      <w:bookmarkStart w:id="253" w:name="_Toc246996982"/>
      <w:bookmarkStart w:id="254" w:name="_Toc296602484"/>
      <w:bookmarkStart w:id="255" w:name="_Toc246996239"/>
      <w:bookmarkStart w:id="256"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8"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38"/>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供货安装完毕且经相关主管部门验收合格后付至合同价款的97%，余款</w:t>
            </w:r>
            <w:r>
              <w:rPr>
                <w:rFonts w:hint="default" w:ascii="Times New Roman" w:hAnsi="Times New Roman" w:cs="Times New Roman"/>
                <w:kern w:val="0"/>
                <w:sz w:val="24"/>
                <w:szCs w:val="24"/>
                <w:highlight w:val="none"/>
                <w:shd w:val="clear" w:color="auto" w:fill="auto"/>
                <w:vertAlign w:val="baseline"/>
                <w:lang w:val="en-US" w:eastAsia="zh-CN"/>
              </w:rPr>
              <w:t>3%</w:t>
            </w:r>
            <w:r>
              <w:rPr>
                <w:rFonts w:hint="eastAsia" w:ascii="Times New Roman" w:hAnsi="Times New Roman" w:cs="Times New Roman"/>
                <w:kern w:val="0"/>
                <w:sz w:val="24"/>
                <w:szCs w:val="24"/>
                <w:highlight w:val="none"/>
                <w:shd w:val="clear" w:color="auto" w:fill="auto"/>
                <w:vertAlign w:val="baseline"/>
                <w:lang w:val="en-US" w:eastAsia="zh-CN"/>
              </w:rPr>
              <w:t>作为货物质量保证金，质保期为</w:t>
            </w:r>
            <w:r>
              <w:rPr>
                <w:rFonts w:hint="default" w:ascii="Times New Roman" w:hAnsi="Times New Roman" w:cs="Times New Roman"/>
                <w:kern w:val="0"/>
                <w:sz w:val="24"/>
                <w:szCs w:val="24"/>
                <w:highlight w:val="none"/>
                <w:shd w:val="clear" w:color="auto" w:fill="auto"/>
                <w:vertAlign w:val="baseline"/>
                <w:lang w:val="en-US" w:eastAsia="zh-CN"/>
              </w:rPr>
              <w:t>3</w:t>
            </w:r>
            <w:r>
              <w:rPr>
                <w:rFonts w:hint="eastAsia" w:ascii="Times New Roman" w:hAnsi="Times New Roman" w:cs="Times New Roman"/>
                <w:kern w:val="0"/>
                <w:sz w:val="24"/>
                <w:szCs w:val="24"/>
                <w:highlight w:val="none"/>
                <w:shd w:val="clear" w:color="auto" w:fill="auto"/>
                <w:vertAlign w:val="baseline"/>
                <w:lang w:val="en-US" w:eastAsia="zh-CN"/>
              </w:rPr>
              <w:t>年（自设备验收合格之日起），第</w:t>
            </w:r>
            <w:r>
              <w:rPr>
                <w:rFonts w:hint="default"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kern w:val="0"/>
                <w:sz w:val="24"/>
                <w:szCs w:val="24"/>
                <w:highlight w:val="none"/>
                <w:shd w:val="clear" w:color="auto" w:fill="auto"/>
                <w:vertAlign w:val="baseline"/>
                <w:lang w:val="en-US" w:eastAsia="zh-CN"/>
              </w:rPr>
              <w:t>年质保期满后无质量问题，质保金无息退还。</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8"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70B9E87E">
            <w:pPr>
              <w:pStyle w:val="1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jc w:val="both"/>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bidi="ar-SA"/>
              </w:rPr>
              <w:t>1.</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供应商应保证所供产品完全符合合同约定的质量、规格和性能的要求，如供应商所供货物不符合本合同约定的规格标准，采购人有权拒收且无条件退换货，同时采购人将按照本批次供货款的</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20%</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对供应商予以处罚，供应商须无条件承担由此给采购人造成的一切损失。</w:t>
            </w:r>
          </w:p>
          <w:p w14:paraId="1A5AEF0B">
            <w:pPr>
              <w:pStyle w:val="1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jc w:val="both"/>
              <w:rPr>
                <w:rFonts w:hint="eastAsia" w:ascii="仿宋_GB2312" w:hAnsi="仿宋_GB2312" w:eastAsia="仿宋_GB2312" w:cs="仿宋_GB2312"/>
                <w:kern w:val="2"/>
                <w:sz w:val="32"/>
                <w:szCs w:val="32"/>
                <w:lang w:val="en-US" w:eastAsia="zh-CN" w:bidi="ar-SA"/>
              </w:rPr>
            </w:pP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2.</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自交付使用之日起三年内免费保修，且第一年需上门服务，供应商须在采购人提出维修需求后</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2</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小时内响应，并在</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2</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个工作日内安排工作人员完成修复。</w:t>
            </w:r>
          </w:p>
          <w:p w14:paraId="4F4B0E1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2925C44">
      <w:pPr>
        <w:pStyle w:val="3"/>
        <w:tabs>
          <w:tab w:val="left" w:pos="420"/>
        </w:tabs>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40E8E9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bl>
      <w:tblPr>
        <w:tblStyle w:val="16"/>
        <w:tblW w:w="8513"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9"/>
        <w:gridCol w:w="1226"/>
        <w:gridCol w:w="2075"/>
        <w:gridCol w:w="1075"/>
        <w:gridCol w:w="1125"/>
        <w:gridCol w:w="788"/>
        <w:gridCol w:w="1075"/>
      </w:tblGrid>
      <w:tr w14:paraId="05800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107671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序号</w:t>
            </w:r>
          </w:p>
        </w:tc>
        <w:tc>
          <w:tcPr>
            <w:tcW w:w="1226" w:type="dxa"/>
            <w:tcBorders>
              <w:top w:val="single" w:color="000000" w:sz="4" w:space="0"/>
              <w:left w:val="single" w:color="000000" w:sz="4" w:space="0"/>
              <w:bottom w:val="single" w:color="000000" w:sz="4" w:space="0"/>
              <w:right w:val="single" w:color="000000" w:sz="4" w:space="0"/>
            </w:tcBorders>
            <w:noWrap/>
            <w:vAlign w:val="center"/>
          </w:tcPr>
          <w:p w14:paraId="35F968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名称</w:t>
            </w:r>
          </w:p>
        </w:tc>
        <w:tc>
          <w:tcPr>
            <w:tcW w:w="2075" w:type="dxa"/>
            <w:tcBorders>
              <w:top w:val="single" w:color="000000" w:sz="4" w:space="0"/>
              <w:left w:val="single" w:color="000000" w:sz="4" w:space="0"/>
              <w:bottom w:val="single" w:color="000000" w:sz="4" w:space="0"/>
              <w:right w:val="single" w:color="000000" w:sz="4" w:space="0"/>
            </w:tcBorders>
            <w:noWrap/>
            <w:vAlign w:val="center"/>
          </w:tcPr>
          <w:p w14:paraId="03AD33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处理器</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185EC0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内存</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EBFF4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硬盘</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620002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系统</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069371AB">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数量/台</w:t>
            </w:r>
          </w:p>
        </w:tc>
      </w:tr>
      <w:tr w14:paraId="063F0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2968D5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6" w:type="dxa"/>
            <w:vMerge w:val="restart"/>
            <w:tcBorders>
              <w:top w:val="single" w:color="000000" w:sz="4" w:space="0"/>
              <w:left w:val="single" w:color="000000" w:sz="4" w:space="0"/>
              <w:bottom w:val="nil"/>
              <w:right w:val="single" w:color="000000" w:sz="4" w:space="0"/>
            </w:tcBorders>
            <w:noWrap w:val="0"/>
            <w:vAlign w:val="center"/>
          </w:tcPr>
          <w:p w14:paraId="0E6EB6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台式机</w:t>
            </w:r>
          </w:p>
          <w:p w14:paraId="05278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（含鼠标、键盘）</w:t>
            </w:r>
          </w:p>
        </w:tc>
        <w:tc>
          <w:tcPr>
            <w:tcW w:w="2075" w:type="dxa"/>
            <w:tcBorders>
              <w:top w:val="single" w:color="000000" w:sz="4" w:space="0"/>
              <w:left w:val="single" w:color="000000" w:sz="4" w:space="0"/>
              <w:bottom w:val="single" w:color="000000" w:sz="4" w:space="0"/>
              <w:right w:val="single" w:color="000000" w:sz="4" w:space="0"/>
            </w:tcBorders>
            <w:noWrap/>
            <w:vAlign w:val="center"/>
          </w:tcPr>
          <w:p w14:paraId="164D7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5-12400</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6067CC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8G</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52D29A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3FC651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02A770B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r>
      <w:tr w14:paraId="15287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284CC1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26" w:type="dxa"/>
            <w:vMerge w:val="continue"/>
            <w:tcBorders>
              <w:top w:val="single" w:color="000000" w:sz="4" w:space="0"/>
              <w:left w:val="single" w:color="000000" w:sz="4" w:space="0"/>
              <w:bottom w:val="nil"/>
              <w:right w:val="single" w:color="000000" w:sz="4" w:space="0"/>
            </w:tcBorders>
            <w:noWrap w:val="0"/>
            <w:vAlign w:val="center"/>
          </w:tcPr>
          <w:p w14:paraId="406F5D47">
            <w:pPr>
              <w:jc w:val="center"/>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noWrap/>
            <w:vAlign w:val="center"/>
          </w:tcPr>
          <w:p w14:paraId="7C2D5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7-14400</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4D14A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G</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A1BA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0C499E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63013D7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3B6F5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7B2EA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26" w:type="dxa"/>
            <w:tcBorders>
              <w:top w:val="single" w:color="000000" w:sz="4" w:space="0"/>
              <w:left w:val="single" w:color="000000" w:sz="4" w:space="0"/>
              <w:bottom w:val="nil"/>
              <w:right w:val="single" w:color="000000" w:sz="4" w:space="0"/>
            </w:tcBorders>
            <w:noWrap w:val="0"/>
            <w:vAlign w:val="center"/>
          </w:tcPr>
          <w:p w14:paraId="448F0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笔记本</w:t>
            </w:r>
          </w:p>
        </w:tc>
        <w:tc>
          <w:tcPr>
            <w:tcW w:w="2075" w:type="dxa"/>
            <w:tcBorders>
              <w:top w:val="single" w:color="000000" w:sz="4" w:space="0"/>
              <w:left w:val="single" w:color="000000" w:sz="4" w:space="0"/>
              <w:bottom w:val="nil"/>
              <w:right w:val="single" w:color="000000" w:sz="4" w:space="0"/>
            </w:tcBorders>
            <w:noWrap/>
            <w:vAlign w:val="center"/>
          </w:tcPr>
          <w:p w14:paraId="61085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5-13420H</w:t>
            </w:r>
          </w:p>
        </w:tc>
        <w:tc>
          <w:tcPr>
            <w:tcW w:w="1075" w:type="dxa"/>
            <w:tcBorders>
              <w:top w:val="single" w:color="000000" w:sz="4" w:space="0"/>
              <w:left w:val="single" w:color="000000" w:sz="4" w:space="0"/>
              <w:bottom w:val="nil"/>
              <w:right w:val="single" w:color="000000" w:sz="4" w:space="0"/>
            </w:tcBorders>
            <w:noWrap/>
            <w:vAlign w:val="center"/>
          </w:tcPr>
          <w:p w14:paraId="7CFF3B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16G</w:t>
            </w:r>
          </w:p>
        </w:tc>
        <w:tc>
          <w:tcPr>
            <w:tcW w:w="1125" w:type="dxa"/>
            <w:tcBorders>
              <w:top w:val="single" w:color="000000" w:sz="4" w:space="0"/>
              <w:left w:val="single" w:color="000000" w:sz="4" w:space="0"/>
              <w:bottom w:val="nil"/>
              <w:right w:val="single" w:color="000000" w:sz="4" w:space="0"/>
            </w:tcBorders>
            <w:noWrap/>
            <w:vAlign w:val="center"/>
          </w:tcPr>
          <w:p w14:paraId="6F74F6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788" w:type="dxa"/>
            <w:tcBorders>
              <w:top w:val="single" w:color="000000" w:sz="4" w:space="0"/>
              <w:left w:val="single" w:color="000000" w:sz="4" w:space="0"/>
              <w:bottom w:val="nil"/>
              <w:right w:val="single" w:color="000000" w:sz="4" w:space="0"/>
            </w:tcBorders>
            <w:noWrap/>
            <w:vAlign w:val="center"/>
          </w:tcPr>
          <w:p w14:paraId="1D307C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1075" w:type="dxa"/>
            <w:tcBorders>
              <w:top w:val="single" w:color="000000" w:sz="4" w:space="0"/>
              <w:left w:val="single" w:color="000000" w:sz="4" w:space="0"/>
              <w:bottom w:val="nil"/>
              <w:right w:val="single" w:color="000000" w:sz="4" w:space="0"/>
            </w:tcBorders>
            <w:noWrap/>
            <w:vAlign w:val="center"/>
          </w:tcPr>
          <w:p w14:paraId="1BDB91D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r>
      <w:tr w14:paraId="37C47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622ED6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63D53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显示器</w:t>
            </w:r>
          </w:p>
        </w:tc>
        <w:tc>
          <w:tcPr>
            <w:tcW w:w="2075" w:type="dxa"/>
            <w:tcBorders>
              <w:top w:val="single" w:color="000000" w:sz="4" w:space="0"/>
              <w:left w:val="single" w:color="000000" w:sz="4" w:space="0"/>
              <w:bottom w:val="single" w:color="000000" w:sz="4" w:space="0"/>
              <w:right w:val="single" w:color="000000" w:sz="4" w:space="0"/>
            </w:tcBorders>
            <w:noWrap w:val="0"/>
            <w:vAlign w:val="center"/>
          </w:tcPr>
          <w:p w14:paraId="5904D0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23.8英寸+1920*1080 +HDMI线+底座</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78FEFBD4">
            <w:pPr>
              <w:keepNext w:val="0"/>
              <w:keepLines w:val="0"/>
              <w:widowControl/>
              <w:suppressLineNumbers w:val="0"/>
              <w:jc w:val="center"/>
              <w:textAlignment w:val="center"/>
              <w:rPr>
                <w:rFonts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3CFDF9A">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22D7727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2C6A699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r>
    </w:tbl>
    <w:p w14:paraId="47348483">
      <w:pPr>
        <w:rPr>
          <w:rFonts w:hint="eastAsia" w:eastAsia="宋体"/>
          <w:lang w:eastAsia="zh-CN"/>
        </w:rPr>
      </w:pPr>
      <w:r>
        <w:rPr>
          <w:rFonts w:hint="eastAsia"/>
          <w:sz w:val="24"/>
          <w:szCs w:val="24"/>
        </w:rPr>
        <w:t>备注：为提高办公效率，保障办公设备使用的稳定性，</w:t>
      </w:r>
      <w:r>
        <w:rPr>
          <w:rFonts w:hint="eastAsia"/>
          <w:sz w:val="24"/>
          <w:szCs w:val="24"/>
          <w:lang w:val="en-US" w:eastAsia="zh-CN"/>
        </w:rPr>
        <w:t>推荐</w:t>
      </w:r>
      <w:r>
        <w:rPr>
          <w:rFonts w:hint="eastAsia"/>
          <w:sz w:val="24"/>
          <w:szCs w:val="24"/>
        </w:rPr>
        <w:t>联想、戴尔、惠普等一线品牌机型价格。提供13%增值税专用发票，提供装机、维保等服务</w:t>
      </w:r>
      <w:r>
        <w:rPr>
          <w:rFonts w:hint="eastAsia"/>
          <w:sz w:val="24"/>
          <w:szCs w:val="24"/>
          <w:lang w:eastAsia="zh-CN"/>
        </w:rPr>
        <w:t>，</w:t>
      </w:r>
      <w:r>
        <w:rPr>
          <w:rFonts w:hint="eastAsia"/>
          <w:sz w:val="24"/>
          <w:szCs w:val="24"/>
          <w:lang w:val="en-US" w:eastAsia="zh-CN"/>
        </w:rPr>
        <w:t>该批办公电脑根据实际需求分批次进行采购</w:t>
      </w:r>
      <w:r>
        <w:rPr>
          <w:rFonts w:hint="eastAsia"/>
          <w:sz w:val="24"/>
          <w:szCs w:val="24"/>
        </w:rPr>
        <w:t>。</w:t>
      </w:r>
    </w:p>
    <w:p w14:paraId="28F5D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52042576"/>
      <w:bookmarkStart w:id="258" w:name="_Toc247527827"/>
      <w:bookmarkStart w:id="259" w:name="_Toc300835209"/>
      <w:bookmarkStart w:id="260" w:name="_Toc152045787"/>
      <w:bookmarkStart w:id="261" w:name="_Toc247514246"/>
      <w:bookmarkStart w:id="262" w:name="_Toc14497485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资格审查资料（营业执照）</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14247"/>
      <w:bookmarkStart w:id="264" w:name="_Toc152045788"/>
      <w:bookmarkStart w:id="265" w:name="_Toc152042577"/>
      <w:bookmarkStart w:id="266" w:name="_Toc247527828"/>
      <w:bookmarkStart w:id="267" w:name="_Toc300835210"/>
      <w:bookmarkStart w:id="268"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300835212"/>
      <w:bookmarkStart w:id="270" w:name="_Toc247527830"/>
      <w:bookmarkStart w:id="271" w:name="_Toc247514249"/>
      <w:bookmarkStart w:id="272" w:name="_Toc152042579"/>
      <w:bookmarkStart w:id="273" w:name="_Toc144974859"/>
      <w:bookmarkStart w:id="274" w:name="_Toc15204579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39"/>
      <w:r>
        <w:rPr>
          <w:rFonts w:hint="eastAsia" w:ascii="Times New Roman" w:hAnsi="Times New Roman" w:cs="Times New Roman"/>
          <w:szCs w:val="21"/>
          <w:lang w:val="en-US" w:eastAsia="zh-CN"/>
        </w:rPr>
        <w:t>，服务期限：</w:t>
      </w:r>
      <w:permStart w:id="40"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40"/>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247514283"/>
      <w:bookmarkStart w:id="276" w:name="_Toc247527831"/>
      <w:bookmarkStart w:id="277" w:name="_Toc144974860"/>
      <w:bookmarkStart w:id="278" w:name="_Toc152042580"/>
      <w:bookmarkStart w:id="279" w:name="_Toc300835213"/>
      <w:bookmarkStart w:id="280"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5792"/>
      <w:bookmarkStart w:id="282" w:name="_Toc247527832"/>
      <w:bookmarkStart w:id="283" w:name="_Toc152042581"/>
      <w:bookmarkStart w:id="284" w:name="_Toc247514284"/>
      <w:bookmarkStart w:id="285" w:name="_Toc300835214"/>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6AA9AA8D">
      <w:pPr>
        <w:topLinePunct/>
        <w:spacing w:line="440" w:lineRule="exact"/>
        <w:jc w:val="both"/>
        <w:rPr>
          <w:rFonts w:hint="eastAsia" w:ascii="Times New Roman" w:hAnsi="Times New Roman" w:cs="Times New Roman"/>
          <w:szCs w:val="21"/>
          <w:lang w:val="en-US" w:eastAsia="zh-CN"/>
        </w:rPr>
      </w:pPr>
      <w:bookmarkStart w:id="287" w:name="_Toc247527834"/>
      <w:bookmarkStart w:id="288" w:name="_Toc300835216"/>
      <w:bookmarkStart w:id="289" w:name="_Toc152042583"/>
      <w:bookmarkStart w:id="290" w:name="_Toc144974862"/>
      <w:bookmarkStart w:id="291" w:name="_Toc247514286"/>
      <w:bookmarkStart w:id="292" w:name="_Toc152045794"/>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247527835"/>
      <w:bookmarkStart w:id="295" w:name="_Toc300835218"/>
      <w:bookmarkStart w:id="296" w:name="_Toc247514287"/>
      <w:bookmarkStart w:id="297" w:name="_Toc144974863"/>
      <w:bookmarkStart w:id="298" w:name="_Toc152042584"/>
      <w:bookmarkStart w:id="299" w:name="_Toc152045795"/>
      <w:r>
        <w:rPr>
          <w:rFonts w:hint="default" w:ascii="Times New Roman" w:hAnsi="Times New Roman" w:cs="Times New Roma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6"/>
        <w:tblpPr w:leftFromText="180" w:rightFromText="180" w:vertAnchor="text" w:horzAnchor="page" w:tblpX="1845" w:tblpY="308"/>
        <w:tblOverlap w:val="never"/>
        <w:tblW w:w="86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7"/>
        <w:gridCol w:w="945"/>
        <w:gridCol w:w="1655"/>
        <w:gridCol w:w="745"/>
        <w:gridCol w:w="800"/>
        <w:gridCol w:w="855"/>
        <w:gridCol w:w="943"/>
        <w:gridCol w:w="867"/>
        <w:gridCol w:w="1089"/>
      </w:tblGrid>
      <w:tr w14:paraId="7C10E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131198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bookmarkStart w:id="300" w:name="_Toc152042585"/>
            <w:bookmarkStart w:id="301" w:name="_Toc152045796"/>
            <w:bookmarkStart w:id="302" w:name="_Toc247514288"/>
            <w:bookmarkStart w:id="303" w:name="_Toc300835221"/>
            <w:bookmarkStart w:id="304" w:name="_Toc247527836"/>
            <w:bookmarkStart w:id="305" w:name="_Toc144974864"/>
            <w:r>
              <w:rPr>
                <w:rFonts w:hint="eastAsia" w:ascii="宋体" w:hAnsi="宋体" w:eastAsia="宋体" w:cs="宋体"/>
                <w:b/>
                <w:bCs/>
                <w:i w:val="0"/>
                <w:iCs w:val="0"/>
                <w:color w:val="000000"/>
                <w:kern w:val="0"/>
                <w:sz w:val="22"/>
                <w:szCs w:val="22"/>
                <w:u w:val="none"/>
                <w:lang w:val="en-US" w:eastAsia="zh-CN" w:bidi="ar"/>
              </w:rPr>
              <w:t>序号</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4968F6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名称</w:t>
            </w:r>
          </w:p>
        </w:tc>
        <w:tc>
          <w:tcPr>
            <w:tcW w:w="1655" w:type="dxa"/>
            <w:tcBorders>
              <w:top w:val="single" w:color="000000" w:sz="4" w:space="0"/>
              <w:left w:val="single" w:color="000000" w:sz="4" w:space="0"/>
              <w:bottom w:val="single" w:color="000000" w:sz="4" w:space="0"/>
              <w:right w:val="single" w:color="000000" w:sz="4" w:space="0"/>
            </w:tcBorders>
            <w:noWrap/>
            <w:vAlign w:val="center"/>
          </w:tcPr>
          <w:p w14:paraId="0A2609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处理器</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6B8FB8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内存</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59D63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硬盘</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2EC979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系统</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28AB2F2">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数量/台</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942868E">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单价/元</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281037B3">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总价/元</w:t>
            </w:r>
          </w:p>
        </w:tc>
      </w:tr>
      <w:tr w14:paraId="4478B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63CD5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45" w:type="dxa"/>
            <w:vMerge w:val="restart"/>
            <w:tcBorders>
              <w:top w:val="single" w:color="000000" w:sz="4" w:space="0"/>
              <w:left w:val="single" w:color="000000" w:sz="4" w:space="0"/>
              <w:bottom w:val="nil"/>
              <w:right w:val="single" w:color="000000" w:sz="4" w:space="0"/>
            </w:tcBorders>
            <w:noWrap w:val="0"/>
            <w:vAlign w:val="center"/>
          </w:tcPr>
          <w:p w14:paraId="56A6B5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台式机</w:t>
            </w:r>
          </w:p>
          <w:p w14:paraId="3EEE5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（含鼠标、键盘）</w:t>
            </w:r>
          </w:p>
        </w:tc>
        <w:tc>
          <w:tcPr>
            <w:tcW w:w="1655" w:type="dxa"/>
            <w:tcBorders>
              <w:top w:val="single" w:color="000000" w:sz="4" w:space="0"/>
              <w:left w:val="single" w:color="000000" w:sz="4" w:space="0"/>
              <w:bottom w:val="single" w:color="000000" w:sz="4" w:space="0"/>
              <w:right w:val="single" w:color="000000" w:sz="4" w:space="0"/>
            </w:tcBorders>
            <w:noWrap/>
            <w:vAlign w:val="center"/>
          </w:tcPr>
          <w:p w14:paraId="127738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5-12400</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3535B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8G</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0C4A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16A6F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3AAB2AA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800B7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5C3FFAB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65AC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40155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45" w:type="dxa"/>
            <w:vMerge w:val="continue"/>
            <w:tcBorders>
              <w:top w:val="single" w:color="000000" w:sz="4" w:space="0"/>
              <w:left w:val="single" w:color="000000" w:sz="4" w:space="0"/>
              <w:bottom w:val="nil"/>
              <w:right w:val="single" w:color="000000" w:sz="4" w:space="0"/>
            </w:tcBorders>
            <w:noWrap w:val="0"/>
            <w:vAlign w:val="center"/>
          </w:tcPr>
          <w:p w14:paraId="53341D33">
            <w:pPr>
              <w:jc w:val="center"/>
              <w:rPr>
                <w:rFonts w:hint="eastAsia" w:ascii="宋体" w:hAnsi="宋体" w:eastAsia="宋体" w:cs="宋体"/>
                <w:i w:val="0"/>
                <w:iCs w:val="0"/>
                <w:color w:val="000000"/>
                <w:sz w:val="22"/>
                <w:szCs w:val="22"/>
                <w:u w:val="none"/>
              </w:rPr>
            </w:pPr>
          </w:p>
        </w:tc>
        <w:tc>
          <w:tcPr>
            <w:tcW w:w="1655" w:type="dxa"/>
            <w:tcBorders>
              <w:top w:val="single" w:color="000000" w:sz="4" w:space="0"/>
              <w:left w:val="single" w:color="000000" w:sz="4" w:space="0"/>
              <w:bottom w:val="single" w:color="000000" w:sz="4" w:space="0"/>
              <w:right w:val="single" w:color="000000" w:sz="4" w:space="0"/>
            </w:tcBorders>
            <w:noWrap/>
            <w:vAlign w:val="center"/>
          </w:tcPr>
          <w:p w14:paraId="69C2C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7-14400</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39C82D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G</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1DE222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5D0BE5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F06397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12FE5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628BEF5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8FD7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3FEDF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45" w:type="dxa"/>
            <w:tcBorders>
              <w:top w:val="single" w:color="000000" w:sz="4" w:space="0"/>
              <w:left w:val="single" w:color="000000" w:sz="4" w:space="0"/>
              <w:bottom w:val="nil"/>
              <w:right w:val="single" w:color="000000" w:sz="4" w:space="0"/>
            </w:tcBorders>
            <w:noWrap w:val="0"/>
            <w:vAlign w:val="center"/>
          </w:tcPr>
          <w:p w14:paraId="470D4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笔记本</w:t>
            </w:r>
          </w:p>
        </w:tc>
        <w:tc>
          <w:tcPr>
            <w:tcW w:w="1655" w:type="dxa"/>
            <w:tcBorders>
              <w:top w:val="single" w:color="000000" w:sz="4" w:space="0"/>
              <w:left w:val="single" w:color="000000" w:sz="4" w:space="0"/>
              <w:bottom w:val="nil"/>
              <w:right w:val="single" w:color="000000" w:sz="4" w:space="0"/>
            </w:tcBorders>
            <w:noWrap/>
            <w:vAlign w:val="center"/>
          </w:tcPr>
          <w:p w14:paraId="1A132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5-13420H</w:t>
            </w:r>
          </w:p>
        </w:tc>
        <w:tc>
          <w:tcPr>
            <w:tcW w:w="745" w:type="dxa"/>
            <w:tcBorders>
              <w:top w:val="single" w:color="000000" w:sz="4" w:space="0"/>
              <w:left w:val="single" w:color="000000" w:sz="4" w:space="0"/>
              <w:bottom w:val="nil"/>
              <w:right w:val="single" w:color="000000" w:sz="4" w:space="0"/>
            </w:tcBorders>
            <w:noWrap/>
            <w:vAlign w:val="center"/>
          </w:tcPr>
          <w:p w14:paraId="5174F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16G</w:t>
            </w:r>
          </w:p>
        </w:tc>
        <w:tc>
          <w:tcPr>
            <w:tcW w:w="800" w:type="dxa"/>
            <w:tcBorders>
              <w:top w:val="single" w:color="000000" w:sz="4" w:space="0"/>
              <w:left w:val="single" w:color="000000" w:sz="4" w:space="0"/>
              <w:bottom w:val="nil"/>
              <w:right w:val="single" w:color="000000" w:sz="4" w:space="0"/>
            </w:tcBorders>
            <w:noWrap/>
            <w:vAlign w:val="center"/>
          </w:tcPr>
          <w:p w14:paraId="1869E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855" w:type="dxa"/>
            <w:tcBorders>
              <w:top w:val="single" w:color="000000" w:sz="4" w:space="0"/>
              <w:left w:val="single" w:color="000000" w:sz="4" w:space="0"/>
              <w:bottom w:val="nil"/>
              <w:right w:val="single" w:color="000000" w:sz="4" w:space="0"/>
            </w:tcBorders>
            <w:noWrap/>
            <w:vAlign w:val="center"/>
          </w:tcPr>
          <w:p w14:paraId="686E3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943" w:type="dxa"/>
            <w:tcBorders>
              <w:top w:val="single" w:color="000000" w:sz="4" w:space="0"/>
              <w:left w:val="single" w:color="000000" w:sz="4" w:space="0"/>
              <w:bottom w:val="nil"/>
              <w:right w:val="single" w:color="000000" w:sz="4" w:space="0"/>
            </w:tcBorders>
            <w:noWrap/>
            <w:vAlign w:val="center"/>
          </w:tcPr>
          <w:p w14:paraId="7A1275B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867" w:type="dxa"/>
            <w:tcBorders>
              <w:top w:val="single" w:color="000000" w:sz="4" w:space="0"/>
              <w:left w:val="single" w:color="000000" w:sz="4" w:space="0"/>
              <w:bottom w:val="nil"/>
              <w:right w:val="single" w:color="000000" w:sz="4" w:space="0"/>
            </w:tcBorders>
            <w:noWrap/>
            <w:vAlign w:val="center"/>
          </w:tcPr>
          <w:p w14:paraId="3FCFFF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nil"/>
              <w:right w:val="single" w:color="000000" w:sz="4" w:space="0"/>
            </w:tcBorders>
            <w:noWrap/>
            <w:vAlign w:val="center"/>
          </w:tcPr>
          <w:p w14:paraId="0B4CFC1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7BE0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5F7BA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14:paraId="7245DB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显示器</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14:paraId="453CCD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23.8英寸+1920*1080 +HDMI线+底座</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1B0B93E6">
            <w:pPr>
              <w:keepNext w:val="0"/>
              <w:keepLines w:val="0"/>
              <w:widowControl/>
              <w:suppressLineNumbers w:val="0"/>
              <w:jc w:val="center"/>
              <w:textAlignment w:val="center"/>
              <w:rPr>
                <w:rFonts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A736FC3">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464B66C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0C135D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43266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3A7B3B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0874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7517" w:type="dxa"/>
            <w:gridSpan w:val="8"/>
            <w:tcBorders>
              <w:top w:val="single" w:color="000000" w:sz="4" w:space="0"/>
              <w:left w:val="single" w:color="000000" w:sz="4" w:space="0"/>
              <w:bottom w:val="single" w:color="000000" w:sz="4" w:space="0"/>
              <w:right w:val="single" w:color="000000" w:sz="4" w:space="0"/>
            </w:tcBorders>
            <w:noWrap/>
            <w:vAlign w:val="center"/>
          </w:tcPr>
          <w:p w14:paraId="111516C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合计（含税价）：</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577BDD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6034EAD1">
      <w:pPr>
        <w:rPr>
          <w:rFonts w:hint="default" w:ascii="Times New Roman" w:hAnsi="Times New Roman" w:cs="Times New Roman"/>
        </w:rPr>
      </w:pPr>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433781BC">
      <w:pPr>
        <w:pStyle w:val="4"/>
        <w:jc w:val="center"/>
        <w:rPr>
          <w:rFonts w:hint="eastAsia" w:ascii="Times New Roman" w:hAnsi="Times New Roman" w:cs="Times New Roman" w:eastAsiaTheme="minorEastAsia"/>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0"/>
      <w:bookmarkEnd w:id="301"/>
      <w:bookmarkEnd w:id="302"/>
      <w:bookmarkEnd w:id="303"/>
      <w:bookmarkEnd w:id="304"/>
      <w:bookmarkEnd w:id="305"/>
      <w:r>
        <w:rPr>
          <w:rFonts w:hint="eastAsia" w:ascii="Times New Roman" w:hAnsi="Times New Roman" w:cs="Times New Roman"/>
          <w:highlight w:val="none"/>
          <w:lang w:eastAsia="zh-CN"/>
        </w:rPr>
        <w:t>资格审查资料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06" w:name="_Toc144974881"/>
      <w:bookmarkStart w:id="307" w:name="_Toc247527853"/>
      <w:bookmarkStart w:id="308" w:name="_Toc247514305"/>
      <w:bookmarkStart w:id="309" w:name="_Toc152045813"/>
      <w:bookmarkStart w:id="310" w:name="_Toc247530162"/>
      <w:bookmarkStart w:id="311" w:name="_Toc152042602"/>
    </w:p>
    <w:bookmarkEnd w:id="306"/>
    <w:bookmarkEnd w:id="307"/>
    <w:bookmarkEnd w:id="308"/>
    <w:bookmarkEnd w:id="309"/>
    <w:bookmarkEnd w:id="310"/>
    <w:bookmarkEnd w:id="311"/>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B6D4AB6-1582-4471-85FE-D6E09AFED3C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5F1211F-1A0F-46C8-9598-5C33FA87F9C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CB4406E2-880B-453B-8E02-E3F4843ACE21}"/>
  </w:font>
  <w:font w:name="仿宋_GB2312">
    <w:panose1 w:val="02010609030101010101"/>
    <w:charset w:val="86"/>
    <w:family w:val="modern"/>
    <w:pitch w:val="default"/>
    <w:sig w:usb0="00000001" w:usb1="080E0000" w:usb2="00000000" w:usb3="00000000" w:csb0="00040000" w:csb1="00000000"/>
    <w:embedRegular r:id="rId4" w:fontKey="{73A7718D-E79D-4C65-9D40-872E9DCB7D81}"/>
  </w:font>
  <w:font w:name="方正小标宋简体">
    <w:panose1 w:val="03000509000000000000"/>
    <w:charset w:val="86"/>
    <w:family w:val="auto"/>
    <w:pitch w:val="default"/>
    <w:sig w:usb0="00000001" w:usb1="080E0000" w:usb2="00000000" w:usb3="00000000" w:csb0="00040000" w:csb1="00000000"/>
    <w:embedRegular r:id="rId5" w:fontKey="{537F464D-E144-4FBF-AE97-B8FE7B353839}"/>
  </w:font>
  <w:font w:name="楷体">
    <w:panose1 w:val="02010609060101010101"/>
    <w:charset w:val="86"/>
    <w:family w:val="auto"/>
    <w:pitch w:val="default"/>
    <w:sig w:usb0="800002BF" w:usb1="38CF7CFA" w:usb2="00000016" w:usb3="00000000" w:csb0="00040001" w:csb1="00000000"/>
    <w:embedRegular r:id="rId6" w:fontKey="{C5D9E2A1-4800-4A18-B90E-7D41C48A7A0A}"/>
  </w:font>
  <w:font w:name="Wingdings 2">
    <w:altName w:val="Wingdings"/>
    <w:panose1 w:val="05020102010507070707"/>
    <w:charset w:val="00"/>
    <w:family w:val="auto"/>
    <w:pitch w:val="default"/>
    <w:sig w:usb0="00000000" w:usb1="00000000" w:usb2="00000000" w:usb3="00000000" w:csb0="80000000" w:csb1="00000000"/>
    <w:embedRegular r:id="rId7" w:fontKey="{9E48CE68-F5EF-4D20-BC1C-52392DF035B5}"/>
  </w:font>
  <w:font w:name="方正仿宋_GB2312">
    <w:panose1 w:val="02000000000000000000"/>
    <w:charset w:val="86"/>
    <w:family w:val="auto"/>
    <w:pitch w:val="default"/>
    <w:sig w:usb0="A00002BF" w:usb1="184F6CFA" w:usb2="00000012" w:usb3="00000000" w:csb0="00040001" w:csb1="00000000"/>
    <w:embedRegular r:id="rId8" w:fontKey="{C1A4C36E-F6C3-49D7-878C-ED978A9A5B8D}"/>
  </w:font>
  <w:font w:name="仿宋">
    <w:panose1 w:val="02010609060101010101"/>
    <w:charset w:val="86"/>
    <w:family w:val="modern"/>
    <w:pitch w:val="default"/>
    <w:sig w:usb0="800002BF" w:usb1="38CF7CFA" w:usb2="00000016" w:usb3="00000000" w:csb0="00040001" w:csb1="00000000"/>
    <w:embedRegular r:id="rId9" w:fontKey="{022A7E35-E728-4D91-9169-B4F8189561F2}"/>
  </w:font>
  <w:font w:name="Kingsoft UE">
    <w:altName w:val="851Gkktt"/>
    <w:panose1 w:val="00000000000000000000"/>
    <w:charset w:val="00"/>
    <w:family w:val="auto"/>
    <w:pitch w:val="default"/>
    <w:sig w:usb0="00000000" w:usb1="00000000" w:usb2="00000000" w:usb3="00000000" w:csb0="00000000" w:csb1="00000000"/>
  </w:font>
  <w:font w:name="851Gkktt">
    <w:panose1 w:val="02000600000000000000"/>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45149"/>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51475"/>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C1936"/>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197416"/>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82701B"/>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77D23"/>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67942"/>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71E51"/>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01788"/>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9D04D5"/>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92C3D"/>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9D4E9D"/>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BF19CF"/>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50A07"/>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AB0D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BA5457"/>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11623</Words>
  <Characters>12513</Characters>
  <Lines>0</Lines>
  <Paragraphs>0</Paragraphs>
  <TotalTime>4</TotalTime>
  <ScaleCrop>false</ScaleCrop>
  <LinksUpToDate>false</LinksUpToDate>
  <CharactersWithSpaces>12691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A，有机会中一千万</cp:lastModifiedBy>
  <cp:lastPrinted>2025-09-23T00:43:00Z</cp:lastPrinted>
  <dcterms:modified xsi:type="dcterms:W3CDTF">2025-09-24T02:19:59Z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eyJoZGlkIjoiNmIxZTlmYjlmNzdjZDgxYmFmYjgzNGRkZTcxZTBiNzkiLCJ1c2VySWQiOiIyMjc3OTc5NjAifQ==</vt:lpwstr>
  </property>
</Properties>
</file>