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安车集团物业服务采购项目</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9D4E15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ACJT-2025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012  </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3B177B62">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7B9E47B8">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14:paraId="2935F2F2">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2025年9</w:t>
      </w:r>
      <w:r>
        <w:rPr>
          <w:rFonts w:hint="eastAsia" w:ascii="Times New Roman" w:hAnsi="Times New Roman" w:eastAsia="楷体" w:cs="Times New Roman"/>
          <w:kern w:val="0"/>
          <w:sz w:val="32"/>
          <w:szCs w:val="32"/>
          <w:highlight w:val="none"/>
          <w:u w:val="none"/>
          <w:shd w:val="clear" w:color="auto" w:fill="auto"/>
          <w:lang w:val="en-US" w:eastAsia="zh-CN"/>
        </w:rPr>
        <w:t>月19日</w:t>
      </w:r>
      <w:permEnd w:id="2"/>
    </w:p>
    <w:p w14:paraId="3EC8FA43">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询比公告/邀请书</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4" w:edGrp="everyone"/>
      <w:r>
        <w:rPr>
          <w:rFonts w:hint="eastAsia" w:ascii="Times New Roman" w:hAnsi="Times New Roman" w:eastAsia="黑体" w:cs="Times New Roman"/>
          <w:sz w:val="28"/>
          <w:szCs w:val="28"/>
          <w:highlight w:val="none"/>
          <w:u w:val="none"/>
          <w:lang w:val="en-US" w:eastAsia="zh-CN"/>
        </w:rPr>
        <w:t>安车集团物业服务采购项目</w:t>
      </w:r>
      <w:r>
        <w:rPr>
          <w:rFonts w:hint="eastAsia" w:ascii="Times New Roman" w:hAnsi="Times New Roman" w:eastAsia="黑体" w:cs="Times New Roman"/>
          <w:sz w:val="28"/>
          <w:szCs w:val="28"/>
          <w:highlight w:val="none"/>
          <w:lang w:val="en-US" w:eastAsia="zh-CN"/>
        </w:rPr>
        <w:t>询比公告</w:t>
      </w:r>
      <w:permEnd w:id="4"/>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144974487"/>
      <w:bookmarkStart w:id="2" w:name="_Toc296602410"/>
      <w:bookmarkStart w:id="3" w:name="_Toc152042295"/>
      <w:bookmarkStart w:id="4" w:name="_Toc247085680"/>
      <w:bookmarkStart w:id="5" w:name="_Toc246996166"/>
      <w:bookmarkStart w:id="6" w:name="_Toc152045519"/>
      <w:bookmarkStart w:id="7" w:name="_Toc179632536"/>
      <w:r>
        <w:rPr>
          <w:rFonts w:hint="eastAsia" w:ascii="宋体" w:hAnsi="宋体" w:eastAsia="宋体" w:cs="宋体"/>
          <w:sz w:val="28"/>
          <w:szCs w:val="28"/>
          <w:highlight w:val="none"/>
          <w:u w:val="single"/>
          <w:lang w:val="en-US" w:eastAsia="zh-CN"/>
        </w:rPr>
        <w:t>安车集团物业服务采购项目</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2296"/>
      <w:bookmarkStart w:id="9" w:name="_Toc144974488"/>
      <w:bookmarkStart w:id="10" w:name="_Toc247085681"/>
      <w:bookmarkStart w:id="11" w:name="_Toc246996910"/>
      <w:bookmarkStart w:id="12" w:name="_Toc246996167"/>
      <w:bookmarkStart w:id="13" w:name="_Toc152045520"/>
      <w:bookmarkStart w:id="14" w:name="_Toc179632537"/>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宋体" w:hAnsi="宋体" w:eastAsia="宋体" w:cs="宋体"/>
          <w:sz w:val="28"/>
          <w:szCs w:val="28"/>
          <w:highlight w:val="none"/>
          <w:u w:val="single"/>
          <w:lang w:val="en-US" w:eastAsia="zh-CN"/>
        </w:rPr>
        <w:t>安车集团物业服务采购项目</w:t>
      </w:r>
    </w:p>
    <w:permEnd w:id="5"/>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eastAsia="楷体" w:cs="Times New Roman"/>
          <w:kern w:val="0"/>
          <w:sz w:val="28"/>
          <w:szCs w:val="28"/>
          <w:highlight w:val="none"/>
          <w:shd w:val="clear" w:color="auto" w:fill="auto"/>
          <w:lang w:val="en-US" w:eastAsia="zh-CN"/>
        </w:rPr>
        <w:t>ACJT-2025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012</w:t>
      </w:r>
      <w:permEnd w:id="6"/>
      <w:bookmarkEnd w:id="8"/>
      <w:bookmarkEnd w:id="9"/>
      <w:bookmarkEnd w:id="10"/>
      <w:bookmarkEnd w:id="11"/>
      <w:bookmarkEnd w:id="12"/>
      <w:bookmarkEnd w:id="13"/>
      <w:bookmarkEnd w:id="14"/>
      <w:bookmarkEnd w:id="15"/>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安徽省安车交通运输集团有限公司</w:t>
      </w:r>
      <w:permEnd w:id="7"/>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 xml:space="preserve"> 已落实</w:t>
      </w:r>
      <w:r>
        <w:rPr>
          <w:rFonts w:hint="eastAsia" w:asciiTheme="minorEastAsia" w:hAnsiTheme="minorEastAsia" w:cstheme="minorEastAsia"/>
          <w:color w:val="FF0000"/>
          <w:sz w:val="28"/>
          <w:szCs w:val="28"/>
          <w:highlight w:val="none"/>
          <w:u w:val="none"/>
          <w:lang w:val="en-US" w:eastAsia="zh-CN"/>
        </w:rPr>
        <w:t xml:space="preserve">    </w:t>
      </w:r>
      <w:permEnd w:id="8"/>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9" w:edGrp="everyone"/>
      <w:r>
        <w:rPr>
          <w:rFonts w:hint="eastAsia" w:ascii="宋体" w:hAnsi="宋体" w:eastAsia="宋体" w:cs="宋体"/>
          <w:kern w:val="2"/>
          <w:sz w:val="28"/>
          <w:szCs w:val="28"/>
          <w:highlight w:val="none"/>
          <w:lang w:val="en-US" w:eastAsia="zh-CN" w:bidi="ar-SA"/>
        </w:rPr>
        <w:t>（含税</w:t>
      </w:r>
      <w:r>
        <w:rPr>
          <w:rFonts w:hint="eastAsia" w:eastAsia="宋体" w:cs="宋体"/>
          <w:kern w:val="2"/>
          <w:sz w:val="28"/>
          <w:szCs w:val="28"/>
          <w:highlight w:val="none"/>
          <w:lang w:val="en-US" w:eastAsia="zh-CN" w:bidi="ar-SA"/>
        </w:rPr>
        <w:t>，税率6</w:t>
      </w:r>
      <w:r>
        <w:rPr>
          <w:rFonts w:hint="eastAsia" w:ascii="宋体" w:hAnsi="宋体" w:eastAsia="宋体" w:cs="宋体"/>
          <w:kern w:val="2"/>
          <w:sz w:val="28"/>
          <w:szCs w:val="28"/>
          <w:highlight w:val="none"/>
          <w:lang w:val="en-US" w:eastAsia="zh-CN" w:bidi="ar-SA"/>
        </w:rPr>
        <w:t>%）：</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291600元</w:t>
      </w:r>
      <w:r>
        <w:rPr>
          <w:rFonts w:hint="eastAsia" w:asciiTheme="minorEastAsia" w:hAnsiTheme="minorEastAsia" w:eastAsiaTheme="minorEastAsia" w:cstheme="minorEastAsia"/>
          <w:sz w:val="28"/>
          <w:szCs w:val="28"/>
          <w:highlight w:val="none"/>
          <w:u w:val="single"/>
          <w:lang w:val="en-US" w:eastAsia="zh-CN"/>
        </w:rPr>
        <w:t xml:space="preserve"> </w:t>
      </w:r>
      <w:permEnd w:id="9"/>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0"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0"/>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4D55487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为提高安车集团物业管理服务质量，提升公司整体形象，现需采购物业服务，主要服务区域包括安车集团本部办公楼及室外区域、安行天下驾校训练场、安行天下培训学校办公楼、安源检测站办公楼及室外区域、安天汽贸公司办公区域等。</w:t>
      </w:r>
    </w:p>
    <w:p w14:paraId="5DC5C7D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为采购人及其子公司提供物业服务，包括但不限于物业服务区域内的保洁、秩序维护等。具体工作内容详见第五章采购需求。</w:t>
      </w:r>
    </w:p>
    <w:permEnd w:id="11"/>
    <w:p w14:paraId="4F4CF94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（二）服务期限：</w:t>
      </w:r>
      <w:permStart w:id="12" w:edGrp="everyone"/>
      <w:r>
        <w:rPr>
          <w:rFonts w:hint="eastAsia" w:asciiTheme="minorEastAsia" w:hAnsiTheme="minorEastAsia" w:cstheme="minorEastAsia"/>
          <w:sz w:val="28"/>
          <w:szCs w:val="28"/>
          <w:highlight w:val="none"/>
          <w:lang w:val="en-US" w:eastAsia="zh-CN"/>
        </w:rPr>
        <w:t xml:space="preserve">自合同签订之日起3年，合同一年一签。 </w:t>
      </w:r>
      <w:r>
        <w:rPr>
          <w:rFonts w:hint="eastAsia" w:asciiTheme="minorEastAsia" w:hAnsiTheme="minorEastAsia" w:eastAsiaTheme="minorEastAsia" w:cstheme="minorEastAsia"/>
          <w:sz w:val="28"/>
          <w:szCs w:val="28"/>
          <w:highlight w:val="none"/>
          <w:lang w:val="en-US" w:eastAsia="zh-CN"/>
        </w:rPr>
        <w:t xml:space="preserve"> </w:t>
      </w:r>
      <w:permEnd w:id="12"/>
    </w:p>
    <w:p w14:paraId="24355A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color w:val="FF0000"/>
          <w:sz w:val="28"/>
          <w:szCs w:val="28"/>
          <w:highlight w:val="none"/>
          <w:lang w:val="en-US" w:eastAsia="zh-CN"/>
        </w:rPr>
        <w:t>安车集团（安车本部、安行天下、安源检测）</w:t>
      </w:r>
      <w:permEnd w:id="13"/>
    </w:p>
    <w:p w14:paraId="6D92E0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服务标准</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 xml:space="preserve"> 符合国家、地方、行业现行相关规范合格标准，符合招标文件第五章采购需求。</w:t>
      </w:r>
      <w:permEnd w:id="14"/>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5" w:edGrp="everyone"/>
      <w:r>
        <w:rPr>
          <w:rFonts w:hint="eastAsia" w:asciiTheme="minorEastAsia" w:hAnsiTheme="minorEastAsia" w:eastAsiaTheme="minorEastAsia" w:cstheme="minorEastAsia"/>
          <w:color w:val="FF0000"/>
          <w:sz w:val="28"/>
          <w:szCs w:val="28"/>
          <w:highlight w:val="none"/>
          <w:lang w:val="en-US" w:eastAsia="zh-CN"/>
        </w:rPr>
        <w:t>独立承担民事责任的能力</w:t>
      </w:r>
      <w:permEnd w:id="15"/>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27EB28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p>
    <w:p w14:paraId="103E28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人员要求：/；</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2023</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6"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w:t>
      </w:r>
      <w:permEnd w:id="16"/>
      <w:r>
        <w:rPr>
          <w:rFonts w:hint="eastAsia" w:asciiTheme="minorEastAsia" w:hAnsiTheme="minorEastAsia" w:eastAsiaTheme="minorEastAsia" w:cstheme="minorEastAsia"/>
          <w:sz w:val="28"/>
          <w:szCs w:val="28"/>
          <w:highlight w:val="none"/>
          <w:lang w:val="en-US" w:eastAsia="zh-CN"/>
        </w:rPr>
        <w:t>个，以</w:t>
      </w:r>
      <w:permStart w:id="17"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7"/>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cstheme="minorEastAsia"/>
          <w:sz w:val="28"/>
          <w:szCs w:val="28"/>
          <w:highlight w:val="none"/>
          <w:u w:val="single"/>
          <w:lang w:val="en-US" w:eastAsia="zh-CN"/>
        </w:rPr>
        <w:t>单个20万元以上项目</w:t>
      </w:r>
      <w:r>
        <w:rPr>
          <w:rFonts w:hint="eastAsia" w:asciiTheme="minorEastAsia" w:hAnsiTheme="minorEastAsia" w:eastAsiaTheme="minorEastAsia" w:cstheme="minorEastAsia"/>
          <w:sz w:val="28"/>
          <w:szCs w:val="28"/>
          <w:highlight w:val="none"/>
          <w:lang w:val="en-US" w:eastAsia="zh-CN"/>
        </w:rPr>
        <w:t>；</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8"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18"/>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19" w:edGrp="everyone"/>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开启时间（同</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0"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1" w:edGrp="everyone"/>
      <w:r>
        <w:rPr>
          <w:rFonts w:hint="eastAsia" w:asciiTheme="minorEastAsia" w:hAnsiTheme="minorEastAsia" w:cstheme="minorEastAsia"/>
          <w:i w:val="0"/>
          <w:iCs w:val="0"/>
          <w:color w:val="auto"/>
          <w:sz w:val="28"/>
          <w:szCs w:val="28"/>
          <w:highlight w:val="none"/>
          <w:u w:val="single"/>
          <w:lang w:val="en-US" w:eastAsia="zh-CN"/>
        </w:rPr>
        <w:t>安徽省</w:t>
      </w:r>
      <w:r>
        <w:rPr>
          <w:rFonts w:hint="eastAsia" w:asciiTheme="minorEastAsia" w:hAnsiTheme="minorEastAsia" w:cstheme="minorEastAsia"/>
          <w:color w:val="auto"/>
          <w:sz w:val="28"/>
          <w:szCs w:val="28"/>
          <w:highlight w:val="none"/>
          <w:u w:val="single"/>
          <w:lang w:val="en-US" w:eastAsia="zh-CN"/>
        </w:rPr>
        <w:t>亳州市高新区银杏路与宋汤河路交叉口（</w:t>
      </w:r>
      <w:r>
        <w:rPr>
          <w:rFonts w:hint="eastAsia" w:asciiTheme="minorEastAsia" w:hAnsiTheme="minorEastAsia" w:cstheme="minorEastAsia"/>
          <w:i w:val="0"/>
          <w:iCs w:val="0"/>
          <w:color w:val="auto"/>
          <w:sz w:val="28"/>
          <w:szCs w:val="28"/>
          <w:highlight w:val="none"/>
          <w:u w:val="single"/>
          <w:lang w:val="en-US" w:eastAsia="zh-CN"/>
        </w:rPr>
        <w:t>安车交通运输集团</w:t>
      </w:r>
      <w:r>
        <w:rPr>
          <w:rFonts w:hint="eastAsia" w:asciiTheme="minorEastAsia" w:hAnsiTheme="minorEastAsia" w:eastAsiaTheme="minorEastAsia" w:cstheme="minorEastAsia"/>
          <w:i w:val="0"/>
          <w:iCs w:val="0"/>
          <w:color w:val="auto"/>
          <w:sz w:val="28"/>
          <w:szCs w:val="28"/>
          <w:highlight w:val="none"/>
          <w:u w:val="single"/>
          <w:lang w:val="en-US" w:eastAsia="zh-CN"/>
        </w:rPr>
        <w:t>有限公司</w:t>
      </w:r>
      <w:r>
        <w:rPr>
          <w:rFonts w:hint="eastAsia" w:asciiTheme="minorEastAsia" w:hAnsiTheme="minorEastAsia" w:cstheme="minorEastAsia"/>
          <w:i w:val="0"/>
          <w:iCs w:val="0"/>
          <w:color w:val="auto"/>
          <w:sz w:val="28"/>
          <w:szCs w:val="28"/>
          <w:highlight w:val="none"/>
          <w:u w:val="single"/>
          <w:lang w:val="en-US" w:eastAsia="zh-CN"/>
        </w:rPr>
        <w:t>2</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u w:val="single"/>
          <w:lang w:val="en-US" w:eastAsia="zh-CN"/>
        </w:rPr>
        <w:t>开标</w:t>
      </w:r>
      <w:bookmarkStart w:id="340" w:name="_GoBack"/>
      <w:bookmarkEnd w:id="340"/>
      <w:r>
        <w:rPr>
          <w:rFonts w:hint="eastAsia" w:asciiTheme="minorEastAsia" w:hAnsiTheme="minorEastAsia" w:eastAsiaTheme="minorEastAsia" w:cstheme="minorEastAsia"/>
          <w:i w:val="0"/>
          <w:iCs w:val="0"/>
          <w:color w:val="auto"/>
          <w:sz w:val="28"/>
          <w:szCs w:val="28"/>
          <w:highlight w:val="none"/>
          <w:u w:val="single"/>
          <w:lang w:val="en-US" w:eastAsia="zh-CN"/>
        </w:rPr>
        <w:t>室</w:t>
      </w:r>
      <w:r>
        <w:rPr>
          <w:rFonts w:hint="eastAsia" w:asciiTheme="minorEastAsia" w:hAnsiTheme="minorEastAsia" w:cstheme="minorEastAsia"/>
          <w:color w:val="auto"/>
          <w:sz w:val="28"/>
          <w:szCs w:val="28"/>
          <w:highlight w:val="none"/>
          <w:u w:val="single"/>
          <w:lang w:val="en-US" w:eastAsia="zh-CN"/>
        </w:rPr>
        <w:t>）</w:t>
      </w:r>
      <w:r>
        <w:rPr>
          <w:rFonts w:hint="eastAsia" w:asciiTheme="minorEastAsia" w:hAnsiTheme="minorEastAsia" w:cstheme="minorEastAsia"/>
          <w:i w:val="0"/>
          <w:iCs w:val="0"/>
          <w:sz w:val="28"/>
          <w:szCs w:val="28"/>
          <w:highlight w:val="none"/>
          <w:lang w:val="en-US" w:eastAsia="zh-CN"/>
        </w:rPr>
        <w:t>；</w:t>
      </w:r>
      <w:permEnd w:id="21"/>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2"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ermEnd w:id="22"/>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eastAsia" w:asciiTheme="minorEastAsia" w:hAnsiTheme="minorEastAsia" w:cstheme="minorEastAsia"/>
          <w:sz w:val="28"/>
          <w:szCs w:val="28"/>
          <w:highlight w:val="none"/>
          <w:u w:val="single"/>
          <w:lang w:val="en-US" w:eastAsia="zh-CN"/>
        </w:rPr>
        <w:t>3000元</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61454C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安徽省安车交通运输集团有限公司</w:t>
      </w:r>
    </w:p>
    <w:permEnd w:id="24"/>
    <w:p w14:paraId="36396D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5" w:edGrp="everyone"/>
      <w:r>
        <w:rPr>
          <w:rFonts w:hint="eastAsia" w:asciiTheme="minorEastAsia" w:hAnsiTheme="minorEastAsia" w:eastAsiaTheme="minorEastAsia" w:cstheme="minorEastAsia"/>
          <w:sz w:val="28"/>
          <w:szCs w:val="28"/>
          <w:highlight w:val="none"/>
          <w:lang w:val="en-US" w:eastAsia="zh-CN"/>
        </w:rPr>
        <w:t>亳州市高新区银杏路与宋汤河路交叉口</w:t>
      </w:r>
      <w:permEnd w:id="25"/>
    </w:p>
    <w:p w14:paraId="437EC0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杨先生</w:t>
      </w:r>
    </w:p>
    <w:p w14:paraId="0669CC3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18956880668</w:t>
      </w:r>
    </w:p>
    <w:p w14:paraId="699CE53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8E39F5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招标平台：安车集团招标采购管理办公室</w:t>
      </w:r>
    </w:p>
    <w:p w14:paraId="6B0A1C5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址：亳州市高新区银杏路与宋汤河路交叉口</w:t>
      </w:r>
    </w:p>
    <w:p w14:paraId="532526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人：方工</w:t>
      </w:r>
    </w:p>
    <w:p w14:paraId="0C9F83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话：19956936296</w:t>
      </w:r>
    </w:p>
    <w:p w14:paraId="6B255EF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1B311D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cstheme="minorEastAsia"/>
          <w:color w:val="FF0000"/>
          <w:sz w:val="28"/>
          <w:szCs w:val="28"/>
          <w:highlight w:val="none"/>
          <w:lang w:val="en-US" w:eastAsia="zh-CN"/>
        </w:rPr>
        <w:t xml:space="preserve">安徽省安车交通运输集团有限公司 </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 xml:space="preserve">                               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19</w:t>
      </w:r>
      <w:r>
        <w:rPr>
          <w:rFonts w:hint="eastAsia" w:asciiTheme="minorEastAsia" w:hAnsiTheme="minorEastAsia" w:eastAsiaTheme="minorEastAsia" w:cstheme="minorEastAsia"/>
          <w:color w:val="FF0000"/>
          <w:sz w:val="28"/>
          <w:szCs w:val="28"/>
          <w:highlight w:val="none"/>
          <w:lang w:val="en-US" w:eastAsia="zh-CN"/>
        </w:rPr>
        <w:t>日</w:t>
      </w:r>
      <w:permEnd w:id="26"/>
      <w:r>
        <w:rPr>
          <w:rFonts w:hint="default" w:ascii="Times New Roman" w:hAnsi="Times New Roman" w:eastAsia="仿宋_GB2312" w:cs="Times New Roman"/>
          <w:kern w:val="0"/>
          <w:sz w:val="32"/>
          <w:szCs w:val="32"/>
          <w:highlight w:val="none"/>
          <w:lang w:val="en-US" w:eastAsia="zh-CN"/>
        </w:rPr>
        <w:br w:type="page"/>
      </w: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10</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color w:val="FF0000"/>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r>
              <w:rPr>
                <w:rFonts w:hint="eastAsia" w:ascii="Times New Roman" w:hAnsi="Times New Roman" w:cs="Times New Roman"/>
                <w:color w:val="auto"/>
                <w:szCs w:val="21"/>
                <w:highlight w:val="none"/>
                <w:u w:val="single"/>
                <w:lang w:val="en-US" w:eastAsia="zh-CN"/>
              </w:rPr>
              <w:t>3000元整</w:t>
            </w:r>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56C2F3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开户名称：</w:t>
            </w:r>
            <w:r>
              <w:rPr>
                <w:rFonts w:hint="eastAsia" w:asciiTheme="minorEastAsia" w:hAnsiTheme="minorEastAsia" w:cstheme="minorEastAsia"/>
                <w:color w:val="auto"/>
                <w:sz w:val="21"/>
                <w:szCs w:val="21"/>
                <w:highlight w:val="none"/>
                <w:lang w:val="en-US" w:eastAsia="zh-CN"/>
              </w:rPr>
              <w:t>安徽省安车交通运输集团有限公司</w:t>
            </w:r>
          </w:p>
          <w:p w14:paraId="0E67407E">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开户银行：</w:t>
            </w:r>
            <w:r>
              <w:rPr>
                <w:rFonts w:hint="default" w:ascii="Times New Roman" w:hAnsi="Times New Roman" w:cs="Times New Roman"/>
                <w:color w:val="auto"/>
                <w:sz w:val="21"/>
                <w:szCs w:val="21"/>
                <w:highlight w:val="none"/>
              </w:rPr>
              <w:t>中国</w:t>
            </w:r>
            <w:r>
              <w:rPr>
                <w:rFonts w:hint="eastAsia" w:ascii="Times New Roman" w:hAnsi="Times New Roman" w:cs="Times New Roman"/>
                <w:color w:val="auto"/>
                <w:sz w:val="21"/>
                <w:szCs w:val="21"/>
                <w:highlight w:val="none"/>
                <w:lang w:val="en-US" w:eastAsia="zh-CN"/>
              </w:rPr>
              <w:t>工商银行亳州高新区支行</w:t>
            </w:r>
          </w:p>
          <w:p w14:paraId="551647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 w:val="21"/>
                <w:szCs w:val="21"/>
                <w:highlight w:val="none"/>
                <w:lang w:val="en-US" w:eastAsia="zh-CN"/>
              </w:rPr>
            </w:pPr>
            <w:r>
              <w:rPr>
                <w:rFonts w:hint="eastAsia" w:asciiTheme="minorEastAsia" w:hAnsiTheme="minorEastAsia" w:eastAsiaTheme="minorEastAsia" w:cstheme="minorEastAsia"/>
                <w:sz w:val="21"/>
                <w:szCs w:val="21"/>
                <w:highlight w:val="none"/>
              </w:rPr>
              <w:t>银行账号：</w:t>
            </w:r>
            <w:r>
              <w:rPr>
                <w:rFonts w:hint="default" w:ascii="Times New Roman" w:hAnsi="Times New Roman" w:cs="Times New Roman"/>
                <w:color w:val="auto"/>
                <w:sz w:val="21"/>
                <w:szCs w:val="21"/>
                <w:highlight w:val="none"/>
              </w:rPr>
              <w:t>1</w:t>
            </w:r>
            <w:r>
              <w:rPr>
                <w:rFonts w:hint="eastAsia" w:ascii="Times New Roman" w:hAnsi="Times New Roman" w:cs="Times New Roman"/>
                <w:color w:val="auto"/>
                <w:sz w:val="21"/>
                <w:szCs w:val="21"/>
                <w:highlight w:val="none"/>
                <w:lang w:val="en-US" w:eastAsia="zh-CN"/>
              </w:rPr>
              <w:t>318061809100024751</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4" w:edGrp="everyone"/>
            <w:r>
              <w:rPr>
                <w:rFonts w:hint="eastAsia" w:ascii="Times New Roman" w:hAnsi="Times New Roman" w:cs="Times New Roman"/>
                <w:color w:val="FF0000"/>
                <w:szCs w:val="21"/>
                <w:highlight w:val="none"/>
                <w:lang w:val="en-US" w:eastAsia="zh-CN"/>
              </w:rPr>
              <w:t>ACJT-2025-  012号保证金</w:t>
            </w:r>
            <w:permEnd w:id="3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5"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5"/>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1419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6" w:edGrp="everyone"/>
            <w:r>
              <w:rPr>
                <w:rFonts w:hint="eastAsia" w:ascii="Times New Roman" w:hAnsi="Times New Roman" w:cs="Times New Roman"/>
                <w:szCs w:val="21"/>
                <w:highlight w:val="none"/>
                <w:u w:val="none"/>
                <w:lang w:val="en-US" w:eastAsia="zh-CN"/>
              </w:rPr>
              <w:t>开启地址：安徽省安车交通运输集团有限公司2楼开标室（亳州市高新区银杏路与宋汤河路交叉口</w:t>
            </w:r>
          </w:p>
          <w:p w14:paraId="50229035">
            <w:pPr>
              <w:keepNext w:val="0"/>
              <w:keepLines w:val="0"/>
              <w:pageBreakBefore w:val="0"/>
              <w:widowControl w:val="0"/>
              <w:kinsoku/>
              <w:wordWrap w:val="0"/>
              <w:overflowPunct/>
              <w:topLinePunct w:val="0"/>
              <w:autoSpaceDE/>
              <w:autoSpaceDN/>
              <w:bidi w:val="0"/>
              <w:adjustRightInd/>
              <w:snapToGrid/>
              <w:spacing w:line="480" w:lineRule="exact"/>
              <w:ind w:firstLine="210" w:firstLineChars="100"/>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采购人：安徽省安车交通运输集团有限公司物业服务采购项目</w:t>
            </w:r>
          </w:p>
          <w:p w14:paraId="057746AC">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 xml:space="preserve">   安徽省安车交通运输集团有限公司物业服务采购项目响应文件</w:t>
            </w:r>
          </w:p>
          <w:p w14:paraId="1755B2D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项目编号：ACJT-2025-</w:t>
            </w:r>
            <w:r>
              <w:rPr>
                <w:rFonts w:hint="eastAsia" w:ascii="Times New Roman" w:hAnsi="Times New Roman" w:cs="Times New Roman"/>
                <w:color w:val="FF0000"/>
                <w:szCs w:val="21"/>
                <w:highlight w:val="none"/>
                <w:u w:val="single"/>
                <w:lang w:val="en-US" w:eastAsia="zh-CN"/>
              </w:rPr>
              <w:t xml:space="preserve"> 012 </w:t>
            </w:r>
            <w:r>
              <w:rPr>
                <w:rFonts w:hint="eastAsia" w:ascii="Times New Roman" w:hAnsi="Times New Roman" w:cs="Times New Roman"/>
                <w:color w:val="FF0000"/>
                <w:szCs w:val="21"/>
                <w:highlight w:val="none"/>
                <w:u w:val="none"/>
                <w:lang w:val="en-US" w:eastAsia="zh-CN"/>
              </w:rPr>
              <w:t>号</w:t>
            </w:r>
          </w:p>
          <w:p w14:paraId="69BF29E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10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6"/>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7213F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u w:val="single"/>
              </w:rPr>
            </w:pPr>
            <w:permStart w:id="37"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安徽省安车交通运输集团有限公司</w:t>
            </w:r>
          </w:p>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 方工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19956936296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亳州市高新区银杏路与宋汤河路交叉口</w:t>
            </w:r>
            <w:r>
              <w:rPr>
                <w:rFonts w:hint="eastAsia" w:ascii="Times New Roman" w:hAnsi="Times New Roman" w:cs="Times New Roman"/>
                <w:color w:val="auto"/>
                <w:szCs w:val="21"/>
                <w:highlight w:val="none"/>
                <w:u w:val="single"/>
                <w:lang w:val="en-US" w:eastAsia="zh-CN"/>
              </w:rPr>
              <w:t xml:space="preserve">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7"/>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46996178"/>
      <w:bookmarkStart w:id="17" w:name="_Toc247085692"/>
      <w:bookmarkStart w:id="18" w:name="_Toc152042308"/>
      <w:bookmarkStart w:id="19" w:name="_Toc179632549"/>
      <w:bookmarkStart w:id="20" w:name="_Toc152045532"/>
      <w:bookmarkStart w:id="21" w:name="_Toc296602423"/>
      <w:bookmarkStart w:id="22" w:name="_Toc144974500"/>
      <w:bookmarkStart w:id="23" w:name="_Toc246996921"/>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924"/>
      <w:bookmarkStart w:id="25" w:name="_Toc296602426"/>
      <w:bookmarkStart w:id="26" w:name="_Toc144974504"/>
      <w:bookmarkStart w:id="27" w:name="_Toc247085695"/>
      <w:bookmarkStart w:id="28" w:name="_Toc152042312"/>
      <w:bookmarkStart w:id="29" w:name="_Toc179632553"/>
      <w:bookmarkStart w:id="30" w:name="_Toc246996181"/>
      <w:bookmarkStart w:id="31" w:name="_Toc152045536"/>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925"/>
      <w:bookmarkStart w:id="34" w:name="_Toc152045537"/>
      <w:bookmarkStart w:id="35" w:name="_Toc179632554"/>
      <w:bookmarkStart w:id="36" w:name="_Toc152042313"/>
      <w:bookmarkStart w:id="37" w:name="_Toc246996182"/>
      <w:bookmarkStart w:id="38" w:name="_Toc296602427"/>
      <w:bookmarkStart w:id="39" w:name="_Toc247085696"/>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44974506"/>
      <w:bookmarkStart w:id="41" w:name="_Toc246996926"/>
      <w:bookmarkStart w:id="42" w:name="_Toc152045538"/>
      <w:bookmarkStart w:id="43" w:name="_Toc246996183"/>
      <w:bookmarkStart w:id="44" w:name="_Toc247085697"/>
      <w:bookmarkStart w:id="45" w:name="_Toc152042314"/>
      <w:bookmarkStart w:id="46"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930"/>
      <w:bookmarkStart w:id="48" w:name="_Toc152042318"/>
      <w:bookmarkStart w:id="49" w:name="_Toc152045542"/>
      <w:bookmarkStart w:id="50" w:name="_Toc144974510"/>
      <w:bookmarkStart w:id="51" w:name="_Toc246996187"/>
      <w:bookmarkStart w:id="52" w:name="_Toc179632560"/>
      <w:bookmarkStart w:id="53" w:name="_Toc296602432"/>
      <w:bookmarkStart w:id="54" w:name="_Toc247085701"/>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5543"/>
      <w:bookmarkStart w:id="56" w:name="_Toc179632561"/>
      <w:bookmarkStart w:id="57" w:name="_Toc144974511"/>
      <w:bookmarkStart w:id="58" w:name="_Toc247085702"/>
      <w:bookmarkStart w:id="59" w:name="_Toc152042319"/>
      <w:bookmarkStart w:id="60" w:name="_Toc246996188"/>
      <w:bookmarkStart w:id="61" w:name="_Toc296602433"/>
      <w:bookmarkStart w:id="62" w:name="_Toc246996931"/>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52042320"/>
      <w:bookmarkStart w:id="64" w:name="_Toc179632562"/>
      <w:bookmarkStart w:id="65" w:name="_Toc144974512"/>
      <w:bookmarkStart w:id="66" w:name="_Toc246996189"/>
      <w:bookmarkStart w:id="67" w:name="_Toc246996932"/>
      <w:bookmarkStart w:id="68" w:name="_Toc296602434"/>
      <w:bookmarkStart w:id="69" w:name="_Toc247085703"/>
      <w:bookmarkStart w:id="70" w:name="_Toc152045544"/>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96602435"/>
      <w:bookmarkStart w:id="72" w:name="_Toc179632563"/>
      <w:bookmarkStart w:id="73" w:name="_Toc246996933"/>
      <w:bookmarkStart w:id="74" w:name="_Toc247085704"/>
      <w:bookmarkStart w:id="75" w:name="_Toc144974513"/>
      <w:bookmarkStart w:id="76" w:name="_Toc152042321"/>
      <w:bookmarkStart w:id="77" w:name="_Toc246996190"/>
      <w:bookmarkStart w:id="78" w:name="_Toc152045545"/>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52045546"/>
      <w:bookmarkStart w:id="80" w:name="_Toc246996934"/>
      <w:bookmarkStart w:id="81" w:name="_Toc179632564"/>
      <w:bookmarkStart w:id="82" w:name="_Toc152042322"/>
      <w:bookmarkStart w:id="83" w:name="_Toc247085705"/>
      <w:bookmarkStart w:id="84" w:name="_Toc246996191"/>
      <w:bookmarkStart w:id="85" w:name="_Toc144974514"/>
      <w:bookmarkStart w:id="86" w:name="_Toc296602436"/>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6996935"/>
      <w:bookmarkStart w:id="88" w:name="_Toc152042323"/>
      <w:bookmarkStart w:id="89" w:name="_Toc179632565"/>
      <w:bookmarkStart w:id="90" w:name="_Toc247085706"/>
      <w:bookmarkStart w:id="91" w:name="_Toc152045547"/>
      <w:bookmarkStart w:id="92" w:name="_Toc296602437"/>
      <w:bookmarkStart w:id="93" w:name="_Toc246996192"/>
      <w:bookmarkStart w:id="94"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6996936"/>
      <w:bookmarkStart w:id="96" w:name="_Toc144974516"/>
      <w:bookmarkStart w:id="97" w:name="_Toc152042324"/>
      <w:bookmarkStart w:id="98" w:name="_Toc152045548"/>
      <w:bookmarkStart w:id="99" w:name="_Toc296602438"/>
      <w:bookmarkStart w:id="100" w:name="_Toc247085707"/>
      <w:bookmarkStart w:id="101" w:name="_Toc246996193"/>
      <w:bookmarkStart w:id="102" w:name="_Toc17963256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2325"/>
      <w:bookmarkStart w:id="104" w:name="_Toc144974517"/>
      <w:bookmarkStart w:id="105" w:name="_Toc179632567"/>
      <w:bookmarkStart w:id="106"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194"/>
      <w:bookmarkStart w:id="108" w:name="_Toc296602439"/>
      <w:bookmarkStart w:id="109" w:name="_Toc247085708"/>
      <w:bookmarkStart w:id="110" w:name="_Toc246996937"/>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942"/>
      <w:bookmarkStart w:id="112" w:name="_Toc152045555"/>
      <w:bookmarkStart w:id="113" w:name="_Toc246996199"/>
      <w:bookmarkStart w:id="114" w:name="_Toc296602443"/>
      <w:bookmarkStart w:id="115" w:name="_Toc247085713"/>
      <w:bookmarkStart w:id="116" w:name="_Toc179632573"/>
      <w:bookmarkStart w:id="117" w:name="_Toc144974523"/>
      <w:bookmarkStart w:id="118" w:name="_Toc152042331"/>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96602444"/>
      <w:bookmarkStart w:id="120" w:name="_Toc152045556"/>
      <w:bookmarkStart w:id="121" w:name="_Toc152042332"/>
      <w:bookmarkStart w:id="122" w:name="_Toc144974524"/>
      <w:bookmarkStart w:id="123" w:name="_Toc179632574"/>
      <w:bookmarkStart w:id="124" w:name="_Toc246996943"/>
      <w:bookmarkStart w:id="125" w:name="_Toc247085714"/>
      <w:bookmarkStart w:id="126" w:name="_Toc246996200"/>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44974525"/>
      <w:bookmarkStart w:id="128" w:name="_Toc246996201"/>
      <w:bookmarkStart w:id="129" w:name="_Toc152042333"/>
      <w:bookmarkStart w:id="130" w:name="_Toc246996944"/>
      <w:bookmarkStart w:id="131" w:name="_Toc179632575"/>
      <w:bookmarkStart w:id="132" w:name="_Toc247085715"/>
      <w:bookmarkStart w:id="133" w:name="_Toc152045557"/>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5558"/>
      <w:bookmarkStart w:id="135" w:name="_Toc296602446"/>
      <w:bookmarkStart w:id="136" w:name="_Toc246996202"/>
      <w:bookmarkStart w:id="137" w:name="_Toc246996945"/>
      <w:bookmarkStart w:id="138" w:name="_Toc179632576"/>
      <w:bookmarkStart w:id="139" w:name="_Toc144974526"/>
      <w:bookmarkStart w:id="140" w:name="_Toc247085716"/>
      <w:bookmarkStart w:id="141" w:name="_Toc152042334"/>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52042335"/>
      <w:bookmarkStart w:id="143" w:name="_Toc247085717"/>
      <w:bookmarkStart w:id="144" w:name="_Toc246996203"/>
      <w:bookmarkStart w:id="145" w:name="_Toc179632577"/>
      <w:bookmarkStart w:id="146" w:name="_Toc246996946"/>
      <w:bookmarkStart w:id="147" w:name="_Toc144974527"/>
      <w:bookmarkStart w:id="148" w:name="_Toc152045559"/>
      <w:bookmarkStart w:id="149" w:name="_Toc29660244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5560"/>
      <w:bookmarkStart w:id="151" w:name="_Toc246996947"/>
      <w:bookmarkStart w:id="152" w:name="_Toc247085718"/>
      <w:bookmarkStart w:id="153" w:name="_Toc144974528"/>
      <w:bookmarkStart w:id="154" w:name="_Toc152042336"/>
      <w:bookmarkStart w:id="155" w:name="_Toc296602448"/>
      <w:bookmarkStart w:id="156" w:name="_Toc246996204"/>
      <w:bookmarkStart w:id="157" w:name="_Toc17963257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79632579"/>
      <w:bookmarkStart w:id="159" w:name="_Toc247085719"/>
      <w:bookmarkStart w:id="160" w:name="_Toc152045561"/>
      <w:bookmarkStart w:id="161" w:name="_Toc246996205"/>
      <w:bookmarkStart w:id="162" w:name="_Toc152042337"/>
      <w:bookmarkStart w:id="163" w:name="_Toc296602449"/>
      <w:bookmarkStart w:id="164" w:name="_Toc144974529"/>
      <w:bookmarkStart w:id="165" w:name="_Toc246996948"/>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1"/>
      <w:bookmarkStart w:id="167" w:name="_Toc144974531"/>
      <w:bookmarkStart w:id="168" w:name="_Toc246996207"/>
      <w:bookmarkStart w:id="169" w:name="_Toc152045563"/>
      <w:bookmarkStart w:id="170" w:name="_Toc152042339"/>
      <w:bookmarkStart w:id="171" w:name="_Toc296602452"/>
      <w:bookmarkStart w:id="172" w:name="_Toc246996950"/>
      <w:bookmarkStart w:id="173" w:name="_Toc247085721"/>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96602455"/>
      <w:bookmarkStart w:id="175" w:name="_Toc152042342"/>
      <w:bookmarkStart w:id="176" w:name="_Toc152045566"/>
      <w:bookmarkStart w:id="177" w:name="_Toc179632584"/>
      <w:bookmarkStart w:id="178" w:name="_Toc246996210"/>
      <w:bookmarkStart w:id="179" w:name="_Toc144974534"/>
      <w:bookmarkStart w:id="180" w:name="_Toc247085724"/>
      <w:bookmarkStart w:id="181" w:name="_Toc246996953"/>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954"/>
      <w:bookmarkStart w:id="183" w:name="_Toc152042343"/>
      <w:bookmarkStart w:id="184" w:name="_Toc152045567"/>
      <w:bookmarkStart w:id="185" w:name="_Toc246996211"/>
      <w:bookmarkStart w:id="186" w:name="_Toc179632585"/>
      <w:bookmarkStart w:id="187" w:name="_Toc296602456"/>
      <w:bookmarkStart w:id="188" w:name="_Toc144974535"/>
      <w:bookmarkStart w:id="189" w:name="_Toc24708572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96602458"/>
      <w:bookmarkStart w:id="192" w:name="_Toc152042344"/>
      <w:bookmarkStart w:id="193" w:name="_Toc247085726"/>
      <w:bookmarkStart w:id="194" w:name="_Toc152045568"/>
      <w:bookmarkStart w:id="195" w:name="_Toc179632586"/>
      <w:bookmarkStart w:id="196" w:name="_Toc246996212"/>
      <w:bookmarkStart w:id="197" w:name="_Toc144974536"/>
      <w:bookmarkStart w:id="198" w:name="_Toc246996955"/>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7085727"/>
      <w:bookmarkStart w:id="200" w:name="_Toc179632587"/>
      <w:bookmarkStart w:id="201" w:name="_Toc246996213"/>
      <w:bookmarkStart w:id="202" w:name="_Toc152042345"/>
      <w:bookmarkStart w:id="203" w:name="_Toc246996956"/>
      <w:bookmarkStart w:id="204" w:name="_Toc296602459"/>
      <w:bookmarkStart w:id="205" w:name="_Toc144974537"/>
      <w:bookmarkStart w:id="206" w:name="_Toc152045569"/>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96602462"/>
      <w:bookmarkStart w:id="209" w:name="_Toc247085733"/>
      <w:bookmarkStart w:id="210" w:name="_Toc152042351"/>
      <w:bookmarkStart w:id="211" w:name="_Toc246996219"/>
      <w:bookmarkStart w:id="212" w:name="_Toc152045575"/>
      <w:bookmarkStart w:id="213" w:name="_Toc179632593"/>
      <w:bookmarkStart w:id="214" w:name="_Toc296590983"/>
      <w:bookmarkStart w:id="215" w:name="_Toc246996962"/>
      <w:bookmarkStart w:id="216" w:name="_Toc14497454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246996220"/>
      <w:bookmarkStart w:id="218" w:name="_Toc246996963"/>
      <w:bookmarkStart w:id="219" w:name="_Toc296602463"/>
      <w:bookmarkStart w:id="220" w:name="_Toc179632594"/>
      <w:bookmarkStart w:id="221" w:name="_Toc152045576"/>
      <w:bookmarkStart w:id="222" w:name="_Toc144974544"/>
      <w:bookmarkStart w:id="223" w:name="_Toc247085734"/>
      <w:bookmarkStart w:id="224" w:name="_Toc152042352"/>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52045577"/>
      <w:bookmarkStart w:id="226" w:name="_Toc246996221"/>
      <w:bookmarkStart w:id="227" w:name="_Toc144974545"/>
      <w:bookmarkStart w:id="228" w:name="_Toc296602464"/>
      <w:bookmarkStart w:id="229" w:name="_Toc152042353"/>
      <w:bookmarkStart w:id="230" w:name="_Toc246996964"/>
      <w:bookmarkStart w:id="231" w:name="_Toc247085735"/>
      <w:bookmarkStart w:id="232" w:name="_Toc179632595"/>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8" w:edGrp="everyone"/>
      <w:r>
        <w:rPr>
          <w:rFonts w:hint="eastAsia" w:ascii="宋体" w:hAnsi="宋体"/>
          <w:color w:val="FF0000"/>
          <w:sz w:val="24"/>
          <w:lang w:val="en-US" w:eastAsia="zh-CN"/>
        </w:rPr>
        <w:t>最低评审价法</w:t>
      </w:r>
      <w:permEnd w:id="38"/>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152045589"/>
      <w:bookmarkStart w:id="234" w:name="_Toc144974556"/>
      <w:bookmarkStart w:id="235" w:name="_Toc246996975"/>
      <w:bookmarkStart w:id="236" w:name="_Toc179632607"/>
      <w:bookmarkStart w:id="237" w:name="_Toc152042366"/>
      <w:bookmarkStart w:id="238" w:name="_Toc247085747"/>
      <w:bookmarkStart w:id="239" w:name="_Toc296602477"/>
      <w:bookmarkStart w:id="240" w:name="_Toc246996232"/>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0D4AD936">
      <w:pPr>
        <w:rPr>
          <w:rFonts w:hint="default" w:ascii="Times New Roman" w:hAnsi="Times New Roman" w:cs="Times New Roman" w:eastAsiaTheme="minorEastAsia"/>
          <w:b/>
          <w:bCs/>
          <w:kern w:val="0"/>
          <w:sz w:val="28"/>
          <w:szCs w:val="28"/>
          <w:highlight w:val="none"/>
        </w:rPr>
      </w:pPr>
      <w:bookmarkStart w:id="241" w:name="_Toc247085751"/>
      <w:bookmarkStart w:id="242" w:name="_Toc296602481"/>
      <w:bookmarkStart w:id="243" w:name="_Toc179632611"/>
      <w:bookmarkStart w:id="244" w:name="_Toc246996979"/>
      <w:bookmarkStart w:id="245" w:name="_Toc246996236"/>
      <w:bookmarkStart w:id="246" w:name="_Toc144974560"/>
      <w:bookmarkStart w:id="247" w:name="_Toc152042370"/>
      <w:bookmarkStart w:id="248" w:name="_Toc152045593"/>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96602484"/>
      <w:bookmarkStart w:id="251" w:name="_Toc247085754"/>
      <w:bookmarkStart w:id="252" w:name="_Toc179632614"/>
      <w:bookmarkStart w:id="253" w:name="_Toc246996982"/>
      <w:bookmarkStart w:id="254" w:name="_Toc152042373"/>
      <w:bookmarkStart w:id="255" w:name="_Toc246996239"/>
      <w:bookmarkStart w:id="256"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9" w:edGrp="everyone"/>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ermEnd w:id="39"/>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物业服务费按季度支付。供应商应在每季度考核评价结束后，派专人与采购人核算上季度物业服务费，经采购人审核无误后向供应商支付上季度物业服务费。</w:t>
            </w:r>
          </w:p>
          <w:p w14:paraId="1CC99E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采购人依据招标文件“附件：物业服务季度考核评价表”要求，对供应商进行季度考核评价。每季度物业服务费的10%作为考核评价费。如供应商季度考核得分低于90分，每低1分，扣除考核评价费总金额的1%；如供应商在一个合同期内有2次季度考核评价低于70分，则采购人有权单方面解除合同，且不承担任何违约责任。</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eastAsiaTheme="minorEastAsia" w:cstheme="minorEastAsia"/>
                <w:kern w:val="0"/>
                <w:sz w:val="24"/>
                <w:szCs w:val="24"/>
                <w:highlight w:val="none"/>
                <w:shd w:val="clear" w:color="auto" w:fill="auto"/>
                <w:vertAlign w:val="baseline"/>
                <w:lang w:val="en-US" w:eastAsia="zh-CN"/>
              </w:rPr>
            </w:pPr>
            <w:r>
              <w:rPr>
                <w:rFonts w:hint="eastAsia" w:ascii="宋体" w:hAnsi="宋体" w:eastAsia="宋体" w:cs="宋体"/>
                <w:kern w:val="0"/>
                <w:sz w:val="24"/>
                <w:szCs w:val="24"/>
                <w:highlight w:val="none"/>
                <w:shd w:val="clear" w:color="auto" w:fill="auto"/>
                <w:vertAlign w:val="baseline"/>
                <w:lang w:val="en-US" w:eastAsia="zh-CN"/>
              </w:rPr>
              <w:t>/。</w:t>
            </w:r>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2D0411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3D0A17D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采购人要求包括但不限于以下内容：</w:t>
      </w:r>
    </w:p>
    <w:p w14:paraId="4064ECC2">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一、项目概况</w:t>
      </w:r>
    </w:p>
    <w:p w14:paraId="69AFC7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为提高安车集团物业管理服务质量，提升公司整体形象，现需采购物业服务，主要服务区域包括安车集团本部办公楼及室外区域、安行天下驾校训练场、安行天下培训学校办公楼、安源检测站办公楼及室外区域、安天汽贸公司办公区域等。</w:t>
      </w:r>
    </w:p>
    <w:p w14:paraId="17EACBC4">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二、物业服务范围及内容</w:t>
      </w:r>
    </w:p>
    <w:p w14:paraId="3E6333B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为招标人及其子公司提供物业服务，包括但不限于物业服务区域内的保洁、秩序维护等。具体工作内容包括但不限于：</w:t>
      </w:r>
    </w:p>
    <w:p w14:paraId="0719E3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（一）物业人员配置要求</w:t>
      </w:r>
    </w:p>
    <w:p w14:paraId="625C934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1.安保人员，男性，年龄在55周岁以下，身体健康，相貌端正，仪表大方，无犯罪记录，知法、懂法、守法、依法办事，严格遵守内部管理制度和从业规范，遵守安全管理规定；</w:t>
      </w:r>
    </w:p>
    <w:p w14:paraId="08B326D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4.保洁人员，年龄在55周岁以下，上岗时统一着装，仪容仪表规范整齐，言语规范，主动热情。</w:t>
      </w:r>
    </w:p>
    <w:p w14:paraId="313668B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具体物体人员配置要求详见下表：</w:t>
      </w:r>
    </w:p>
    <w:p w14:paraId="63D4B2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表1 物业人员配置表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84"/>
        <w:gridCol w:w="1701"/>
        <w:gridCol w:w="3985"/>
      </w:tblGrid>
      <w:tr w14:paraId="4DB28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38C9D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984" w:type="dxa"/>
            <w:vAlign w:val="center"/>
          </w:tcPr>
          <w:p w14:paraId="48FD25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岗位</w:t>
            </w:r>
          </w:p>
        </w:tc>
        <w:tc>
          <w:tcPr>
            <w:tcW w:w="1701" w:type="dxa"/>
            <w:vAlign w:val="center"/>
          </w:tcPr>
          <w:p w14:paraId="2B49FD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最少配置</w:t>
            </w:r>
          </w:p>
          <w:p w14:paraId="2207C9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人数要求</w:t>
            </w:r>
          </w:p>
        </w:tc>
        <w:tc>
          <w:tcPr>
            <w:tcW w:w="3985" w:type="dxa"/>
            <w:vAlign w:val="center"/>
          </w:tcPr>
          <w:p w14:paraId="414B08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备注</w:t>
            </w:r>
          </w:p>
        </w:tc>
      </w:tr>
      <w:tr w14:paraId="0BBD9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F039F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1984" w:type="dxa"/>
            <w:vAlign w:val="center"/>
          </w:tcPr>
          <w:p w14:paraId="31673C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安保人员</w:t>
            </w:r>
          </w:p>
        </w:tc>
        <w:tc>
          <w:tcPr>
            <w:tcW w:w="1701" w:type="dxa"/>
            <w:vAlign w:val="center"/>
          </w:tcPr>
          <w:p w14:paraId="13FA0D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5人</w:t>
            </w:r>
          </w:p>
        </w:tc>
        <w:tc>
          <w:tcPr>
            <w:tcW w:w="3985" w:type="dxa"/>
            <w:vAlign w:val="center"/>
          </w:tcPr>
          <w:p w14:paraId="758B1A0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1.全天班24小时；</w:t>
            </w:r>
          </w:p>
          <w:p w14:paraId="74C47CD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2.男性，年龄在55周岁以下，身体健康，形象良好。</w:t>
            </w:r>
          </w:p>
        </w:tc>
      </w:tr>
      <w:tr w14:paraId="282A0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850" w:type="dxa"/>
            <w:vAlign w:val="center"/>
          </w:tcPr>
          <w:p w14:paraId="29762DF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w:t>
            </w:r>
          </w:p>
        </w:tc>
        <w:tc>
          <w:tcPr>
            <w:tcW w:w="1984" w:type="dxa"/>
            <w:vAlign w:val="center"/>
          </w:tcPr>
          <w:p w14:paraId="429E643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保洁人员</w:t>
            </w:r>
          </w:p>
        </w:tc>
        <w:tc>
          <w:tcPr>
            <w:tcW w:w="1701" w:type="dxa"/>
            <w:vAlign w:val="center"/>
          </w:tcPr>
          <w:p w14:paraId="41C728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4人</w:t>
            </w:r>
          </w:p>
        </w:tc>
        <w:tc>
          <w:tcPr>
            <w:tcW w:w="3985" w:type="dxa"/>
            <w:vAlign w:val="center"/>
          </w:tcPr>
          <w:p w14:paraId="2DCC452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要求年龄在55周岁以下，身体健康，形象良好</w:t>
            </w:r>
          </w:p>
        </w:tc>
      </w:tr>
      <w:tr w14:paraId="405A9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gridSpan w:val="2"/>
            <w:vAlign w:val="center"/>
          </w:tcPr>
          <w:p w14:paraId="526541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合计</w:t>
            </w:r>
          </w:p>
        </w:tc>
        <w:tc>
          <w:tcPr>
            <w:tcW w:w="5686" w:type="dxa"/>
            <w:gridSpan w:val="2"/>
            <w:vAlign w:val="center"/>
          </w:tcPr>
          <w:p w14:paraId="0A13B3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9人</w:t>
            </w:r>
          </w:p>
        </w:tc>
      </w:tr>
    </w:tbl>
    <w:p w14:paraId="73E234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（二）服务要求</w:t>
      </w:r>
    </w:p>
    <w:p w14:paraId="308B89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投标人应当制定秩序维护制度及应急预案，秩序维护员负责进出口24小时安全值守以及物业服务区域内的安全巡逻等，做好值班、交接班情况记录；物业人员应统一着装，佩戴标志，语言规范，文明服务。</w:t>
      </w:r>
    </w:p>
    <w:p w14:paraId="584E070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1.门卫</w:t>
      </w:r>
    </w:p>
    <w:p w14:paraId="141498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（1）实行专人值守制度，24小时不间断值守。值守人员必须遵纪守法，严格执行门卫安全管理制度，做到“四不准”，即不准迟到早退、不准脱岗、缺岗或睡岗、不准酗酒、娱乐和打闹、不准无关人员入内；</w:t>
      </w:r>
    </w:p>
    <w:p w14:paraId="206F86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（2）对来访人员实行登记，并落实防疫规定，非办公时间来访人员不得入内。如确需进入的，应征求相关部门领导同意，并对来访人员身份核验登记；</w:t>
      </w:r>
    </w:p>
    <w:p w14:paraId="2AF38D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（3）对来访人员应用语礼貌规范，引导车辆有序通行、停放。</w:t>
      </w:r>
    </w:p>
    <w:p w14:paraId="15EAEFF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2.流动巡视</w:t>
      </w:r>
    </w:p>
    <w:p w14:paraId="24CD53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（1）巡逻人员应按照线路巡逻，保持警觉，发现情况及时报告、处理，发现闲杂人员，应阻止其入内；</w:t>
      </w:r>
    </w:p>
    <w:p w14:paraId="2EB21E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（2）巡逻时，发现问题应及时解决，遇到重大问题应及时通知秩序维护主管并报告招标人，巡逻范围应严密、杜绝盲点。</w:t>
      </w:r>
    </w:p>
    <w:p w14:paraId="0EEE5E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3.治安防范</w:t>
      </w:r>
    </w:p>
    <w:p w14:paraId="7B213C3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秩序维护员发现服务区域内发生违法犯罪行为的，应当及时疏散群众并报警，有能力制止的应及时制止，同时应采取措施保护现场。</w:t>
      </w:r>
    </w:p>
    <w:p w14:paraId="4A7413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4.卫生保洁</w:t>
      </w:r>
    </w:p>
    <w:p w14:paraId="1BEB426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保洁管理要求详见下表：</w:t>
      </w:r>
    </w:p>
    <w:p w14:paraId="409ED5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表2 安车集团办公楼保洁质量标准</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566"/>
        <w:gridCol w:w="2119"/>
        <w:gridCol w:w="3985"/>
      </w:tblGrid>
      <w:tr w14:paraId="4D25C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0EB984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566" w:type="dxa"/>
            <w:vAlign w:val="center"/>
          </w:tcPr>
          <w:p w14:paraId="3F507A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区域</w:t>
            </w:r>
          </w:p>
        </w:tc>
        <w:tc>
          <w:tcPr>
            <w:tcW w:w="2119" w:type="dxa"/>
            <w:vAlign w:val="center"/>
          </w:tcPr>
          <w:p w14:paraId="27644A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工作周期</w:t>
            </w:r>
          </w:p>
        </w:tc>
        <w:tc>
          <w:tcPr>
            <w:tcW w:w="3985" w:type="dxa"/>
            <w:vAlign w:val="center"/>
          </w:tcPr>
          <w:p w14:paraId="445FAF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工作标准</w:t>
            </w:r>
          </w:p>
        </w:tc>
      </w:tr>
      <w:tr w14:paraId="70F9A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369D578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w:t>
            </w:r>
          </w:p>
        </w:tc>
        <w:tc>
          <w:tcPr>
            <w:tcW w:w="1566" w:type="dxa"/>
            <w:vAlign w:val="center"/>
          </w:tcPr>
          <w:p w14:paraId="7FBFDDE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2-3楼卫生间</w:t>
            </w:r>
          </w:p>
        </w:tc>
        <w:tc>
          <w:tcPr>
            <w:tcW w:w="2119" w:type="dxa"/>
            <w:vAlign w:val="center"/>
          </w:tcPr>
          <w:p w14:paraId="3DBFCF6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每天清扫 2 次以上，拖洗 1 次以上，并全天保持整洁</w:t>
            </w:r>
          </w:p>
        </w:tc>
        <w:tc>
          <w:tcPr>
            <w:tcW w:w="3985" w:type="dxa"/>
            <w:vAlign w:val="center"/>
          </w:tcPr>
          <w:p w14:paraId="08D3C02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干净无尘、无污渍，无异味，地面保持干爽，无污渍，无垃圾</w:t>
            </w:r>
          </w:p>
        </w:tc>
      </w:tr>
      <w:tr w14:paraId="1C8D5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45795C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w:t>
            </w:r>
          </w:p>
        </w:tc>
        <w:tc>
          <w:tcPr>
            <w:tcW w:w="1566" w:type="dxa"/>
            <w:vAlign w:val="center"/>
          </w:tcPr>
          <w:p w14:paraId="580480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2楼走廊</w:t>
            </w:r>
          </w:p>
        </w:tc>
        <w:tc>
          <w:tcPr>
            <w:tcW w:w="2119" w:type="dxa"/>
            <w:vAlign w:val="center"/>
          </w:tcPr>
          <w:p w14:paraId="32D7A21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17A60FD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做到地面无积水、无污垢、无痰迹、无纸屑、无烟头，无瓜皮果壳</w:t>
            </w:r>
          </w:p>
        </w:tc>
      </w:tr>
      <w:tr w14:paraId="5B208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04F57CE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w:t>
            </w:r>
          </w:p>
        </w:tc>
        <w:tc>
          <w:tcPr>
            <w:tcW w:w="1566" w:type="dxa"/>
            <w:vAlign w:val="center"/>
          </w:tcPr>
          <w:p w14:paraId="15278EE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会议室</w:t>
            </w:r>
          </w:p>
          <w:p w14:paraId="6FF7BF8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（3个）</w:t>
            </w:r>
          </w:p>
        </w:tc>
        <w:tc>
          <w:tcPr>
            <w:tcW w:w="2119" w:type="dxa"/>
            <w:vAlign w:val="center"/>
          </w:tcPr>
          <w:p w14:paraId="2819396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6A8A1A3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干净无尘、桌椅地面保持干净整洁</w:t>
            </w:r>
          </w:p>
        </w:tc>
      </w:tr>
      <w:tr w14:paraId="556BA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E8A685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4</w:t>
            </w:r>
          </w:p>
        </w:tc>
        <w:tc>
          <w:tcPr>
            <w:tcW w:w="1566" w:type="dxa"/>
            <w:vAlign w:val="center"/>
          </w:tcPr>
          <w:p w14:paraId="22CD5C3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1楼门厅</w:t>
            </w:r>
          </w:p>
        </w:tc>
        <w:tc>
          <w:tcPr>
            <w:tcW w:w="2119" w:type="dxa"/>
            <w:vAlign w:val="center"/>
          </w:tcPr>
          <w:p w14:paraId="37B4E0A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22E9600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干净无尘、无纸屑、无杂物、无积水</w:t>
            </w:r>
          </w:p>
        </w:tc>
      </w:tr>
      <w:tr w14:paraId="42DB8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6EE81D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w:t>
            </w:r>
          </w:p>
        </w:tc>
        <w:tc>
          <w:tcPr>
            <w:tcW w:w="1566" w:type="dxa"/>
            <w:vAlign w:val="center"/>
          </w:tcPr>
          <w:p w14:paraId="3B1FFC9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2楼楼道</w:t>
            </w:r>
          </w:p>
        </w:tc>
        <w:tc>
          <w:tcPr>
            <w:tcW w:w="2119" w:type="dxa"/>
            <w:vAlign w:val="center"/>
          </w:tcPr>
          <w:p w14:paraId="72754A5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4636BAE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14:paraId="7ADCA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07A01A8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6</w:t>
            </w:r>
          </w:p>
        </w:tc>
        <w:tc>
          <w:tcPr>
            <w:tcW w:w="1566" w:type="dxa"/>
            <w:vAlign w:val="center"/>
          </w:tcPr>
          <w:p w14:paraId="50C10B4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垃圾桶</w:t>
            </w:r>
          </w:p>
        </w:tc>
        <w:tc>
          <w:tcPr>
            <w:tcW w:w="2119" w:type="dxa"/>
            <w:vAlign w:val="center"/>
          </w:tcPr>
          <w:p w14:paraId="107D07A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垃圾及时清运，垃圾不超过垃圾桶的2/3</w:t>
            </w:r>
          </w:p>
        </w:tc>
        <w:tc>
          <w:tcPr>
            <w:tcW w:w="3985" w:type="dxa"/>
            <w:vAlign w:val="center"/>
          </w:tcPr>
          <w:p w14:paraId="4F0EA40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及时清理，垃圾桶外部无明显污渍</w:t>
            </w:r>
          </w:p>
        </w:tc>
      </w:tr>
      <w:tr w14:paraId="4BE91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AD77F4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7</w:t>
            </w:r>
          </w:p>
        </w:tc>
        <w:tc>
          <w:tcPr>
            <w:tcW w:w="1566" w:type="dxa"/>
            <w:vAlign w:val="center"/>
          </w:tcPr>
          <w:p w14:paraId="0036F7C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院内</w:t>
            </w:r>
          </w:p>
        </w:tc>
        <w:tc>
          <w:tcPr>
            <w:tcW w:w="2119" w:type="dxa"/>
            <w:shd w:val="clear" w:color="auto" w:fill="auto"/>
            <w:vAlign w:val="center"/>
          </w:tcPr>
          <w:p w14:paraId="36960C3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1"/>
                <w:szCs w:val="21"/>
                <w:highlight w:val="none"/>
                <w:lang w:val="en-US" w:eastAsia="zh-CN" w:bidi="ar-SA"/>
              </w:rPr>
            </w:pPr>
            <w:r>
              <w:rPr>
                <w:rFonts w:hint="eastAsia" w:ascii="Times New Roman" w:hAnsi="Times New Roman" w:cs="Times New Roman"/>
                <w:kern w:val="0"/>
                <w:sz w:val="21"/>
                <w:szCs w:val="21"/>
                <w:highlight w:val="none"/>
                <w:lang w:val="en-US" w:eastAsia="zh-CN"/>
              </w:rPr>
              <w:t>全体保持干净整洁</w:t>
            </w:r>
          </w:p>
        </w:tc>
        <w:tc>
          <w:tcPr>
            <w:tcW w:w="3985" w:type="dxa"/>
            <w:shd w:val="clear" w:color="auto" w:fill="auto"/>
            <w:vAlign w:val="center"/>
          </w:tcPr>
          <w:p w14:paraId="7AED6BF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1"/>
                <w:szCs w:val="21"/>
                <w:highlight w:val="none"/>
                <w:lang w:val="en-US" w:eastAsia="zh-CN" w:bidi="ar-SA"/>
              </w:rPr>
            </w:pPr>
            <w:r>
              <w:rPr>
                <w:rFonts w:hint="eastAsia" w:ascii="Times New Roman" w:hAnsi="Times New Roman" w:cs="Times New Roman"/>
                <w:kern w:val="0"/>
                <w:sz w:val="21"/>
                <w:szCs w:val="21"/>
                <w:highlight w:val="none"/>
                <w:lang w:val="en-US" w:eastAsia="zh-CN"/>
              </w:rPr>
              <w:t>无杂物、无积水、无痰迹，保持洁净</w:t>
            </w:r>
          </w:p>
        </w:tc>
      </w:tr>
    </w:tbl>
    <w:p w14:paraId="68ECDA2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14:paraId="7F5EA2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表3 安源检测站办公楼保洁质量标准</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589"/>
        <w:gridCol w:w="2096"/>
        <w:gridCol w:w="3985"/>
      </w:tblGrid>
      <w:tr w14:paraId="12D6F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D5FBA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589" w:type="dxa"/>
            <w:vAlign w:val="center"/>
          </w:tcPr>
          <w:p w14:paraId="2C17AD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区域</w:t>
            </w:r>
          </w:p>
        </w:tc>
        <w:tc>
          <w:tcPr>
            <w:tcW w:w="2096" w:type="dxa"/>
            <w:vAlign w:val="center"/>
          </w:tcPr>
          <w:p w14:paraId="109E28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工作周期</w:t>
            </w:r>
          </w:p>
        </w:tc>
        <w:tc>
          <w:tcPr>
            <w:tcW w:w="3985" w:type="dxa"/>
            <w:vAlign w:val="center"/>
          </w:tcPr>
          <w:p w14:paraId="55C90B7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工作标准</w:t>
            </w:r>
          </w:p>
        </w:tc>
      </w:tr>
      <w:tr w14:paraId="49CE2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846FD9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w:t>
            </w:r>
          </w:p>
        </w:tc>
        <w:tc>
          <w:tcPr>
            <w:tcW w:w="1589" w:type="dxa"/>
            <w:vAlign w:val="center"/>
          </w:tcPr>
          <w:p w14:paraId="75AE036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卫生间</w:t>
            </w:r>
          </w:p>
        </w:tc>
        <w:tc>
          <w:tcPr>
            <w:tcW w:w="2096" w:type="dxa"/>
            <w:vAlign w:val="center"/>
          </w:tcPr>
          <w:p w14:paraId="033FCE9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每天清扫 2 次以上，拖洗 1 次以上，并全天保持整洁</w:t>
            </w:r>
          </w:p>
        </w:tc>
        <w:tc>
          <w:tcPr>
            <w:tcW w:w="3985" w:type="dxa"/>
            <w:vAlign w:val="center"/>
          </w:tcPr>
          <w:p w14:paraId="193F9FD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干净无尘、无污渍，无异味，地面保持干爽，无污渍，无垃圾</w:t>
            </w:r>
          </w:p>
        </w:tc>
      </w:tr>
      <w:tr w14:paraId="26319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0A399DA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w:t>
            </w:r>
          </w:p>
        </w:tc>
        <w:tc>
          <w:tcPr>
            <w:tcW w:w="1589" w:type="dxa"/>
            <w:vAlign w:val="center"/>
          </w:tcPr>
          <w:p w14:paraId="0C8070E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走廊</w:t>
            </w:r>
          </w:p>
        </w:tc>
        <w:tc>
          <w:tcPr>
            <w:tcW w:w="2096" w:type="dxa"/>
            <w:vAlign w:val="center"/>
          </w:tcPr>
          <w:p w14:paraId="2463346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67CA012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做到地面无积水、无污垢、无痰迹、无纸屑、无烟头，无瓜皮果壳</w:t>
            </w:r>
          </w:p>
        </w:tc>
      </w:tr>
      <w:tr w14:paraId="460E4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57765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w:t>
            </w:r>
          </w:p>
        </w:tc>
        <w:tc>
          <w:tcPr>
            <w:tcW w:w="1589" w:type="dxa"/>
            <w:vAlign w:val="center"/>
          </w:tcPr>
          <w:p w14:paraId="02E1E80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大厅</w:t>
            </w:r>
          </w:p>
        </w:tc>
        <w:tc>
          <w:tcPr>
            <w:tcW w:w="2096" w:type="dxa"/>
            <w:vAlign w:val="center"/>
          </w:tcPr>
          <w:p w14:paraId="57CCEB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1EE003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干净无尘、无纸屑、无杂物、无积水</w:t>
            </w:r>
          </w:p>
        </w:tc>
      </w:tr>
      <w:tr w14:paraId="0A5CD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0444A2C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4</w:t>
            </w:r>
          </w:p>
        </w:tc>
        <w:tc>
          <w:tcPr>
            <w:tcW w:w="1589" w:type="dxa"/>
            <w:vAlign w:val="center"/>
          </w:tcPr>
          <w:p w14:paraId="5F2295B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楼道</w:t>
            </w:r>
          </w:p>
        </w:tc>
        <w:tc>
          <w:tcPr>
            <w:tcW w:w="2096" w:type="dxa"/>
            <w:vAlign w:val="center"/>
          </w:tcPr>
          <w:p w14:paraId="59F0E61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2C073B5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14:paraId="517A9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021B40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w:t>
            </w:r>
          </w:p>
        </w:tc>
        <w:tc>
          <w:tcPr>
            <w:tcW w:w="1589" w:type="dxa"/>
            <w:vAlign w:val="center"/>
          </w:tcPr>
          <w:p w14:paraId="2DE98D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外围</w:t>
            </w:r>
          </w:p>
          <w:p w14:paraId="206DD0F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道路</w:t>
            </w:r>
          </w:p>
        </w:tc>
        <w:tc>
          <w:tcPr>
            <w:tcW w:w="2096" w:type="dxa"/>
            <w:vAlign w:val="center"/>
          </w:tcPr>
          <w:p w14:paraId="56D9B5B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全体保持干净整洁</w:t>
            </w:r>
          </w:p>
        </w:tc>
        <w:tc>
          <w:tcPr>
            <w:tcW w:w="3985" w:type="dxa"/>
            <w:vAlign w:val="center"/>
          </w:tcPr>
          <w:p w14:paraId="0B022C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14:paraId="0B8E2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55DD61B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6</w:t>
            </w:r>
          </w:p>
        </w:tc>
        <w:tc>
          <w:tcPr>
            <w:tcW w:w="1589" w:type="dxa"/>
            <w:vAlign w:val="center"/>
          </w:tcPr>
          <w:p w14:paraId="649ECDD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垃圾桶</w:t>
            </w:r>
          </w:p>
        </w:tc>
        <w:tc>
          <w:tcPr>
            <w:tcW w:w="2096" w:type="dxa"/>
            <w:vAlign w:val="center"/>
          </w:tcPr>
          <w:p w14:paraId="159A3B6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垃圾及时清运，垃圾不超过垃圾桶的2/3</w:t>
            </w:r>
          </w:p>
        </w:tc>
        <w:tc>
          <w:tcPr>
            <w:tcW w:w="3985" w:type="dxa"/>
            <w:vAlign w:val="center"/>
          </w:tcPr>
          <w:p w14:paraId="285D526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及时清理，垃圾桶外部无明显污渍</w:t>
            </w:r>
          </w:p>
        </w:tc>
      </w:tr>
    </w:tbl>
    <w:p w14:paraId="4FA5CD7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p>
    <w:p w14:paraId="6D9E069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表4 安行天下驾校（公共区域、办公楼等）保洁质量标准</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678"/>
        <w:gridCol w:w="2007"/>
        <w:gridCol w:w="3985"/>
      </w:tblGrid>
      <w:tr w14:paraId="3E469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96A4C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678" w:type="dxa"/>
            <w:vAlign w:val="center"/>
          </w:tcPr>
          <w:p w14:paraId="78E54D5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区域</w:t>
            </w:r>
          </w:p>
        </w:tc>
        <w:tc>
          <w:tcPr>
            <w:tcW w:w="2007" w:type="dxa"/>
            <w:vAlign w:val="center"/>
          </w:tcPr>
          <w:p w14:paraId="4E6910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工作周期</w:t>
            </w:r>
          </w:p>
        </w:tc>
        <w:tc>
          <w:tcPr>
            <w:tcW w:w="3985" w:type="dxa"/>
            <w:vAlign w:val="center"/>
          </w:tcPr>
          <w:p w14:paraId="06F974F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工作标准</w:t>
            </w:r>
          </w:p>
        </w:tc>
      </w:tr>
      <w:tr w14:paraId="0A31B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3802BA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w:t>
            </w:r>
          </w:p>
        </w:tc>
        <w:tc>
          <w:tcPr>
            <w:tcW w:w="1678" w:type="dxa"/>
            <w:vAlign w:val="center"/>
          </w:tcPr>
          <w:p w14:paraId="73355FE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训练场</w:t>
            </w:r>
          </w:p>
          <w:p w14:paraId="38B78EB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智能训练场</w:t>
            </w:r>
          </w:p>
        </w:tc>
        <w:tc>
          <w:tcPr>
            <w:tcW w:w="2007" w:type="dxa"/>
            <w:vAlign w:val="center"/>
          </w:tcPr>
          <w:p w14:paraId="1180278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217232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14:paraId="5764B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4BB4AC1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w:t>
            </w:r>
          </w:p>
        </w:tc>
        <w:tc>
          <w:tcPr>
            <w:tcW w:w="1678" w:type="dxa"/>
            <w:vAlign w:val="center"/>
          </w:tcPr>
          <w:p w14:paraId="1B9576B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办公楼</w:t>
            </w:r>
          </w:p>
          <w:p w14:paraId="544395F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一楼大厅</w:t>
            </w:r>
          </w:p>
        </w:tc>
        <w:tc>
          <w:tcPr>
            <w:tcW w:w="2007" w:type="dxa"/>
            <w:vAlign w:val="center"/>
          </w:tcPr>
          <w:p w14:paraId="33B5BE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51C2005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干净无尘、无纸屑、无杂物、无积水</w:t>
            </w:r>
          </w:p>
        </w:tc>
      </w:tr>
      <w:tr w14:paraId="11F51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D6A0D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w:t>
            </w:r>
          </w:p>
        </w:tc>
        <w:tc>
          <w:tcPr>
            <w:tcW w:w="1678" w:type="dxa"/>
            <w:vAlign w:val="center"/>
          </w:tcPr>
          <w:p w14:paraId="6C8A0AF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机房</w:t>
            </w:r>
          </w:p>
        </w:tc>
        <w:tc>
          <w:tcPr>
            <w:tcW w:w="2007" w:type="dxa"/>
            <w:vAlign w:val="center"/>
          </w:tcPr>
          <w:p w14:paraId="3CBEBA4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5154439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无灰尘，无杂物、无痰迹</w:t>
            </w:r>
          </w:p>
        </w:tc>
      </w:tr>
      <w:tr w14:paraId="645F4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E0EC35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4</w:t>
            </w:r>
          </w:p>
        </w:tc>
        <w:tc>
          <w:tcPr>
            <w:tcW w:w="1678" w:type="dxa"/>
            <w:vAlign w:val="center"/>
          </w:tcPr>
          <w:p w14:paraId="61309A3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卫生间</w:t>
            </w:r>
          </w:p>
        </w:tc>
        <w:tc>
          <w:tcPr>
            <w:tcW w:w="2007" w:type="dxa"/>
            <w:vAlign w:val="center"/>
          </w:tcPr>
          <w:p w14:paraId="5C35651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每天清扫 2 次以上，拖洗 1 次以上，并全天保持整洁</w:t>
            </w:r>
          </w:p>
        </w:tc>
        <w:tc>
          <w:tcPr>
            <w:tcW w:w="3985" w:type="dxa"/>
            <w:vAlign w:val="center"/>
          </w:tcPr>
          <w:p w14:paraId="2FDC88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干净无尘、无污渍，无异味，地面保持干爽，无污渍，无垃圾</w:t>
            </w:r>
          </w:p>
        </w:tc>
      </w:tr>
      <w:tr w14:paraId="41CCF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3D75294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w:t>
            </w:r>
          </w:p>
        </w:tc>
        <w:tc>
          <w:tcPr>
            <w:tcW w:w="1678" w:type="dxa"/>
            <w:vAlign w:val="center"/>
          </w:tcPr>
          <w:p w14:paraId="4B72DF2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外围道路</w:t>
            </w:r>
          </w:p>
        </w:tc>
        <w:tc>
          <w:tcPr>
            <w:tcW w:w="2007" w:type="dxa"/>
            <w:vAlign w:val="center"/>
          </w:tcPr>
          <w:p w14:paraId="30BE056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全体保持干净整洁</w:t>
            </w:r>
          </w:p>
        </w:tc>
        <w:tc>
          <w:tcPr>
            <w:tcW w:w="3985" w:type="dxa"/>
            <w:vAlign w:val="center"/>
          </w:tcPr>
          <w:p w14:paraId="35A4B9F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14:paraId="28338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319C3B3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6</w:t>
            </w:r>
          </w:p>
        </w:tc>
        <w:tc>
          <w:tcPr>
            <w:tcW w:w="1678" w:type="dxa"/>
            <w:vAlign w:val="center"/>
          </w:tcPr>
          <w:p w14:paraId="2DDC505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垃圾桶</w:t>
            </w:r>
          </w:p>
        </w:tc>
        <w:tc>
          <w:tcPr>
            <w:tcW w:w="2007" w:type="dxa"/>
            <w:vAlign w:val="center"/>
          </w:tcPr>
          <w:p w14:paraId="53AECEF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垃圾及时清运，垃圾不超过垃圾桶的2/3</w:t>
            </w:r>
          </w:p>
        </w:tc>
        <w:tc>
          <w:tcPr>
            <w:tcW w:w="3985" w:type="dxa"/>
            <w:vAlign w:val="center"/>
          </w:tcPr>
          <w:p w14:paraId="0745801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及时清理，垃圾桶外部无明显污渍</w:t>
            </w:r>
          </w:p>
        </w:tc>
      </w:tr>
    </w:tbl>
    <w:p w14:paraId="7151637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p>
    <w:p w14:paraId="21D443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表5 职业培训学校（4—6层）保洁质量标准</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84"/>
        <w:gridCol w:w="1701"/>
        <w:gridCol w:w="3985"/>
      </w:tblGrid>
      <w:tr w14:paraId="13E89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14:paraId="5F9CE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984" w:type="dxa"/>
            <w:vAlign w:val="center"/>
          </w:tcPr>
          <w:p w14:paraId="65E3C0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区域</w:t>
            </w:r>
          </w:p>
        </w:tc>
        <w:tc>
          <w:tcPr>
            <w:tcW w:w="1701" w:type="dxa"/>
            <w:vAlign w:val="center"/>
          </w:tcPr>
          <w:p w14:paraId="62FD7B2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工作周期</w:t>
            </w:r>
          </w:p>
        </w:tc>
        <w:tc>
          <w:tcPr>
            <w:tcW w:w="3985" w:type="dxa"/>
            <w:vAlign w:val="center"/>
          </w:tcPr>
          <w:p w14:paraId="5D324C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工作标准</w:t>
            </w:r>
          </w:p>
        </w:tc>
      </w:tr>
      <w:tr w14:paraId="4D6D0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0289BD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w:t>
            </w:r>
          </w:p>
        </w:tc>
        <w:tc>
          <w:tcPr>
            <w:tcW w:w="1984" w:type="dxa"/>
            <w:vAlign w:val="center"/>
          </w:tcPr>
          <w:p w14:paraId="4CF8158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卫生间</w:t>
            </w:r>
          </w:p>
        </w:tc>
        <w:tc>
          <w:tcPr>
            <w:tcW w:w="1701" w:type="dxa"/>
            <w:vAlign w:val="center"/>
          </w:tcPr>
          <w:p w14:paraId="07DB408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每天清扫 2 次以上，拖洗 1 次以上，并全天保持整洁</w:t>
            </w:r>
          </w:p>
        </w:tc>
        <w:tc>
          <w:tcPr>
            <w:tcW w:w="3985" w:type="dxa"/>
            <w:vAlign w:val="center"/>
          </w:tcPr>
          <w:p w14:paraId="7900B8A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干净无尘、无污渍，无异味，地面保持干爽，无污渍，无垃圾</w:t>
            </w:r>
          </w:p>
        </w:tc>
      </w:tr>
      <w:tr w14:paraId="26EBE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4AA815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w:t>
            </w:r>
          </w:p>
        </w:tc>
        <w:tc>
          <w:tcPr>
            <w:tcW w:w="1984" w:type="dxa"/>
            <w:vAlign w:val="center"/>
          </w:tcPr>
          <w:p w14:paraId="5080B49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走廊</w:t>
            </w:r>
          </w:p>
        </w:tc>
        <w:tc>
          <w:tcPr>
            <w:tcW w:w="1701" w:type="dxa"/>
            <w:vAlign w:val="center"/>
          </w:tcPr>
          <w:p w14:paraId="6308AAE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39B2B71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做到地面无积水、无污垢、无痰迹、无纸屑、无烟头，无瓜皮果壳</w:t>
            </w:r>
          </w:p>
        </w:tc>
      </w:tr>
      <w:tr w14:paraId="22ABD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31B04ED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w:t>
            </w:r>
          </w:p>
        </w:tc>
        <w:tc>
          <w:tcPr>
            <w:tcW w:w="1984" w:type="dxa"/>
            <w:vAlign w:val="center"/>
          </w:tcPr>
          <w:p w14:paraId="0C0E64E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会议室</w:t>
            </w:r>
          </w:p>
        </w:tc>
        <w:tc>
          <w:tcPr>
            <w:tcW w:w="1701" w:type="dxa"/>
            <w:vAlign w:val="center"/>
          </w:tcPr>
          <w:p w14:paraId="1ECF51B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362DB63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干净无尘、桌椅地面保持干净整洁</w:t>
            </w:r>
          </w:p>
        </w:tc>
      </w:tr>
      <w:tr w14:paraId="66536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CE49AD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4</w:t>
            </w:r>
          </w:p>
        </w:tc>
        <w:tc>
          <w:tcPr>
            <w:tcW w:w="1984" w:type="dxa"/>
            <w:vAlign w:val="center"/>
          </w:tcPr>
          <w:p w14:paraId="49FA4D4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大厅</w:t>
            </w:r>
          </w:p>
        </w:tc>
        <w:tc>
          <w:tcPr>
            <w:tcW w:w="1701" w:type="dxa"/>
            <w:vAlign w:val="center"/>
          </w:tcPr>
          <w:p w14:paraId="755ABFC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433E5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干净无尘、无纸屑、无杂物、无积水</w:t>
            </w:r>
          </w:p>
        </w:tc>
      </w:tr>
      <w:tr w14:paraId="207AE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AFBBC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w:t>
            </w:r>
          </w:p>
        </w:tc>
        <w:tc>
          <w:tcPr>
            <w:tcW w:w="1984" w:type="dxa"/>
            <w:vAlign w:val="center"/>
          </w:tcPr>
          <w:p w14:paraId="0B12325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电梯</w:t>
            </w:r>
          </w:p>
        </w:tc>
        <w:tc>
          <w:tcPr>
            <w:tcW w:w="1701" w:type="dxa"/>
            <w:vAlign w:val="center"/>
          </w:tcPr>
          <w:p w14:paraId="16E81FF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电梯轿厢地面每天清扫两次，并全天保持干净</w:t>
            </w:r>
          </w:p>
        </w:tc>
        <w:tc>
          <w:tcPr>
            <w:tcW w:w="3985" w:type="dxa"/>
            <w:vAlign w:val="center"/>
          </w:tcPr>
          <w:p w14:paraId="7E4E80E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14:paraId="6959A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6B16F4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6</w:t>
            </w:r>
          </w:p>
        </w:tc>
        <w:tc>
          <w:tcPr>
            <w:tcW w:w="1984" w:type="dxa"/>
            <w:vAlign w:val="center"/>
          </w:tcPr>
          <w:p w14:paraId="2781E4B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楼道</w:t>
            </w:r>
          </w:p>
        </w:tc>
        <w:tc>
          <w:tcPr>
            <w:tcW w:w="1701" w:type="dxa"/>
            <w:vAlign w:val="center"/>
          </w:tcPr>
          <w:p w14:paraId="796A4EC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7F474E2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14:paraId="3D709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5FC76F7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7</w:t>
            </w:r>
          </w:p>
        </w:tc>
        <w:tc>
          <w:tcPr>
            <w:tcW w:w="1984" w:type="dxa"/>
            <w:vAlign w:val="center"/>
          </w:tcPr>
          <w:p w14:paraId="231FDB8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垃圾桶</w:t>
            </w:r>
          </w:p>
        </w:tc>
        <w:tc>
          <w:tcPr>
            <w:tcW w:w="1701" w:type="dxa"/>
            <w:vAlign w:val="center"/>
          </w:tcPr>
          <w:p w14:paraId="307E5CD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垃圾及时清运，垃圾不超过垃圾桶的2/3</w:t>
            </w:r>
          </w:p>
        </w:tc>
        <w:tc>
          <w:tcPr>
            <w:tcW w:w="3985" w:type="dxa"/>
            <w:vAlign w:val="center"/>
          </w:tcPr>
          <w:p w14:paraId="31D60A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及时清理，垃圾桶外部无明显污渍</w:t>
            </w:r>
          </w:p>
        </w:tc>
      </w:tr>
    </w:tbl>
    <w:p w14:paraId="2066B6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14:paraId="18CCC3CA">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2B1D173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bCs/>
          <w:i w:val="0"/>
          <w:i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附件：物业服务季度考核评价表</w:t>
      </w:r>
    </w:p>
    <w:p w14:paraId="7A2F95A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i w:val="0"/>
          <w:iCs w:val="0"/>
          <w:kern w:val="0"/>
          <w:sz w:val="24"/>
          <w:szCs w:val="24"/>
          <w:highlight w:val="none"/>
          <w:lang w:val="en-US" w:eastAsia="zh-CN"/>
        </w:rPr>
      </w:pPr>
    </w:p>
    <w:p w14:paraId="08AEE71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i w:val="0"/>
          <w:iCs w:val="0"/>
          <w:kern w:val="0"/>
          <w:sz w:val="24"/>
          <w:szCs w:val="24"/>
          <w:highlight w:val="none"/>
          <w:lang w:val="en-US" w:eastAsia="zh-CN"/>
        </w:rPr>
      </w:pPr>
      <w:r>
        <w:rPr>
          <w:rFonts w:hint="eastAsia" w:ascii="Times New Roman" w:hAnsi="Times New Roman" w:cs="Times New Roman"/>
          <w:b/>
          <w:bCs/>
          <w:i w:val="0"/>
          <w:iCs w:val="0"/>
          <w:kern w:val="0"/>
          <w:sz w:val="24"/>
          <w:szCs w:val="24"/>
          <w:highlight w:val="none"/>
          <w:lang w:val="en-US" w:eastAsia="zh-CN"/>
        </w:rPr>
        <w:t>物业服务季度考核评价表</w:t>
      </w:r>
    </w:p>
    <w:p w14:paraId="6D8B773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4269"/>
        <w:gridCol w:w="850"/>
        <w:gridCol w:w="850"/>
      </w:tblGrid>
      <w:tr w14:paraId="14576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14:paraId="5A58A1FB">
            <w:pPr>
              <w:pStyle w:val="31"/>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序号</w:t>
            </w:r>
          </w:p>
        </w:tc>
        <w:tc>
          <w:tcPr>
            <w:tcW w:w="1701" w:type="dxa"/>
            <w:vAlign w:val="center"/>
          </w:tcPr>
          <w:p w14:paraId="13BAF10E">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考核评价因素</w:t>
            </w:r>
          </w:p>
        </w:tc>
        <w:tc>
          <w:tcPr>
            <w:tcW w:w="4269" w:type="dxa"/>
            <w:vAlign w:val="center"/>
          </w:tcPr>
          <w:p w14:paraId="403F8E51">
            <w:pPr>
              <w:pStyle w:val="31"/>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评</w:t>
            </w:r>
            <w:r>
              <w:rPr>
                <w:rFonts w:hint="eastAsia" w:cs="Times New Roman" w:eastAsiaTheme="minorEastAsia"/>
                <w:snapToGrid w:val="0"/>
                <w:sz w:val="21"/>
                <w:szCs w:val="21"/>
                <w:lang w:val="en-US" w:eastAsia="zh-CN"/>
              </w:rPr>
              <w:t>价</w:t>
            </w:r>
            <w:r>
              <w:rPr>
                <w:rFonts w:hint="default" w:ascii="Times New Roman" w:hAnsi="Times New Roman" w:cs="Times New Roman" w:eastAsiaTheme="minorEastAsia"/>
                <w:snapToGrid w:val="0"/>
                <w:sz w:val="21"/>
                <w:szCs w:val="21"/>
              </w:rPr>
              <w:t>标准</w:t>
            </w:r>
          </w:p>
        </w:tc>
        <w:tc>
          <w:tcPr>
            <w:tcW w:w="850" w:type="dxa"/>
            <w:vAlign w:val="center"/>
          </w:tcPr>
          <w:p w14:paraId="26C2E221">
            <w:pPr>
              <w:pStyle w:val="31"/>
              <w:adjustRightInd w:val="0"/>
              <w:snapToGrid w:val="0"/>
              <w:jc w:val="center"/>
              <w:rPr>
                <w:rFonts w:hint="eastAsia" w:ascii="Times New Roman" w:hAnsi="Times New Roman" w:cs="Times New Roman" w:eastAsiaTheme="minorEastAsia"/>
                <w:snapToGrid w:val="0"/>
                <w:sz w:val="21"/>
                <w:szCs w:val="21"/>
                <w:lang w:eastAsia="zh-CN"/>
              </w:rPr>
            </w:pPr>
            <w:r>
              <w:rPr>
                <w:rFonts w:hint="eastAsia" w:cs="Times New Roman" w:eastAsiaTheme="minorEastAsia"/>
                <w:snapToGrid w:val="0"/>
                <w:sz w:val="21"/>
                <w:szCs w:val="21"/>
                <w:lang w:val="en-US" w:eastAsia="zh-CN"/>
              </w:rPr>
              <w:t>分值</w:t>
            </w:r>
          </w:p>
        </w:tc>
        <w:tc>
          <w:tcPr>
            <w:tcW w:w="850" w:type="dxa"/>
            <w:vAlign w:val="center"/>
          </w:tcPr>
          <w:p w14:paraId="4FA11080">
            <w:pPr>
              <w:pStyle w:val="31"/>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评分</w:t>
            </w:r>
          </w:p>
        </w:tc>
      </w:tr>
      <w:tr w14:paraId="53D81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14:paraId="42E19344">
            <w:pPr>
              <w:pStyle w:val="31"/>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1</w:t>
            </w:r>
          </w:p>
        </w:tc>
        <w:tc>
          <w:tcPr>
            <w:tcW w:w="1701" w:type="dxa"/>
            <w:vAlign w:val="center"/>
          </w:tcPr>
          <w:p w14:paraId="3002D5DF">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制度规定方面</w:t>
            </w:r>
          </w:p>
        </w:tc>
        <w:tc>
          <w:tcPr>
            <w:tcW w:w="4269" w:type="dxa"/>
            <w:vAlign w:val="center"/>
          </w:tcPr>
          <w:p w14:paraId="58CDEE6B">
            <w:pPr>
              <w:pStyle w:val="31"/>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保洁员岗位职责、保安员岗位职责、卫生间保洁标准、卫生间使用管理制度等内容齐全，制度上墙。每少一项扣3分。</w:t>
            </w:r>
          </w:p>
        </w:tc>
        <w:tc>
          <w:tcPr>
            <w:tcW w:w="850" w:type="dxa"/>
            <w:vAlign w:val="center"/>
          </w:tcPr>
          <w:p w14:paraId="63A8958F">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10</w:t>
            </w:r>
          </w:p>
        </w:tc>
        <w:tc>
          <w:tcPr>
            <w:tcW w:w="850" w:type="dxa"/>
            <w:vAlign w:val="center"/>
          </w:tcPr>
          <w:p w14:paraId="06B05F28">
            <w:pPr>
              <w:pStyle w:val="31"/>
              <w:adjustRightInd w:val="0"/>
              <w:snapToGrid w:val="0"/>
              <w:jc w:val="center"/>
              <w:rPr>
                <w:rFonts w:hint="default" w:ascii="Times New Roman" w:hAnsi="Times New Roman" w:cs="Times New Roman" w:eastAsiaTheme="minorEastAsia"/>
                <w:snapToGrid w:val="0"/>
                <w:sz w:val="21"/>
                <w:szCs w:val="21"/>
              </w:rPr>
            </w:pPr>
          </w:p>
        </w:tc>
      </w:tr>
      <w:tr w14:paraId="43024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14:paraId="4A388E18">
            <w:pPr>
              <w:pStyle w:val="31"/>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2</w:t>
            </w:r>
          </w:p>
        </w:tc>
        <w:tc>
          <w:tcPr>
            <w:tcW w:w="1701" w:type="dxa"/>
            <w:vAlign w:val="center"/>
          </w:tcPr>
          <w:p w14:paraId="5641BA32">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督导管理方面</w:t>
            </w:r>
          </w:p>
        </w:tc>
        <w:tc>
          <w:tcPr>
            <w:tcW w:w="4269" w:type="dxa"/>
            <w:vAlign w:val="center"/>
          </w:tcPr>
          <w:p w14:paraId="39141BCD">
            <w:pPr>
              <w:pStyle w:val="31"/>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项目经理对</w:t>
            </w:r>
            <w:r>
              <w:rPr>
                <w:rFonts w:hint="eastAsia" w:cs="Times New Roman" w:eastAsiaTheme="minorEastAsia"/>
                <w:snapToGrid w:val="0"/>
                <w:sz w:val="21"/>
                <w:szCs w:val="21"/>
                <w:lang w:eastAsia="zh-CN"/>
              </w:rPr>
              <w:t>中标人</w:t>
            </w:r>
            <w:r>
              <w:rPr>
                <w:rFonts w:hint="default" w:ascii="Times New Roman" w:hAnsi="Times New Roman" w:cs="Times New Roman" w:eastAsiaTheme="minorEastAsia"/>
                <w:snapToGrid w:val="0"/>
                <w:sz w:val="21"/>
                <w:szCs w:val="21"/>
              </w:rPr>
              <w:t>服务人员的工作情况定期检查督导，发现问题及时指出和克服。每少督导一次扣2分。</w:t>
            </w:r>
          </w:p>
        </w:tc>
        <w:tc>
          <w:tcPr>
            <w:tcW w:w="850" w:type="dxa"/>
            <w:vAlign w:val="center"/>
          </w:tcPr>
          <w:p w14:paraId="3F569FD3">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10</w:t>
            </w:r>
          </w:p>
        </w:tc>
        <w:tc>
          <w:tcPr>
            <w:tcW w:w="850" w:type="dxa"/>
            <w:vAlign w:val="center"/>
          </w:tcPr>
          <w:p w14:paraId="1EDEAC6F">
            <w:pPr>
              <w:pStyle w:val="31"/>
              <w:adjustRightInd w:val="0"/>
              <w:snapToGrid w:val="0"/>
              <w:jc w:val="center"/>
              <w:rPr>
                <w:rFonts w:hint="default" w:ascii="Times New Roman" w:hAnsi="Times New Roman" w:cs="Times New Roman" w:eastAsiaTheme="minorEastAsia"/>
                <w:snapToGrid w:val="0"/>
                <w:sz w:val="21"/>
                <w:szCs w:val="21"/>
              </w:rPr>
            </w:pPr>
          </w:p>
        </w:tc>
      </w:tr>
      <w:tr w14:paraId="507B0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14:paraId="09F6A1DB">
            <w:pPr>
              <w:pStyle w:val="31"/>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3</w:t>
            </w:r>
          </w:p>
        </w:tc>
        <w:tc>
          <w:tcPr>
            <w:tcW w:w="1701" w:type="dxa"/>
            <w:vAlign w:val="center"/>
          </w:tcPr>
          <w:p w14:paraId="70E57F16">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服务标准方面</w:t>
            </w:r>
          </w:p>
        </w:tc>
        <w:tc>
          <w:tcPr>
            <w:tcW w:w="4269" w:type="dxa"/>
            <w:vAlign w:val="center"/>
          </w:tcPr>
          <w:p w14:paraId="6A19E035">
            <w:pPr>
              <w:pStyle w:val="31"/>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没有及时开、关大门，每发现一次扣3分；没有及时疏导车辆造成严重拥堵，每发现一次扣3分；没有对外来办事人员进行询问、登记，每发现一次扣3分；卫生清理不及时、不彻底，有死角、有异味，每发现一次扣3分。</w:t>
            </w:r>
          </w:p>
        </w:tc>
        <w:tc>
          <w:tcPr>
            <w:tcW w:w="850" w:type="dxa"/>
            <w:vAlign w:val="center"/>
          </w:tcPr>
          <w:p w14:paraId="65AE7987">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40</w:t>
            </w:r>
          </w:p>
        </w:tc>
        <w:tc>
          <w:tcPr>
            <w:tcW w:w="850" w:type="dxa"/>
            <w:vAlign w:val="center"/>
          </w:tcPr>
          <w:p w14:paraId="36378C4E">
            <w:pPr>
              <w:pStyle w:val="31"/>
              <w:adjustRightInd w:val="0"/>
              <w:snapToGrid w:val="0"/>
              <w:jc w:val="center"/>
              <w:rPr>
                <w:rFonts w:hint="default" w:ascii="Times New Roman" w:hAnsi="Times New Roman" w:cs="Times New Roman" w:eastAsiaTheme="minorEastAsia"/>
                <w:snapToGrid w:val="0"/>
                <w:sz w:val="21"/>
                <w:szCs w:val="21"/>
              </w:rPr>
            </w:pPr>
          </w:p>
        </w:tc>
      </w:tr>
      <w:tr w14:paraId="5D305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14:paraId="71E51A1A">
            <w:pPr>
              <w:pStyle w:val="31"/>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4</w:t>
            </w:r>
          </w:p>
        </w:tc>
        <w:tc>
          <w:tcPr>
            <w:tcW w:w="1701" w:type="dxa"/>
            <w:vAlign w:val="center"/>
          </w:tcPr>
          <w:p w14:paraId="68824FEE">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态度形象方面</w:t>
            </w:r>
          </w:p>
        </w:tc>
        <w:tc>
          <w:tcPr>
            <w:tcW w:w="4269" w:type="dxa"/>
            <w:vAlign w:val="center"/>
          </w:tcPr>
          <w:p w14:paraId="40ACFD8F">
            <w:pPr>
              <w:pStyle w:val="31"/>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着装不统一，举止不文明，服务不热情，每发现一次扣5分；在办公区内大声喧哗，影响正常工作秩序，每发现一次扣5分；迟到、早退、睡岗的，每发现一次扣5分；值班人员不在位，无故漏岗、脱岗的，每发现一次扣10分；态度和行为不恰当，对</w:t>
            </w:r>
            <w:r>
              <w:rPr>
                <w:rFonts w:hint="eastAsia" w:cs="Times New Roman" w:eastAsiaTheme="minorEastAsia"/>
                <w:snapToGrid w:val="0"/>
                <w:sz w:val="21"/>
                <w:szCs w:val="21"/>
                <w:lang w:eastAsia="zh-CN"/>
              </w:rPr>
              <w:t>招标人</w:t>
            </w:r>
            <w:r>
              <w:rPr>
                <w:rFonts w:hint="default" w:ascii="Times New Roman" w:hAnsi="Times New Roman" w:cs="Times New Roman" w:eastAsiaTheme="minorEastAsia"/>
                <w:snapToGrid w:val="0"/>
                <w:sz w:val="21"/>
                <w:szCs w:val="21"/>
              </w:rPr>
              <w:t>形象造成较坏影响，每发现一次扣20分；与客户发生争执不能冷静处理，造成恶劣影响的，每发现一次扣30分。</w:t>
            </w:r>
          </w:p>
        </w:tc>
        <w:tc>
          <w:tcPr>
            <w:tcW w:w="850" w:type="dxa"/>
            <w:vAlign w:val="center"/>
          </w:tcPr>
          <w:p w14:paraId="0BBE10BD">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40</w:t>
            </w:r>
          </w:p>
        </w:tc>
        <w:tc>
          <w:tcPr>
            <w:tcW w:w="850" w:type="dxa"/>
            <w:vAlign w:val="center"/>
          </w:tcPr>
          <w:p w14:paraId="2B32372F">
            <w:pPr>
              <w:pStyle w:val="31"/>
              <w:adjustRightInd w:val="0"/>
              <w:snapToGrid w:val="0"/>
              <w:jc w:val="center"/>
              <w:rPr>
                <w:rFonts w:hint="default" w:ascii="Times New Roman" w:hAnsi="Times New Roman" w:cs="Times New Roman" w:eastAsiaTheme="minorEastAsia"/>
                <w:snapToGrid w:val="0"/>
                <w:sz w:val="21"/>
                <w:szCs w:val="21"/>
              </w:rPr>
            </w:pPr>
          </w:p>
        </w:tc>
      </w:tr>
      <w:tr w14:paraId="4F364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14:paraId="1F632E3B">
            <w:pPr>
              <w:pStyle w:val="31"/>
              <w:adjustRightInd w:val="0"/>
              <w:snapToGrid w:val="0"/>
              <w:jc w:val="center"/>
              <w:rPr>
                <w:rFonts w:hint="eastAsia"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5</w:t>
            </w:r>
          </w:p>
        </w:tc>
        <w:tc>
          <w:tcPr>
            <w:tcW w:w="1701" w:type="dxa"/>
            <w:vAlign w:val="center"/>
          </w:tcPr>
          <w:p w14:paraId="32DD3B94">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安全管理方面</w:t>
            </w:r>
          </w:p>
        </w:tc>
        <w:tc>
          <w:tcPr>
            <w:tcW w:w="4269" w:type="dxa"/>
            <w:vAlign w:val="center"/>
          </w:tcPr>
          <w:p w14:paraId="6CA62509">
            <w:pPr>
              <w:pStyle w:val="31"/>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没有履行应尽职责，造成</w:t>
            </w:r>
            <w:r>
              <w:rPr>
                <w:rFonts w:hint="eastAsia" w:cs="Times New Roman" w:eastAsiaTheme="minorEastAsia"/>
                <w:snapToGrid w:val="0"/>
                <w:sz w:val="21"/>
                <w:szCs w:val="21"/>
                <w:lang w:val="en-US" w:eastAsia="zh-CN"/>
              </w:rPr>
              <w:t>招标人</w:t>
            </w:r>
            <w:r>
              <w:rPr>
                <w:rFonts w:hint="default" w:ascii="Times New Roman" w:hAnsi="Times New Roman" w:cs="Times New Roman" w:eastAsiaTheme="minorEastAsia"/>
                <w:snapToGrid w:val="0"/>
                <w:sz w:val="21"/>
                <w:szCs w:val="21"/>
              </w:rPr>
              <w:t>物品丢失、被盗的；不遵守安全管理规定，致使个人受到伤害或对</w:t>
            </w:r>
            <w:r>
              <w:rPr>
                <w:rFonts w:hint="eastAsia" w:cs="Times New Roman" w:eastAsiaTheme="minorEastAsia"/>
                <w:snapToGrid w:val="0"/>
                <w:sz w:val="21"/>
                <w:szCs w:val="21"/>
                <w:lang w:val="en-US" w:eastAsia="zh-CN"/>
              </w:rPr>
              <w:t>招标人</w:t>
            </w:r>
            <w:r>
              <w:rPr>
                <w:rFonts w:hint="default" w:ascii="Times New Roman" w:hAnsi="Times New Roman" w:cs="Times New Roman" w:eastAsiaTheme="minorEastAsia"/>
                <w:snapToGrid w:val="0"/>
                <w:sz w:val="21"/>
                <w:szCs w:val="21"/>
              </w:rPr>
              <w:t>造成损失的，由</w:t>
            </w:r>
            <w:r>
              <w:rPr>
                <w:rFonts w:hint="eastAsia" w:cs="Times New Roman" w:eastAsiaTheme="minorEastAsia"/>
                <w:snapToGrid w:val="0"/>
                <w:sz w:val="21"/>
                <w:szCs w:val="21"/>
                <w:lang w:val="en-US" w:eastAsia="zh-CN"/>
              </w:rPr>
              <w:t>中标人</w:t>
            </w:r>
            <w:r>
              <w:rPr>
                <w:rFonts w:hint="default" w:ascii="Times New Roman" w:hAnsi="Times New Roman" w:cs="Times New Roman" w:eastAsiaTheme="minorEastAsia"/>
                <w:snapToGrid w:val="0"/>
                <w:sz w:val="21"/>
                <w:szCs w:val="21"/>
              </w:rPr>
              <w:t>承担后果并赔偿全部损失。该次综合考核按0分评定，并视情解除服务合同。</w:t>
            </w:r>
          </w:p>
        </w:tc>
        <w:tc>
          <w:tcPr>
            <w:tcW w:w="850" w:type="dxa"/>
            <w:vAlign w:val="center"/>
          </w:tcPr>
          <w:p w14:paraId="429A07B5">
            <w:pPr>
              <w:pStyle w:val="31"/>
              <w:adjustRightInd w:val="0"/>
              <w:snapToGrid w:val="0"/>
              <w:jc w:val="center"/>
              <w:rPr>
                <w:rFonts w:hint="default"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w:t>
            </w:r>
          </w:p>
        </w:tc>
        <w:tc>
          <w:tcPr>
            <w:tcW w:w="850" w:type="dxa"/>
            <w:vAlign w:val="center"/>
          </w:tcPr>
          <w:p w14:paraId="7842837C">
            <w:pPr>
              <w:pStyle w:val="31"/>
              <w:adjustRightInd w:val="0"/>
              <w:snapToGrid w:val="0"/>
              <w:jc w:val="center"/>
              <w:rPr>
                <w:rFonts w:hint="default" w:ascii="Times New Roman" w:hAnsi="Times New Roman" w:cs="Times New Roman" w:eastAsiaTheme="minorEastAsia"/>
                <w:snapToGrid w:val="0"/>
                <w:sz w:val="21"/>
                <w:szCs w:val="21"/>
              </w:rPr>
            </w:pPr>
          </w:p>
        </w:tc>
      </w:tr>
      <w:tr w14:paraId="2D7E9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14:paraId="1F7FB2F3">
            <w:pPr>
              <w:pStyle w:val="31"/>
              <w:adjustRightInd w:val="0"/>
              <w:snapToGrid w:val="0"/>
              <w:jc w:val="center"/>
              <w:rPr>
                <w:rFonts w:hint="default"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6</w:t>
            </w:r>
          </w:p>
        </w:tc>
        <w:tc>
          <w:tcPr>
            <w:tcW w:w="1701" w:type="dxa"/>
            <w:vAlign w:val="center"/>
          </w:tcPr>
          <w:p w14:paraId="5BA6572C">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廉洁从业方面</w:t>
            </w:r>
          </w:p>
        </w:tc>
        <w:tc>
          <w:tcPr>
            <w:tcW w:w="4269" w:type="dxa"/>
            <w:vAlign w:val="center"/>
          </w:tcPr>
          <w:p w14:paraId="1B6E361D">
            <w:pPr>
              <w:pStyle w:val="31"/>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对廉洁从业实行一票否决制。</w:t>
            </w:r>
            <w:r>
              <w:rPr>
                <w:rFonts w:hint="eastAsia" w:cs="Times New Roman" w:eastAsiaTheme="minorEastAsia"/>
                <w:snapToGrid w:val="0"/>
                <w:sz w:val="21"/>
                <w:szCs w:val="21"/>
                <w:lang w:eastAsia="zh-CN"/>
              </w:rPr>
              <w:t>中标人</w:t>
            </w:r>
            <w:r>
              <w:rPr>
                <w:rFonts w:hint="default" w:ascii="Times New Roman" w:hAnsi="Times New Roman" w:cs="Times New Roman" w:eastAsiaTheme="minorEastAsia"/>
                <w:snapToGrid w:val="0"/>
                <w:sz w:val="21"/>
                <w:szCs w:val="21"/>
              </w:rPr>
              <w:t>服务人员不得收受客户好处费，不得损害</w:t>
            </w:r>
            <w:r>
              <w:rPr>
                <w:rFonts w:hint="eastAsia" w:cs="Times New Roman" w:eastAsiaTheme="minorEastAsia"/>
                <w:snapToGrid w:val="0"/>
                <w:sz w:val="21"/>
                <w:szCs w:val="21"/>
                <w:lang w:eastAsia="zh-CN"/>
              </w:rPr>
              <w:t>招标人</w:t>
            </w:r>
            <w:r>
              <w:rPr>
                <w:rFonts w:hint="default" w:ascii="Times New Roman" w:hAnsi="Times New Roman" w:cs="Times New Roman" w:eastAsiaTheme="minorEastAsia"/>
                <w:snapToGrid w:val="0"/>
                <w:sz w:val="21"/>
                <w:szCs w:val="21"/>
              </w:rPr>
              <w:t>利益而谋取私利，不得偷窃、占用、转移</w:t>
            </w:r>
            <w:r>
              <w:rPr>
                <w:rFonts w:hint="eastAsia" w:cs="Times New Roman" w:eastAsiaTheme="minorEastAsia"/>
                <w:snapToGrid w:val="0"/>
                <w:sz w:val="21"/>
                <w:szCs w:val="21"/>
                <w:lang w:eastAsia="zh-CN"/>
              </w:rPr>
              <w:t>招标人</w:t>
            </w:r>
            <w:r>
              <w:rPr>
                <w:rFonts w:hint="default" w:ascii="Times New Roman" w:hAnsi="Times New Roman" w:cs="Times New Roman" w:eastAsiaTheme="minorEastAsia"/>
                <w:snapToGrid w:val="0"/>
                <w:sz w:val="21"/>
                <w:szCs w:val="21"/>
              </w:rPr>
              <w:t>物品，不得以任何理由、任何形式贿赂</w:t>
            </w:r>
            <w:r>
              <w:rPr>
                <w:rFonts w:hint="eastAsia" w:cs="Times New Roman" w:eastAsiaTheme="minorEastAsia"/>
                <w:snapToGrid w:val="0"/>
                <w:sz w:val="21"/>
                <w:szCs w:val="21"/>
                <w:lang w:eastAsia="zh-CN"/>
              </w:rPr>
              <w:t>招标人</w:t>
            </w:r>
            <w:r>
              <w:rPr>
                <w:rFonts w:hint="default" w:ascii="Times New Roman" w:hAnsi="Times New Roman" w:cs="Times New Roman" w:eastAsiaTheme="minorEastAsia"/>
                <w:snapToGrid w:val="0"/>
                <w:sz w:val="21"/>
                <w:szCs w:val="21"/>
              </w:rPr>
              <w:t>工作人员，发现一次，该次综合考核按0分评定，并直接解除服务合同。</w:t>
            </w:r>
          </w:p>
        </w:tc>
        <w:tc>
          <w:tcPr>
            <w:tcW w:w="850" w:type="dxa"/>
            <w:vAlign w:val="center"/>
          </w:tcPr>
          <w:p w14:paraId="0DB4A49C">
            <w:pPr>
              <w:pStyle w:val="31"/>
              <w:adjustRightInd w:val="0"/>
              <w:snapToGrid w:val="0"/>
              <w:jc w:val="center"/>
              <w:rPr>
                <w:rFonts w:hint="default"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w:t>
            </w:r>
          </w:p>
        </w:tc>
        <w:tc>
          <w:tcPr>
            <w:tcW w:w="850" w:type="dxa"/>
            <w:vAlign w:val="center"/>
          </w:tcPr>
          <w:p w14:paraId="126FF264">
            <w:pPr>
              <w:pStyle w:val="31"/>
              <w:adjustRightInd w:val="0"/>
              <w:snapToGrid w:val="0"/>
              <w:jc w:val="center"/>
              <w:rPr>
                <w:rFonts w:hint="default" w:ascii="Times New Roman" w:hAnsi="Times New Roman" w:cs="Times New Roman" w:eastAsiaTheme="minorEastAsia"/>
                <w:snapToGrid w:val="0"/>
                <w:sz w:val="21"/>
                <w:szCs w:val="21"/>
              </w:rPr>
            </w:pPr>
          </w:p>
        </w:tc>
      </w:tr>
      <w:tr w14:paraId="66605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0" w:type="dxa"/>
            <w:gridSpan w:val="4"/>
            <w:vAlign w:val="center"/>
          </w:tcPr>
          <w:p w14:paraId="67BDC9AD">
            <w:pPr>
              <w:pStyle w:val="31"/>
              <w:adjustRightInd w:val="0"/>
              <w:snapToGrid w:val="0"/>
              <w:jc w:val="center"/>
              <w:rPr>
                <w:rFonts w:hint="default"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合计</w:t>
            </w:r>
          </w:p>
        </w:tc>
        <w:tc>
          <w:tcPr>
            <w:tcW w:w="850" w:type="dxa"/>
            <w:vAlign w:val="center"/>
          </w:tcPr>
          <w:p w14:paraId="1A4DB1CA">
            <w:pPr>
              <w:pStyle w:val="31"/>
              <w:adjustRightInd w:val="0"/>
              <w:snapToGrid w:val="0"/>
              <w:jc w:val="center"/>
              <w:rPr>
                <w:rFonts w:hint="default" w:ascii="Times New Roman" w:hAnsi="Times New Roman" w:cs="Times New Roman" w:eastAsiaTheme="minorEastAsia"/>
                <w:snapToGrid w:val="0"/>
                <w:sz w:val="21"/>
                <w:szCs w:val="21"/>
              </w:rPr>
            </w:pPr>
          </w:p>
        </w:tc>
      </w:tr>
    </w:tbl>
    <w:p w14:paraId="437B5275">
      <w:pPr>
        <w:rPr>
          <w:rFonts w:hint="default" w:eastAsia="仿宋_GB2312"/>
          <w:sz w:val="32"/>
          <w:szCs w:val="32"/>
          <w:lang w:val="en-US" w:eastAsia="zh-CN"/>
        </w:rPr>
      </w:pPr>
    </w:p>
    <w:p w14:paraId="25A57B0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152042576"/>
      <w:bookmarkStart w:id="258" w:name="_Toc247514246"/>
      <w:bookmarkStart w:id="259" w:name="_Toc300835209"/>
      <w:bookmarkStart w:id="260" w:name="_Toc152045787"/>
      <w:bookmarkStart w:id="261" w:name="_Toc247527827"/>
      <w:bookmarkStart w:id="262" w:name="_Toc14497485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五</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六</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七</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八</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300835210"/>
      <w:bookmarkStart w:id="264" w:name="_Toc144974857"/>
      <w:bookmarkStart w:id="265" w:name="_Toc152042577"/>
      <w:bookmarkStart w:id="266" w:name="_Toc152045788"/>
      <w:bookmarkStart w:id="267" w:name="_Toc247514247"/>
      <w:bookmarkStart w:id="268"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300835212"/>
      <w:bookmarkStart w:id="270" w:name="_Toc247514249"/>
      <w:bookmarkStart w:id="271" w:name="_Toc152045790"/>
      <w:bookmarkStart w:id="272" w:name="_Toc144974859"/>
      <w:bookmarkStart w:id="273" w:name="_Toc152042579"/>
      <w:bookmarkStart w:id="274" w:name="_Toc247527830"/>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0"/>
      <w:r>
        <w:rPr>
          <w:rFonts w:hint="eastAsia" w:ascii="Times New Roman" w:hAnsi="Times New Roman" w:cs="Times New Roman"/>
          <w:szCs w:val="21"/>
          <w:lang w:val="en-US" w:eastAsia="zh-CN"/>
        </w:rPr>
        <w:t>，服务期限：</w:t>
      </w:r>
      <w:permStart w:id="41"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41"/>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247527831"/>
      <w:bookmarkStart w:id="276" w:name="_Toc144974860"/>
      <w:bookmarkStart w:id="277" w:name="_Toc152042580"/>
      <w:bookmarkStart w:id="278" w:name="_Toc247514283"/>
      <w:bookmarkStart w:id="279" w:name="_Toc300835213"/>
      <w:bookmarkStart w:id="280" w:name="_Toc15204579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44974861"/>
      <w:bookmarkStart w:id="282" w:name="_Toc300835214"/>
      <w:bookmarkStart w:id="283" w:name="_Toc152042581"/>
      <w:bookmarkStart w:id="284" w:name="_Toc152045792"/>
      <w:bookmarkStart w:id="285" w:name="_Toc247527832"/>
      <w:bookmarkStart w:id="286" w:name="_Toc247514284"/>
      <w:r>
        <w:rPr>
          <w:rFonts w:hint="eastAsia" w:ascii="Times New Roman" w:hAnsi="Times New Roman" w:cs="Times New Roman"/>
          <w:lang w:val="en-US" w:eastAsia="zh-CN"/>
        </w:rPr>
        <w:t>三</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6AA9AA8D">
      <w:pPr>
        <w:topLinePunct/>
        <w:spacing w:line="440" w:lineRule="exact"/>
        <w:jc w:val="both"/>
        <w:rPr>
          <w:rFonts w:hint="eastAsia" w:ascii="Times New Roman" w:hAnsi="Times New Roman" w:cs="Times New Roman"/>
          <w:szCs w:val="21"/>
          <w:lang w:val="en-US" w:eastAsia="zh-CN"/>
        </w:rPr>
      </w:pPr>
      <w:bookmarkStart w:id="287" w:name="_Toc247514286"/>
      <w:bookmarkStart w:id="288" w:name="_Toc144974862"/>
      <w:bookmarkStart w:id="289" w:name="_Toc300835216"/>
      <w:bookmarkStart w:id="290" w:name="_Toc152042583"/>
      <w:bookmarkStart w:id="291" w:name="_Toc152045794"/>
      <w:bookmarkStart w:id="292" w:name="_Toc247527834"/>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152042584"/>
      <w:bookmarkStart w:id="295" w:name="_Toc152045795"/>
      <w:bookmarkStart w:id="296" w:name="_Toc247514287"/>
      <w:bookmarkStart w:id="297" w:name="_Toc247527835"/>
      <w:bookmarkStart w:id="298" w:name="_Toc300835218"/>
      <w:bookmarkStart w:id="299" w:name="_Toc144974863"/>
      <w:r>
        <w:rPr>
          <w:rFonts w:hint="default" w:ascii="Times New Roman" w:hAnsi="Times New Roman" w:cs="Times New Roman"/>
        </w:rPr>
        <w:br w:type="page"/>
      </w: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eastAsia="zh-CN"/>
        </w:rPr>
        <w:t>五</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tbl>
      <w:tblPr>
        <w:tblStyle w:val="16"/>
        <w:tblW w:w="8331"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9"/>
        <w:gridCol w:w="1197"/>
        <w:gridCol w:w="1748"/>
        <w:gridCol w:w="1833"/>
        <w:gridCol w:w="2334"/>
      </w:tblGrid>
      <w:tr w14:paraId="629B5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3" w:hRule="atLeast"/>
        </w:trPr>
        <w:tc>
          <w:tcPr>
            <w:tcW w:w="1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98F8C">
            <w:pPr>
              <w:jc w:val="center"/>
              <w:rPr>
                <w:rFonts w:hint="eastAsia" w:ascii="宋体" w:hAnsi="宋体" w:eastAsia="宋体" w:cs="宋体"/>
                <w:b/>
                <w:bCs/>
                <w:i w:val="0"/>
                <w:iCs w:val="0"/>
                <w:color w:val="000000"/>
                <w:sz w:val="24"/>
                <w:szCs w:val="24"/>
                <w:u w:val="none"/>
                <w:lang w:val="en-US" w:eastAsia="zh-CN"/>
              </w:rPr>
            </w:pPr>
            <w:bookmarkStart w:id="300" w:name="_Toc247514288"/>
            <w:bookmarkStart w:id="301" w:name="_Toc152045796"/>
            <w:bookmarkStart w:id="302" w:name="_Toc300835221"/>
            <w:bookmarkStart w:id="303" w:name="_Toc247527836"/>
            <w:bookmarkStart w:id="304" w:name="_Toc152042585"/>
            <w:bookmarkStart w:id="305" w:name="_Toc144974864"/>
            <w:r>
              <w:rPr>
                <w:rFonts w:hint="eastAsia" w:ascii="宋体" w:hAnsi="宋体" w:eastAsia="宋体" w:cs="宋体"/>
                <w:b/>
                <w:bCs/>
                <w:i w:val="0"/>
                <w:iCs w:val="0"/>
                <w:color w:val="000000"/>
                <w:sz w:val="24"/>
                <w:szCs w:val="24"/>
                <w:u w:val="none"/>
                <w:lang w:val="en-US" w:eastAsia="zh-CN"/>
              </w:rPr>
              <w:t>岗位</w:t>
            </w: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FE70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人数</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6337D">
            <w:pPr>
              <w:keepNext w:val="0"/>
              <w:keepLines w:val="0"/>
              <w:widowControl/>
              <w:suppressLineNumbers w:val="0"/>
              <w:jc w:val="center"/>
              <w:textAlignment w:val="center"/>
              <w:rPr>
                <w:rFonts w:hint="default"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服务费/元/月</w:t>
            </w:r>
          </w:p>
        </w:tc>
        <w:tc>
          <w:tcPr>
            <w:tcW w:w="1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03F20">
            <w:pPr>
              <w:keepNext w:val="0"/>
              <w:keepLines w:val="0"/>
              <w:widowControl/>
              <w:suppressLineNumbers w:val="0"/>
              <w:jc w:val="center"/>
              <w:textAlignment w:val="center"/>
              <w:rPr>
                <w:rFonts w:hint="default"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服务费/元/年</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1B8B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小计/元</w:t>
            </w:r>
          </w:p>
        </w:tc>
      </w:tr>
      <w:tr w14:paraId="23102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3" w:hRule="atLeast"/>
        </w:trPr>
        <w:tc>
          <w:tcPr>
            <w:tcW w:w="1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01A2C">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保安人员</w:t>
            </w: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0998C">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C7A4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p>
        </w:tc>
        <w:tc>
          <w:tcPr>
            <w:tcW w:w="1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10C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1052C">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p>
        </w:tc>
      </w:tr>
      <w:tr w14:paraId="44B09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3" w:hRule="atLeast"/>
        </w:trPr>
        <w:tc>
          <w:tcPr>
            <w:tcW w:w="1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F467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保洁人员</w:t>
            </w: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8D15C">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6570B">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p>
        </w:tc>
        <w:tc>
          <w:tcPr>
            <w:tcW w:w="1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54C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C74AD">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p>
        </w:tc>
      </w:tr>
      <w:tr w14:paraId="7B4AC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3" w:hRule="atLeast"/>
        </w:trPr>
        <w:tc>
          <w:tcPr>
            <w:tcW w:w="5997" w:type="dxa"/>
            <w:gridSpan w:val="4"/>
            <w:tcBorders>
              <w:top w:val="nil"/>
              <w:left w:val="single" w:color="auto" w:sz="4" w:space="0"/>
              <w:bottom w:val="single" w:color="auto" w:sz="4" w:space="0"/>
              <w:right w:val="single" w:color="auto" w:sz="4" w:space="0"/>
            </w:tcBorders>
            <w:shd w:val="clear" w:color="auto" w:fill="auto"/>
            <w:noWrap/>
            <w:vAlign w:val="center"/>
          </w:tcPr>
          <w:p w14:paraId="528D825E">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合计/元（含税）：</w:t>
            </w:r>
          </w:p>
        </w:tc>
        <w:tc>
          <w:tcPr>
            <w:tcW w:w="2334" w:type="dxa"/>
            <w:tcBorders>
              <w:top w:val="nil"/>
              <w:left w:val="single" w:color="auto" w:sz="4" w:space="0"/>
              <w:bottom w:val="single" w:color="auto" w:sz="4" w:space="0"/>
              <w:right w:val="single" w:color="auto" w:sz="4" w:space="0"/>
            </w:tcBorders>
            <w:shd w:val="clear" w:color="auto" w:fill="auto"/>
            <w:noWrap/>
            <w:vAlign w:val="center"/>
          </w:tcPr>
          <w:p w14:paraId="4DA31D3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p>
        </w:tc>
      </w:tr>
    </w:tbl>
    <w:p w14:paraId="1CFEEA8E">
      <w:pPr>
        <w:rPr>
          <w:rFonts w:hint="default" w:ascii="Times New Roman" w:hAnsi="Times New Roman" w:cs="Times New Roman"/>
        </w:rPr>
      </w:pPr>
    </w:p>
    <w:p w14:paraId="74D3B674">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bookmarkEnd w:id="300"/>
    <w:bookmarkEnd w:id="301"/>
    <w:bookmarkEnd w:id="302"/>
    <w:bookmarkEnd w:id="303"/>
    <w:bookmarkEnd w:id="304"/>
    <w:bookmarkEnd w:id="305"/>
    <w:p w14:paraId="4DA5CC38">
      <w:pPr>
        <w:pStyle w:val="4"/>
        <w:ind w:firstLine="3213" w:firstLineChars="1000"/>
        <w:rPr>
          <w:rFonts w:hint="default" w:ascii="Times New Roman" w:hAnsi="Times New Roman" w:cs="Times New Roman"/>
        </w:rPr>
      </w:pPr>
      <w:bookmarkStart w:id="306" w:name="_Toc144974878"/>
      <w:bookmarkStart w:id="307" w:name="_Toc247514302"/>
      <w:bookmarkStart w:id="308" w:name="_Toc152045810"/>
      <w:bookmarkStart w:id="309" w:name="_Toc247527850"/>
      <w:bookmarkStart w:id="310" w:name="_Toc152042599"/>
      <w:bookmarkStart w:id="311" w:name="_Toc300835226"/>
      <w:bookmarkStart w:id="312" w:name="_Toc300835223"/>
      <w:r>
        <w:rPr>
          <w:rFonts w:hint="eastAsia" w:ascii="Times New Roman" w:hAnsi="Times New Roman" w:cs="Times New Roman"/>
          <w:lang w:val="en-US" w:eastAsia="zh-CN"/>
        </w:rPr>
        <w:t>六、资格审查资料</w:t>
      </w:r>
    </w:p>
    <w:p w14:paraId="57173CB2">
      <w:pPr>
        <w:pStyle w:val="4"/>
        <w:rPr>
          <w:rFonts w:hint="default" w:ascii="Times New Roman" w:hAnsi="Times New Roman" w:cs="Times New Roman"/>
        </w:rPr>
      </w:pPr>
      <w:r>
        <w:rPr>
          <w:rFonts w:hint="default" w:ascii="Times New Roman" w:hAnsi="Times New Roman" w:cs="Times New Roman"/>
        </w:rPr>
        <w:t>近年完成的类似项目情况表</w:t>
      </w:r>
      <w:bookmarkEnd w:id="306"/>
      <w:bookmarkEnd w:id="307"/>
      <w:bookmarkEnd w:id="308"/>
      <w:bookmarkEnd w:id="309"/>
      <w:bookmarkEnd w:id="310"/>
      <w:bookmarkEnd w:id="311"/>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3" w:name="_Toc247527851"/>
      <w:bookmarkStart w:id="314" w:name="_Toc144974879"/>
      <w:bookmarkStart w:id="315" w:name="_Toc247514303"/>
      <w:bookmarkStart w:id="316" w:name="_Toc152045811"/>
      <w:bookmarkStart w:id="317" w:name="_Toc152042600"/>
    </w:p>
    <w:p w14:paraId="7C055E10">
      <w:pPr>
        <w:spacing w:line="440" w:lineRule="exact"/>
        <w:rPr>
          <w:rFonts w:hint="default" w:ascii="Times New Roman" w:hAnsi="Times New Roman" w:cs="Times New Roman"/>
        </w:rPr>
      </w:pPr>
    </w:p>
    <w:bookmarkEnd w:id="313"/>
    <w:bookmarkEnd w:id="314"/>
    <w:bookmarkEnd w:id="315"/>
    <w:bookmarkEnd w:id="316"/>
    <w:bookmarkEnd w:id="317"/>
    <w:p w14:paraId="4D932E03">
      <w:pPr>
        <w:tabs>
          <w:tab w:val="left" w:pos="720"/>
        </w:tabs>
        <w:spacing w:line="440" w:lineRule="exact"/>
        <w:jc w:val="left"/>
        <w:rPr>
          <w:rFonts w:hint="eastAsia" w:ascii="Times New Roman" w:hAnsi="Times New Roman" w:cs="Times New Roman" w:eastAsiaTheme="minorEastAsia"/>
          <w:szCs w:val="21"/>
          <w:lang w:eastAsia="zh-CN"/>
        </w:rPr>
      </w:pP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p>
    <w:bookmarkEnd w:id="312"/>
    <w:p w14:paraId="433781BC">
      <w:pPr>
        <w:pStyle w:val="4"/>
        <w:jc w:val="center"/>
        <w:rPr>
          <w:rFonts w:hint="default" w:ascii="Times New Roman" w:hAnsi="Times New Roman" w:cs="Times New Roman"/>
          <w:lang w:val="en-US" w:eastAsia="zh-CN"/>
        </w:rPr>
      </w:pPr>
      <w:bookmarkStart w:id="318" w:name="_Toc300835224"/>
      <w:bookmarkStart w:id="319" w:name="_Toc247514300"/>
      <w:bookmarkStart w:id="320" w:name="_Toc246996372"/>
      <w:bookmarkStart w:id="321" w:name="_Toc296602617"/>
      <w:bookmarkStart w:id="322" w:name="_Toc247527848"/>
      <w:bookmarkStart w:id="323" w:name="_Toc144974876"/>
      <w:bookmarkStart w:id="324" w:name="_Toc152045808"/>
      <w:bookmarkStart w:id="325" w:name="_Toc179632827"/>
      <w:bookmarkStart w:id="326" w:name="_Toc152042596"/>
      <w:bookmarkStart w:id="327" w:name="_Toc152042597"/>
      <w:bookmarkStart w:id="328" w:name="_Toc152045807"/>
      <w:bookmarkStart w:id="329" w:name="_Toc247085890"/>
      <w:bookmarkStart w:id="330" w:name="_Toc144974875"/>
      <w:bookmarkStart w:id="331" w:name="_Toc246997115"/>
      <w:r>
        <w:rPr>
          <w:rFonts w:hint="eastAsia" w:ascii="黑体" w:hAnsi="黑体" w:eastAsia="黑体" w:cs="黑体"/>
          <w:lang w:val="en-US" w:eastAsia="zh-CN"/>
        </w:rPr>
        <w:t>七、</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r>
        <w:rPr>
          <w:rFonts w:hint="eastAsia" w:ascii="黑体" w:hAnsi="黑体" w:eastAsia="黑体" w:cs="黑体"/>
          <w:lang w:val="en-US" w:eastAsia="zh-CN"/>
        </w:rPr>
        <w:t>响应方案</w:t>
      </w:r>
      <w:r>
        <w:rPr>
          <w:rFonts w:hint="eastAsia" w:ascii="Times New Roman" w:hAnsi="Times New Roman" w:cs="Times New Roman"/>
          <w:lang w:val="en-US" w:eastAsia="zh-CN"/>
        </w:rPr>
        <w:t xml:space="preserve"> </w:t>
      </w:r>
    </w:p>
    <w:p w14:paraId="47CED00F">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bookmarkStart w:id="332" w:name="_Toc152045813"/>
      <w:bookmarkStart w:id="333" w:name="_Toc247527853"/>
      <w:bookmarkStart w:id="334" w:name="_Toc144974881"/>
      <w:bookmarkStart w:id="335" w:name="_Toc247530162"/>
      <w:bookmarkStart w:id="336" w:name="_Toc152042602"/>
      <w:bookmarkStart w:id="337" w:name="_Toc247514305"/>
      <w:r>
        <w:rPr>
          <w:rFonts w:hint="eastAsia" w:ascii="Times New Roman" w:hAnsi="Times New Roman" w:cs="Times New Roman"/>
          <w:highlight w:val="none"/>
          <w:lang w:val="en-US" w:eastAsia="zh-CN"/>
        </w:rPr>
        <w:t>方案格式参考如下，投标人可根据行业特点及具体情况进行调整：</w:t>
      </w:r>
    </w:p>
    <w:p w14:paraId="1154304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14:paraId="6BE7275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14:paraId="473C13D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14:paraId="29D6CED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14:paraId="3E94DED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14:paraId="30B42B5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14:paraId="2076B08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14:paraId="11BA160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14:paraId="2850660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14:paraId="43F9F0B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bookmarkEnd w:id="332"/>
    <w:bookmarkEnd w:id="333"/>
    <w:bookmarkEnd w:id="334"/>
    <w:bookmarkEnd w:id="335"/>
    <w:bookmarkEnd w:id="336"/>
    <w:bookmarkEnd w:id="337"/>
    <w:p w14:paraId="06F74DD3">
      <w:pPr>
        <w:rPr>
          <w:rFonts w:hint="eastAsia" w:ascii="Times New Roman" w:hAnsi="Times New Roman" w:cs="Times New Roman"/>
          <w:lang w:val="en-US" w:eastAsia="zh-CN"/>
        </w:rPr>
      </w:pPr>
      <w:bookmarkStart w:id="338" w:name="_Toc300835233"/>
      <w:bookmarkStart w:id="339" w:name="_Toc271821942"/>
      <w:r>
        <w:rPr>
          <w:rFonts w:hint="eastAsia" w:ascii="Times New Roman" w:hAnsi="Times New Roman" w:cs="Times New Roman"/>
          <w:lang w:val="en-US" w:eastAsia="zh-CN"/>
        </w:rPr>
        <w:br w:type="page"/>
      </w:r>
    </w:p>
    <w:p w14:paraId="64A30CC9">
      <w:pPr>
        <w:rPr>
          <w:rFonts w:hint="eastAsia"/>
          <w:lang w:val="en-US" w:eastAsia="zh-CN"/>
        </w:rPr>
      </w:pPr>
    </w:p>
    <w:p w14:paraId="1E5B7EEB">
      <w:pPr>
        <w:pStyle w:val="3"/>
        <w:jc w:val="center"/>
        <w:rPr>
          <w:rFonts w:hint="default" w:ascii="Times New Roman" w:hAnsi="Times New Roman" w:cs="Times New Roman"/>
        </w:rPr>
      </w:pPr>
      <w:r>
        <w:rPr>
          <w:rFonts w:hint="eastAsia" w:ascii="Times New Roman" w:hAnsi="Times New Roman" w:cs="Times New Roman"/>
          <w:lang w:eastAsia="zh-CN"/>
        </w:rPr>
        <w:t>八</w:t>
      </w:r>
      <w:r>
        <w:rPr>
          <w:rFonts w:hint="default" w:ascii="Times New Roman" w:hAnsi="Times New Roman" w:cs="Times New Roman"/>
        </w:rPr>
        <w:t>、其他资料</w:t>
      </w:r>
      <w:bookmarkEnd w:id="338"/>
      <w:bookmarkEnd w:id="339"/>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8F969E2-BA08-401F-91A0-57E4EECC9DDA}"/>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F74D87D6-755E-4236-B11E-5D8237BFE32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4E95097F-56B5-4DAB-9311-D3D063C26B43}"/>
  </w:font>
  <w:font w:name="仿宋_GB2312">
    <w:panose1 w:val="02010609030101010101"/>
    <w:charset w:val="86"/>
    <w:family w:val="modern"/>
    <w:pitch w:val="default"/>
    <w:sig w:usb0="00000001" w:usb1="080E0000" w:usb2="00000000" w:usb3="00000000" w:csb0="00040000" w:csb1="00000000"/>
    <w:embedRegular r:id="rId4" w:fontKey="{8ED2CAA7-CD11-4D3E-8E6E-717A868C09C1}"/>
  </w:font>
  <w:font w:name="方正小标宋简体">
    <w:panose1 w:val="03000509000000000000"/>
    <w:charset w:val="86"/>
    <w:family w:val="auto"/>
    <w:pitch w:val="default"/>
    <w:sig w:usb0="00000001" w:usb1="080E0000" w:usb2="00000000" w:usb3="00000000" w:csb0="00040000" w:csb1="00000000"/>
    <w:embedRegular r:id="rId5" w:fontKey="{3962C75B-2F2C-47F0-BF8F-D9EAA4336C54}"/>
  </w:font>
  <w:font w:name="楷体">
    <w:panose1 w:val="02010609060101010101"/>
    <w:charset w:val="86"/>
    <w:family w:val="auto"/>
    <w:pitch w:val="default"/>
    <w:sig w:usb0="800002BF" w:usb1="38CF7CFA" w:usb2="00000016" w:usb3="00000000" w:csb0="00040001" w:csb1="00000000"/>
    <w:embedRegular r:id="rId6" w:fontKey="{08E8CDFC-2D32-4955-A713-D3F6D1B6091F}"/>
  </w:font>
  <w:font w:name="Wingdings 2">
    <w:altName w:val="Wingdings"/>
    <w:panose1 w:val="05020102010507070707"/>
    <w:charset w:val="00"/>
    <w:family w:val="auto"/>
    <w:pitch w:val="default"/>
    <w:sig w:usb0="00000000" w:usb1="00000000" w:usb2="00000000" w:usb3="00000000" w:csb0="80000000" w:csb1="00000000"/>
    <w:embedRegular r:id="rId7" w:fontKey="{B7BFC7D1-FB11-48B2-93A6-4497E821CB2C}"/>
  </w:font>
  <w:font w:name="方正仿宋_GB2312">
    <w:panose1 w:val="02000000000000000000"/>
    <w:charset w:val="86"/>
    <w:family w:val="auto"/>
    <w:pitch w:val="default"/>
    <w:sig w:usb0="A00002BF" w:usb1="184F6CFA" w:usb2="00000012" w:usb3="00000000" w:csb0="00040001" w:csb1="00000000"/>
    <w:embedRegular r:id="rId8" w:fontKey="{51DC860E-1B81-4A07-B717-B111E6C27652}"/>
  </w:font>
  <w:font w:name="仿宋">
    <w:panose1 w:val="02010609060101010101"/>
    <w:charset w:val="86"/>
    <w:family w:val="modern"/>
    <w:pitch w:val="default"/>
    <w:sig w:usb0="800002BF" w:usb1="38CF7CFA" w:usb2="00000016" w:usb3="00000000" w:csb0="00040001" w:csb1="00000000"/>
    <w:embedRegular r:id="rId9" w:fontKey="{F82F6339-ECB9-427C-AB30-C58546AD0398}"/>
  </w:font>
  <w:font w:name="Kingsoft UE">
    <w:altName w:val="851Gkktt"/>
    <w:panose1 w:val="00000000000000000000"/>
    <w:charset w:val="00"/>
    <w:family w:val="auto"/>
    <w:pitch w:val="default"/>
    <w:sig w:usb0="00000000" w:usb1="00000000" w:usb2="00000000" w:usb3="00000000" w:csb0="00000000" w:csb1="00000000"/>
  </w:font>
  <w:font w:name="851Gkktt">
    <w:panose1 w:val="02000600000000000000"/>
    <w:charset w:val="80"/>
    <w:family w:val="auto"/>
    <w:pitch w:val="default"/>
    <w:sig w:usb0="A00002BF" w:usb1="68C7FCFB" w:usb2="00000010"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8E0A97"/>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BF1A22"/>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0621B"/>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8123B"/>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66520"/>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925B3"/>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8962E5"/>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85681"/>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0B493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A50C7"/>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401E0"/>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B77C9"/>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0F637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CA3D86"/>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7D7BFF"/>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213C4"/>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C70A07"/>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8E74A69"/>
    <w:rsid w:val="79053EE1"/>
    <w:rsid w:val="791D39E5"/>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2025"/>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 w:type="paragraph" w:customStyle="1" w:styleId="31">
    <w:name w:val="正文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2488</Words>
  <Characters>3036</Characters>
  <Lines>0</Lines>
  <Paragraphs>0</Paragraphs>
  <TotalTime>7</TotalTime>
  <ScaleCrop>false</ScaleCrop>
  <LinksUpToDate>false</LinksUpToDate>
  <CharactersWithSpaces>3151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A，有机会中一千万</cp:lastModifiedBy>
  <cp:lastPrinted>2025-09-23T01:24:00Z</cp:lastPrinted>
  <dcterms:modified xsi:type="dcterms:W3CDTF">2025-09-24T02:19:31Z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3DC1C1C5EC6741F69426F536341F9981</vt:lpwstr>
  </property>
  <property fmtid="{D5CDD505-2E9C-101B-9397-08002B2CF9AE}" pid="4" name="KSOTemplateDocerSaveRecord">
    <vt:lpwstr>eyJoZGlkIjoiNmIxZTlmYjlmNzdjZDgxYmFmYjgzNGRkZTcxZTBiNzkiLCJ1c2VySWQiOiIyMjc3OTc5NjAifQ==</vt:lpwstr>
  </property>
</Properties>
</file>