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ALC轻质隔墙板采购项目（二次）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027号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eastAsia" w:ascii="Times New Roman" w:hAnsi="Times New Roman" w:eastAsia="楷体" w:cs="Times New Roman"/>
          <w:kern w:val="0"/>
          <w:sz w:val="32"/>
          <w:szCs w:val="32"/>
          <w:highlight w:val="none"/>
          <w:shd w:val="clear" w:color="auto" w:fill="auto"/>
          <w:lang w:val="en-US" w:eastAsia="zh-CN"/>
        </w:rPr>
        <w:t>亳州交控通路交通设施有限公司</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2025年7</w:t>
      </w:r>
      <w:r>
        <w:rPr>
          <w:rFonts w:hint="eastAsia" w:ascii="Times New Roman" w:hAnsi="Times New Roman" w:eastAsia="楷体" w:cs="Times New Roman"/>
          <w:kern w:val="0"/>
          <w:sz w:val="32"/>
          <w:szCs w:val="32"/>
          <w:highlight w:val="none"/>
          <w:u w:val="none"/>
          <w:shd w:val="clear" w:color="auto" w:fill="auto"/>
          <w:lang w:val="en-US" w:eastAsia="zh-CN"/>
        </w:rPr>
        <w:t>月3日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80EC9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59A1186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ALC轻质隔墙板采购项目（二次）询比公告</w:t>
      </w:r>
    </w:p>
    <w:p w14:paraId="5A3D9A7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ALC轻质隔墙板采购项目（二次）</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ALC轻质隔墙板采购项目（二次）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BZJK-2025-</w:t>
      </w:r>
      <w:r>
        <w:rPr>
          <w:rFonts w:hint="eastAsia" w:asciiTheme="minorEastAsia" w:hAnsiTheme="minorEastAsia" w:cstheme="minorEastAsia"/>
          <w:sz w:val="28"/>
          <w:szCs w:val="28"/>
          <w:highlight w:val="none"/>
          <w:lang w:val="en-US" w:eastAsia="zh-CN"/>
        </w:rPr>
        <w:t>027</w:t>
      </w:r>
      <w:r>
        <w:rPr>
          <w:rFonts w:hint="eastAsia" w:asciiTheme="minorEastAsia" w:hAnsiTheme="minorEastAsia" w:eastAsiaTheme="minorEastAsia" w:cstheme="minorEastAsia"/>
          <w:sz w:val="28"/>
          <w:szCs w:val="28"/>
          <w:highlight w:val="none"/>
          <w:lang w:val="en-US" w:eastAsia="zh-CN"/>
        </w:rPr>
        <w:t>号</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亳州交控通路交通设施有限公司</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（含税13%）</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390元每立方米</w:t>
      </w:r>
      <w:r>
        <w:rPr>
          <w:rFonts w:hint="eastAsia" w:asciiTheme="minorEastAsia" w:hAnsiTheme="minorEastAsia" w:cstheme="minorEastAsia"/>
          <w:sz w:val="28"/>
          <w:szCs w:val="28"/>
          <w:highlight w:val="none"/>
          <w:lang w:val="en-US" w:eastAsia="zh-CN"/>
        </w:rPr>
        <w:t>，供应商按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cstheme="minorEastAsia"/>
          <w:sz w:val="28"/>
          <w:szCs w:val="28"/>
          <w:highlight w:val="none"/>
          <w:lang w:val="en-US" w:eastAsia="zh-CN"/>
        </w:rPr>
        <w:t>报价。报价超出单项限价或为可能影响合同履约的异常低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采购范围是ALC轻质隔墙板，采购数量暂估3200立方米，采购材料的技术参数</w:t>
      </w:r>
      <w:r>
        <w:rPr>
          <w:rFonts w:hint="eastAsia" w:asciiTheme="minorEastAsia" w:hAnsiTheme="minorEastAsia" w:cstheme="minorEastAsia"/>
          <w:sz w:val="28"/>
          <w:szCs w:val="28"/>
          <w:highlight w:val="none"/>
          <w:lang w:val="en-US" w:eastAsia="zh-CN"/>
        </w:rPr>
        <w:t>要求</w:t>
      </w:r>
      <w:r>
        <w:rPr>
          <w:rFonts w:hint="eastAsia" w:asciiTheme="minorEastAsia" w:hAnsiTheme="minorEastAsia" w:eastAsiaTheme="minorEastAsia" w:cstheme="minorEastAsia"/>
          <w:sz w:val="28"/>
          <w:szCs w:val="28"/>
          <w:highlight w:val="none"/>
          <w:lang w:val="en-US" w:eastAsia="zh-CN"/>
        </w:rPr>
        <w:t>详见附件</w:t>
      </w:r>
      <w:r>
        <w:rPr>
          <w:rFonts w:hint="eastAsia" w:asciiTheme="minorEastAsia" w:hAnsiTheme="minorEastAsia" w:cstheme="minorEastAsia"/>
          <w:sz w:val="28"/>
          <w:szCs w:val="28"/>
          <w:highlight w:val="none"/>
          <w:lang w:val="en-US" w:eastAsia="zh-CN"/>
        </w:rPr>
        <w:t>图纸</w:t>
      </w:r>
      <w:r>
        <w:rPr>
          <w:rFonts w:hint="eastAsia" w:asciiTheme="minorEastAsia" w:hAnsiTheme="minorEastAsia" w:eastAsiaTheme="minorEastAsia" w:cstheme="minorEastAsia"/>
          <w:sz w:val="28"/>
          <w:szCs w:val="28"/>
          <w:highlight w:val="none"/>
          <w:lang w:val="en-US" w:eastAsia="zh-CN"/>
        </w:rPr>
        <w:t>，采购材料的数量、规格等要求以采购订单通知为准，按实际合格供货量据实结算。</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供货期：自合同签订之日起365日历天，交货期自采购人发出订单通知之日起5日内完成交货。</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亳州市2023-9号地块项目，位于安徽省亳州市养生大道南、文采路东、香蒲路北</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4"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2</w:t>
      </w:r>
      <w:permEnd w:id="14"/>
      <w:r>
        <w:rPr>
          <w:rFonts w:hint="eastAsia" w:asciiTheme="minorEastAsia" w:hAnsiTheme="minorEastAsia" w:eastAsiaTheme="minorEastAsia" w:cstheme="minorEastAsia"/>
          <w:kern w:val="2"/>
          <w:sz w:val="28"/>
          <w:szCs w:val="28"/>
          <w:highlight w:val="none"/>
          <w:lang w:val="en-US" w:eastAsia="zh-CN"/>
        </w:rPr>
        <w:t>年至今企业类似项目业绩</w:t>
      </w:r>
      <w:permStart w:id="15" w:edGrp="everyone"/>
      <w:r>
        <w:rPr>
          <w:rFonts w:hint="eastAsia" w:asciiTheme="minorEastAsia" w:hAnsiTheme="minorEastAsia" w:eastAsiaTheme="minorEastAsia" w:cstheme="minorEastAsia"/>
          <w:kern w:val="2"/>
          <w:sz w:val="28"/>
          <w:szCs w:val="28"/>
          <w:highlight w:val="none"/>
          <w:u w:val="single"/>
          <w:lang w:val="en-US" w:eastAsia="zh-CN"/>
        </w:rPr>
        <w:t>1</w:t>
      </w:r>
      <w:permEnd w:id="15"/>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6" w:edGrp="everyone"/>
      <w:r>
        <w:rPr>
          <w:rFonts w:hint="eastAsia" w:asciiTheme="minorEastAsia" w:hAnsiTheme="minorEastAsia" w:eastAsiaTheme="minorEastAsia" w:cstheme="minorEastAsia"/>
          <w:kern w:val="2"/>
          <w:sz w:val="28"/>
          <w:szCs w:val="28"/>
          <w:highlight w:val="none"/>
          <w:lang w:val="en-US" w:eastAsia="zh-CN"/>
        </w:rPr>
        <w:t>合同签订时间</w:t>
      </w:r>
      <w:permEnd w:id="16"/>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kern w:val="2"/>
          <w:sz w:val="28"/>
          <w:szCs w:val="28"/>
          <w:highlight w:val="none"/>
          <w:u w:val="single"/>
          <w:lang w:val="en-US" w:eastAsia="zh-CN"/>
        </w:rPr>
        <w:t>单项合同金额不低于100万元的ALC轻质隔墙板供货业绩</w:t>
      </w:r>
      <w:r>
        <w:rPr>
          <w:rFonts w:hint="eastAsia" w:asciiTheme="minorEastAsia" w:hAnsiTheme="minorEastAsia" w:eastAsiaTheme="minorEastAsia" w:cstheme="minorEastAsia"/>
          <w:sz w:val="28"/>
          <w:szCs w:val="28"/>
          <w:highlight w:val="none"/>
          <w:lang w:val="en-US" w:eastAsia="zh-CN"/>
        </w:rPr>
        <w:t>；</w:t>
      </w:r>
    </w:p>
    <w:p w14:paraId="2DD013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7" w:edGrp="everyone"/>
      <w:r>
        <w:rPr>
          <w:rFonts w:hint="default" w:asciiTheme="minorEastAsia" w:hAnsiTheme="minorEastAsia" w:eastAsiaTheme="minorEastAsia" w:cstheme="minorEastAsia"/>
          <w:sz w:val="28"/>
          <w:szCs w:val="28"/>
          <w:highlight w:val="none"/>
          <w:lang w:val="en-US" w:eastAsia="zh-CN"/>
        </w:rPr>
        <w:t>提供业绩合同的复印件或扫描件装订入响应文件中</w:t>
      </w:r>
      <w:r>
        <w:rPr>
          <w:rFonts w:hint="eastAsia" w:asciiTheme="minorEastAsia" w:hAnsiTheme="minorEastAsia" w:cstheme="minorEastAsia"/>
          <w:sz w:val="28"/>
          <w:szCs w:val="28"/>
          <w:highlight w:val="none"/>
          <w:lang w:val="en-US" w:eastAsia="zh-CN"/>
        </w:rPr>
        <w:t>。</w:t>
      </w:r>
    </w:p>
    <w:permEnd w:id="17"/>
    <w:p w14:paraId="42BAFA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w:t>
      </w:r>
      <w:r>
        <w:rPr>
          <w:rFonts w:hint="eastAsia" w:asciiTheme="minorEastAsia" w:hAnsiTheme="minorEastAsia" w:eastAsiaTheme="minorEastAsia" w:cstheme="minorEastAsia"/>
          <w:sz w:val="28"/>
          <w:szCs w:val="28"/>
          <w:highlight w:val="none"/>
          <w:lang w:val="en-US" w:eastAsia="zh-CN"/>
        </w:rPr>
        <w:t>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75BDDA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2BEAF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FE2C0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8" w:edGrp="everyone"/>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9" w:edGrp="everyone"/>
      <w:r>
        <w:rPr>
          <w:rFonts w:hint="eastAsia" w:asciiTheme="minorEastAsia" w:hAnsiTheme="minorEastAsia" w:cstheme="minorEastAsia"/>
          <w:b/>
          <w:bCs/>
          <w:sz w:val="28"/>
          <w:szCs w:val="28"/>
          <w:highlight w:val="none"/>
          <w:u w:val="single"/>
          <w:lang w:val="en-US" w:eastAsia="zh-CN"/>
        </w:rPr>
        <w:t>2025</w:t>
      </w:r>
      <w:r>
        <w:rPr>
          <w:rFonts w:hint="eastAsia" w:asciiTheme="minorEastAsia" w:hAnsiTheme="minorEastAsia" w:cstheme="minorEastAsia"/>
          <w:b/>
          <w:bCs/>
          <w:sz w:val="28"/>
          <w:szCs w:val="28"/>
          <w:highlight w:val="none"/>
          <w:lang w:val="en-US" w:eastAsia="zh-CN"/>
        </w:rPr>
        <w:t>年</w:t>
      </w:r>
      <w:r>
        <w:rPr>
          <w:rFonts w:hint="eastAsia" w:asciiTheme="minorEastAsia" w:hAnsiTheme="minorEastAsia" w:cstheme="minorEastAsia"/>
          <w:b/>
          <w:bCs/>
          <w:sz w:val="28"/>
          <w:szCs w:val="28"/>
          <w:highlight w:val="none"/>
          <w:u w:val="single"/>
          <w:lang w:val="en-US" w:eastAsia="zh-CN"/>
        </w:rPr>
        <w:t>7</w:t>
      </w:r>
      <w:r>
        <w:rPr>
          <w:rFonts w:hint="eastAsia" w:asciiTheme="minorEastAsia" w:hAnsiTheme="minorEastAsia" w:cstheme="minorEastAsia"/>
          <w:b/>
          <w:bCs/>
          <w:sz w:val="28"/>
          <w:szCs w:val="28"/>
          <w:highlight w:val="none"/>
          <w:lang w:val="en-US" w:eastAsia="zh-CN"/>
        </w:rPr>
        <w:t>月</w:t>
      </w:r>
      <w:r>
        <w:rPr>
          <w:rFonts w:hint="eastAsia" w:asciiTheme="minorEastAsia" w:hAnsiTheme="minorEastAsia" w:cstheme="minorEastAsia"/>
          <w:b/>
          <w:bCs/>
          <w:sz w:val="28"/>
          <w:szCs w:val="28"/>
          <w:highlight w:val="none"/>
          <w:u w:val="single"/>
          <w:lang w:val="en-US" w:eastAsia="zh-CN"/>
        </w:rPr>
        <w:t>10</w:t>
      </w:r>
      <w:r>
        <w:rPr>
          <w:rFonts w:hint="eastAsia" w:asciiTheme="minorEastAsia" w:hAnsiTheme="minorEastAsia" w:cstheme="minorEastAsia"/>
          <w:b/>
          <w:bCs/>
          <w:sz w:val="28"/>
          <w:szCs w:val="28"/>
          <w:highlight w:val="none"/>
          <w:lang w:val="en-US" w:eastAsia="zh-CN"/>
        </w:rPr>
        <w:t>日</w:t>
      </w:r>
      <w:r>
        <w:rPr>
          <w:rFonts w:hint="eastAsia" w:asciiTheme="minorEastAsia" w:hAnsiTheme="minorEastAsia" w:cstheme="minorEastAsia"/>
          <w:b/>
          <w:bCs/>
          <w:sz w:val="28"/>
          <w:szCs w:val="28"/>
          <w:highlight w:val="none"/>
          <w:u w:val="single"/>
          <w:lang w:val="en-US" w:eastAsia="zh-CN"/>
        </w:rPr>
        <w:t>9</w:t>
      </w:r>
      <w:r>
        <w:rPr>
          <w:rFonts w:hint="eastAsia" w:asciiTheme="minorEastAsia" w:hAnsiTheme="minorEastAsia" w:cstheme="minorEastAsia"/>
          <w:b/>
          <w:bCs/>
          <w:sz w:val="28"/>
          <w:szCs w:val="28"/>
          <w:highlight w:val="none"/>
          <w:lang w:val="en-US" w:eastAsia="zh-CN"/>
        </w:rPr>
        <w:t>时</w:t>
      </w:r>
      <w:r>
        <w:rPr>
          <w:rFonts w:hint="eastAsia" w:asciiTheme="minorEastAsia" w:hAnsiTheme="minorEastAsia" w:cstheme="minorEastAsia"/>
          <w:b/>
          <w:bCs/>
          <w:sz w:val="28"/>
          <w:szCs w:val="28"/>
          <w:highlight w:val="none"/>
          <w:u w:val="single"/>
          <w:lang w:val="en-US" w:eastAsia="zh-CN"/>
        </w:rPr>
        <w:t>00</w:t>
      </w:r>
      <w:r>
        <w:rPr>
          <w:rFonts w:hint="eastAsia" w:asciiTheme="minorEastAsia" w:hAnsiTheme="minorEastAsia" w:cstheme="minorEastAsia"/>
          <w:b/>
          <w:bCs/>
          <w:sz w:val="28"/>
          <w:szCs w:val="28"/>
          <w:highlight w:val="none"/>
          <w:lang w:val="en-US" w:eastAsia="zh-CN"/>
        </w:rPr>
        <w:t>分</w:t>
      </w:r>
      <w:permEnd w:id="19"/>
      <w:r>
        <w:rPr>
          <w:rFonts w:hint="eastAsia" w:asciiTheme="minorEastAsia" w:hAnsiTheme="minorEastAsia" w:cstheme="minorEastAsia"/>
          <w:sz w:val="28"/>
          <w:szCs w:val="28"/>
          <w:highlight w:val="none"/>
          <w:lang w:val="en-US" w:eastAsia="zh-CN"/>
        </w:rPr>
        <w:t>（北京时间）；</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cstheme="minorEastAsia"/>
          <w:b/>
          <w:bCs/>
          <w:color w:val="auto"/>
          <w:sz w:val="28"/>
          <w:szCs w:val="28"/>
          <w:highlight w:val="none"/>
          <w:u w:val="single"/>
          <w:lang w:val="en-US" w:eastAsia="zh-CN"/>
        </w:rPr>
        <w:t>安徽省亳州市高新技术产业开发区神农大道与酒城大道交叉口西北高铁南站金融商务中心2号楼1楼108开标室</w:t>
      </w:r>
      <w:r>
        <w:rPr>
          <w:rFonts w:hint="eastAsia" w:asciiTheme="minorEastAsia" w:hAnsiTheme="minorEastAsia" w:cstheme="minorEastAsia"/>
          <w:i w:val="0"/>
          <w:iCs w:val="0"/>
          <w:color w:val="auto"/>
          <w:sz w:val="28"/>
          <w:szCs w:val="28"/>
          <w:highlight w:val="none"/>
          <w:lang w:val="en-US" w:eastAsia="zh-CN"/>
        </w:rPr>
        <w:t>；</w:t>
      </w:r>
      <w:permEnd w:id="20"/>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1"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邮寄地址：安徽省亳州市高新技术产业开发区神农大道与酒城大道交叉口西北高铁南站金融商务中心2号楼5楼514室；</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u w:val="single"/>
                <w:lang w:val="en-US" w:eastAsia="zh-CN"/>
              </w:rPr>
              <w:t>联系人：</w:t>
            </w:r>
            <w:r>
              <w:rPr>
                <w:rFonts w:hint="eastAsia" w:asciiTheme="minorEastAsia" w:hAnsiTheme="minorEastAsia" w:cstheme="minorEastAsia"/>
                <w:sz w:val="28"/>
                <w:szCs w:val="28"/>
                <w:highlight w:val="none"/>
                <w:u w:val="single"/>
                <w:lang w:val="en-US" w:eastAsia="zh-CN"/>
              </w:rPr>
              <w:t>田工、张工；</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u w:val="single"/>
                <w:lang w:val="en-US" w:eastAsia="zh-CN"/>
              </w:rPr>
              <w:t>联系</w:t>
            </w:r>
            <w:r>
              <w:rPr>
                <w:rFonts w:hint="eastAsia" w:asciiTheme="minorEastAsia" w:hAnsiTheme="minorEastAsia" w:eastAsiaTheme="minorEastAsia" w:cstheme="minorEastAsia"/>
                <w:sz w:val="28"/>
                <w:szCs w:val="28"/>
                <w:highlight w:val="none"/>
                <w:u w:val="single"/>
                <w:lang w:val="en-US" w:eastAsia="zh-CN"/>
              </w:rPr>
              <w:t>电话：0558-519</w:t>
            </w:r>
            <w:r>
              <w:rPr>
                <w:rFonts w:hint="eastAsia" w:asciiTheme="minorEastAsia" w:hAnsiTheme="minorEastAsia" w:cstheme="minorEastAsia"/>
                <w:sz w:val="28"/>
                <w:szCs w:val="28"/>
                <w:highlight w:val="none"/>
                <w:u w:val="single"/>
                <w:lang w:val="en-US" w:eastAsia="zh-CN"/>
              </w:rPr>
              <w:t>0035。</w:t>
            </w:r>
          </w:p>
        </w:tc>
      </w:tr>
      <w:permEnd w:id="21"/>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2" w:edGrp="everyone"/>
      <w:r>
        <w:rPr>
          <w:rFonts w:hint="eastAsia" w:asciiTheme="minorEastAsia" w:hAnsiTheme="minorEastAsia" w:cstheme="minorEastAsia"/>
          <w:sz w:val="28"/>
          <w:szCs w:val="28"/>
          <w:highlight w:val="none"/>
          <w:u w:val="single"/>
          <w:lang w:val="en-US" w:eastAsia="zh-CN"/>
        </w:rPr>
        <w:t>24000元</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3"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亳州交控通路交通设施有限公司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3"/>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马经理 </w:t>
      </w:r>
      <w:permEnd w:id="24"/>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：15656885650</w:t>
      </w:r>
    </w:p>
    <w:p w14:paraId="17CADF5A">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w:t>
      </w:r>
      <w:r>
        <w:rPr>
          <w:rFonts w:hint="eastAsia" w:asciiTheme="minorEastAsia" w:hAnsiTheme="minorEastAsia" w:cstheme="minorEastAsia"/>
          <w:sz w:val="28"/>
          <w:szCs w:val="28"/>
          <w:highlight w:val="none"/>
          <w:lang w:val="en-US" w:eastAsia="zh-CN"/>
        </w:rPr>
        <w:t>高新技术产业开发区</w:t>
      </w:r>
      <w:r>
        <w:rPr>
          <w:rFonts w:hint="eastAsia" w:asciiTheme="minorEastAsia" w:hAnsiTheme="minorEastAsia" w:eastAsiaTheme="minorEastAsia" w:cstheme="minorEastAsia"/>
          <w:sz w:val="28"/>
          <w:szCs w:val="28"/>
          <w:highlight w:val="none"/>
          <w:lang w:val="en-US" w:eastAsia="zh-CN"/>
        </w:rPr>
        <w:t>神农大道与酒城大道交叉口西北高铁南站金融商务中心</w:t>
      </w:r>
      <w:r>
        <w:rPr>
          <w:rFonts w:hint="eastAsia" w:asciiTheme="minorEastAsia" w:hAnsiTheme="minorEastAsia" w:cstheme="minorEastAsia"/>
          <w:sz w:val="28"/>
          <w:szCs w:val="28"/>
          <w:highlight w:val="none"/>
          <w:lang w:val="en-US" w:eastAsia="zh-CN"/>
        </w:rPr>
        <w:t>2号楼</w:t>
      </w:r>
      <w:r>
        <w:rPr>
          <w:rFonts w:hint="eastAsia" w:asciiTheme="minorEastAsia" w:hAnsiTheme="minorEastAsia" w:eastAsiaTheme="minorEastAsia" w:cstheme="minorEastAsia"/>
          <w:sz w:val="28"/>
          <w:szCs w:val="28"/>
          <w:highlight w:val="none"/>
          <w:lang w:val="en-US" w:eastAsia="zh-CN"/>
        </w:rPr>
        <w:t>5楼514室</w:t>
      </w:r>
    </w:p>
    <w:p w14:paraId="2E1125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5" w:edGrp="everyone"/>
      <w:r>
        <w:rPr>
          <w:rFonts w:hint="eastAsia" w:asciiTheme="minorEastAsia" w:hAnsiTheme="minorEastAsia" w:cstheme="minorEastAsia"/>
          <w:color w:val="FF0000"/>
          <w:sz w:val="28"/>
          <w:szCs w:val="28"/>
          <w:highlight w:val="none"/>
          <w:lang w:val="en-US" w:eastAsia="zh-CN"/>
        </w:rPr>
        <w:t>亳州交控通路交通设施有限公司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bookmarkStart w:id="323" w:name="_GoBack"/>
      <w:r>
        <w:rPr>
          <w:rFonts w:hint="eastAsia" w:asciiTheme="minorEastAsia" w:hAnsiTheme="minorEastAsia" w:cstheme="minorEastAsia"/>
          <w:color w:val="FF0000"/>
          <w:sz w:val="28"/>
          <w:szCs w:val="28"/>
          <w:highlight w:val="none"/>
          <w:lang w:val="en-US" w:eastAsia="zh-CN"/>
        </w:rPr>
        <w:t>2025</w:t>
      </w:r>
      <w:bookmarkEnd w:id="323"/>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7</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日</w:t>
      </w:r>
    </w:p>
    <w:permEnd w:id="25"/>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6"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6"/>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7"/>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8"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7</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8</w:t>
            </w:r>
            <w:r>
              <w:rPr>
                <w:rFonts w:hint="eastAsia" w:ascii="Times New Roman" w:hAnsi="Times New Roman" w:cs="Times New Roman"/>
                <w:b/>
                <w:bCs/>
                <w:color w:val="FF0000"/>
                <w:szCs w:val="21"/>
                <w:highlight w:val="none"/>
                <w:u w:val="none"/>
                <w:lang w:val="en-US" w:eastAsia="zh-CN"/>
              </w:rPr>
              <w:t>日前</w:t>
            </w:r>
            <w:permEnd w:id="28"/>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9"/>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0"/>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1EC587D8">
            <w:pPr>
              <w:autoSpaceDE w:val="0"/>
              <w:autoSpaceDN w:val="0"/>
              <w:adjustRightInd w:val="0"/>
              <w:snapToGrid w:val="0"/>
              <w:spacing w:line="440" w:lineRule="exact"/>
              <w:ind w:firstLine="310" w:firstLineChars="147"/>
              <w:jc w:val="left"/>
              <w:rPr>
                <w:rFonts w:hint="eastAsia" w:hAnsi="宋体"/>
                <w:b/>
                <w:bCs/>
                <w:color w:val="FF0000"/>
                <w:szCs w:val="21"/>
              </w:rPr>
            </w:pPr>
            <w:permStart w:id="31" w:edGrp="everyone"/>
            <w:r>
              <w:rPr>
                <w:rFonts w:hint="eastAsia" w:hAnsi="宋体"/>
                <w:b/>
                <w:bCs/>
                <w:color w:val="FF0000"/>
                <w:szCs w:val="21"/>
              </w:rPr>
              <w:t>不需要</w:t>
            </w:r>
            <w:r>
              <w:rPr>
                <w:rFonts w:hint="eastAsia" w:hAnsi="宋体"/>
                <w:b/>
                <w:bCs/>
                <w:color w:val="FF0000"/>
                <w:szCs w:val="21"/>
              </w:rPr>
              <w:sym w:font="Wingdings 2" w:char="00A3"/>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r>
              <w:rPr>
                <w:rFonts w:hint="eastAsia" w:hAnsi="宋体"/>
                <w:b/>
                <w:bCs/>
                <w:color w:val="FF0000"/>
                <w:szCs w:val="21"/>
              </w:rPr>
              <w:t xml:space="preserve">需 </w:t>
            </w:r>
            <w:r>
              <w:rPr>
                <w:rFonts w:hint="eastAsia" w:hAnsi="宋体"/>
                <w:b/>
                <w:bCs/>
                <w:color w:val="FF0000"/>
                <w:szCs w:val="21"/>
                <w:lang w:val="en-US" w:eastAsia="zh-CN"/>
              </w:rPr>
              <w:t xml:space="preserve"> </w:t>
            </w:r>
            <w:r>
              <w:rPr>
                <w:rFonts w:hint="eastAsia" w:hAnsi="宋体"/>
                <w:b/>
                <w:bCs/>
                <w:color w:val="FF0000"/>
                <w:szCs w:val="21"/>
              </w:rPr>
              <w:t>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1"/>
            <w:r>
              <w:rPr>
                <w:rFonts w:hint="default" w:ascii="Times New Roman" w:hAnsi="Times New Roman" w:cs="Times New Roman"/>
                <w:szCs w:val="21"/>
                <w:highlight w:val="none"/>
              </w:rPr>
              <w:t>的形式：</w:t>
            </w:r>
            <w:permStart w:id="32" w:edGrp="everyone"/>
            <w:r>
              <w:rPr>
                <w:rFonts w:hint="default" w:ascii="Times New Roman" w:hAnsi="Times New Roman" w:cs="Times New Roman"/>
                <w:b/>
                <w:bCs/>
                <w:color w:val="FF0000"/>
                <w:szCs w:val="21"/>
                <w:highlight w:val="none"/>
              </w:rPr>
              <w:t>银行汇款或转账</w:t>
            </w:r>
            <w:permEnd w:id="32"/>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3" w:edGrp="everyone"/>
            <w:r>
              <w:rPr>
                <w:rFonts w:hint="eastAsia" w:ascii="Times New Roman" w:hAnsi="Times New Roman" w:cs="Times New Roman"/>
                <w:b/>
                <w:bCs/>
                <w:color w:val="FF0000"/>
                <w:szCs w:val="21"/>
                <w:highlight w:val="none"/>
                <w:u w:val="single"/>
                <w:lang w:val="en-US" w:eastAsia="zh-CN"/>
              </w:rPr>
              <w:t>24000元</w:t>
            </w:r>
            <w:permEnd w:id="33"/>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1024CAC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b/>
                <w:bCs/>
                <w:color w:val="FF0000"/>
                <w:szCs w:val="21"/>
                <w:highlight w:val="none"/>
                <w:lang w:val="en-US" w:eastAsia="zh-CN"/>
              </w:rPr>
              <w:t>BZJK-2025-027号保证金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5"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35"/>
          </w:p>
          <w:p w14:paraId="683A1D8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color w:val="FF0000"/>
              </w:rPr>
              <w:t>提交电子版响应文件的形式：响应文件电子版指供应商现场递交响应文件正本的扫描件（PDF格式）。供应商应于响应文件开启现场递交U盘（随</w:t>
            </w:r>
            <w:r>
              <w:rPr>
                <w:rFonts w:hint="eastAsia"/>
                <w:color w:val="FF0000"/>
                <w:lang w:val="en-US" w:eastAsia="zh-CN"/>
              </w:rPr>
              <w:t>同</w:t>
            </w:r>
            <w:r>
              <w:rPr>
                <w:rFonts w:hint="eastAsia"/>
                <w:color w:val="FF0000"/>
              </w:rPr>
              <w:t>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5"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安徽省亳州市高新技术产业开发区神农大道与酒城大道交叉口西北高铁南站金融商务中心2号楼1楼108开标室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采购人：亳州交控通路交通设施有限公司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ALC轻质隔墙板采购项目（二次）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项目编号：BZJK-2025-027</w:t>
            </w:r>
            <w:r>
              <w:rPr>
                <w:rFonts w:hint="eastAsia" w:ascii="Times New Roman" w:hAnsi="Times New Roman" w:cs="Times New Roman"/>
                <w:color w:val="FF0000"/>
                <w:szCs w:val="21"/>
                <w:highlight w:val="none"/>
                <w:u w:val="singl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6"/>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b/>
                <w:bCs/>
                <w:color w:val="FF0000"/>
                <w:sz w:val="24"/>
                <w:szCs w:val="24"/>
                <w:highlight w:val="none"/>
                <w:lang w:val="en-US" w:eastAsia="zh-CN"/>
              </w:rPr>
              <w:sym w:font="Wingdings" w:char="00FE"/>
            </w:r>
            <w:r>
              <w:rPr>
                <w:rFonts w:hint="eastAsia" w:ascii="Times New Roman" w:hAnsi="Times New Roman" w:eastAsia="仿宋_GB2312" w:cs="Times New Roman"/>
                <w:b/>
                <w:bCs/>
                <w:color w:val="FF0000"/>
                <w:sz w:val="24"/>
                <w:szCs w:val="24"/>
                <w:highlight w:val="none"/>
                <w:lang w:val="en-US" w:eastAsia="zh-CN"/>
              </w:rPr>
              <w:t>不转换</w:t>
            </w:r>
            <w:r>
              <w:rPr>
                <w:rFonts w:hint="eastAsia" w:asciiTheme="minorEastAsia" w:hAnsiTheme="minorEastAsia" w:cstheme="minorEastAsia"/>
                <w:b/>
                <w:bCs/>
                <w:color w:val="FF0000"/>
                <w:szCs w:val="21"/>
                <w:highlight w:val="none"/>
                <w:lang w:val="en-US" w:eastAsia="zh-CN"/>
              </w:rPr>
              <w:t xml:space="preserve">   </w:t>
            </w:r>
            <w:r>
              <w:rPr>
                <w:rFonts w:hint="default" w:ascii="Times New Roman" w:hAnsi="Times New Roman" w:eastAsia="仿宋_GB2312" w:cs="Times New Roman"/>
                <w:b/>
                <w:bCs/>
                <w:color w:val="FF0000"/>
                <w:sz w:val="24"/>
                <w:szCs w:val="24"/>
                <w:highlight w:val="none"/>
                <w:lang w:val="en-US" w:eastAsia="zh-CN"/>
              </w:rPr>
              <w:sym w:font="Wingdings" w:char="00A8"/>
            </w:r>
            <w:r>
              <w:rPr>
                <w:rFonts w:hint="eastAsia" w:ascii="Times New Roman" w:hAnsi="Times New Roman" w:eastAsia="仿宋_GB2312" w:cs="Times New Roman"/>
                <w:b/>
                <w:bCs/>
                <w:color w:val="FF0000"/>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B06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676C9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安徽省亳州市高新技术产业开发区神农大道与酒城大道交叉口西北高铁南站金融商务中心2号楼5楼514室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37"/>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8"/>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9"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9"/>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0"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。采用保函形式的，有效期应不少于项目规定的供货期，且须满足不可撤销的无条件见索即付条件。</w:t>
            </w:r>
          </w:p>
          <w:permEnd w:id="40"/>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1"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41"/>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2"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供货期满后退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2"/>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7085692"/>
      <w:bookmarkStart w:id="1" w:name="_Toc179632549"/>
      <w:bookmarkStart w:id="2" w:name="_Toc246996921"/>
      <w:bookmarkStart w:id="3" w:name="_Toc144974500"/>
      <w:bookmarkStart w:id="4" w:name="_Toc246996178"/>
      <w:bookmarkStart w:id="5" w:name="_Toc296602423"/>
      <w:bookmarkStart w:id="6" w:name="_Toc152045532"/>
      <w:bookmarkStart w:id="7" w:name="_Toc15204230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246996924"/>
      <w:bookmarkStart w:id="10" w:name="_Toc246996181"/>
      <w:bookmarkStart w:id="11" w:name="_Toc179632553"/>
      <w:bookmarkStart w:id="12" w:name="_Toc152042312"/>
      <w:bookmarkStart w:id="13" w:name="_Toc152045536"/>
      <w:bookmarkStart w:id="14" w:name="_Toc144974504"/>
      <w:bookmarkStart w:id="15" w:name="_Toc247085695"/>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925"/>
      <w:bookmarkStart w:id="18" w:name="_Toc246996182"/>
      <w:bookmarkStart w:id="19" w:name="_Toc296602427"/>
      <w:bookmarkStart w:id="20" w:name="_Toc152042313"/>
      <w:bookmarkStart w:id="21" w:name="_Toc179632554"/>
      <w:bookmarkStart w:id="22" w:name="_Toc152045537"/>
      <w:bookmarkStart w:id="23" w:name="_Toc247085696"/>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2314"/>
      <w:bookmarkStart w:id="25" w:name="_Toc152045538"/>
      <w:bookmarkStart w:id="26" w:name="_Toc247085697"/>
      <w:bookmarkStart w:id="27" w:name="_Toc246996183"/>
      <w:bookmarkStart w:id="28" w:name="_Toc179632555"/>
      <w:bookmarkStart w:id="29" w:name="_Toc144974506"/>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187"/>
      <w:bookmarkStart w:id="32" w:name="_Toc247085701"/>
      <w:bookmarkStart w:id="33" w:name="_Toc179632560"/>
      <w:bookmarkStart w:id="34" w:name="_Toc152045542"/>
      <w:bookmarkStart w:id="35" w:name="_Toc152042318"/>
      <w:bookmarkStart w:id="36" w:name="_Toc246996930"/>
      <w:bookmarkStart w:id="37" w:name="_Toc144974510"/>
      <w:bookmarkStart w:id="38" w:name="_Toc29660243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79632561"/>
      <w:bookmarkStart w:id="40" w:name="_Toc246996188"/>
      <w:bookmarkStart w:id="41" w:name="_Toc246996931"/>
      <w:bookmarkStart w:id="42" w:name="_Toc296602433"/>
      <w:bookmarkStart w:id="43" w:name="_Toc152045543"/>
      <w:bookmarkStart w:id="44" w:name="_Toc152042319"/>
      <w:bookmarkStart w:id="45" w:name="_Toc247085702"/>
      <w:bookmarkStart w:id="46" w:name="_Toc14497451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4"/>
      <w:bookmarkStart w:id="48" w:name="_Toc152042320"/>
      <w:bookmarkStart w:id="49" w:name="_Toc246996189"/>
      <w:bookmarkStart w:id="50" w:name="_Toc247085703"/>
      <w:bookmarkStart w:id="51" w:name="_Toc144974512"/>
      <w:bookmarkStart w:id="52" w:name="_Toc152045544"/>
      <w:bookmarkStart w:id="53" w:name="_Toc179632562"/>
      <w:bookmarkStart w:id="54" w:name="_Toc24699693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96602435"/>
      <w:bookmarkStart w:id="56" w:name="_Toc246996190"/>
      <w:bookmarkStart w:id="57" w:name="_Toc152042321"/>
      <w:bookmarkStart w:id="58" w:name="_Toc179632563"/>
      <w:bookmarkStart w:id="59" w:name="_Toc247085704"/>
      <w:bookmarkStart w:id="60" w:name="_Toc144974513"/>
      <w:bookmarkStart w:id="61" w:name="_Toc152045545"/>
      <w:bookmarkStart w:id="62" w:name="_Toc24699693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eastAsia="zh-CN"/>
        </w:rPr>
      </w:pPr>
      <w:r>
        <w:rPr>
          <w:rFonts w:hint="eastAsia"/>
          <w:color w:val="auto"/>
          <w:lang w:val="en-US" w:eastAsia="zh-CN"/>
        </w:rPr>
        <w:t>7</w:t>
      </w:r>
      <w:r>
        <w:rPr>
          <w:rFonts w:hint="eastAsia"/>
          <w:color w:val="auto"/>
          <w:lang w:eastAsia="zh-CN"/>
        </w:rPr>
        <w:t>.1采购人或采购平台可以因任何原因，在</w:t>
      </w:r>
      <w:r>
        <w:rPr>
          <w:rFonts w:hint="eastAsia"/>
          <w:color w:val="auto"/>
          <w:lang w:val="en-US" w:eastAsia="zh-CN"/>
        </w:rPr>
        <w:t>响应文件递交</w:t>
      </w:r>
      <w:r>
        <w:rPr>
          <w:rFonts w:hint="eastAsia"/>
          <w:color w:val="auto"/>
          <w:lang w:eastAsia="zh-CN"/>
        </w:rPr>
        <w:t>截止期前对询比文件进行修改，并</w:t>
      </w:r>
      <w:r>
        <w:rPr>
          <w:rFonts w:hint="eastAsia"/>
          <w:color w:val="auto"/>
          <w:lang w:val="en-US" w:eastAsia="zh-CN"/>
        </w:rPr>
        <w:t>于平台发布澄清答疑公告，供应商应主动查询。采购人/采购平台不承担供应商未及时关注相关信息引发的相关责任</w:t>
      </w:r>
      <w:r>
        <w:rPr>
          <w:rFonts w:hint="eastAsia"/>
          <w:color w:val="auto"/>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eastAsia="zh-CN"/>
        </w:rPr>
      </w:pPr>
      <w:r>
        <w:rPr>
          <w:rFonts w:hint="eastAsia"/>
          <w:color w:val="auto"/>
          <w:lang w:val="en-US" w:eastAsia="zh-CN"/>
        </w:rPr>
        <w:t>7</w:t>
      </w:r>
      <w:r>
        <w:rPr>
          <w:rFonts w:hint="eastAsia"/>
          <w:color w:val="auto"/>
          <w:lang w:eastAsia="zh-CN"/>
        </w:rPr>
        <w:t>.2询比文件的修改内容将作为询比文件的组成部分，对供应商具有同样约束力。当询比文件的答疑、澄清、变更、通知或补充等在同一内容的表述上不一致时以最后发出的书面文件为准。供应商应主动查询。采购人/采购平台不承担供应商未及时关注相关信息引发的相关责任。</w:t>
      </w:r>
    </w:p>
    <w:p w14:paraId="54B7BF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color w:val="auto"/>
          <w:lang w:val="en-US" w:eastAsia="zh-CN"/>
        </w:rPr>
        <w:t>7</w:t>
      </w:r>
      <w:r>
        <w:rPr>
          <w:rFonts w:hint="eastAsia"/>
          <w:color w:val="auto"/>
          <w:lang w:eastAsia="zh-CN"/>
        </w:rPr>
        <w:t>.3询比文件的修改应考虑给予供应商合理的时间制作相应的响应文件。采购人/</w:t>
      </w:r>
      <w:r>
        <w:rPr>
          <w:rFonts w:hint="eastAsia"/>
          <w:color w:val="auto"/>
          <w:lang w:val="en-US" w:eastAsia="zh-CN"/>
        </w:rPr>
        <w:t>采购平台</w:t>
      </w:r>
      <w:r>
        <w:rPr>
          <w:rFonts w:hint="eastAsia"/>
          <w:color w:val="auto"/>
          <w:lang w:eastAsia="zh-CN"/>
        </w:rPr>
        <w:t>可酌情延长</w:t>
      </w:r>
      <w:r>
        <w:rPr>
          <w:rFonts w:hint="eastAsia"/>
          <w:color w:val="auto"/>
          <w:lang w:val="en-US" w:eastAsia="zh-CN"/>
        </w:rPr>
        <w:t>响应文件递交</w:t>
      </w:r>
      <w:r>
        <w:rPr>
          <w:rFonts w:hint="eastAsia"/>
          <w:color w:val="auto"/>
          <w:lang w:eastAsia="zh-CN"/>
        </w:rPr>
        <w:t>截止日期，</w:t>
      </w:r>
      <w:bookmarkStart w:id="63" w:name="_Toc246996934"/>
      <w:bookmarkStart w:id="64" w:name="_Toc247085705"/>
      <w:bookmarkStart w:id="65" w:name="_Toc152042322"/>
      <w:bookmarkStart w:id="66" w:name="_Toc296602436"/>
      <w:bookmarkStart w:id="67" w:name="_Toc246996191"/>
      <w:bookmarkStart w:id="68" w:name="_Toc179632564"/>
      <w:bookmarkStart w:id="69" w:name="_Toc152045546"/>
      <w:bookmarkStart w:id="70" w:name="_Toc144974514"/>
      <w:r>
        <w:rPr>
          <w:rFonts w:hint="eastAsia"/>
          <w:color w:val="auto"/>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44974515"/>
      <w:bookmarkStart w:id="72" w:name="_Toc296602437"/>
      <w:bookmarkStart w:id="73" w:name="_Toc247085706"/>
      <w:bookmarkStart w:id="74" w:name="_Toc246996192"/>
      <w:bookmarkStart w:id="75" w:name="_Toc152045547"/>
      <w:bookmarkStart w:id="76" w:name="_Toc246996935"/>
      <w:bookmarkStart w:id="77" w:name="_Toc179632565"/>
      <w:bookmarkStart w:id="78"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lang w:val="en-US" w:eastAsia="zh-CN"/>
        </w:rPr>
        <w:t>虚报瞒报</w:t>
      </w:r>
      <w:r>
        <w:rPr>
          <w:rFonts w:hint="eastAsia"/>
        </w:rPr>
        <w:t>行为的</w:t>
      </w:r>
      <w:r>
        <w:rPr>
          <w:rFonts w:hint="eastAsia"/>
          <w:lang w:eastAsia="zh-CN"/>
        </w:rPr>
        <w:t>，</w:t>
      </w:r>
      <w:r>
        <w:rPr>
          <w:rFonts w:hint="eastAsia"/>
        </w:rPr>
        <w:t>视其</w:t>
      </w:r>
      <w:r>
        <w:rPr>
          <w:rFonts w:hint="eastAsia"/>
          <w:lang w:eastAsia="zh-CN"/>
        </w:rPr>
        <w:t>响</w:t>
      </w:r>
      <w:r>
        <w:rPr>
          <w:rFonts w:hint="eastAsia"/>
          <w:color w:val="auto"/>
          <w:lang w:eastAsia="zh-CN"/>
        </w:rPr>
        <w:t>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44974516"/>
      <w:bookmarkStart w:id="80" w:name="_Toc296602438"/>
      <w:bookmarkStart w:id="81" w:name="_Toc246996193"/>
      <w:bookmarkStart w:id="82" w:name="_Toc247085707"/>
      <w:bookmarkStart w:id="83" w:name="_Toc179632566"/>
      <w:bookmarkStart w:id="84" w:name="_Toc246996936"/>
      <w:bookmarkStart w:id="85" w:name="_Toc152042324"/>
      <w:bookmarkStart w:id="86" w:name="_Toc15204554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5549"/>
      <w:bookmarkStart w:id="89" w:name="_Toc152042325"/>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96602439"/>
      <w:bookmarkStart w:id="93" w:name="_Toc247085708"/>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296602443"/>
      <w:bookmarkStart w:id="97" w:name="_Toc246996199"/>
      <w:bookmarkStart w:id="98" w:name="_Toc179632573"/>
      <w:bookmarkStart w:id="99" w:name="_Toc144974523"/>
      <w:bookmarkStart w:id="100" w:name="_Toc247085713"/>
      <w:bookmarkStart w:id="101" w:name="_Toc246996942"/>
      <w:bookmarkStart w:id="102" w:name="_Toc152042331"/>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74"/>
      <w:bookmarkStart w:id="104" w:name="_Toc144974524"/>
      <w:bookmarkStart w:id="105" w:name="_Toc246996943"/>
      <w:bookmarkStart w:id="106" w:name="_Toc247085714"/>
      <w:bookmarkStart w:id="107" w:name="_Toc296602444"/>
      <w:bookmarkStart w:id="108" w:name="_Toc152042332"/>
      <w:bookmarkStart w:id="109" w:name="_Toc152045556"/>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2333"/>
      <w:bookmarkStart w:id="112" w:name="_Toc144974525"/>
      <w:bookmarkStart w:id="113" w:name="_Toc179632575"/>
      <w:bookmarkStart w:id="114" w:name="_Toc246996201"/>
      <w:bookmarkStart w:id="115" w:name="_Toc246996944"/>
      <w:bookmarkStart w:id="116" w:name="_Toc152045557"/>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44974526"/>
      <w:bookmarkStart w:id="119" w:name="_Toc296602446"/>
      <w:bookmarkStart w:id="120" w:name="_Toc152042334"/>
      <w:bookmarkStart w:id="121" w:name="_Toc246996202"/>
      <w:bookmarkStart w:id="122" w:name="_Toc179632576"/>
      <w:bookmarkStart w:id="123" w:name="_Toc152045558"/>
      <w:bookmarkStart w:id="124" w:name="_Toc247085716"/>
      <w:bookmarkStart w:id="125" w:name="_Toc246996945"/>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2335"/>
      <w:bookmarkStart w:id="127" w:name="_Toc152045559"/>
      <w:bookmarkStart w:id="128" w:name="_Toc247085717"/>
      <w:bookmarkStart w:id="129" w:name="_Toc246996203"/>
      <w:bookmarkStart w:id="130" w:name="_Toc179632577"/>
      <w:bookmarkStart w:id="131" w:name="_Toc144974527"/>
      <w:bookmarkStart w:id="132" w:name="_Toc246996946"/>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6"/>
      <w:bookmarkStart w:id="135" w:name="_Toc246996947"/>
      <w:bookmarkStart w:id="136" w:name="_Toc246996204"/>
      <w:bookmarkStart w:id="137" w:name="_Toc296602448"/>
      <w:bookmarkStart w:id="138" w:name="_Toc152045560"/>
      <w:bookmarkStart w:id="139" w:name="_Toc179632578"/>
      <w:bookmarkStart w:id="140" w:name="_Toc247085718"/>
      <w:bookmarkStart w:id="141"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247085719"/>
      <w:bookmarkStart w:id="144" w:name="_Toc246996205"/>
      <w:bookmarkStart w:id="145" w:name="_Toc152042337"/>
      <w:bookmarkStart w:id="146" w:name="_Toc246996948"/>
      <w:bookmarkStart w:id="147" w:name="_Toc179632579"/>
      <w:bookmarkStart w:id="148" w:name="_Toc296602449"/>
      <w:bookmarkStart w:id="149" w:name="_Toc14497452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5563"/>
      <w:bookmarkStart w:id="151" w:name="_Toc296602452"/>
      <w:bookmarkStart w:id="152" w:name="_Toc152042339"/>
      <w:bookmarkStart w:id="153" w:name="_Toc247085721"/>
      <w:bookmarkStart w:id="154" w:name="_Toc246996950"/>
      <w:bookmarkStart w:id="155" w:name="_Toc179632581"/>
      <w:bookmarkStart w:id="156" w:name="_Toc246996207"/>
      <w:bookmarkStart w:id="157" w:name="_Toc14497453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7085724"/>
      <w:bookmarkStart w:id="159" w:name="_Toc246996210"/>
      <w:bookmarkStart w:id="160" w:name="_Toc144974534"/>
      <w:bookmarkStart w:id="161" w:name="_Toc246996953"/>
      <w:bookmarkStart w:id="162" w:name="_Toc152042342"/>
      <w:bookmarkStart w:id="163" w:name="_Toc296602455"/>
      <w:bookmarkStart w:id="164" w:name="_Toc179632584"/>
      <w:bookmarkStart w:id="165" w:name="_Toc152045566"/>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96602456"/>
      <w:bookmarkStart w:id="167" w:name="_Toc152045567"/>
      <w:bookmarkStart w:id="168" w:name="_Toc247085725"/>
      <w:bookmarkStart w:id="169" w:name="_Toc246996954"/>
      <w:bookmarkStart w:id="170" w:name="_Toc144974535"/>
      <w:bookmarkStart w:id="171" w:name="_Toc152042343"/>
      <w:bookmarkStart w:id="172" w:name="_Toc179632585"/>
      <w:bookmarkStart w:id="173" w:name="_Toc246996211"/>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79632586"/>
      <w:bookmarkStart w:id="176" w:name="_Toc152042344"/>
      <w:bookmarkStart w:id="177" w:name="_Toc247085726"/>
      <w:bookmarkStart w:id="178" w:name="_Toc246996212"/>
      <w:bookmarkStart w:id="179" w:name="_Toc296602458"/>
      <w:bookmarkStart w:id="180" w:name="_Toc246996955"/>
      <w:bookmarkStart w:id="181" w:name="_Toc144974536"/>
      <w:bookmarkStart w:id="182" w:name="_Toc15204556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59"/>
      <w:bookmarkStart w:id="184" w:name="_Toc152042345"/>
      <w:bookmarkStart w:id="185" w:name="_Toc246996956"/>
      <w:bookmarkStart w:id="186" w:name="_Toc247085727"/>
      <w:bookmarkStart w:id="187" w:name="_Toc144974537"/>
      <w:bookmarkStart w:id="188" w:name="_Toc152045569"/>
      <w:bookmarkStart w:id="189" w:name="_Toc179632587"/>
      <w:bookmarkStart w:id="190" w:name="_Toc246996213"/>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62"/>
      <w:bookmarkStart w:id="193" w:name="_Toc246996219"/>
      <w:bookmarkStart w:id="194" w:name="_Toc179632593"/>
      <w:bookmarkStart w:id="195" w:name="_Toc152045575"/>
      <w:bookmarkStart w:id="196" w:name="_Toc152042351"/>
      <w:bookmarkStart w:id="197" w:name="_Toc246996962"/>
      <w:bookmarkStart w:id="198" w:name="_Toc296590983"/>
      <w:bookmarkStart w:id="199" w:name="_Toc144974543"/>
      <w:bookmarkStart w:id="200" w:name="_Toc24708573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44974544"/>
      <w:bookmarkStart w:id="202" w:name="_Toc296602463"/>
      <w:bookmarkStart w:id="203" w:name="_Toc152045576"/>
      <w:bookmarkStart w:id="204" w:name="_Toc246996963"/>
      <w:bookmarkStart w:id="205" w:name="_Toc246996220"/>
      <w:bookmarkStart w:id="206" w:name="_Toc152042352"/>
      <w:bookmarkStart w:id="207" w:name="_Toc247085734"/>
      <w:bookmarkStart w:id="208" w:name="_Toc17963259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2353"/>
      <w:bookmarkStart w:id="210" w:name="_Toc246996964"/>
      <w:bookmarkStart w:id="211" w:name="_Toc152045577"/>
      <w:bookmarkStart w:id="212" w:name="_Toc144974545"/>
      <w:bookmarkStart w:id="213" w:name="_Toc296602464"/>
      <w:bookmarkStart w:id="214" w:name="_Toc179632595"/>
      <w:bookmarkStart w:id="215" w:name="_Toc246996221"/>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3" w:edGrp="everyone"/>
      <w:r>
        <w:rPr>
          <w:rFonts w:hint="eastAsia" w:ascii="宋体" w:hAnsi="宋体"/>
          <w:color w:val="FF0000"/>
          <w:sz w:val="24"/>
          <w:lang w:val="en-US" w:eastAsia="zh-CN"/>
        </w:rPr>
        <w:t>最低评审价法</w:t>
      </w:r>
      <w:permEnd w:id="43"/>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46704D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937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79632607"/>
            <w:bookmarkStart w:id="218" w:name="_Toc144974556"/>
            <w:bookmarkStart w:id="219" w:name="_Toc247085747"/>
            <w:bookmarkStart w:id="220" w:name="_Toc152045589"/>
            <w:bookmarkStart w:id="221" w:name="_Toc152042366"/>
            <w:bookmarkStart w:id="222" w:name="_Toc296602477"/>
            <w:bookmarkStart w:id="223" w:name="_Toc246996232"/>
            <w:bookmarkStart w:id="224" w:name="_Toc246996975"/>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2B04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769C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4E18F5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31AA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119E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D014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454ED8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2A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97BF4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2A0B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989F3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60E4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FBD9E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8BA6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44CE6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9A4F7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B20F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5C97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36AAEC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A9739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4101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8FE2D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AD4A9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3D21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73C2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B5527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8F1F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0A195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3D2E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B68C5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6228FC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5D5E0F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16FE60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808EA2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56F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F27C7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936E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35DF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4BB3EE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C20F5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7AB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604E8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894F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81469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02033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0842E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5965C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75DF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B800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2AAE2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52042370"/>
      <w:bookmarkStart w:id="226" w:name="_Toc144974560"/>
      <w:bookmarkStart w:id="227" w:name="_Toc246996236"/>
      <w:bookmarkStart w:id="228" w:name="_Toc246996979"/>
      <w:bookmarkStart w:id="229" w:name="_Toc247085751"/>
      <w:bookmarkStart w:id="230" w:name="_Toc179632611"/>
      <w:bookmarkStart w:id="231" w:name="_Toc296602481"/>
      <w:bookmarkStart w:id="232" w:name="_Toc152045593"/>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6996239"/>
      <w:bookmarkStart w:id="235" w:name="_Toc247085754"/>
      <w:bookmarkStart w:id="236" w:name="_Toc296602484"/>
      <w:bookmarkStart w:id="237" w:name="_Toc246996982"/>
      <w:bookmarkStart w:id="238" w:name="_Toc179632614"/>
      <w:bookmarkStart w:id="239" w:name="_Toc152045596"/>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4"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亳州交控通路交通设施有限公司  </w:t>
            </w:r>
            <w:permEnd w:id="44"/>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70DD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无预付款，货物进场并经采购人验收合格后，采购人次月向成交人支付上月已完成合格供货量价款的80%，项目竣工验收通过后采购人向成交人支付至已完成合格供货量价款的100%。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0D914F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1、违约行为处理方式</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3743"/>
        <w:gridCol w:w="4110"/>
      </w:tblGrid>
      <w:tr w14:paraId="16267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4353C496">
            <w:pPr>
              <w:pStyle w:val="17"/>
              <w:spacing w:after="0"/>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序号</w:t>
            </w:r>
          </w:p>
        </w:tc>
        <w:tc>
          <w:tcPr>
            <w:tcW w:w="0" w:type="auto"/>
            <w:vAlign w:val="center"/>
          </w:tcPr>
          <w:p w14:paraId="599CC7B7">
            <w:pPr>
              <w:pStyle w:val="17"/>
              <w:spacing w:after="0"/>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违约行为</w:t>
            </w:r>
          </w:p>
        </w:tc>
        <w:tc>
          <w:tcPr>
            <w:tcW w:w="0" w:type="auto"/>
            <w:vAlign w:val="center"/>
          </w:tcPr>
          <w:p w14:paraId="552CBC37">
            <w:pPr>
              <w:pStyle w:val="17"/>
              <w:spacing w:after="0"/>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处理方式</w:t>
            </w:r>
          </w:p>
        </w:tc>
      </w:tr>
      <w:tr w14:paraId="21E2A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5B92CAE0">
            <w:pPr>
              <w:pStyle w:val="17"/>
              <w:spacing w:after="0"/>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1</w:t>
            </w:r>
          </w:p>
        </w:tc>
        <w:tc>
          <w:tcPr>
            <w:tcW w:w="0" w:type="auto"/>
            <w:vAlign w:val="center"/>
          </w:tcPr>
          <w:p w14:paraId="5D73A251">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lang w:val="en-US" w:eastAsia="zh-CN"/>
              </w:rPr>
              <w:t>如</w:t>
            </w:r>
            <w:r>
              <w:rPr>
                <w:rFonts w:hint="eastAsia" w:ascii="宋体" w:hAnsi="宋体" w:eastAsia="宋体" w:cs="宋体"/>
                <w:sz w:val="21"/>
                <w:szCs w:val="21"/>
                <w:u w:val="none"/>
              </w:rPr>
              <w:t>因</w:t>
            </w: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原因，造成供货产品质量不合格、未按合同约定或规范标准供货</w:t>
            </w:r>
            <w:r>
              <w:rPr>
                <w:rFonts w:hint="eastAsia" w:ascii="宋体" w:hAnsi="宋体" w:eastAsia="宋体" w:cs="宋体"/>
                <w:sz w:val="21"/>
                <w:szCs w:val="21"/>
                <w:u w:val="none"/>
                <w:lang w:val="en-US" w:eastAsia="zh-CN"/>
              </w:rPr>
              <w:t>的</w:t>
            </w:r>
            <w:r>
              <w:rPr>
                <w:rFonts w:hint="eastAsia" w:ascii="宋体" w:hAnsi="宋体" w:cs="宋体"/>
                <w:sz w:val="21"/>
                <w:szCs w:val="21"/>
                <w:u w:val="none"/>
                <w:lang w:val="en-US" w:eastAsia="zh-CN"/>
              </w:rPr>
              <w:t>，或</w:t>
            </w:r>
            <w:r>
              <w:rPr>
                <w:rFonts w:hint="eastAsia" w:ascii="宋体" w:hAnsi="宋体" w:cs="宋体"/>
                <w:szCs w:val="21"/>
                <w:u w:val="none"/>
              </w:rPr>
              <w:t>因材料不符合国标及图纸要求造成材料退场的</w:t>
            </w:r>
            <w:r>
              <w:rPr>
                <w:rFonts w:hint="eastAsia" w:ascii="宋体" w:hAnsi="宋体" w:cs="宋体"/>
                <w:szCs w:val="21"/>
                <w:u w:val="none"/>
                <w:lang w:eastAsia="zh-CN"/>
              </w:rPr>
              <w:t>。</w:t>
            </w:r>
          </w:p>
        </w:tc>
        <w:tc>
          <w:tcPr>
            <w:tcW w:w="0" w:type="auto"/>
            <w:vAlign w:val="center"/>
          </w:tcPr>
          <w:p w14:paraId="11CF3601">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lang w:val="en-US"/>
              </w:rPr>
            </w:pPr>
            <w:r>
              <w:rPr>
                <w:rFonts w:hint="eastAsia" w:ascii="宋体" w:hAnsi="宋体" w:cs="宋体"/>
                <w:sz w:val="21"/>
                <w:szCs w:val="21"/>
                <w:u w:val="none"/>
                <w:lang w:val="en-US" w:eastAsia="zh-CN"/>
              </w:rPr>
              <w:t>1、</w:t>
            </w:r>
            <w:r>
              <w:rPr>
                <w:rFonts w:hint="eastAsia" w:ascii="宋体" w:hAnsi="宋体" w:eastAsia="宋体" w:cs="宋体"/>
                <w:sz w:val="21"/>
                <w:szCs w:val="21"/>
                <w:u w:val="none"/>
              </w:rPr>
              <w:t>采购人有权予以拒收，</w:t>
            </w: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应对质量不合格的产品实行包退、包换</w:t>
            </w:r>
            <w:r>
              <w:rPr>
                <w:rFonts w:hint="eastAsia" w:ascii="宋体" w:hAnsi="宋体" w:eastAsia="宋体" w:cs="宋体"/>
                <w:sz w:val="21"/>
                <w:szCs w:val="21"/>
                <w:u w:val="none"/>
                <w:lang w:eastAsia="zh-CN"/>
              </w:rPr>
              <w:t>。</w:t>
            </w:r>
            <w:r>
              <w:rPr>
                <w:rFonts w:hint="eastAsia" w:ascii="宋体" w:hAnsi="宋体" w:cs="宋体"/>
                <w:sz w:val="21"/>
                <w:szCs w:val="21"/>
                <w:u w:val="none"/>
                <w:lang w:val="en-US" w:eastAsia="zh-CN"/>
              </w:rPr>
              <w:t>且</w:t>
            </w:r>
            <w:r>
              <w:rPr>
                <w:rFonts w:hint="eastAsia" w:ascii="宋体" w:hAnsi="宋体" w:cs="宋体"/>
                <w:szCs w:val="21"/>
                <w:u w:val="none"/>
                <w:lang w:eastAsia="zh-CN"/>
              </w:rPr>
              <w:t>供应商</w:t>
            </w:r>
            <w:r>
              <w:rPr>
                <w:rFonts w:hint="eastAsia" w:ascii="宋体" w:hAnsi="宋体" w:cs="宋体"/>
                <w:szCs w:val="21"/>
                <w:u w:val="none"/>
              </w:rPr>
              <w:t>需向采购人承担2000元违约金每次，从当期货物结算价款中直接扣除。</w:t>
            </w:r>
          </w:p>
          <w:p w14:paraId="646B37F0">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rPr>
            </w:pPr>
            <w:r>
              <w:rPr>
                <w:rFonts w:hint="eastAsia" w:ascii="宋体" w:hAnsi="宋体" w:cs="宋体"/>
                <w:sz w:val="21"/>
                <w:szCs w:val="21"/>
                <w:u w:val="none"/>
                <w:lang w:val="en-US" w:eastAsia="zh-CN"/>
              </w:rPr>
              <w:t>2、</w:t>
            </w:r>
            <w:r>
              <w:rPr>
                <w:rFonts w:hint="eastAsia" w:ascii="宋体" w:hAnsi="宋体" w:eastAsia="宋体" w:cs="宋体"/>
                <w:sz w:val="21"/>
                <w:szCs w:val="21"/>
                <w:u w:val="none"/>
              </w:rPr>
              <w:t>若因供应商供应产品的质量问题（以次充好或偷工减料）所造成的工程安全事故或延期交货，</w:t>
            </w: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应承担所有经济赔偿和法律责任。</w:t>
            </w:r>
          </w:p>
          <w:p w14:paraId="45E954BF">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vertAlign w:val="baseline"/>
                <w:lang w:eastAsia="zh-CN"/>
              </w:rPr>
            </w:pPr>
            <w:r>
              <w:rPr>
                <w:rFonts w:hint="eastAsia" w:ascii="宋体" w:hAnsi="宋体" w:cs="宋体"/>
                <w:sz w:val="21"/>
                <w:szCs w:val="21"/>
                <w:u w:val="none"/>
                <w:lang w:val="en-US" w:eastAsia="zh-CN"/>
              </w:rPr>
              <w:t>3、发现3次及以上该违约行为的</w:t>
            </w:r>
            <w:r>
              <w:rPr>
                <w:rFonts w:hint="eastAsia" w:ascii="宋体" w:hAnsi="宋体" w:eastAsia="宋体" w:cs="宋体"/>
                <w:sz w:val="21"/>
                <w:szCs w:val="21"/>
                <w:u w:val="none"/>
                <w:lang w:val="en-US" w:eastAsia="zh-CN"/>
              </w:rPr>
              <w:t>，</w:t>
            </w:r>
            <w:r>
              <w:rPr>
                <w:rFonts w:hint="eastAsia" w:ascii="宋体" w:hAnsi="宋体" w:eastAsia="宋体" w:cs="宋体"/>
                <w:sz w:val="21"/>
                <w:szCs w:val="21"/>
                <w:u w:val="none"/>
              </w:rPr>
              <w:t>采购人有权单方面解除合同，并没收</w:t>
            </w:r>
            <w:r>
              <w:rPr>
                <w:rFonts w:hint="eastAsia" w:ascii="宋体" w:hAnsi="宋体" w:eastAsia="宋体" w:cs="宋体"/>
                <w:sz w:val="21"/>
                <w:szCs w:val="21"/>
                <w:u w:val="none"/>
                <w:lang w:val="en-US" w:eastAsia="zh-CN"/>
              </w:rPr>
              <w:t>供应商全部</w:t>
            </w:r>
            <w:r>
              <w:rPr>
                <w:rFonts w:hint="eastAsia" w:ascii="宋体" w:hAnsi="宋体" w:eastAsia="宋体" w:cs="宋体"/>
                <w:sz w:val="21"/>
                <w:szCs w:val="21"/>
                <w:u w:val="none"/>
              </w:rPr>
              <w:t>履约保证金</w:t>
            </w:r>
            <w:r>
              <w:rPr>
                <w:rFonts w:hint="eastAsia" w:ascii="宋体" w:hAnsi="宋体" w:eastAsia="宋体" w:cs="宋体"/>
                <w:sz w:val="21"/>
                <w:szCs w:val="21"/>
                <w:u w:val="none"/>
                <w:lang w:eastAsia="zh-CN"/>
              </w:rPr>
              <w:t>。</w:t>
            </w:r>
          </w:p>
        </w:tc>
      </w:tr>
      <w:tr w14:paraId="27680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72A636CA">
            <w:pPr>
              <w:pStyle w:val="17"/>
              <w:spacing w:after="0"/>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2</w:t>
            </w:r>
          </w:p>
        </w:tc>
        <w:tc>
          <w:tcPr>
            <w:tcW w:w="0" w:type="auto"/>
            <w:vAlign w:val="center"/>
          </w:tcPr>
          <w:p w14:paraId="562B8AC8">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3次以内（不含3次），</w:t>
            </w:r>
            <w:r>
              <w:rPr>
                <w:rFonts w:hint="eastAsia" w:ascii="宋体" w:hAnsi="宋体" w:eastAsia="宋体" w:cs="宋体"/>
                <w:kern w:val="2"/>
                <w:sz w:val="21"/>
                <w:szCs w:val="21"/>
                <w:u w:val="none"/>
              </w:rPr>
              <w:t>因</w:t>
            </w:r>
            <w:r>
              <w:rPr>
                <w:rFonts w:hint="eastAsia" w:ascii="宋体" w:hAnsi="宋体" w:eastAsia="宋体" w:cs="宋体"/>
                <w:kern w:val="2"/>
                <w:sz w:val="21"/>
                <w:szCs w:val="21"/>
                <w:u w:val="none"/>
                <w:lang w:eastAsia="zh-CN"/>
              </w:rPr>
              <w:t>供应商</w:t>
            </w:r>
            <w:r>
              <w:rPr>
                <w:rFonts w:hint="eastAsia" w:ascii="宋体" w:hAnsi="宋体" w:eastAsia="宋体" w:cs="宋体"/>
                <w:kern w:val="2"/>
                <w:sz w:val="21"/>
                <w:szCs w:val="21"/>
                <w:u w:val="none"/>
              </w:rPr>
              <w:t>原因未能按期供货，造成项目工期延误给采购人造成损失的</w:t>
            </w:r>
          </w:p>
        </w:tc>
        <w:tc>
          <w:tcPr>
            <w:tcW w:w="0" w:type="auto"/>
            <w:vAlign w:val="center"/>
          </w:tcPr>
          <w:p w14:paraId="12EC434F">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vertAlign w:val="baseline"/>
              </w:rPr>
            </w:pP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应据实承担所有经济赔偿和法律责任，误期赔偿费按照</w:t>
            </w:r>
            <w:r>
              <w:rPr>
                <w:rFonts w:hint="eastAsia" w:ascii="宋体" w:hAnsi="宋体" w:cs="宋体"/>
                <w:sz w:val="21"/>
                <w:szCs w:val="21"/>
                <w:u w:val="none"/>
                <w:lang w:val="en-US" w:eastAsia="zh-CN"/>
              </w:rPr>
              <w:t>2</w:t>
            </w:r>
            <w:r>
              <w:rPr>
                <w:rFonts w:hint="eastAsia" w:ascii="宋体" w:hAnsi="宋体" w:eastAsia="宋体" w:cs="宋体"/>
                <w:sz w:val="21"/>
                <w:szCs w:val="21"/>
                <w:u w:val="none"/>
              </w:rPr>
              <w:t>000元/天计算（特殊加工定制的材料除外），并承担采购人因此所受的损失费用。</w:t>
            </w:r>
          </w:p>
        </w:tc>
      </w:tr>
      <w:tr w14:paraId="76A34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272D5E3F">
            <w:pPr>
              <w:pStyle w:val="17"/>
              <w:spacing w:after="0"/>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3</w:t>
            </w:r>
          </w:p>
        </w:tc>
        <w:tc>
          <w:tcPr>
            <w:tcW w:w="0" w:type="auto"/>
            <w:vAlign w:val="center"/>
          </w:tcPr>
          <w:p w14:paraId="0E49BD3D">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因</w:t>
            </w:r>
            <w:r>
              <w:rPr>
                <w:rFonts w:hint="eastAsia" w:ascii="宋体" w:hAnsi="宋体" w:eastAsia="宋体" w:cs="宋体"/>
                <w:kern w:val="2"/>
                <w:sz w:val="21"/>
                <w:szCs w:val="21"/>
                <w:u w:val="none"/>
                <w:lang w:eastAsia="zh-CN"/>
              </w:rPr>
              <w:t>供应商</w:t>
            </w:r>
            <w:r>
              <w:rPr>
                <w:rFonts w:hint="eastAsia" w:ascii="宋体" w:hAnsi="宋体" w:eastAsia="宋体" w:cs="宋体"/>
                <w:kern w:val="2"/>
                <w:sz w:val="21"/>
                <w:szCs w:val="21"/>
                <w:u w:val="none"/>
              </w:rPr>
              <w:t>原因未能按期供货，逾期超过5天</w:t>
            </w:r>
            <w:r>
              <w:rPr>
                <w:rFonts w:hint="eastAsia" w:ascii="宋体" w:hAnsi="宋体" w:eastAsia="宋体" w:cs="宋体"/>
                <w:kern w:val="2"/>
                <w:sz w:val="21"/>
                <w:szCs w:val="21"/>
                <w:u w:val="none"/>
                <w:lang w:val="en-US" w:eastAsia="zh-CN"/>
              </w:rPr>
              <w:t>的</w:t>
            </w:r>
          </w:p>
        </w:tc>
        <w:tc>
          <w:tcPr>
            <w:tcW w:w="0" w:type="auto"/>
            <w:vAlign w:val="center"/>
          </w:tcPr>
          <w:p w14:paraId="3B1EAA5E">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rPr>
            </w:pPr>
            <w:r>
              <w:rPr>
                <w:rFonts w:hint="eastAsia" w:ascii="宋体" w:hAnsi="宋体" w:eastAsia="宋体" w:cs="宋体"/>
                <w:sz w:val="21"/>
                <w:szCs w:val="21"/>
                <w:u w:val="none"/>
              </w:rPr>
              <w:t>采购人有权解除合同，</w:t>
            </w: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lang w:val="en-US" w:eastAsia="zh-CN"/>
              </w:rPr>
              <w:t>需</w:t>
            </w:r>
            <w:r>
              <w:rPr>
                <w:rFonts w:hint="eastAsia" w:ascii="宋体" w:hAnsi="宋体" w:eastAsia="宋体" w:cs="宋体"/>
                <w:sz w:val="21"/>
                <w:szCs w:val="21"/>
                <w:u w:val="none"/>
              </w:rPr>
              <w:t>承担逾期交货部分货款15%的违约金</w:t>
            </w:r>
          </w:p>
        </w:tc>
      </w:tr>
      <w:tr w14:paraId="33940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1B1C3B8F">
            <w:pPr>
              <w:pStyle w:val="17"/>
              <w:spacing w:after="0"/>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4</w:t>
            </w:r>
          </w:p>
        </w:tc>
        <w:tc>
          <w:tcPr>
            <w:tcW w:w="0" w:type="auto"/>
            <w:vAlign w:val="center"/>
          </w:tcPr>
          <w:p w14:paraId="2FAEAE6E">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kern w:val="2"/>
                <w:sz w:val="21"/>
                <w:szCs w:val="21"/>
                <w:u w:val="none"/>
              </w:rPr>
            </w:pPr>
            <w:r>
              <w:rPr>
                <w:rFonts w:hint="eastAsia" w:ascii="宋体" w:hAnsi="宋体" w:eastAsia="宋体" w:cs="宋体"/>
                <w:kern w:val="2"/>
                <w:sz w:val="21"/>
                <w:szCs w:val="21"/>
                <w:u w:val="none"/>
              </w:rPr>
              <w:t>3次及以上供货时间严重超出合同约定或订单通知时限要求的</w:t>
            </w:r>
          </w:p>
        </w:tc>
        <w:tc>
          <w:tcPr>
            <w:tcW w:w="0" w:type="auto"/>
            <w:vAlign w:val="center"/>
          </w:tcPr>
          <w:p w14:paraId="5BCA20CF">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rPr>
            </w:pPr>
            <w:r>
              <w:rPr>
                <w:rFonts w:hint="eastAsia" w:ascii="宋体" w:hAnsi="宋体" w:eastAsia="宋体" w:cs="宋体"/>
                <w:sz w:val="21"/>
                <w:szCs w:val="21"/>
                <w:u w:val="none"/>
              </w:rPr>
              <w:t>采购人有权单方面解除合同，并没收其全部履约保证金。</w:t>
            </w:r>
          </w:p>
        </w:tc>
      </w:tr>
      <w:tr w14:paraId="1AE9F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714514EF">
            <w:pPr>
              <w:pStyle w:val="17"/>
              <w:spacing w:after="0"/>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5</w:t>
            </w:r>
          </w:p>
        </w:tc>
        <w:tc>
          <w:tcPr>
            <w:tcW w:w="0" w:type="auto"/>
            <w:vAlign w:val="center"/>
          </w:tcPr>
          <w:p w14:paraId="32E6B443">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3次以内（不含3次）</w:t>
            </w:r>
            <w:r>
              <w:rPr>
                <w:rFonts w:hint="eastAsia" w:ascii="宋体" w:hAnsi="宋体" w:eastAsia="宋体" w:cs="宋体"/>
                <w:kern w:val="2"/>
                <w:sz w:val="21"/>
                <w:szCs w:val="21"/>
                <w:u w:val="none"/>
              </w:rPr>
              <w:t>虚报供应产品数量或价格的</w:t>
            </w:r>
          </w:p>
        </w:tc>
        <w:tc>
          <w:tcPr>
            <w:tcW w:w="0" w:type="auto"/>
            <w:vAlign w:val="center"/>
          </w:tcPr>
          <w:p w14:paraId="6596DF50">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rPr>
            </w:pPr>
            <w:r>
              <w:rPr>
                <w:rFonts w:hint="eastAsia" w:ascii="宋体" w:hAnsi="宋体" w:eastAsia="宋体" w:cs="宋体"/>
                <w:sz w:val="21"/>
                <w:szCs w:val="21"/>
                <w:u w:val="none"/>
              </w:rPr>
              <w:t>采购人有权扣除履约保证金的10%每次作为违约金</w:t>
            </w:r>
          </w:p>
        </w:tc>
      </w:tr>
      <w:tr w14:paraId="444FC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21F32D1B">
            <w:pPr>
              <w:pStyle w:val="17"/>
              <w:spacing w:after="0"/>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6</w:t>
            </w:r>
          </w:p>
        </w:tc>
        <w:tc>
          <w:tcPr>
            <w:tcW w:w="0" w:type="auto"/>
            <w:vAlign w:val="center"/>
          </w:tcPr>
          <w:p w14:paraId="13E0A26D">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rPr>
              <w:t>3次及以上虚报供货产品数量或价格的</w:t>
            </w:r>
          </w:p>
        </w:tc>
        <w:tc>
          <w:tcPr>
            <w:tcW w:w="0" w:type="auto"/>
            <w:vAlign w:val="center"/>
          </w:tcPr>
          <w:p w14:paraId="3F4C9035">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rPr>
            </w:pPr>
            <w:r>
              <w:rPr>
                <w:rFonts w:hint="eastAsia" w:ascii="宋体" w:hAnsi="宋体" w:eastAsia="宋体" w:cs="宋体"/>
                <w:sz w:val="21"/>
                <w:szCs w:val="21"/>
                <w:u w:val="none"/>
              </w:rPr>
              <w:t>采购人有权单方面解除合同，并没收其</w:t>
            </w:r>
            <w:r>
              <w:rPr>
                <w:rFonts w:hint="eastAsia" w:ascii="宋体" w:hAnsi="宋体" w:eastAsia="宋体" w:cs="宋体"/>
                <w:sz w:val="21"/>
                <w:szCs w:val="21"/>
                <w:u w:val="none"/>
                <w:lang w:val="en-US" w:eastAsia="zh-CN"/>
              </w:rPr>
              <w:t>全部</w:t>
            </w:r>
            <w:r>
              <w:rPr>
                <w:rFonts w:hint="eastAsia" w:ascii="宋体" w:hAnsi="宋体" w:eastAsia="宋体" w:cs="宋体"/>
                <w:sz w:val="21"/>
                <w:szCs w:val="21"/>
                <w:u w:val="none"/>
              </w:rPr>
              <w:t>履约保证金</w:t>
            </w:r>
            <w:r>
              <w:rPr>
                <w:rFonts w:hint="eastAsia" w:ascii="宋体" w:hAnsi="宋体" w:eastAsia="宋体" w:cs="宋体"/>
                <w:sz w:val="21"/>
                <w:szCs w:val="21"/>
                <w:u w:val="none"/>
                <w:lang w:eastAsia="zh-CN"/>
              </w:rPr>
              <w:t>。</w:t>
            </w:r>
          </w:p>
        </w:tc>
      </w:tr>
      <w:tr w14:paraId="241B4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3FF6B2B6">
            <w:pPr>
              <w:pStyle w:val="17"/>
              <w:spacing w:after="0"/>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7</w:t>
            </w:r>
          </w:p>
        </w:tc>
        <w:tc>
          <w:tcPr>
            <w:tcW w:w="0" w:type="auto"/>
            <w:vAlign w:val="center"/>
          </w:tcPr>
          <w:p w14:paraId="1F82CF05">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kern w:val="2"/>
                <w:sz w:val="21"/>
                <w:szCs w:val="21"/>
                <w:u w:val="none"/>
              </w:rPr>
            </w:pPr>
            <w:r>
              <w:rPr>
                <w:rFonts w:hint="eastAsia" w:ascii="宋体" w:hAnsi="宋体" w:eastAsia="宋体" w:cs="宋体"/>
                <w:kern w:val="2"/>
                <w:sz w:val="21"/>
                <w:szCs w:val="21"/>
                <w:u w:val="none"/>
                <w:lang w:eastAsia="zh-CN"/>
              </w:rPr>
              <w:t>供应商</w:t>
            </w:r>
            <w:r>
              <w:rPr>
                <w:rFonts w:hint="eastAsia" w:ascii="宋体" w:hAnsi="宋体" w:eastAsia="宋体" w:cs="宋体"/>
                <w:kern w:val="2"/>
                <w:sz w:val="21"/>
                <w:szCs w:val="21"/>
                <w:u w:val="none"/>
                <w:lang w:val="en-US" w:eastAsia="zh-CN"/>
              </w:rPr>
              <w:t>工作</w:t>
            </w:r>
            <w:r>
              <w:rPr>
                <w:rFonts w:hint="eastAsia" w:ascii="宋体" w:hAnsi="宋体" w:eastAsia="宋体" w:cs="宋体"/>
                <w:kern w:val="2"/>
                <w:sz w:val="21"/>
                <w:szCs w:val="21"/>
                <w:u w:val="none"/>
              </w:rPr>
              <w:t>人员在采购人施工现场造成本人或者第三人人身、财产损失</w:t>
            </w:r>
            <w:r>
              <w:rPr>
                <w:rFonts w:hint="eastAsia" w:ascii="宋体" w:hAnsi="宋体" w:eastAsia="宋体" w:cs="宋体"/>
                <w:kern w:val="2"/>
                <w:sz w:val="21"/>
                <w:szCs w:val="21"/>
                <w:u w:val="none"/>
                <w:lang w:eastAsia="zh-CN"/>
              </w:rPr>
              <w:t>供应商</w:t>
            </w:r>
            <w:r>
              <w:rPr>
                <w:rFonts w:hint="eastAsia" w:ascii="宋体" w:hAnsi="宋体" w:eastAsia="宋体" w:cs="宋体"/>
                <w:kern w:val="2"/>
                <w:sz w:val="21"/>
                <w:szCs w:val="21"/>
                <w:u w:val="none"/>
                <w:lang w:val="en-US" w:eastAsia="zh-CN"/>
              </w:rPr>
              <w:t>工作人员</w:t>
            </w:r>
            <w:r>
              <w:rPr>
                <w:rFonts w:hint="eastAsia" w:ascii="宋体" w:hAnsi="宋体" w:eastAsia="宋体" w:cs="宋体"/>
                <w:kern w:val="2"/>
                <w:sz w:val="21"/>
                <w:szCs w:val="21"/>
                <w:u w:val="none"/>
              </w:rPr>
              <w:t>在采购人施工现场造成本人或者第三人人身、财产损失</w:t>
            </w:r>
          </w:p>
        </w:tc>
        <w:tc>
          <w:tcPr>
            <w:tcW w:w="0" w:type="auto"/>
            <w:vAlign w:val="center"/>
          </w:tcPr>
          <w:p w14:paraId="129958B7">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rPr>
            </w:pP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应自行承担责任，若因此导致采购人担责，采购人有权对</w:t>
            </w: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追偿</w:t>
            </w: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应自行承担责任，若因此导致采购人担责，采购人有权对</w:t>
            </w: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追偿</w:t>
            </w:r>
          </w:p>
        </w:tc>
      </w:tr>
      <w:tr w14:paraId="6B8B8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6C4B82F9">
            <w:pPr>
              <w:pStyle w:val="17"/>
              <w:spacing w:after="0"/>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8</w:t>
            </w:r>
          </w:p>
        </w:tc>
        <w:tc>
          <w:tcPr>
            <w:tcW w:w="0" w:type="auto"/>
            <w:vAlign w:val="center"/>
          </w:tcPr>
          <w:p w14:paraId="2F869E52">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kern w:val="2"/>
                <w:sz w:val="21"/>
                <w:szCs w:val="21"/>
                <w:u w:val="none"/>
              </w:rPr>
            </w:pPr>
            <w:r>
              <w:rPr>
                <w:rFonts w:hint="eastAsia" w:ascii="宋体" w:hAnsi="宋体" w:eastAsia="宋体" w:cs="宋体"/>
                <w:kern w:val="2"/>
                <w:sz w:val="21"/>
                <w:szCs w:val="21"/>
                <w:u w:val="none"/>
              </w:rPr>
              <w:t>其他严重损害采购人利益的行为</w:t>
            </w:r>
          </w:p>
        </w:tc>
        <w:tc>
          <w:tcPr>
            <w:tcW w:w="0" w:type="auto"/>
            <w:vAlign w:val="center"/>
          </w:tcPr>
          <w:p w14:paraId="0113CD90">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rPr>
            </w:pPr>
            <w:r>
              <w:rPr>
                <w:rFonts w:hint="eastAsia" w:ascii="宋体" w:hAnsi="宋体" w:eastAsia="宋体" w:cs="宋体"/>
                <w:sz w:val="21"/>
                <w:szCs w:val="21"/>
                <w:u w:val="none"/>
              </w:rPr>
              <w:t>采购人有权单方面解除合同，并没收其</w:t>
            </w:r>
            <w:r>
              <w:rPr>
                <w:rFonts w:hint="eastAsia" w:ascii="宋体" w:hAnsi="宋体" w:eastAsia="宋体" w:cs="宋体"/>
                <w:sz w:val="21"/>
                <w:szCs w:val="21"/>
                <w:u w:val="none"/>
                <w:lang w:val="en-US" w:eastAsia="zh-CN"/>
              </w:rPr>
              <w:t>全部</w:t>
            </w:r>
            <w:r>
              <w:rPr>
                <w:rFonts w:hint="eastAsia" w:ascii="宋体" w:hAnsi="宋体" w:eastAsia="宋体" w:cs="宋体"/>
                <w:sz w:val="21"/>
                <w:szCs w:val="21"/>
                <w:u w:val="none"/>
              </w:rPr>
              <w:t>履约保证金</w:t>
            </w:r>
            <w:r>
              <w:rPr>
                <w:rFonts w:hint="eastAsia" w:ascii="宋体" w:hAnsi="宋体" w:eastAsia="宋体" w:cs="宋体"/>
                <w:sz w:val="21"/>
                <w:szCs w:val="21"/>
                <w:u w:val="none"/>
                <w:lang w:eastAsia="zh-CN"/>
              </w:rPr>
              <w:t>。</w:t>
            </w:r>
          </w:p>
        </w:tc>
      </w:tr>
    </w:tbl>
    <w:p w14:paraId="1564F76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所供货物需符合施工图设计要求且进场前需提供合格证、检测证明等相关材料，由供应商负责货物的装车运输，并运至采购人指定地点，到达后由供应商负责卸货，采购人将委派专人对货物的数量、质量及规格等进行验收，并在送货单据上签字确认。</w:t>
      </w:r>
    </w:p>
    <w:p w14:paraId="653F257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3、供应商运至现场的材料，需确保材料符合国标及图纸要求。</w:t>
      </w:r>
    </w:p>
    <w:p w14:paraId="5E95A7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4、材料进场前需先提供样品，经采购人确认后方可进场，后期材料需与样品一致。</w:t>
      </w:r>
    </w:p>
    <w:p w14:paraId="0EB0C6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5、供应商需按采购人要求的产品数量供货，如发生货物剩余，由供应商回收，所产生的装卸运输费用由供应商承担，采购人按实际合格供货量据实结算。</w:t>
      </w:r>
    </w:p>
    <w:p w14:paraId="0650D4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6、供应商需提供产品的“安徽省新型墙体材料产品证书”，确认产品名称（蒸压加气混凝土板），供应产品须满足国家法律法规要求并提供相关产品检测合格报告。</w:t>
      </w:r>
    </w:p>
    <w:p w14:paraId="2C45B8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7、采购人对供应产品具有自主选择权，实际供应产品的数量、规格、型号等均以采购人订单通知为准。</w:t>
      </w:r>
    </w:p>
    <w:p w14:paraId="15440E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8、对于采购人以书面或电话形式提出的质量、服务等问题，供应商应于24 小时内予以答复响应。</w:t>
      </w:r>
    </w:p>
    <w:p w14:paraId="61C44B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9、供应商对供应产品应以国家或行业标准配送，不得以次充好，不得偷工减料。</w:t>
      </w:r>
    </w:p>
    <w:p w14:paraId="6316535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响应报价包括但不限于以下费用：原材料、生产加工、装卸费、运杂费、辅材费（配套连接件（按照施工方案提供）、嵌缝剂、专用粘结砂浆等）、检验试验费、运输费、人工费、过路过江过桥费、车辆油料费、保险费、利润、风险金、税金等抵达指定交货地点的所有费用，成交后不予调整，其他未尽事宜应统一考虑在报价内。</w:t>
      </w:r>
    </w:p>
    <w:p w14:paraId="248A3B2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11、成交后供应商需提供供货联络员一名。</w:t>
      </w:r>
    </w:p>
    <w:p w14:paraId="1290EDE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12、采购人不对合同期间货物的采购数量做任何承诺，暂估采购数量仅作参考，如合同期间货物的采购数量不足，供应商不得以此为由调整供货单价，采购人对供应商不承担任何违约责任。</w:t>
      </w:r>
    </w:p>
    <w:p w14:paraId="774F50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13、采购清单</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2917"/>
        <w:gridCol w:w="1741"/>
        <w:gridCol w:w="1741"/>
        <w:gridCol w:w="1064"/>
      </w:tblGrid>
      <w:tr w14:paraId="74D92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620" w:type="pct"/>
            <w:tcBorders>
              <w:top w:val="single" w:color="auto" w:sz="4" w:space="0"/>
              <w:left w:val="single" w:color="auto" w:sz="4" w:space="0"/>
              <w:right w:val="single" w:color="auto" w:sz="4" w:space="0"/>
            </w:tcBorders>
            <w:vAlign w:val="center"/>
          </w:tcPr>
          <w:p w14:paraId="6FE8C0BC">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序号</w:t>
            </w:r>
          </w:p>
        </w:tc>
        <w:tc>
          <w:tcPr>
            <w:tcW w:w="1712" w:type="pct"/>
            <w:tcBorders>
              <w:top w:val="single" w:color="auto" w:sz="4" w:space="0"/>
              <w:left w:val="single" w:color="auto" w:sz="4" w:space="0"/>
              <w:right w:val="single" w:color="auto" w:sz="4" w:space="0"/>
            </w:tcBorders>
            <w:vAlign w:val="center"/>
          </w:tcPr>
          <w:p w14:paraId="635A953D">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材料名称</w:t>
            </w:r>
          </w:p>
        </w:tc>
        <w:tc>
          <w:tcPr>
            <w:tcW w:w="1022" w:type="pct"/>
            <w:tcBorders>
              <w:top w:val="single" w:color="auto" w:sz="4" w:space="0"/>
              <w:left w:val="single" w:color="auto" w:sz="4" w:space="0"/>
              <w:right w:val="single" w:color="auto" w:sz="4" w:space="0"/>
            </w:tcBorders>
            <w:vAlign w:val="center"/>
          </w:tcPr>
          <w:p w14:paraId="7723A4D3">
            <w:pPr>
              <w:widowControl/>
              <w:jc w:val="center"/>
              <w:textAlignment w:val="center"/>
              <w:rPr>
                <w:rFonts w:hint="eastAsia"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规格型号</w:t>
            </w:r>
          </w:p>
          <w:p w14:paraId="0BC524FA">
            <w:pPr>
              <w:widowControl/>
              <w:jc w:val="center"/>
              <w:textAlignment w:val="center"/>
            </w:pPr>
            <w:r>
              <w:rPr>
                <w:rFonts w:hint="eastAsia" w:ascii="黑体" w:hAnsi="宋体" w:eastAsia="黑体" w:cs="黑体"/>
                <w:color w:val="000000"/>
                <w:kern w:val="0"/>
                <w:sz w:val="20"/>
                <w:szCs w:val="20"/>
                <w:lang w:bidi="ar"/>
              </w:rPr>
              <w:t>（</w:t>
            </w:r>
            <w:r>
              <w:rPr>
                <w:rFonts w:hint="eastAsia" w:ascii="宋体" w:hAnsi="宋体" w:cs="宋体"/>
                <w:color w:val="000000"/>
                <w:kern w:val="0"/>
                <w:sz w:val="22"/>
                <w:szCs w:val="22"/>
                <w:lang w:bidi="ar"/>
              </w:rPr>
              <w:t>mm</w:t>
            </w:r>
            <w:r>
              <w:rPr>
                <w:rFonts w:hint="eastAsia" w:ascii="黑体" w:hAnsi="宋体" w:eastAsia="黑体" w:cs="黑体"/>
                <w:color w:val="000000"/>
                <w:kern w:val="0"/>
                <w:sz w:val="20"/>
                <w:szCs w:val="20"/>
                <w:lang w:bidi="ar"/>
              </w:rPr>
              <w:t>）</w:t>
            </w:r>
          </w:p>
        </w:tc>
        <w:tc>
          <w:tcPr>
            <w:tcW w:w="1022" w:type="pct"/>
            <w:tcBorders>
              <w:top w:val="single" w:color="auto" w:sz="4" w:space="0"/>
              <w:left w:val="single" w:color="auto" w:sz="4" w:space="0"/>
              <w:right w:val="single" w:color="auto" w:sz="4" w:space="0"/>
            </w:tcBorders>
            <w:vAlign w:val="center"/>
          </w:tcPr>
          <w:p w14:paraId="363AFE46">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val="en-US" w:eastAsia="zh-CN" w:bidi="ar"/>
              </w:rPr>
              <w:t>暂估</w:t>
            </w:r>
            <w:r>
              <w:rPr>
                <w:rFonts w:hint="eastAsia" w:ascii="黑体" w:hAnsi="宋体" w:eastAsia="黑体" w:cs="黑体"/>
                <w:color w:val="000000"/>
                <w:kern w:val="0"/>
                <w:sz w:val="20"/>
                <w:szCs w:val="20"/>
                <w:lang w:bidi="ar"/>
              </w:rPr>
              <w:t>数量</w:t>
            </w:r>
          </w:p>
          <w:p w14:paraId="4376FFCD">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（m³）</w:t>
            </w:r>
          </w:p>
        </w:tc>
        <w:tc>
          <w:tcPr>
            <w:tcW w:w="620" w:type="pct"/>
            <w:tcBorders>
              <w:top w:val="single" w:color="auto" w:sz="4" w:space="0"/>
              <w:left w:val="single" w:color="auto" w:sz="4" w:space="0"/>
              <w:right w:val="single" w:color="auto" w:sz="4" w:space="0"/>
            </w:tcBorders>
            <w:vAlign w:val="center"/>
          </w:tcPr>
          <w:p w14:paraId="66A6EAF8">
            <w:pPr>
              <w:widowControl/>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val="en-US" w:eastAsia="zh-CN" w:bidi="ar"/>
              </w:rPr>
              <w:t>税率</w:t>
            </w:r>
          </w:p>
        </w:tc>
      </w:tr>
      <w:tr w14:paraId="09465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620" w:type="pct"/>
            <w:vMerge w:val="restart"/>
            <w:tcBorders>
              <w:top w:val="single" w:color="auto" w:sz="4" w:space="0"/>
              <w:left w:val="single" w:color="auto" w:sz="4" w:space="0"/>
              <w:right w:val="single" w:color="auto" w:sz="4" w:space="0"/>
            </w:tcBorders>
            <w:vAlign w:val="center"/>
          </w:tcPr>
          <w:p w14:paraId="0CFBC2F9">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1</w:t>
            </w:r>
          </w:p>
        </w:tc>
        <w:tc>
          <w:tcPr>
            <w:tcW w:w="1712" w:type="pct"/>
            <w:vMerge w:val="restart"/>
            <w:tcBorders>
              <w:top w:val="single" w:color="auto" w:sz="4" w:space="0"/>
              <w:left w:val="single" w:color="auto" w:sz="4" w:space="0"/>
              <w:right w:val="single" w:color="auto" w:sz="4" w:space="0"/>
            </w:tcBorders>
            <w:vAlign w:val="center"/>
          </w:tcPr>
          <w:p w14:paraId="4AF22AC8">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ALC轻质隔墙板</w:t>
            </w:r>
          </w:p>
        </w:tc>
        <w:tc>
          <w:tcPr>
            <w:tcW w:w="1022" w:type="pct"/>
            <w:tcBorders>
              <w:top w:val="single" w:color="auto" w:sz="4" w:space="0"/>
              <w:left w:val="single" w:color="auto" w:sz="4" w:space="0"/>
              <w:right w:val="single" w:color="auto" w:sz="4" w:space="0"/>
            </w:tcBorders>
            <w:vAlign w:val="center"/>
          </w:tcPr>
          <w:p w14:paraId="503D2B55">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厚200</w:t>
            </w:r>
          </w:p>
        </w:tc>
        <w:tc>
          <w:tcPr>
            <w:tcW w:w="1022" w:type="pct"/>
            <w:tcBorders>
              <w:top w:val="single" w:color="auto" w:sz="4" w:space="0"/>
              <w:left w:val="single" w:color="auto" w:sz="4" w:space="0"/>
              <w:right w:val="single" w:color="auto" w:sz="4" w:space="0"/>
            </w:tcBorders>
            <w:vAlign w:val="center"/>
          </w:tcPr>
          <w:p w14:paraId="3878DF30">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1700</w:t>
            </w:r>
          </w:p>
        </w:tc>
        <w:tc>
          <w:tcPr>
            <w:tcW w:w="620" w:type="pct"/>
            <w:vMerge w:val="restart"/>
            <w:tcBorders>
              <w:top w:val="single" w:color="auto" w:sz="4" w:space="0"/>
              <w:left w:val="single" w:color="auto" w:sz="4" w:space="0"/>
              <w:right w:val="single" w:color="auto" w:sz="4" w:space="0"/>
            </w:tcBorders>
            <w:vAlign w:val="center"/>
          </w:tcPr>
          <w:p w14:paraId="064E4E8D">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13%</w:t>
            </w:r>
          </w:p>
        </w:tc>
      </w:tr>
      <w:tr w14:paraId="580B2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620" w:type="pct"/>
            <w:vMerge w:val="continue"/>
            <w:tcBorders>
              <w:left w:val="single" w:color="auto" w:sz="4" w:space="0"/>
              <w:bottom w:val="single" w:color="auto" w:sz="4" w:space="0"/>
              <w:right w:val="single" w:color="auto" w:sz="4" w:space="0"/>
            </w:tcBorders>
            <w:vAlign w:val="center"/>
          </w:tcPr>
          <w:p w14:paraId="2E0974F6">
            <w:pPr>
              <w:widowControl/>
              <w:jc w:val="center"/>
              <w:textAlignment w:val="center"/>
              <w:rPr>
                <w:rFonts w:ascii="宋体" w:hAnsi="宋体" w:cs="宋体"/>
                <w:color w:val="000000"/>
                <w:kern w:val="0"/>
                <w:sz w:val="22"/>
                <w:szCs w:val="22"/>
                <w:lang w:bidi="ar"/>
              </w:rPr>
            </w:pPr>
          </w:p>
        </w:tc>
        <w:tc>
          <w:tcPr>
            <w:tcW w:w="1712" w:type="pct"/>
            <w:vMerge w:val="continue"/>
            <w:tcBorders>
              <w:left w:val="single" w:color="auto" w:sz="4" w:space="0"/>
              <w:bottom w:val="single" w:color="auto" w:sz="4" w:space="0"/>
              <w:right w:val="single" w:color="auto" w:sz="4" w:space="0"/>
            </w:tcBorders>
            <w:vAlign w:val="center"/>
          </w:tcPr>
          <w:p w14:paraId="18D8FF77">
            <w:pPr>
              <w:widowControl/>
              <w:jc w:val="center"/>
              <w:textAlignment w:val="center"/>
              <w:rPr>
                <w:rFonts w:ascii="宋体" w:hAnsi="宋体" w:cs="宋体"/>
                <w:color w:val="000000"/>
                <w:kern w:val="0"/>
                <w:sz w:val="22"/>
                <w:szCs w:val="22"/>
                <w:lang w:bidi="ar"/>
              </w:rPr>
            </w:pPr>
          </w:p>
        </w:tc>
        <w:tc>
          <w:tcPr>
            <w:tcW w:w="1022" w:type="pct"/>
            <w:tcBorders>
              <w:top w:val="single" w:color="auto" w:sz="4" w:space="0"/>
              <w:left w:val="single" w:color="auto" w:sz="4" w:space="0"/>
              <w:bottom w:val="single" w:color="auto" w:sz="4" w:space="0"/>
              <w:right w:val="single" w:color="auto" w:sz="4" w:space="0"/>
            </w:tcBorders>
            <w:vAlign w:val="center"/>
          </w:tcPr>
          <w:p w14:paraId="66E92B09">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厚100</w:t>
            </w:r>
          </w:p>
        </w:tc>
        <w:tc>
          <w:tcPr>
            <w:tcW w:w="1022" w:type="pct"/>
            <w:tcBorders>
              <w:top w:val="single" w:color="auto" w:sz="4" w:space="0"/>
              <w:left w:val="single" w:color="auto" w:sz="4" w:space="0"/>
              <w:bottom w:val="single" w:color="auto" w:sz="4" w:space="0"/>
              <w:right w:val="single" w:color="auto" w:sz="4" w:space="0"/>
            </w:tcBorders>
            <w:vAlign w:val="center"/>
          </w:tcPr>
          <w:p w14:paraId="70427F4E">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1500</w:t>
            </w:r>
          </w:p>
        </w:tc>
        <w:tc>
          <w:tcPr>
            <w:tcW w:w="620" w:type="pct"/>
            <w:vMerge w:val="continue"/>
            <w:tcBorders>
              <w:left w:val="single" w:color="auto" w:sz="4" w:space="0"/>
              <w:bottom w:val="single" w:color="auto" w:sz="4" w:space="0"/>
              <w:right w:val="single" w:color="auto" w:sz="4" w:space="0"/>
            </w:tcBorders>
            <w:vAlign w:val="center"/>
          </w:tcPr>
          <w:p w14:paraId="5328A351">
            <w:pPr>
              <w:widowControl/>
              <w:jc w:val="center"/>
              <w:textAlignment w:val="center"/>
              <w:rPr>
                <w:rFonts w:hint="default" w:ascii="宋体" w:hAnsi="宋体" w:eastAsia="宋体" w:cs="宋体"/>
                <w:color w:val="000000"/>
                <w:kern w:val="0"/>
                <w:sz w:val="22"/>
                <w:szCs w:val="22"/>
                <w:lang w:val="en-US" w:eastAsia="zh-CN" w:bidi="ar"/>
              </w:rPr>
            </w:pPr>
          </w:p>
        </w:tc>
      </w:tr>
      <w:tr w14:paraId="6991A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14:paraId="63433F85">
            <w:pPr>
              <w:widowControl/>
              <w:jc w:val="left"/>
              <w:textAlignment w:val="center"/>
              <w:rPr>
                <w:rFonts w:hint="eastAsia" w:ascii="宋体" w:hAnsi="宋体" w:cs="宋体"/>
                <w:color w:val="000000"/>
                <w:kern w:val="0"/>
                <w:sz w:val="22"/>
                <w:szCs w:val="22"/>
                <w:lang w:val="en-US" w:eastAsia="zh-CN" w:bidi="ar"/>
              </w:rPr>
            </w:pPr>
            <w:r>
              <w:rPr>
                <w:rFonts w:hint="eastAsia" w:ascii="宋体" w:hAnsi="宋体" w:cs="宋体"/>
                <w:color w:val="000000"/>
                <w:kern w:val="0"/>
                <w:sz w:val="22"/>
                <w:szCs w:val="22"/>
                <w:lang w:bidi="ar"/>
              </w:rPr>
              <w:t>注：</w:t>
            </w:r>
            <w:r>
              <w:rPr>
                <w:rFonts w:hint="eastAsia" w:ascii="宋体" w:hAnsi="宋体" w:cs="宋体"/>
                <w:color w:val="000000"/>
                <w:kern w:val="0"/>
                <w:sz w:val="22"/>
                <w:szCs w:val="22"/>
                <w:lang w:val="en-US" w:eastAsia="zh-CN" w:bidi="ar"/>
              </w:rPr>
              <w:t>1、</w:t>
            </w:r>
            <w:r>
              <w:rPr>
                <w:rFonts w:hint="eastAsia" w:ascii="宋体" w:hAnsi="宋体" w:cs="宋体"/>
                <w:color w:val="000000"/>
                <w:kern w:val="0"/>
                <w:sz w:val="22"/>
                <w:szCs w:val="22"/>
                <w:lang w:bidi="ar"/>
              </w:rPr>
              <w:t>采购数量为暂定，</w:t>
            </w:r>
            <w:r>
              <w:rPr>
                <w:rFonts w:hint="eastAsia" w:ascii="宋体" w:hAnsi="宋体" w:cs="宋体"/>
                <w:color w:val="000000"/>
                <w:kern w:val="0"/>
                <w:sz w:val="22"/>
                <w:szCs w:val="22"/>
                <w:lang w:val="en-US" w:eastAsia="zh-CN" w:bidi="ar"/>
              </w:rPr>
              <w:t>按实际合格供货量据实结算；</w:t>
            </w:r>
          </w:p>
          <w:p w14:paraId="21A8549B">
            <w:pPr>
              <w:widowControl/>
              <w:ind w:firstLine="440" w:firstLineChars="200"/>
              <w:jc w:val="left"/>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val="en-US" w:eastAsia="zh-CN" w:bidi="ar"/>
              </w:rPr>
              <w:t>2、其他未尽事宜详见附件图纸</w:t>
            </w:r>
            <w:r>
              <w:rPr>
                <w:rFonts w:hint="eastAsia" w:ascii="宋体" w:hAnsi="宋体" w:cs="宋体"/>
                <w:color w:val="000000"/>
                <w:kern w:val="0"/>
                <w:sz w:val="22"/>
                <w:szCs w:val="22"/>
                <w:lang w:bidi="ar"/>
              </w:rPr>
              <w:t>。</w:t>
            </w:r>
          </w:p>
        </w:tc>
      </w:tr>
    </w:tbl>
    <w:p w14:paraId="2C02CB6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14、附件：图纸</w:t>
      </w:r>
    </w:p>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ALC轻质隔墙板采购项目（二次）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5"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号</w:t>
      </w:r>
      <w:permEnd w:id="45"/>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14246"/>
      <w:bookmarkStart w:id="242" w:name="_Toc300835209"/>
      <w:bookmarkStart w:id="243" w:name="_Toc152042576"/>
      <w:bookmarkStart w:id="244" w:name="_Toc152045787"/>
      <w:bookmarkStart w:id="245" w:name="_Toc247527827"/>
      <w:bookmarkStart w:id="246" w:name="_Toc14497485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14247"/>
      <w:bookmarkStart w:id="248" w:name="_Toc152045788"/>
      <w:bookmarkStart w:id="249" w:name="_Toc144974857"/>
      <w:bookmarkStart w:id="250" w:name="_Toc300835210"/>
      <w:bookmarkStart w:id="251" w:name="_Toc247527828"/>
      <w:bookmarkStart w:id="252"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5790"/>
      <w:bookmarkStart w:id="254" w:name="_Toc144974859"/>
      <w:bookmarkStart w:id="255" w:name="_Toc300835212"/>
      <w:bookmarkStart w:id="256" w:name="_Toc152042579"/>
      <w:bookmarkStart w:id="257" w:name="_Toc247514249"/>
      <w:bookmarkStart w:id="258" w:name="_Toc247527830"/>
      <w:r>
        <w:rPr>
          <w:rFonts w:hint="eastAsia" w:ascii="Times New Roman" w:hAnsi="Times New Roman" w:cs="Times New Roman"/>
          <w:szCs w:val="21"/>
          <w:u w:val="single"/>
          <w:lang w:val="en-US" w:eastAsia="zh-CN"/>
        </w:rPr>
        <w:t>亳州交控通路交通设施有限公司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ALC轻质隔墙板采购项目（二次）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6" w:edGrp="everyone"/>
      <w:r>
        <w:rPr>
          <w:rFonts w:hint="eastAsia" w:ascii="Times New Roman" w:hAnsi="Times New Roman" w:cs="Times New Roman"/>
          <w:szCs w:val="21"/>
          <w:u w:val="none"/>
          <w:lang w:val="en-US" w:eastAsia="zh-CN"/>
        </w:rPr>
        <w:t>BZJK-2025-</w:t>
      </w:r>
      <w:r>
        <w:rPr>
          <w:rFonts w:hint="eastAsia" w:ascii="Times New Roman" w:hAnsi="Times New Roman" w:cs="Times New Roman"/>
          <w:szCs w:val="21"/>
          <w:u w:val="single"/>
          <w:lang w:val="en-US" w:eastAsia="zh-CN"/>
        </w:rPr>
        <w:t xml:space="preserve">    号</w:t>
      </w:r>
      <w:permEnd w:id="46"/>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7"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元每立方米</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元/m³</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的响应报价（其中，增值税税率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7"/>
      <w:r>
        <w:rPr>
          <w:rFonts w:hint="eastAsia" w:ascii="Times New Roman" w:hAnsi="Times New Roman" w:cs="Times New Roman"/>
          <w:szCs w:val="21"/>
          <w:lang w:val="en-US" w:eastAsia="zh-CN"/>
        </w:rPr>
        <w:t>，供货期：自合同签订之日起365日历天，交货期自采购人发出订单通知之日起5日内完成交货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14283"/>
      <w:bookmarkStart w:id="260" w:name="_Toc144974860"/>
      <w:bookmarkStart w:id="261" w:name="_Toc152042580"/>
      <w:bookmarkStart w:id="262" w:name="_Toc300835213"/>
      <w:bookmarkStart w:id="263" w:name="_Toc247527831"/>
      <w:bookmarkStart w:id="264"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27832"/>
      <w:bookmarkStart w:id="266" w:name="_Toc300835214"/>
      <w:bookmarkStart w:id="267" w:name="_Toc152045792"/>
      <w:bookmarkStart w:id="268" w:name="_Toc247514284"/>
      <w:bookmarkStart w:id="269" w:name="_Toc152042581"/>
      <w:bookmarkStart w:id="270"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5794"/>
      <w:bookmarkStart w:id="272" w:name="_Toc144974862"/>
      <w:bookmarkStart w:id="273" w:name="_Toc152042583"/>
      <w:bookmarkStart w:id="274" w:name="_Toc247527834"/>
      <w:bookmarkStart w:id="275" w:name="_Toc247514286"/>
      <w:bookmarkStart w:id="276"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27835"/>
      <w:bookmarkStart w:id="279" w:name="_Toc152042584"/>
      <w:bookmarkStart w:id="280" w:name="_Toc247514287"/>
      <w:bookmarkStart w:id="281" w:name="_Toc300835218"/>
      <w:bookmarkStart w:id="282" w:name="_Toc152045795"/>
      <w:bookmarkStart w:id="283" w:name="_Toc144974863"/>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5BF1C38">
      <w:pPr>
        <w:rPr>
          <w:rFonts w:hint="eastAsia" w:ascii="Times New Roman" w:hAnsi="Times New Roman" w:cs="Times New Roman"/>
          <w:lang w:val="en-US" w:eastAsia="zh-CN"/>
        </w:rPr>
      </w:pPr>
      <w:r>
        <w:rPr>
          <w:rFonts w:hint="eastAsia" w:ascii="Times New Roman" w:hAnsi="Times New Roman" w:cs="Times New Roman"/>
          <w:lang w:val="en-US" w:eastAsia="zh-CN"/>
        </w:rPr>
        <w:br w:type="page"/>
      </w: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7C137B95">
      <w:pPr>
        <w:rPr>
          <w:rFonts w:hint="eastAsia"/>
          <w:lang w:val="en-US" w:eastAsia="zh-CN"/>
        </w:rPr>
      </w:pPr>
    </w:p>
    <w:tbl>
      <w:tblPr>
        <w:tblStyle w:val="18"/>
        <w:tblW w:w="554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1760"/>
        <w:gridCol w:w="1030"/>
        <w:gridCol w:w="1013"/>
        <w:gridCol w:w="779"/>
        <w:gridCol w:w="1308"/>
        <w:gridCol w:w="1887"/>
        <w:gridCol w:w="958"/>
      </w:tblGrid>
      <w:tr w14:paraId="0712C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380" w:type="pct"/>
            <w:tcBorders>
              <w:top w:val="single" w:color="auto" w:sz="4" w:space="0"/>
              <w:left w:val="single" w:color="auto" w:sz="4" w:space="0"/>
              <w:right w:val="single" w:color="auto" w:sz="4" w:space="0"/>
            </w:tcBorders>
            <w:vAlign w:val="center"/>
          </w:tcPr>
          <w:p w14:paraId="2FF9AA5B">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序号</w:t>
            </w:r>
          </w:p>
        </w:tc>
        <w:tc>
          <w:tcPr>
            <w:tcW w:w="931" w:type="pct"/>
            <w:tcBorders>
              <w:top w:val="single" w:color="auto" w:sz="4" w:space="0"/>
              <w:left w:val="single" w:color="auto" w:sz="4" w:space="0"/>
              <w:right w:val="single" w:color="auto" w:sz="4" w:space="0"/>
            </w:tcBorders>
            <w:vAlign w:val="center"/>
          </w:tcPr>
          <w:p w14:paraId="58E79A42">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材料名称</w:t>
            </w:r>
          </w:p>
        </w:tc>
        <w:tc>
          <w:tcPr>
            <w:tcW w:w="545" w:type="pct"/>
            <w:tcBorders>
              <w:top w:val="single" w:color="auto" w:sz="4" w:space="0"/>
              <w:left w:val="single" w:color="auto" w:sz="4" w:space="0"/>
              <w:right w:val="single" w:color="auto" w:sz="4" w:space="0"/>
            </w:tcBorders>
            <w:vAlign w:val="center"/>
          </w:tcPr>
          <w:p w14:paraId="67CB12F7">
            <w:pPr>
              <w:widowControl/>
              <w:jc w:val="center"/>
              <w:textAlignment w:val="center"/>
              <w:rPr>
                <w:rFonts w:hint="eastAsia"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规格型号</w:t>
            </w:r>
          </w:p>
          <w:p w14:paraId="3A5F31C2">
            <w:pPr>
              <w:widowControl/>
              <w:jc w:val="center"/>
              <w:textAlignment w:val="center"/>
            </w:pPr>
            <w:r>
              <w:rPr>
                <w:rFonts w:hint="eastAsia" w:ascii="黑体" w:hAnsi="宋体" w:eastAsia="黑体" w:cs="黑体"/>
                <w:color w:val="000000"/>
                <w:kern w:val="0"/>
                <w:sz w:val="20"/>
                <w:szCs w:val="20"/>
                <w:lang w:bidi="ar"/>
              </w:rPr>
              <w:t>（</w:t>
            </w:r>
            <w:r>
              <w:rPr>
                <w:rFonts w:hint="eastAsia" w:ascii="宋体" w:hAnsi="宋体" w:cs="宋体"/>
                <w:color w:val="000000"/>
                <w:kern w:val="0"/>
                <w:sz w:val="22"/>
                <w:szCs w:val="22"/>
                <w:lang w:bidi="ar"/>
              </w:rPr>
              <w:t>mm</w:t>
            </w:r>
            <w:r>
              <w:rPr>
                <w:rFonts w:hint="eastAsia" w:ascii="黑体" w:hAnsi="宋体" w:eastAsia="黑体" w:cs="黑体"/>
                <w:color w:val="000000"/>
                <w:kern w:val="0"/>
                <w:sz w:val="20"/>
                <w:szCs w:val="20"/>
                <w:lang w:bidi="ar"/>
              </w:rPr>
              <w:t>）</w:t>
            </w:r>
          </w:p>
        </w:tc>
        <w:tc>
          <w:tcPr>
            <w:tcW w:w="536" w:type="pct"/>
            <w:tcBorders>
              <w:top w:val="single" w:color="auto" w:sz="4" w:space="0"/>
              <w:left w:val="single" w:color="auto" w:sz="4" w:space="0"/>
              <w:right w:val="single" w:color="auto" w:sz="4" w:space="0"/>
            </w:tcBorders>
            <w:vAlign w:val="center"/>
          </w:tcPr>
          <w:p w14:paraId="6422D922">
            <w:pPr>
              <w:widowControl/>
              <w:jc w:val="center"/>
              <w:textAlignment w:val="center"/>
              <w:rPr>
                <w:rFonts w:hint="eastAsia" w:ascii="黑体" w:hAnsi="宋体" w:eastAsia="黑体" w:cs="黑体"/>
                <w:color w:val="000000"/>
                <w:kern w:val="0"/>
                <w:sz w:val="20"/>
                <w:szCs w:val="20"/>
                <w:lang w:val="en-US" w:eastAsia="zh-CN" w:bidi="ar"/>
              </w:rPr>
            </w:pPr>
            <w:r>
              <w:rPr>
                <w:rFonts w:hint="eastAsia" w:ascii="黑体" w:hAnsi="宋体" w:eastAsia="黑体" w:cs="黑体"/>
                <w:color w:val="000000"/>
                <w:kern w:val="0"/>
                <w:sz w:val="20"/>
                <w:szCs w:val="20"/>
                <w:lang w:val="en-US" w:eastAsia="zh-CN" w:bidi="ar"/>
              </w:rPr>
              <w:t>暂估</w:t>
            </w:r>
          </w:p>
          <w:p w14:paraId="7BBE5A54">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数量</w:t>
            </w:r>
          </w:p>
          <w:p w14:paraId="4D791B04">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（m³）</w:t>
            </w:r>
          </w:p>
        </w:tc>
        <w:tc>
          <w:tcPr>
            <w:tcW w:w="412" w:type="pct"/>
            <w:tcBorders>
              <w:top w:val="single" w:color="auto" w:sz="4" w:space="0"/>
              <w:left w:val="single" w:color="auto" w:sz="4" w:space="0"/>
              <w:right w:val="single" w:color="auto" w:sz="4" w:space="0"/>
            </w:tcBorders>
            <w:vAlign w:val="center"/>
          </w:tcPr>
          <w:p w14:paraId="4596F81F">
            <w:pPr>
              <w:widowControl/>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val="en-US" w:eastAsia="zh-CN" w:bidi="ar"/>
              </w:rPr>
              <w:t>税率</w:t>
            </w:r>
          </w:p>
        </w:tc>
        <w:tc>
          <w:tcPr>
            <w:tcW w:w="691" w:type="pct"/>
            <w:tcBorders>
              <w:top w:val="single" w:color="auto" w:sz="4" w:space="0"/>
              <w:left w:val="single" w:color="auto" w:sz="4" w:space="0"/>
              <w:right w:val="single" w:color="auto" w:sz="4" w:space="0"/>
            </w:tcBorders>
            <w:shd w:val="clear" w:color="auto" w:fill="auto"/>
            <w:vAlign w:val="center"/>
          </w:tcPr>
          <w:p w14:paraId="39EB1266">
            <w:pPr>
              <w:widowControl/>
              <w:jc w:val="center"/>
              <w:textAlignment w:val="center"/>
              <w:rPr>
                <w:rFonts w:hint="eastAsia"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含税单价</w:t>
            </w:r>
          </w:p>
          <w:p w14:paraId="225E9FD4">
            <w:pPr>
              <w:widowControl/>
              <w:jc w:val="center"/>
              <w:textAlignment w:val="center"/>
              <w:rPr>
                <w:rFonts w:hint="eastAsia" w:ascii="黑体" w:hAnsi="宋体" w:eastAsia="黑体" w:cs="黑体"/>
                <w:color w:val="000000"/>
                <w:kern w:val="0"/>
                <w:sz w:val="20"/>
                <w:szCs w:val="20"/>
                <w:lang w:val="en-US" w:eastAsia="zh-CN" w:bidi="ar"/>
              </w:rPr>
            </w:pPr>
            <w:r>
              <w:rPr>
                <w:rFonts w:hint="eastAsia" w:ascii="黑体" w:hAnsi="宋体" w:eastAsia="黑体" w:cs="黑体"/>
                <w:color w:val="000000"/>
                <w:kern w:val="0"/>
                <w:sz w:val="20"/>
                <w:szCs w:val="20"/>
                <w:lang w:bidi="ar"/>
              </w:rPr>
              <w:t>（元/m³）</w:t>
            </w:r>
          </w:p>
        </w:tc>
        <w:tc>
          <w:tcPr>
            <w:tcW w:w="998" w:type="pct"/>
            <w:tcBorders>
              <w:top w:val="single" w:color="auto" w:sz="4" w:space="0"/>
              <w:left w:val="single" w:color="auto" w:sz="4" w:space="0"/>
              <w:right w:val="single" w:color="auto" w:sz="4" w:space="0"/>
            </w:tcBorders>
            <w:vAlign w:val="center"/>
          </w:tcPr>
          <w:p w14:paraId="28216002">
            <w:pPr>
              <w:widowControl/>
              <w:jc w:val="center"/>
              <w:textAlignment w:val="center"/>
              <w:rPr>
                <w:rFonts w:hint="eastAsia"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含税</w:t>
            </w:r>
            <w:r>
              <w:rPr>
                <w:rFonts w:hint="eastAsia" w:ascii="黑体" w:hAnsi="宋体" w:eastAsia="黑体" w:cs="黑体"/>
                <w:color w:val="000000"/>
                <w:kern w:val="0"/>
                <w:sz w:val="20"/>
                <w:szCs w:val="20"/>
                <w:lang w:val="en-US" w:eastAsia="zh-CN" w:bidi="ar"/>
              </w:rPr>
              <w:t>合</w:t>
            </w:r>
            <w:r>
              <w:rPr>
                <w:rFonts w:hint="eastAsia" w:ascii="黑体" w:hAnsi="宋体" w:eastAsia="黑体" w:cs="黑体"/>
                <w:color w:val="000000"/>
                <w:kern w:val="0"/>
                <w:sz w:val="20"/>
                <w:szCs w:val="20"/>
                <w:lang w:bidi="ar"/>
              </w:rPr>
              <w:t>价</w:t>
            </w:r>
          </w:p>
          <w:p w14:paraId="12F787FE">
            <w:pPr>
              <w:widowControl/>
              <w:jc w:val="center"/>
              <w:textAlignment w:val="center"/>
              <w:rPr>
                <w:rFonts w:hint="eastAsia"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（元）</w:t>
            </w:r>
          </w:p>
        </w:tc>
        <w:tc>
          <w:tcPr>
            <w:tcW w:w="505" w:type="pct"/>
            <w:tcBorders>
              <w:top w:val="single" w:color="auto" w:sz="4" w:space="0"/>
              <w:left w:val="single" w:color="auto" w:sz="4" w:space="0"/>
              <w:right w:val="single" w:color="auto" w:sz="4" w:space="0"/>
            </w:tcBorders>
            <w:vAlign w:val="center"/>
          </w:tcPr>
          <w:p w14:paraId="6DA52598">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备注</w:t>
            </w:r>
          </w:p>
        </w:tc>
      </w:tr>
      <w:tr w14:paraId="7DFCD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380" w:type="pct"/>
            <w:vMerge w:val="restart"/>
            <w:tcBorders>
              <w:top w:val="single" w:color="auto" w:sz="4" w:space="0"/>
              <w:left w:val="single" w:color="auto" w:sz="4" w:space="0"/>
              <w:right w:val="single" w:color="auto" w:sz="4" w:space="0"/>
            </w:tcBorders>
            <w:vAlign w:val="center"/>
          </w:tcPr>
          <w:p w14:paraId="39BA8CCF">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1</w:t>
            </w:r>
          </w:p>
        </w:tc>
        <w:tc>
          <w:tcPr>
            <w:tcW w:w="931" w:type="pct"/>
            <w:vMerge w:val="restart"/>
            <w:tcBorders>
              <w:top w:val="single" w:color="auto" w:sz="4" w:space="0"/>
              <w:left w:val="single" w:color="auto" w:sz="4" w:space="0"/>
              <w:right w:val="single" w:color="auto" w:sz="4" w:space="0"/>
            </w:tcBorders>
            <w:vAlign w:val="center"/>
          </w:tcPr>
          <w:p w14:paraId="4905A64A">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ALC轻质隔墙板</w:t>
            </w:r>
          </w:p>
        </w:tc>
        <w:tc>
          <w:tcPr>
            <w:tcW w:w="545" w:type="pct"/>
            <w:tcBorders>
              <w:top w:val="single" w:color="auto" w:sz="4" w:space="0"/>
              <w:left w:val="single" w:color="auto" w:sz="4" w:space="0"/>
              <w:right w:val="single" w:color="auto" w:sz="4" w:space="0"/>
            </w:tcBorders>
            <w:vAlign w:val="center"/>
          </w:tcPr>
          <w:p w14:paraId="048A99E7">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厚200</w:t>
            </w:r>
          </w:p>
        </w:tc>
        <w:tc>
          <w:tcPr>
            <w:tcW w:w="536" w:type="pct"/>
            <w:tcBorders>
              <w:top w:val="single" w:color="auto" w:sz="4" w:space="0"/>
              <w:left w:val="single" w:color="auto" w:sz="4" w:space="0"/>
              <w:right w:val="single" w:color="auto" w:sz="4" w:space="0"/>
            </w:tcBorders>
            <w:vAlign w:val="center"/>
          </w:tcPr>
          <w:p w14:paraId="383E83EA">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1700</w:t>
            </w:r>
          </w:p>
        </w:tc>
        <w:tc>
          <w:tcPr>
            <w:tcW w:w="412" w:type="pct"/>
            <w:vMerge w:val="restart"/>
            <w:tcBorders>
              <w:top w:val="single" w:color="auto" w:sz="4" w:space="0"/>
              <w:left w:val="single" w:color="auto" w:sz="4" w:space="0"/>
              <w:right w:val="single" w:color="auto" w:sz="4" w:space="0"/>
            </w:tcBorders>
            <w:vAlign w:val="center"/>
          </w:tcPr>
          <w:p w14:paraId="6313F733">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13%</w:t>
            </w:r>
          </w:p>
        </w:tc>
        <w:tc>
          <w:tcPr>
            <w:tcW w:w="691" w:type="pct"/>
            <w:vMerge w:val="restart"/>
            <w:tcBorders>
              <w:top w:val="single" w:color="auto" w:sz="4" w:space="0"/>
              <w:left w:val="single" w:color="auto" w:sz="4" w:space="0"/>
              <w:right w:val="single" w:color="auto" w:sz="4" w:space="0"/>
            </w:tcBorders>
            <w:shd w:val="clear" w:color="auto" w:fill="auto"/>
            <w:vAlign w:val="center"/>
          </w:tcPr>
          <w:p w14:paraId="6A296CBF">
            <w:pPr>
              <w:widowControl/>
              <w:jc w:val="center"/>
              <w:textAlignment w:val="center"/>
              <w:rPr>
                <w:rFonts w:hint="eastAsia" w:ascii="宋体" w:hAnsi="宋体" w:eastAsia="宋体" w:cs="宋体"/>
                <w:color w:val="000000"/>
                <w:kern w:val="0"/>
                <w:sz w:val="22"/>
                <w:szCs w:val="22"/>
                <w:lang w:val="en-US" w:eastAsia="zh-CN" w:bidi="ar"/>
              </w:rPr>
            </w:pPr>
          </w:p>
        </w:tc>
        <w:tc>
          <w:tcPr>
            <w:tcW w:w="998" w:type="pct"/>
            <w:tcBorders>
              <w:top w:val="single" w:color="auto" w:sz="4" w:space="0"/>
              <w:left w:val="single" w:color="auto" w:sz="4" w:space="0"/>
              <w:right w:val="single" w:color="auto" w:sz="4" w:space="0"/>
            </w:tcBorders>
            <w:vAlign w:val="center"/>
          </w:tcPr>
          <w:p w14:paraId="006AC578">
            <w:pPr>
              <w:widowControl/>
              <w:jc w:val="center"/>
              <w:textAlignment w:val="center"/>
              <w:rPr>
                <w:rFonts w:hint="eastAsia" w:ascii="宋体" w:hAnsi="宋体" w:cs="宋体"/>
                <w:color w:val="000000"/>
                <w:kern w:val="0"/>
                <w:sz w:val="22"/>
                <w:szCs w:val="22"/>
                <w:lang w:val="en-US" w:eastAsia="zh-CN" w:bidi="ar"/>
              </w:rPr>
            </w:pPr>
          </w:p>
        </w:tc>
        <w:tc>
          <w:tcPr>
            <w:tcW w:w="505" w:type="pct"/>
            <w:tcBorders>
              <w:top w:val="single" w:color="auto" w:sz="4" w:space="0"/>
              <w:left w:val="single" w:color="auto" w:sz="4" w:space="0"/>
              <w:right w:val="single" w:color="auto" w:sz="4" w:space="0"/>
            </w:tcBorders>
            <w:vAlign w:val="center"/>
          </w:tcPr>
          <w:p w14:paraId="41DFED23">
            <w:pPr>
              <w:widowControl/>
              <w:jc w:val="center"/>
              <w:textAlignment w:val="center"/>
              <w:rPr>
                <w:rFonts w:ascii="宋体" w:hAnsi="宋体" w:cs="宋体"/>
                <w:color w:val="000000"/>
                <w:kern w:val="0"/>
                <w:sz w:val="22"/>
                <w:szCs w:val="22"/>
                <w:lang w:bidi="ar"/>
              </w:rPr>
            </w:pPr>
          </w:p>
        </w:tc>
      </w:tr>
      <w:tr w14:paraId="013B5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380" w:type="pct"/>
            <w:vMerge w:val="continue"/>
            <w:tcBorders>
              <w:left w:val="single" w:color="auto" w:sz="4" w:space="0"/>
              <w:bottom w:val="single" w:color="auto" w:sz="4" w:space="0"/>
              <w:right w:val="single" w:color="auto" w:sz="4" w:space="0"/>
            </w:tcBorders>
            <w:vAlign w:val="center"/>
          </w:tcPr>
          <w:p w14:paraId="5B2FA7E7">
            <w:pPr>
              <w:widowControl/>
              <w:jc w:val="center"/>
              <w:textAlignment w:val="center"/>
              <w:rPr>
                <w:rFonts w:ascii="宋体" w:hAnsi="宋体" w:cs="宋体"/>
                <w:color w:val="000000"/>
                <w:kern w:val="0"/>
                <w:sz w:val="22"/>
                <w:szCs w:val="22"/>
                <w:lang w:bidi="ar"/>
              </w:rPr>
            </w:pPr>
          </w:p>
        </w:tc>
        <w:tc>
          <w:tcPr>
            <w:tcW w:w="931" w:type="pct"/>
            <w:vMerge w:val="continue"/>
            <w:tcBorders>
              <w:left w:val="single" w:color="auto" w:sz="4" w:space="0"/>
              <w:bottom w:val="single" w:color="auto" w:sz="4" w:space="0"/>
              <w:right w:val="single" w:color="auto" w:sz="4" w:space="0"/>
            </w:tcBorders>
            <w:vAlign w:val="center"/>
          </w:tcPr>
          <w:p w14:paraId="1365F97C">
            <w:pPr>
              <w:widowControl/>
              <w:jc w:val="center"/>
              <w:textAlignment w:val="center"/>
              <w:rPr>
                <w:rFonts w:ascii="宋体" w:hAnsi="宋体" w:cs="宋体"/>
                <w:color w:val="000000"/>
                <w:kern w:val="0"/>
                <w:sz w:val="22"/>
                <w:szCs w:val="22"/>
                <w:lang w:bidi="ar"/>
              </w:rPr>
            </w:pPr>
          </w:p>
        </w:tc>
        <w:tc>
          <w:tcPr>
            <w:tcW w:w="545" w:type="pct"/>
            <w:tcBorders>
              <w:top w:val="single" w:color="auto" w:sz="4" w:space="0"/>
              <w:left w:val="single" w:color="auto" w:sz="4" w:space="0"/>
              <w:bottom w:val="single" w:color="auto" w:sz="4" w:space="0"/>
              <w:right w:val="single" w:color="auto" w:sz="4" w:space="0"/>
            </w:tcBorders>
            <w:vAlign w:val="center"/>
          </w:tcPr>
          <w:p w14:paraId="67E01917">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厚100</w:t>
            </w:r>
          </w:p>
        </w:tc>
        <w:tc>
          <w:tcPr>
            <w:tcW w:w="536" w:type="pct"/>
            <w:tcBorders>
              <w:top w:val="single" w:color="auto" w:sz="4" w:space="0"/>
              <w:left w:val="single" w:color="auto" w:sz="4" w:space="0"/>
              <w:bottom w:val="single" w:color="auto" w:sz="4" w:space="0"/>
              <w:right w:val="single" w:color="auto" w:sz="4" w:space="0"/>
            </w:tcBorders>
            <w:vAlign w:val="center"/>
          </w:tcPr>
          <w:p w14:paraId="71B011E5">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1500</w:t>
            </w:r>
          </w:p>
        </w:tc>
        <w:tc>
          <w:tcPr>
            <w:tcW w:w="412" w:type="pct"/>
            <w:vMerge w:val="continue"/>
            <w:tcBorders>
              <w:left w:val="single" w:color="auto" w:sz="4" w:space="0"/>
              <w:bottom w:val="single" w:color="auto" w:sz="4" w:space="0"/>
              <w:right w:val="single" w:color="auto" w:sz="4" w:space="0"/>
            </w:tcBorders>
            <w:vAlign w:val="center"/>
          </w:tcPr>
          <w:p w14:paraId="422600D2">
            <w:pPr>
              <w:widowControl/>
              <w:jc w:val="center"/>
              <w:textAlignment w:val="center"/>
              <w:rPr>
                <w:rFonts w:hint="default" w:ascii="宋体" w:hAnsi="宋体" w:eastAsia="宋体" w:cs="宋体"/>
                <w:color w:val="000000"/>
                <w:kern w:val="0"/>
                <w:sz w:val="22"/>
                <w:szCs w:val="22"/>
                <w:lang w:val="en-US" w:eastAsia="zh-CN" w:bidi="ar"/>
              </w:rPr>
            </w:pPr>
          </w:p>
        </w:tc>
        <w:tc>
          <w:tcPr>
            <w:tcW w:w="691" w:type="pct"/>
            <w:vMerge w:val="continue"/>
            <w:tcBorders>
              <w:left w:val="single" w:color="auto" w:sz="4" w:space="0"/>
              <w:bottom w:val="single" w:color="auto" w:sz="4" w:space="0"/>
              <w:right w:val="single" w:color="auto" w:sz="4" w:space="0"/>
            </w:tcBorders>
            <w:shd w:val="clear" w:color="auto" w:fill="auto"/>
            <w:vAlign w:val="center"/>
          </w:tcPr>
          <w:p w14:paraId="297FCE70">
            <w:pPr>
              <w:widowControl/>
              <w:jc w:val="center"/>
              <w:textAlignment w:val="center"/>
              <w:rPr>
                <w:rFonts w:hint="eastAsia" w:ascii="宋体" w:hAnsi="宋体" w:eastAsia="宋体" w:cs="宋体"/>
                <w:color w:val="000000"/>
                <w:kern w:val="0"/>
                <w:sz w:val="22"/>
                <w:szCs w:val="22"/>
                <w:lang w:val="en-US" w:eastAsia="zh-CN" w:bidi="ar"/>
              </w:rPr>
            </w:pPr>
          </w:p>
        </w:tc>
        <w:tc>
          <w:tcPr>
            <w:tcW w:w="998" w:type="pct"/>
            <w:tcBorders>
              <w:top w:val="single" w:color="auto" w:sz="4" w:space="0"/>
              <w:left w:val="single" w:color="auto" w:sz="4" w:space="0"/>
              <w:bottom w:val="single" w:color="auto" w:sz="4" w:space="0"/>
              <w:right w:val="single" w:color="auto" w:sz="4" w:space="0"/>
            </w:tcBorders>
            <w:vAlign w:val="center"/>
          </w:tcPr>
          <w:p w14:paraId="64A9869C">
            <w:pPr>
              <w:widowControl/>
              <w:jc w:val="center"/>
              <w:textAlignment w:val="center"/>
              <w:rPr>
                <w:rFonts w:hint="eastAsia" w:ascii="宋体" w:hAnsi="宋体" w:cs="宋体"/>
                <w:color w:val="000000"/>
                <w:kern w:val="0"/>
                <w:sz w:val="22"/>
                <w:szCs w:val="22"/>
                <w:lang w:val="en-US" w:eastAsia="zh-CN" w:bidi="ar"/>
              </w:rPr>
            </w:pPr>
          </w:p>
        </w:tc>
        <w:tc>
          <w:tcPr>
            <w:tcW w:w="505" w:type="pct"/>
            <w:tcBorders>
              <w:top w:val="single" w:color="auto" w:sz="4" w:space="0"/>
              <w:left w:val="single" w:color="auto" w:sz="4" w:space="0"/>
              <w:bottom w:val="single" w:color="auto" w:sz="4" w:space="0"/>
              <w:right w:val="single" w:color="auto" w:sz="4" w:space="0"/>
            </w:tcBorders>
            <w:vAlign w:val="center"/>
          </w:tcPr>
          <w:p w14:paraId="6074D849">
            <w:pPr>
              <w:widowControl/>
              <w:jc w:val="center"/>
              <w:textAlignment w:val="center"/>
              <w:rPr>
                <w:rFonts w:ascii="宋体" w:hAnsi="宋体" w:cs="宋体"/>
                <w:color w:val="000000"/>
                <w:kern w:val="0"/>
                <w:sz w:val="22"/>
                <w:szCs w:val="22"/>
                <w:lang w:bidi="ar"/>
              </w:rPr>
            </w:pPr>
          </w:p>
        </w:tc>
      </w:tr>
      <w:tr w14:paraId="351FA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3496" w:type="pct"/>
            <w:gridSpan w:val="6"/>
            <w:tcBorders>
              <w:top w:val="single" w:color="auto" w:sz="4" w:space="0"/>
              <w:left w:val="single" w:color="auto" w:sz="4" w:space="0"/>
              <w:bottom w:val="single" w:color="auto" w:sz="4" w:space="0"/>
              <w:right w:val="single" w:color="auto" w:sz="4" w:space="0"/>
            </w:tcBorders>
            <w:vAlign w:val="center"/>
          </w:tcPr>
          <w:p w14:paraId="51AA704C">
            <w:pPr>
              <w:widowControl/>
              <w:ind w:firstLine="440" w:firstLineChars="200"/>
              <w:jc w:val="center"/>
              <w:textAlignment w:val="center"/>
              <w:rPr>
                <w:rFonts w:hint="default" w:ascii="宋体" w:hAnsi="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合计（元；含税）</w:t>
            </w:r>
          </w:p>
        </w:tc>
        <w:tc>
          <w:tcPr>
            <w:tcW w:w="998" w:type="pct"/>
            <w:tcBorders>
              <w:top w:val="single" w:color="auto" w:sz="4" w:space="0"/>
              <w:left w:val="single" w:color="auto" w:sz="4" w:space="0"/>
              <w:bottom w:val="single" w:color="auto" w:sz="4" w:space="0"/>
              <w:right w:val="single" w:color="auto" w:sz="4" w:space="0"/>
            </w:tcBorders>
            <w:vAlign w:val="center"/>
          </w:tcPr>
          <w:p w14:paraId="5F220EB9">
            <w:pPr>
              <w:widowControl/>
              <w:ind w:firstLine="440" w:firstLineChars="200"/>
              <w:jc w:val="left"/>
              <w:textAlignment w:val="center"/>
              <w:rPr>
                <w:rFonts w:hint="eastAsia" w:ascii="宋体" w:hAnsi="宋体" w:cs="宋体"/>
                <w:color w:val="000000"/>
                <w:kern w:val="0"/>
                <w:sz w:val="22"/>
                <w:szCs w:val="22"/>
                <w:lang w:val="en-US" w:eastAsia="zh-CN" w:bidi="ar"/>
              </w:rPr>
            </w:pPr>
          </w:p>
        </w:tc>
        <w:tc>
          <w:tcPr>
            <w:tcW w:w="505" w:type="pct"/>
            <w:tcBorders>
              <w:top w:val="single" w:color="auto" w:sz="4" w:space="0"/>
              <w:left w:val="single" w:color="auto" w:sz="4" w:space="0"/>
              <w:bottom w:val="single" w:color="auto" w:sz="4" w:space="0"/>
              <w:right w:val="single" w:color="auto" w:sz="4" w:space="0"/>
            </w:tcBorders>
            <w:vAlign w:val="center"/>
          </w:tcPr>
          <w:p w14:paraId="73F6F84C">
            <w:pPr>
              <w:widowControl/>
              <w:ind w:firstLine="440" w:firstLineChars="200"/>
              <w:jc w:val="left"/>
              <w:textAlignment w:val="center"/>
              <w:rPr>
                <w:rFonts w:hint="eastAsia" w:ascii="宋体" w:hAnsi="宋体" w:cs="宋体"/>
                <w:color w:val="000000"/>
                <w:kern w:val="0"/>
                <w:sz w:val="22"/>
                <w:szCs w:val="22"/>
                <w:lang w:val="en-US" w:eastAsia="zh-CN" w:bidi="ar"/>
              </w:rPr>
            </w:pPr>
          </w:p>
        </w:tc>
      </w:tr>
      <w:tr w14:paraId="518C5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5000" w:type="pct"/>
            <w:gridSpan w:val="8"/>
            <w:tcBorders>
              <w:top w:val="single" w:color="auto" w:sz="4" w:space="0"/>
              <w:left w:val="single" w:color="auto" w:sz="4" w:space="0"/>
              <w:bottom w:val="single" w:color="auto" w:sz="4" w:space="0"/>
              <w:right w:val="single" w:color="auto" w:sz="4" w:space="0"/>
            </w:tcBorders>
            <w:vAlign w:val="center"/>
          </w:tcPr>
          <w:p w14:paraId="0A06FF4B">
            <w:pPr>
              <w:widowControl/>
              <w:jc w:val="left"/>
              <w:textAlignment w:val="center"/>
              <w:rPr>
                <w:rFonts w:hint="eastAsia" w:ascii="宋体" w:hAnsi="宋体" w:cs="宋体"/>
                <w:color w:val="000000"/>
                <w:kern w:val="0"/>
                <w:sz w:val="22"/>
                <w:szCs w:val="22"/>
                <w:lang w:val="en-US" w:eastAsia="zh-CN" w:bidi="ar"/>
              </w:rPr>
            </w:pPr>
            <w:r>
              <w:rPr>
                <w:rFonts w:hint="eastAsia" w:ascii="宋体" w:hAnsi="宋体" w:cs="宋体"/>
                <w:color w:val="000000"/>
                <w:kern w:val="0"/>
                <w:sz w:val="22"/>
                <w:szCs w:val="22"/>
                <w:lang w:bidi="ar"/>
              </w:rPr>
              <w:t>注：</w:t>
            </w:r>
            <w:r>
              <w:rPr>
                <w:rFonts w:hint="eastAsia" w:ascii="宋体" w:hAnsi="宋体" w:cs="宋体"/>
                <w:color w:val="000000"/>
                <w:kern w:val="0"/>
                <w:sz w:val="22"/>
                <w:szCs w:val="22"/>
                <w:lang w:val="en-US" w:eastAsia="zh-CN" w:bidi="ar"/>
              </w:rPr>
              <w:t>1、</w:t>
            </w:r>
            <w:r>
              <w:rPr>
                <w:rFonts w:hint="eastAsia" w:ascii="宋体" w:hAnsi="宋体" w:cs="宋体"/>
                <w:color w:val="000000"/>
                <w:kern w:val="0"/>
                <w:sz w:val="22"/>
                <w:szCs w:val="22"/>
                <w:lang w:bidi="ar"/>
              </w:rPr>
              <w:t>采购数量为暂定，</w:t>
            </w:r>
            <w:r>
              <w:rPr>
                <w:rFonts w:hint="eastAsia" w:ascii="宋体" w:hAnsi="宋体" w:cs="宋体"/>
                <w:color w:val="000000"/>
                <w:kern w:val="0"/>
                <w:sz w:val="22"/>
                <w:szCs w:val="22"/>
                <w:lang w:val="en-US" w:eastAsia="zh-CN" w:bidi="ar"/>
              </w:rPr>
              <w:t>按实际合格供货量据实结算；</w:t>
            </w:r>
          </w:p>
          <w:p w14:paraId="3A001D10">
            <w:pPr>
              <w:widowControl/>
              <w:ind w:firstLine="440" w:firstLineChars="200"/>
              <w:jc w:val="left"/>
              <w:textAlignment w:val="center"/>
              <w:rPr>
                <w:rFonts w:hint="eastAsia" w:ascii="宋体" w:hAnsi="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2、其他未尽事宜详见附件图纸</w:t>
            </w:r>
            <w:r>
              <w:rPr>
                <w:rFonts w:hint="eastAsia" w:ascii="宋体" w:hAnsi="宋体" w:cs="宋体"/>
                <w:color w:val="000000"/>
                <w:kern w:val="0"/>
                <w:sz w:val="22"/>
                <w:szCs w:val="22"/>
                <w:lang w:bidi="ar"/>
              </w:rPr>
              <w:t>。</w:t>
            </w:r>
          </w:p>
        </w:tc>
      </w:tr>
    </w:tbl>
    <w:p w14:paraId="6DC14A7E">
      <w:pPr>
        <w:pStyle w:val="17"/>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300835221"/>
      <w:bookmarkStart w:id="285" w:name="_Toc152042585"/>
      <w:bookmarkStart w:id="286" w:name="_Toc247527836"/>
      <w:bookmarkStart w:id="287" w:name="_Toc144974864"/>
      <w:bookmarkStart w:id="288" w:name="_Toc247514288"/>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3DAB7550">
      <w:pPr>
        <w:pStyle w:val="4"/>
        <w:jc w:val="both"/>
        <w:rPr>
          <w:rFonts w:hint="eastAsia"/>
        </w:rPr>
      </w:pPr>
      <w:bookmarkStart w:id="291" w:name="_Toc246997116"/>
      <w:bookmarkStart w:id="292" w:name="_Toc296602618"/>
      <w:bookmarkStart w:id="293" w:name="_Toc246996373"/>
      <w:bookmarkStart w:id="294" w:name="_Toc179632828"/>
      <w:bookmarkStart w:id="295" w:name="_Toc247085891"/>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6370"/>
      <w:bookmarkStart w:id="297" w:name="_Toc246997113"/>
      <w:bookmarkStart w:id="298" w:name="_Toc247085888"/>
      <w:bookmarkStart w:id="299" w:name="_Toc296602615"/>
      <w:bookmarkStart w:id="300" w:name="_Toc152045810"/>
      <w:bookmarkStart w:id="301" w:name="_Toc247527850"/>
      <w:bookmarkStart w:id="302" w:name="_Toc144974878"/>
      <w:bookmarkStart w:id="303" w:name="_Toc152042599"/>
      <w:bookmarkStart w:id="304" w:name="_Toc247514302"/>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7085889"/>
      <w:bookmarkStart w:id="307" w:name="_Toc246996371"/>
      <w:bookmarkStart w:id="308" w:name="_Toc296602616"/>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27851"/>
      <w:bookmarkStart w:id="311" w:name="_Toc144974879"/>
      <w:bookmarkStart w:id="312" w:name="_Toc152045811"/>
      <w:bookmarkStart w:id="313" w:name="_Toc152042600"/>
      <w:bookmarkStart w:id="314" w:name="_Toc247514303"/>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lang w:val="en-US" w:eastAsia="zh-CN"/>
        </w:rPr>
      </w:pPr>
      <w:r>
        <w:rPr>
          <w:rFonts w:ascii="Times New Roman" w:hAnsi="Times New Roman"/>
          <w:b/>
          <w:bCs/>
          <w:color w:val="FF0000"/>
        </w:rPr>
        <w:t>注：</w:t>
      </w:r>
      <w:r>
        <w:rPr>
          <w:rFonts w:hint="eastAsia" w:ascii="Times New Roman" w:hAnsi="Times New Roman"/>
          <w:b/>
          <w:bCs/>
          <w:color w:val="FF0000"/>
          <w:lang w:val="en-US" w:eastAsia="zh-CN"/>
        </w:rPr>
        <w:t>如有，按询比文件要求提供</w:t>
      </w:r>
      <w:r>
        <w:rPr>
          <w:rFonts w:hint="eastAsia" w:ascii="Times New Roman" w:hAnsi="Times New Roman"/>
          <w:lang w:val="en-US" w:eastAsia="zh-CN"/>
        </w:rPr>
        <w:t>。</w:t>
      </w:r>
    </w:p>
    <w:p w14:paraId="510C6AC7">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b/>
          <w:bCs/>
          <w:color w:val="FF0000"/>
          <w:lang w:val="en-US" w:eastAsia="zh-CN"/>
        </w:rPr>
        <w:t>1.供应商需提供产品的“安徽省新型墙体材料产品证书”复印件以及检测合格报告复印件，加盖供应商单位公章，装订入响应文件中。</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5A183F9D">
      <w:pPr>
        <w:numPr>
          <w:ilvl w:val="0"/>
          <w:numId w:val="0"/>
        </w:numPr>
        <w:ind w:firstLine="422" w:firstLineChars="200"/>
        <w:jc w:val="both"/>
        <w:rPr>
          <w:rFonts w:hint="default"/>
          <w:b/>
          <w:bCs/>
          <w:color w:val="FF0000"/>
          <w:lang w:val="en-US" w:eastAsia="zh-CN"/>
        </w:rPr>
      </w:pPr>
      <w:r>
        <w:rPr>
          <w:rFonts w:hint="eastAsia"/>
          <w:b/>
          <w:bCs/>
          <w:color w:val="FF0000"/>
          <w:lang w:val="en-US" w:eastAsia="zh-CN"/>
        </w:rPr>
        <w:t>注：包括但不限于供货方案、响应产品性能指标的详细描述、技术支持资料、技术服务和质保期服务计划等内容。</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2602"/>
      <w:bookmarkStart w:id="316" w:name="_Toc152045813"/>
      <w:bookmarkStart w:id="317" w:name="_Toc247530162"/>
      <w:bookmarkStart w:id="318" w:name="_Toc247527853"/>
      <w:bookmarkStart w:id="319" w:name="_Toc144974881"/>
      <w:bookmarkStart w:id="320" w:name="_Toc247514305"/>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DCEC4E7-FB9C-446B-854C-2EFF52CA33C0}"/>
  </w:font>
  <w:font w:name="Arial">
    <w:panose1 w:val="020B0604020202020204"/>
    <w:charset w:val="01"/>
    <w:family w:val="swiss"/>
    <w:pitch w:val="default"/>
    <w:sig w:usb0="E0002EFF" w:usb1="C000785B" w:usb2="00000009" w:usb3="00000000" w:csb0="400001FF" w:csb1="FFFF0000"/>
    <w:embedRegular r:id="rId2" w:fontKey="{9B183BDC-03D8-428C-91E4-3E81E40C4382}"/>
  </w:font>
  <w:font w:name="黑体">
    <w:panose1 w:val="02010609060101010101"/>
    <w:charset w:val="86"/>
    <w:family w:val="auto"/>
    <w:pitch w:val="default"/>
    <w:sig w:usb0="800002BF" w:usb1="38CF7CFA" w:usb2="00000016" w:usb3="00000000" w:csb0="00040001" w:csb1="00000000"/>
    <w:embedRegular r:id="rId3" w:fontKey="{29D041C3-058B-4E54-A020-BBDD01404B1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A3F11F52-8BA7-49CE-8BA8-51930B92DEE2}"/>
  </w:font>
  <w:font w:name="仿宋_GB2312">
    <w:panose1 w:val="02010609030101010101"/>
    <w:charset w:val="86"/>
    <w:family w:val="modern"/>
    <w:pitch w:val="default"/>
    <w:sig w:usb0="00000001" w:usb1="080E0000" w:usb2="00000000" w:usb3="00000000" w:csb0="00040000" w:csb1="00000000"/>
    <w:embedRegular r:id="rId5" w:fontKey="{635A4209-D18E-4A8F-AE01-E46F8A724D24}"/>
  </w:font>
  <w:font w:name="楷体">
    <w:panose1 w:val="02010609060101010101"/>
    <w:charset w:val="86"/>
    <w:family w:val="auto"/>
    <w:pitch w:val="default"/>
    <w:sig w:usb0="800002BF" w:usb1="38CF7CFA" w:usb2="00000016" w:usb3="00000000" w:csb0="00040001" w:csb1="00000000"/>
    <w:embedRegular r:id="rId6" w:fontKey="{14E47624-CF7A-4616-A348-F575009B6E6C}"/>
  </w:font>
  <w:font w:name="Wingdings 2">
    <w:panose1 w:val="05020102010507070707"/>
    <w:charset w:val="00"/>
    <w:family w:val="auto"/>
    <w:pitch w:val="default"/>
    <w:sig w:usb0="00000000" w:usb1="00000000" w:usb2="00000000" w:usb3="00000000" w:csb0="80000000" w:csb1="00000000"/>
    <w:embedRegular r:id="rId7" w:fontKey="{999E5887-3B69-49AB-B648-27B3D583EA4E}"/>
  </w:font>
  <w:font w:name="方正仿宋_GB2312">
    <w:panose1 w:val="02000000000000000000"/>
    <w:charset w:val="86"/>
    <w:family w:val="auto"/>
    <w:pitch w:val="default"/>
    <w:sig w:usb0="A00002BF" w:usb1="184F6CFA" w:usb2="00000012" w:usb3="00000000" w:csb0="00040001" w:csb1="00000000"/>
    <w:embedRegular r:id="rId8" w:fontKey="{0A37E019-3FBD-4387-B350-6BE2B980DAC9}"/>
  </w:font>
  <w:font w:name="方正小标宋简体">
    <w:panose1 w:val="03000509000000000000"/>
    <w:charset w:val="86"/>
    <w:family w:val="auto"/>
    <w:pitch w:val="default"/>
    <w:sig w:usb0="00000001" w:usb1="080E0000" w:usb2="00000000" w:usb3="00000000" w:csb0="00040000" w:csb1="00000000"/>
    <w:embedRegular r:id="rId9" w:fontKey="{8DCB7E77-49F9-4A86-8E1E-B1C700713AA3}"/>
  </w:font>
  <w:font w:name="仿宋">
    <w:panose1 w:val="02010609060101010101"/>
    <w:charset w:val="86"/>
    <w:family w:val="modern"/>
    <w:pitch w:val="default"/>
    <w:sig w:usb0="800002BF" w:usb1="38CF7CFA" w:usb2="00000016" w:usb3="00000000" w:csb0="00040001" w:csb1="00000000"/>
    <w:embedRegular r:id="rId10" w:fontKey="{D771583C-D939-45BB-A75C-00CDE27060A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877F10">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5877F10">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1F36FCC"/>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A51C8"/>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51722"/>
    <w:rsid w:val="03FB71CD"/>
    <w:rsid w:val="03FD2384"/>
    <w:rsid w:val="04090D29"/>
    <w:rsid w:val="040C6A6B"/>
    <w:rsid w:val="04127BBC"/>
    <w:rsid w:val="041515CF"/>
    <w:rsid w:val="04210376"/>
    <w:rsid w:val="04212D24"/>
    <w:rsid w:val="04223B99"/>
    <w:rsid w:val="042825BE"/>
    <w:rsid w:val="042C575E"/>
    <w:rsid w:val="04382327"/>
    <w:rsid w:val="043A6EF6"/>
    <w:rsid w:val="043F5557"/>
    <w:rsid w:val="044363A4"/>
    <w:rsid w:val="04461F7D"/>
    <w:rsid w:val="044E52CD"/>
    <w:rsid w:val="0462668B"/>
    <w:rsid w:val="046441B2"/>
    <w:rsid w:val="047C599F"/>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0D65F7"/>
    <w:rsid w:val="05121531"/>
    <w:rsid w:val="05177476"/>
    <w:rsid w:val="0541752E"/>
    <w:rsid w:val="055625ED"/>
    <w:rsid w:val="05625696"/>
    <w:rsid w:val="0572490A"/>
    <w:rsid w:val="057E3D65"/>
    <w:rsid w:val="058253F2"/>
    <w:rsid w:val="05872EB9"/>
    <w:rsid w:val="05933026"/>
    <w:rsid w:val="05BA17C0"/>
    <w:rsid w:val="05D9116E"/>
    <w:rsid w:val="05F17CC7"/>
    <w:rsid w:val="05F23A3F"/>
    <w:rsid w:val="061340E1"/>
    <w:rsid w:val="061F0438"/>
    <w:rsid w:val="061F2A86"/>
    <w:rsid w:val="06292F58"/>
    <w:rsid w:val="063F4D83"/>
    <w:rsid w:val="064747B7"/>
    <w:rsid w:val="064B59D4"/>
    <w:rsid w:val="06501BB5"/>
    <w:rsid w:val="06543A2D"/>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64AE1"/>
    <w:rsid w:val="07A85930"/>
    <w:rsid w:val="07B408D7"/>
    <w:rsid w:val="07D63653"/>
    <w:rsid w:val="07DC5A46"/>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955281"/>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B3AE4"/>
    <w:rsid w:val="0A0D7099"/>
    <w:rsid w:val="0A2F0DBE"/>
    <w:rsid w:val="0A3B332D"/>
    <w:rsid w:val="0A3E36F7"/>
    <w:rsid w:val="0A466107"/>
    <w:rsid w:val="0A500304"/>
    <w:rsid w:val="0A5234C1"/>
    <w:rsid w:val="0A6A0048"/>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43400"/>
    <w:rsid w:val="0C773477"/>
    <w:rsid w:val="0C793922"/>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2F5830"/>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EFD592E"/>
    <w:rsid w:val="0F024085"/>
    <w:rsid w:val="0F1438EF"/>
    <w:rsid w:val="0F1F1B30"/>
    <w:rsid w:val="0F263D0E"/>
    <w:rsid w:val="0F463825"/>
    <w:rsid w:val="0F4B0F6A"/>
    <w:rsid w:val="0F5660FF"/>
    <w:rsid w:val="0F575798"/>
    <w:rsid w:val="0F5F5CB1"/>
    <w:rsid w:val="0F6D192D"/>
    <w:rsid w:val="0F6E4AA0"/>
    <w:rsid w:val="0F7811B7"/>
    <w:rsid w:val="0F886069"/>
    <w:rsid w:val="0FA4706B"/>
    <w:rsid w:val="0FA819A2"/>
    <w:rsid w:val="0FB433C5"/>
    <w:rsid w:val="0FCA08C0"/>
    <w:rsid w:val="0FCA14B6"/>
    <w:rsid w:val="0FCE0971"/>
    <w:rsid w:val="0FD022B3"/>
    <w:rsid w:val="0FE05A9A"/>
    <w:rsid w:val="0FE3306C"/>
    <w:rsid w:val="0FE42DE8"/>
    <w:rsid w:val="0FF94348"/>
    <w:rsid w:val="0FFA6EBC"/>
    <w:rsid w:val="101038A7"/>
    <w:rsid w:val="101E2D38"/>
    <w:rsid w:val="102D5D9F"/>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230A2"/>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63E2E"/>
    <w:rsid w:val="17591B70"/>
    <w:rsid w:val="17600C81"/>
    <w:rsid w:val="176115DC"/>
    <w:rsid w:val="176D7525"/>
    <w:rsid w:val="176D77B5"/>
    <w:rsid w:val="17740758"/>
    <w:rsid w:val="17824660"/>
    <w:rsid w:val="178F2FF8"/>
    <w:rsid w:val="179121FE"/>
    <w:rsid w:val="17915931"/>
    <w:rsid w:val="17C41ABF"/>
    <w:rsid w:val="17C4465B"/>
    <w:rsid w:val="17D64F6F"/>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2B77F4"/>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45C6F"/>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6F3E9B"/>
    <w:rsid w:val="1D792624"/>
    <w:rsid w:val="1D8C5045"/>
    <w:rsid w:val="1D9244F8"/>
    <w:rsid w:val="1D931CEA"/>
    <w:rsid w:val="1D9C4E32"/>
    <w:rsid w:val="1DC177D9"/>
    <w:rsid w:val="1DDB508D"/>
    <w:rsid w:val="1DE81558"/>
    <w:rsid w:val="1E015E7F"/>
    <w:rsid w:val="1E1A236E"/>
    <w:rsid w:val="1E225BB3"/>
    <w:rsid w:val="1E2A6113"/>
    <w:rsid w:val="1E2D212B"/>
    <w:rsid w:val="1E2E6E13"/>
    <w:rsid w:val="1E302722"/>
    <w:rsid w:val="1E32182A"/>
    <w:rsid w:val="1E454BFC"/>
    <w:rsid w:val="1E58492F"/>
    <w:rsid w:val="1E5A61EE"/>
    <w:rsid w:val="1E5D6F6E"/>
    <w:rsid w:val="1E6A55EE"/>
    <w:rsid w:val="1E713E2F"/>
    <w:rsid w:val="1E962D37"/>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34258"/>
    <w:rsid w:val="20ED7FD0"/>
    <w:rsid w:val="20F22231"/>
    <w:rsid w:val="21015C26"/>
    <w:rsid w:val="21121083"/>
    <w:rsid w:val="211518DD"/>
    <w:rsid w:val="211771BF"/>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714212"/>
    <w:rsid w:val="228201CD"/>
    <w:rsid w:val="2293123C"/>
    <w:rsid w:val="229E633A"/>
    <w:rsid w:val="22A570EC"/>
    <w:rsid w:val="22B1460E"/>
    <w:rsid w:val="22D569A0"/>
    <w:rsid w:val="22FD37BD"/>
    <w:rsid w:val="230F1167"/>
    <w:rsid w:val="232E56FD"/>
    <w:rsid w:val="233F5F96"/>
    <w:rsid w:val="235A4CA6"/>
    <w:rsid w:val="235F4D23"/>
    <w:rsid w:val="236D4028"/>
    <w:rsid w:val="238A4DFC"/>
    <w:rsid w:val="2391125F"/>
    <w:rsid w:val="23955CDE"/>
    <w:rsid w:val="23BD5235"/>
    <w:rsid w:val="24226CC5"/>
    <w:rsid w:val="24312A4A"/>
    <w:rsid w:val="244A5E9A"/>
    <w:rsid w:val="244C4BB8"/>
    <w:rsid w:val="246851A0"/>
    <w:rsid w:val="24691193"/>
    <w:rsid w:val="246C3A46"/>
    <w:rsid w:val="247152E7"/>
    <w:rsid w:val="247E6772"/>
    <w:rsid w:val="249E48F8"/>
    <w:rsid w:val="24AF7273"/>
    <w:rsid w:val="24B25E39"/>
    <w:rsid w:val="24C525F3"/>
    <w:rsid w:val="24C862A5"/>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010B22"/>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7E3B05"/>
    <w:rsid w:val="28A10C81"/>
    <w:rsid w:val="28B101C5"/>
    <w:rsid w:val="28B83236"/>
    <w:rsid w:val="28C56178"/>
    <w:rsid w:val="28DA521F"/>
    <w:rsid w:val="28FA546B"/>
    <w:rsid w:val="28FE025E"/>
    <w:rsid w:val="290F02E0"/>
    <w:rsid w:val="29245F1A"/>
    <w:rsid w:val="29366359"/>
    <w:rsid w:val="293D4E4D"/>
    <w:rsid w:val="294066EC"/>
    <w:rsid w:val="29586D7A"/>
    <w:rsid w:val="29772B51"/>
    <w:rsid w:val="29791894"/>
    <w:rsid w:val="297E7214"/>
    <w:rsid w:val="29836AE4"/>
    <w:rsid w:val="2984235F"/>
    <w:rsid w:val="2984482A"/>
    <w:rsid w:val="29891E41"/>
    <w:rsid w:val="29967FD2"/>
    <w:rsid w:val="29A52D8F"/>
    <w:rsid w:val="29A749BD"/>
    <w:rsid w:val="29A948BE"/>
    <w:rsid w:val="29C56C3A"/>
    <w:rsid w:val="29D85278"/>
    <w:rsid w:val="29E1380C"/>
    <w:rsid w:val="29E277A3"/>
    <w:rsid w:val="29E85046"/>
    <w:rsid w:val="2A017BFD"/>
    <w:rsid w:val="2A0A71F8"/>
    <w:rsid w:val="2A257D07"/>
    <w:rsid w:val="2A4913A2"/>
    <w:rsid w:val="2A524929"/>
    <w:rsid w:val="2A6E6670"/>
    <w:rsid w:val="2A7A1DC4"/>
    <w:rsid w:val="2A8F3B49"/>
    <w:rsid w:val="2A8F792B"/>
    <w:rsid w:val="2A9154D8"/>
    <w:rsid w:val="2AA04C57"/>
    <w:rsid w:val="2ACB46DB"/>
    <w:rsid w:val="2AD750C3"/>
    <w:rsid w:val="2AE77D08"/>
    <w:rsid w:val="2AEA3011"/>
    <w:rsid w:val="2AFA0B1C"/>
    <w:rsid w:val="2B053749"/>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243BD"/>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4105A"/>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03C71"/>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AF6379"/>
    <w:rsid w:val="2FB1448A"/>
    <w:rsid w:val="2FC802AE"/>
    <w:rsid w:val="2FCC29AF"/>
    <w:rsid w:val="2FCC2A87"/>
    <w:rsid w:val="30030473"/>
    <w:rsid w:val="301C41BF"/>
    <w:rsid w:val="301D7D6A"/>
    <w:rsid w:val="301F52AD"/>
    <w:rsid w:val="302369A0"/>
    <w:rsid w:val="303474C0"/>
    <w:rsid w:val="305C41A9"/>
    <w:rsid w:val="305D7B83"/>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B9528D"/>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030EB6"/>
    <w:rsid w:val="331C19F3"/>
    <w:rsid w:val="331F55C4"/>
    <w:rsid w:val="33240E2C"/>
    <w:rsid w:val="33291F9F"/>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65FCC"/>
    <w:rsid w:val="35973B37"/>
    <w:rsid w:val="35A377DB"/>
    <w:rsid w:val="35DA3A24"/>
    <w:rsid w:val="35E1407C"/>
    <w:rsid w:val="35E7387F"/>
    <w:rsid w:val="35E81F7A"/>
    <w:rsid w:val="35EF4AF5"/>
    <w:rsid w:val="35F52BF3"/>
    <w:rsid w:val="360530D8"/>
    <w:rsid w:val="3605698A"/>
    <w:rsid w:val="36162F1C"/>
    <w:rsid w:val="36195BEB"/>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BF770DE"/>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C2167E"/>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BB42F2"/>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790D20"/>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BF09B5"/>
    <w:rsid w:val="44DC0CFE"/>
    <w:rsid w:val="44DC4FCA"/>
    <w:rsid w:val="44FC7513"/>
    <w:rsid w:val="44FD1C6D"/>
    <w:rsid w:val="45245377"/>
    <w:rsid w:val="452B6453"/>
    <w:rsid w:val="453F207E"/>
    <w:rsid w:val="454276A8"/>
    <w:rsid w:val="454513E5"/>
    <w:rsid w:val="45465AD9"/>
    <w:rsid w:val="45552589"/>
    <w:rsid w:val="4577128F"/>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9191C"/>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223B1"/>
    <w:rsid w:val="47947ED7"/>
    <w:rsid w:val="479B0044"/>
    <w:rsid w:val="479C10BC"/>
    <w:rsid w:val="47A4380D"/>
    <w:rsid w:val="47A6297A"/>
    <w:rsid w:val="47B35BF8"/>
    <w:rsid w:val="47B642F1"/>
    <w:rsid w:val="47BA2C79"/>
    <w:rsid w:val="47C01A50"/>
    <w:rsid w:val="47C041C7"/>
    <w:rsid w:val="47C702AC"/>
    <w:rsid w:val="47CB4E60"/>
    <w:rsid w:val="47CD1E0C"/>
    <w:rsid w:val="47D71C0C"/>
    <w:rsid w:val="47D964DB"/>
    <w:rsid w:val="47EF335F"/>
    <w:rsid w:val="47F72214"/>
    <w:rsid w:val="47FC33A5"/>
    <w:rsid w:val="48012A31"/>
    <w:rsid w:val="481D4366"/>
    <w:rsid w:val="4844030B"/>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4017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BA19CF"/>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CE74F4D"/>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15B9A"/>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E5ED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4FF74123"/>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1B3417"/>
    <w:rsid w:val="51311368"/>
    <w:rsid w:val="513225F9"/>
    <w:rsid w:val="513F5114"/>
    <w:rsid w:val="51440384"/>
    <w:rsid w:val="51532BB1"/>
    <w:rsid w:val="515E6A1B"/>
    <w:rsid w:val="516B705C"/>
    <w:rsid w:val="5177537A"/>
    <w:rsid w:val="518806E3"/>
    <w:rsid w:val="519E53F5"/>
    <w:rsid w:val="519F5DF6"/>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16F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10D44"/>
    <w:rsid w:val="54231D7C"/>
    <w:rsid w:val="54256C07"/>
    <w:rsid w:val="542913B3"/>
    <w:rsid w:val="543A39C2"/>
    <w:rsid w:val="543F18BA"/>
    <w:rsid w:val="54606BAB"/>
    <w:rsid w:val="54745318"/>
    <w:rsid w:val="547F78DD"/>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6F24C1A"/>
    <w:rsid w:val="57062473"/>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977827"/>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5322"/>
    <w:rsid w:val="5B146A0A"/>
    <w:rsid w:val="5B203F15"/>
    <w:rsid w:val="5B353486"/>
    <w:rsid w:val="5B3A7E78"/>
    <w:rsid w:val="5B3D442E"/>
    <w:rsid w:val="5B412C22"/>
    <w:rsid w:val="5B4B2EB1"/>
    <w:rsid w:val="5B510D60"/>
    <w:rsid w:val="5B570332"/>
    <w:rsid w:val="5B5F0395"/>
    <w:rsid w:val="5B6300A3"/>
    <w:rsid w:val="5B6C0ED6"/>
    <w:rsid w:val="5B6C3892"/>
    <w:rsid w:val="5B6F4CBD"/>
    <w:rsid w:val="5B790B4E"/>
    <w:rsid w:val="5B7A2400"/>
    <w:rsid w:val="5B8C403F"/>
    <w:rsid w:val="5B910ABF"/>
    <w:rsid w:val="5B9B626D"/>
    <w:rsid w:val="5BA762EC"/>
    <w:rsid w:val="5BAA161F"/>
    <w:rsid w:val="5BD32897"/>
    <w:rsid w:val="5BD448EE"/>
    <w:rsid w:val="5BF50A44"/>
    <w:rsid w:val="5BF84A80"/>
    <w:rsid w:val="5C1F025F"/>
    <w:rsid w:val="5C277114"/>
    <w:rsid w:val="5C295CCC"/>
    <w:rsid w:val="5C330FDC"/>
    <w:rsid w:val="5C381A3A"/>
    <w:rsid w:val="5C5C135C"/>
    <w:rsid w:val="5C7E017D"/>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355F5"/>
    <w:rsid w:val="60793AF7"/>
    <w:rsid w:val="6099592B"/>
    <w:rsid w:val="609A4358"/>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AF7BB0"/>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2B573B"/>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911C7"/>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2B15A7"/>
    <w:rsid w:val="6660394E"/>
    <w:rsid w:val="666717B3"/>
    <w:rsid w:val="6668032B"/>
    <w:rsid w:val="66756CCD"/>
    <w:rsid w:val="667C4290"/>
    <w:rsid w:val="66833198"/>
    <w:rsid w:val="668F4233"/>
    <w:rsid w:val="669C06FE"/>
    <w:rsid w:val="66A31A8D"/>
    <w:rsid w:val="66A852F5"/>
    <w:rsid w:val="66AB481F"/>
    <w:rsid w:val="66B07D06"/>
    <w:rsid w:val="66B75538"/>
    <w:rsid w:val="66C13CC1"/>
    <w:rsid w:val="66C8504F"/>
    <w:rsid w:val="66C95898"/>
    <w:rsid w:val="66F8201A"/>
    <w:rsid w:val="67010561"/>
    <w:rsid w:val="671849D6"/>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10F2F"/>
    <w:rsid w:val="691D712E"/>
    <w:rsid w:val="6931512E"/>
    <w:rsid w:val="693D7F76"/>
    <w:rsid w:val="697E7396"/>
    <w:rsid w:val="698C4A5A"/>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3A8C"/>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4654B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0AFA"/>
    <w:rsid w:val="6F4E1ABB"/>
    <w:rsid w:val="6F5953DE"/>
    <w:rsid w:val="6F5C03A9"/>
    <w:rsid w:val="6F653C3E"/>
    <w:rsid w:val="6F65489B"/>
    <w:rsid w:val="6F675D4D"/>
    <w:rsid w:val="6F7E3097"/>
    <w:rsid w:val="6F86274A"/>
    <w:rsid w:val="6F8A6B50"/>
    <w:rsid w:val="6F986715"/>
    <w:rsid w:val="6F9E4E98"/>
    <w:rsid w:val="6FA80114"/>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26993"/>
    <w:rsid w:val="736A01CD"/>
    <w:rsid w:val="736B4D35"/>
    <w:rsid w:val="73727E21"/>
    <w:rsid w:val="73741988"/>
    <w:rsid w:val="73814929"/>
    <w:rsid w:val="7393399F"/>
    <w:rsid w:val="73942E89"/>
    <w:rsid w:val="73984022"/>
    <w:rsid w:val="73A806E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B717B"/>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2F13D2"/>
    <w:rsid w:val="78302F8F"/>
    <w:rsid w:val="784117AB"/>
    <w:rsid w:val="78510397"/>
    <w:rsid w:val="78540E39"/>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892B1E"/>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6F3D08"/>
    <w:rsid w:val="7A715CD2"/>
    <w:rsid w:val="7A7F2C76"/>
    <w:rsid w:val="7A990D85"/>
    <w:rsid w:val="7AA716F4"/>
    <w:rsid w:val="7AAC462A"/>
    <w:rsid w:val="7ABC15CC"/>
    <w:rsid w:val="7AEC5358"/>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0A2CD7"/>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66C14"/>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03C92"/>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3920</Words>
  <Characters>4641</Characters>
  <Lines>0</Lines>
  <Paragraphs>0</Paragraphs>
  <TotalTime>4</TotalTime>
  <ScaleCrop>false</ScaleCrop>
  <LinksUpToDate>false</LinksUpToDate>
  <CharactersWithSpaces>4725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2025-06-18T09:43:00Z</cp:lastPrinted>
  <dcterms:modified xsi:type="dcterms:W3CDTF">2025-07-03T02:50:23Z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3DC1C1C5EC6741F69426F536341F9981</vt:lpwstr>
  </property>
  <property fmtid="{D5CDD505-2E9C-101B-9397-08002B2CF9AE}" pid="4" name="KSOTemplateDocerSaveRecord">
    <vt:lpwstr>eyJoZGlkIjoiMmExZjUxNWE0NWJhMGEyZGI3ZWI3YTYxOTBiYmQ5M2YiLCJ1c2VySWQiOiIxNTY2MDI0ODcyIn0=</vt:lpwstr>
  </property>
</Properties>
</file>