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CE8A3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亳州逸合府一期施工总承包项目金属钢结构采购及安装</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工程项目（二次）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40号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月24日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亳州逸合府一期施工总承包项目金属钢结构采购及安装工程项目（二次）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亳州逸合府一期施工总承包项目金属钢结构采购及安装工程项目（二次）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40号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（含税，9%）</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22万元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按照设计图纸要求，完成屋面检修钢爬梯、电梯机房钢爬梯、电梯基坑检修钢爬梯、截水沟铸铁篦子、集水坑成品铸铁盖板等材料</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及施工。包含不限于提供主材、辅材、机械、工具及安装等，具体详见图纸及清单。具体工程量以实际完成合格工程量为准，清单数量为暂定，据实按含税单价结算，供应商响应前请认真</w:t>
      </w:r>
      <w:r>
        <w:rPr>
          <w:rFonts w:hint="eastAsia" w:asciiTheme="minorEastAsia" w:hAnsiTheme="minorEastAsia" w:cstheme="minorEastAsia"/>
          <w:sz w:val="28"/>
          <w:szCs w:val="28"/>
          <w:highlight w:val="none"/>
          <w:lang w:val="en-US" w:eastAsia="zh-CN"/>
        </w:rPr>
        <w:t>查</w:t>
      </w:r>
      <w:r>
        <w:rPr>
          <w:rFonts w:hint="eastAsia" w:asciiTheme="minorEastAsia" w:hAnsiTheme="minorEastAsia" w:eastAsiaTheme="minorEastAsia" w:cstheme="minorEastAsia"/>
          <w:sz w:val="28"/>
          <w:szCs w:val="28"/>
          <w:highlight w:val="none"/>
          <w:lang w:val="en-US" w:eastAsia="zh-CN"/>
        </w:rPr>
        <w:t>阅清单及要求并现场勘察了解情况，响应时我方认为供应商已充分了解工程概况及工作范围。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计划工期：自采购人下达开工指令之日起60日历天。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14:paraId="668B6CE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（二）资质要求：具有有效的钢结构工程专业承包三级及以上资质和有效的安全生产许可证；</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1</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kern w:val="2"/>
          <w:sz w:val="28"/>
          <w:szCs w:val="28"/>
          <w:highlight w:val="none"/>
          <w:u w:val="single"/>
          <w:lang w:val="en-US" w:eastAsia="zh-CN"/>
        </w:rPr>
        <w:t>单项合同金额不低于</w:t>
      </w:r>
      <w:r>
        <w:rPr>
          <w:rFonts w:hint="eastAsia" w:asciiTheme="minorEastAsia" w:hAnsiTheme="minorEastAsia" w:cstheme="minorEastAsia"/>
          <w:kern w:val="2"/>
          <w:sz w:val="28"/>
          <w:szCs w:val="28"/>
          <w:highlight w:val="none"/>
          <w:u w:val="single"/>
          <w:lang w:val="en-US" w:eastAsia="zh-CN"/>
        </w:rPr>
        <w:t>15</w:t>
      </w:r>
      <w:r>
        <w:rPr>
          <w:rFonts w:hint="eastAsia" w:asciiTheme="minorEastAsia" w:hAnsiTheme="minorEastAsia" w:eastAsiaTheme="minorEastAsia" w:cstheme="minorEastAsia"/>
          <w:kern w:val="2"/>
          <w:sz w:val="28"/>
          <w:szCs w:val="28"/>
          <w:highlight w:val="none"/>
          <w:u w:val="single"/>
          <w:lang w:val="en-US" w:eastAsia="zh-CN"/>
        </w:rPr>
        <w:t>万元的金属钢结构供货及安装业绩</w:t>
      </w:r>
      <w:permEnd w:id="17"/>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8"/>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20"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7</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20"/>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b/>
          <w:bCs/>
          <w:color w:val="FF0000"/>
          <w:sz w:val="28"/>
          <w:szCs w:val="28"/>
          <w:highlight w:val="none"/>
          <w:u w:val="single"/>
          <w:lang w:val="en-US" w:eastAsia="zh-CN"/>
        </w:rPr>
        <w:t>安徽通康建设工程有限公司2楼会议室（亳州汽车南站广场易而购超市西侧）</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w:t>
            </w:r>
            <w:r>
              <w:rPr>
                <w:rFonts w:hint="eastAsia" w:asciiTheme="minorEastAsia" w:hAnsiTheme="minorEastAsia" w:cstheme="minorEastAsia"/>
                <w:b/>
                <w:bCs/>
                <w:color w:val="FF0000"/>
                <w:sz w:val="28"/>
                <w:szCs w:val="28"/>
                <w:highlight w:val="none"/>
                <w:u w:val="single"/>
                <w:lang w:val="en-US" w:eastAsia="zh-CN"/>
              </w:rPr>
              <w:t>安徽通康建设工程有限公司3楼法务部（亳州汽车南站广场易而购超市西侧）</w:t>
            </w:r>
            <w:r>
              <w:rPr>
                <w:rFonts w:hint="eastAsia" w:asciiTheme="minorEastAsia" w:hAnsiTheme="minorEastAsia" w:cstheme="minorEastAsia"/>
                <w:sz w:val="28"/>
                <w:szCs w:val="28"/>
                <w:highlight w:val="none"/>
                <w:u w:val="single"/>
                <w:lang w:val="en-US" w:eastAsia="zh-CN"/>
              </w:rPr>
              <w:t>；</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联系人：李工</w:t>
            </w:r>
            <w:r>
              <w:rPr>
                <w:rFonts w:hint="eastAsia" w:asciiTheme="minorEastAsia" w:hAnsiTheme="minorEastAsia" w:cstheme="minorEastAsia"/>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电话：18906343943</w:t>
            </w:r>
            <w:r>
              <w:rPr>
                <w:rFonts w:hint="eastAsia" w:asciiTheme="minorEastAsia" w:hAnsiTheme="minorEastAsia" w:cstheme="minorEastAsia"/>
                <w:sz w:val="28"/>
                <w:szCs w:val="28"/>
                <w:highlight w:val="none"/>
                <w:u w:val="single"/>
                <w:lang w:val="en-US" w:eastAsia="zh-CN"/>
              </w:rPr>
              <w:t>。</w:t>
            </w:r>
          </w:p>
        </w:tc>
      </w:tr>
      <w:permEnd w:id="22"/>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4400元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刘经理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：15212269052</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24</w:t>
      </w:r>
      <w:r>
        <w:rPr>
          <w:rFonts w:hint="eastAsia" w:asciiTheme="minorEastAsia" w:hAnsiTheme="minorEastAsia" w:eastAsiaTheme="minorEastAsia" w:cstheme="minorEastAsia"/>
          <w:color w:val="FF0000"/>
          <w:sz w:val="28"/>
          <w:szCs w:val="28"/>
          <w:highlight w:val="none"/>
          <w:lang w:val="en-US" w:eastAsia="zh-CN"/>
        </w:rPr>
        <w:t>日</w:t>
      </w:r>
    </w:p>
    <w:permEnd w:id="26"/>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4400元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AHTKJS-2025-40号保证金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安徽通康建设工程有限公司2楼会议室（亳州汽车南站广场易而购超市西侧）</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w:t>
            </w:r>
            <w:bookmarkStart w:id="323" w:name="_GoBack"/>
            <w:bookmarkEnd w:id="323"/>
            <w:r>
              <w:rPr>
                <w:rFonts w:hint="eastAsia" w:ascii="Times New Roman" w:hAnsi="Times New Roman" w:cs="Times New Roman"/>
                <w:color w:val="FF0000"/>
                <w:szCs w:val="21"/>
                <w:highlight w:val="none"/>
                <w:u w:val="single"/>
                <w:lang w:val="en-US" w:eastAsia="zh-CN"/>
              </w:rPr>
              <w:t>总承包项目金属钢结构采购及安装工程项目（二次）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40号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时0</w:t>
            </w:r>
            <w:r>
              <w:rPr>
                <w:rFonts w:hint="eastAsia" w:ascii="Times New Roman" w:hAnsi="Times New Roman" w:cs="Times New Roman"/>
                <w:color w:val="FF0000"/>
                <w:szCs w:val="21"/>
                <w:highlight w:val="none"/>
                <w:u w:val="single"/>
                <w:lang w:val="en-US" w:eastAsia="zh-CN"/>
              </w:rPr>
              <w:t>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79632549"/>
      <w:bookmarkStart w:id="1" w:name="_Toc246996178"/>
      <w:bookmarkStart w:id="2" w:name="_Toc296602423"/>
      <w:bookmarkStart w:id="3" w:name="_Toc152045532"/>
      <w:bookmarkStart w:id="4" w:name="_Toc246996921"/>
      <w:bookmarkStart w:id="5" w:name="_Toc152042308"/>
      <w:bookmarkStart w:id="6" w:name="_Toc144974500"/>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46996924"/>
      <w:bookmarkStart w:id="10" w:name="_Toc296602426"/>
      <w:bookmarkStart w:id="11" w:name="_Toc152042312"/>
      <w:bookmarkStart w:id="12" w:name="_Toc144974504"/>
      <w:bookmarkStart w:id="13" w:name="_Toc247085695"/>
      <w:bookmarkStart w:id="14" w:name="_Toc179632553"/>
      <w:bookmarkStart w:id="15" w:name="_Toc15204553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152045537"/>
      <w:bookmarkStart w:id="19" w:name="_Toc152042313"/>
      <w:bookmarkStart w:id="20" w:name="_Toc246996182"/>
      <w:bookmarkStart w:id="21" w:name="_Toc179632554"/>
      <w:bookmarkStart w:id="22" w:name="_Toc247085696"/>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152045538"/>
      <w:bookmarkStart w:id="26" w:name="_Toc179632555"/>
      <w:bookmarkStart w:id="27" w:name="_Toc144974506"/>
      <w:bookmarkStart w:id="28" w:name="_Toc152042314"/>
      <w:bookmarkStart w:id="29" w:name="_Toc246996926"/>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246996187"/>
      <w:bookmarkStart w:id="33" w:name="_Toc152042318"/>
      <w:bookmarkStart w:id="34" w:name="_Toc246996930"/>
      <w:bookmarkStart w:id="35" w:name="_Toc179632560"/>
      <w:bookmarkStart w:id="36" w:name="_Toc144974510"/>
      <w:bookmarkStart w:id="37" w:name="_Toc296602432"/>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247085702"/>
      <w:bookmarkStart w:id="41" w:name="_Toc179632561"/>
      <w:bookmarkStart w:id="42" w:name="_Toc152045543"/>
      <w:bookmarkStart w:id="43" w:name="_Toc152042319"/>
      <w:bookmarkStart w:id="44" w:name="_Toc296602433"/>
      <w:bookmarkStart w:id="45" w:name="_Toc246996188"/>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4"/>
      <w:bookmarkStart w:id="48" w:name="_Toc246996189"/>
      <w:bookmarkStart w:id="49" w:name="_Toc247085703"/>
      <w:bookmarkStart w:id="50" w:name="_Toc152045544"/>
      <w:bookmarkStart w:id="51" w:name="_Toc246996932"/>
      <w:bookmarkStart w:id="52" w:name="_Toc144974512"/>
      <w:bookmarkStart w:id="53" w:name="_Toc152042320"/>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3"/>
      <w:bookmarkStart w:id="56" w:name="_Toc247085704"/>
      <w:bookmarkStart w:id="57" w:name="_Toc296602435"/>
      <w:bookmarkStart w:id="58" w:name="_Toc152045545"/>
      <w:bookmarkStart w:id="59" w:name="_Toc152042321"/>
      <w:bookmarkStart w:id="60" w:name="_Toc246996933"/>
      <w:bookmarkStart w:id="61" w:name="_Toc144974513"/>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47085705"/>
      <w:bookmarkStart w:id="65" w:name="_Toc246996934"/>
      <w:bookmarkStart w:id="66" w:name="_Toc179632564"/>
      <w:bookmarkStart w:id="67" w:name="_Toc296602436"/>
      <w:bookmarkStart w:id="68" w:name="_Toc144974514"/>
      <w:bookmarkStart w:id="69" w:name="_Toc152042322"/>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246996192"/>
      <w:bookmarkStart w:id="73" w:name="_Toc144974515"/>
      <w:bookmarkStart w:id="74" w:name="_Toc246996935"/>
      <w:bookmarkStart w:id="75" w:name="_Toc179632565"/>
      <w:bookmarkStart w:id="76" w:name="_Toc152042323"/>
      <w:bookmarkStart w:id="77" w:name="_Toc247085706"/>
      <w:bookmarkStart w:id="78"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152042324"/>
      <w:bookmarkStart w:id="81" w:name="_Toc296602438"/>
      <w:bookmarkStart w:id="82" w:name="_Toc179632566"/>
      <w:bookmarkStart w:id="83" w:name="_Toc246996193"/>
      <w:bookmarkStart w:id="84" w:name="_Toc144974516"/>
      <w:bookmarkStart w:id="85" w:name="_Toc152045548"/>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44974517"/>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7085708"/>
      <w:bookmarkStart w:id="93" w:name="_Toc246996937"/>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152042331"/>
      <w:bookmarkStart w:id="97" w:name="_Toc179632573"/>
      <w:bookmarkStart w:id="98" w:name="_Toc144974523"/>
      <w:bookmarkStart w:id="99" w:name="_Toc247085713"/>
      <w:bookmarkStart w:id="100" w:name="_Toc246996942"/>
      <w:bookmarkStart w:id="101" w:name="_Toc296602443"/>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152042332"/>
      <w:bookmarkStart w:id="105" w:name="_Toc296602444"/>
      <w:bookmarkStart w:id="106" w:name="_Toc179632574"/>
      <w:bookmarkStart w:id="107" w:name="_Toc152045556"/>
      <w:bookmarkStart w:id="108" w:name="_Toc247085714"/>
      <w:bookmarkStart w:id="109" w:name="_Toc246996200"/>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179632575"/>
      <w:bookmarkStart w:id="113" w:name="_Toc152045557"/>
      <w:bookmarkStart w:id="114" w:name="_Toc152042333"/>
      <w:bookmarkStart w:id="115" w:name="_Toc246996944"/>
      <w:bookmarkStart w:id="116" w:name="_Toc246996201"/>
      <w:bookmarkStart w:id="117"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296602446"/>
      <w:bookmarkStart w:id="120" w:name="_Toc152045558"/>
      <w:bookmarkStart w:id="121" w:name="_Toc179632576"/>
      <w:bookmarkStart w:id="122" w:name="_Toc247085716"/>
      <w:bookmarkStart w:id="123" w:name="_Toc152042334"/>
      <w:bookmarkStart w:id="124" w:name="_Toc246996945"/>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246996203"/>
      <w:bookmarkStart w:id="128" w:name="_Toc152045559"/>
      <w:bookmarkStart w:id="129" w:name="_Toc247085717"/>
      <w:bookmarkStart w:id="130" w:name="_Toc144974527"/>
      <w:bookmarkStart w:id="131" w:name="_Toc179632577"/>
      <w:bookmarkStart w:id="132" w:name="_Toc152042335"/>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246996947"/>
      <w:bookmarkStart w:id="136" w:name="_Toc152042336"/>
      <w:bookmarkStart w:id="137" w:name="_Toc179632578"/>
      <w:bookmarkStart w:id="138" w:name="_Toc152045560"/>
      <w:bookmarkStart w:id="139" w:name="_Toc144974528"/>
      <w:bookmarkStart w:id="140" w:name="_Toc247085718"/>
      <w:bookmarkStart w:id="141"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247085719"/>
      <w:bookmarkStart w:id="144" w:name="_Toc246996205"/>
      <w:bookmarkStart w:id="145" w:name="_Toc152045561"/>
      <w:bookmarkStart w:id="146" w:name="_Toc152042337"/>
      <w:bookmarkStart w:id="147" w:name="_Toc179632579"/>
      <w:bookmarkStart w:id="148" w:name="_Toc296602449"/>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46996950"/>
      <w:bookmarkStart w:id="152" w:name="_Toc247085721"/>
      <w:bookmarkStart w:id="153" w:name="_Toc296602452"/>
      <w:bookmarkStart w:id="154" w:name="_Toc152042339"/>
      <w:bookmarkStart w:id="155" w:name="_Toc152045563"/>
      <w:bookmarkStart w:id="156" w:name="_Toc179632581"/>
      <w:bookmarkStart w:id="157" w:name="_Toc246996207"/>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144974534"/>
      <w:bookmarkStart w:id="160" w:name="_Toc246996210"/>
      <w:bookmarkStart w:id="161" w:name="_Toc247085724"/>
      <w:bookmarkStart w:id="162" w:name="_Toc179632584"/>
      <w:bookmarkStart w:id="163" w:name="_Toc296602455"/>
      <w:bookmarkStart w:id="164" w:name="_Toc152042342"/>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179632585"/>
      <w:bookmarkStart w:id="168" w:name="_Toc246996211"/>
      <w:bookmarkStart w:id="169" w:name="_Toc152042343"/>
      <w:bookmarkStart w:id="170" w:name="_Toc152045567"/>
      <w:bookmarkStart w:id="171" w:name="_Toc144974535"/>
      <w:bookmarkStart w:id="172" w:name="_Toc247085725"/>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5568"/>
      <w:bookmarkStart w:id="176" w:name="_Toc247085726"/>
      <w:bookmarkStart w:id="177" w:name="_Toc246996955"/>
      <w:bookmarkStart w:id="178" w:name="_Toc152042344"/>
      <w:bookmarkStart w:id="179" w:name="_Toc144974536"/>
      <w:bookmarkStart w:id="180" w:name="_Toc296602458"/>
      <w:bookmarkStart w:id="181" w:name="_Toc179632586"/>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144974537"/>
      <w:bookmarkStart w:id="185" w:name="_Toc246996956"/>
      <w:bookmarkStart w:id="186" w:name="_Toc152042345"/>
      <w:bookmarkStart w:id="187" w:name="_Toc179632587"/>
      <w:bookmarkStart w:id="188" w:name="_Toc246996213"/>
      <w:bookmarkStart w:id="189" w:name="_Toc247085727"/>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152042351"/>
      <w:bookmarkStart w:id="194" w:name="_Toc152045575"/>
      <w:bookmarkStart w:id="195" w:name="_Toc144974543"/>
      <w:bookmarkStart w:id="196" w:name="_Toc296602462"/>
      <w:bookmarkStart w:id="197" w:name="_Toc247085733"/>
      <w:bookmarkStart w:id="198" w:name="_Toc246996219"/>
      <w:bookmarkStart w:id="199" w:name="_Toc246996962"/>
      <w:bookmarkStart w:id="200" w:name="_Toc17963259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152042352"/>
      <w:bookmarkStart w:id="203" w:name="_Toc246996220"/>
      <w:bookmarkStart w:id="204" w:name="_Toc246996963"/>
      <w:bookmarkStart w:id="205" w:name="_Toc296602463"/>
      <w:bookmarkStart w:id="206" w:name="_Toc179632594"/>
      <w:bookmarkStart w:id="207" w:name="_Toc144974544"/>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246996964"/>
      <w:bookmarkStart w:id="211" w:name="_Toc247085735"/>
      <w:bookmarkStart w:id="212" w:name="_Toc152042353"/>
      <w:bookmarkStart w:id="213" w:name="_Toc144974545"/>
      <w:bookmarkStart w:id="214" w:name="_Toc246996221"/>
      <w:bookmarkStart w:id="215" w:name="_Toc296602464"/>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152045589"/>
            <w:bookmarkStart w:id="219" w:name="_Toc246996232"/>
            <w:bookmarkStart w:id="220" w:name="_Toc144974556"/>
            <w:bookmarkStart w:id="221" w:name="_Toc296602477"/>
            <w:bookmarkStart w:id="222" w:name="_Toc179632607"/>
            <w:bookmarkStart w:id="223" w:name="_Toc246996975"/>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02DB9F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2781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C84B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F4007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246996979"/>
      <w:bookmarkStart w:id="227" w:name="_Toc152045593"/>
      <w:bookmarkStart w:id="228" w:name="_Toc152042370"/>
      <w:bookmarkStart w:id="229" w:name="_Toc144974560"/>
      <w:bookmarkStart w:id="230" w:name="_Toc247085751"/>
      <w:bookmarkStart w:id="231" w:name="_Toc246996236"/>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96602484"/>
      <w:bookmarkStart w:id="236" w:name="_Toc246996239"/>
      <w:bookmarkStart w:id="237" w:name="_Toc246996982"/>
      <w:bookmarkStart w:id="238" w:name="_Toc152042373"/>
      <w:bookmarkStart w:id="239" w:name="_Toc152045596"/>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成交人每月按照采购人上月完成实际工程量进行结算，每月应完成工程量以成交人审定为准（不得滞后于合同约定的进度）。当月进度完成时，付款数额按审定工程量的80%支付；验收合格后，工程款付至累计产值的90%；竣工验收备案及总承包单位与建设单位结算完毕后30日内付至最终审计审定结算价款的97%，余款3%为质保金，待两年质保期满后无质量问题或质量问题已解决后无息支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0E2F0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D7F3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77A6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021FF6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1、成交人提供的材料,应符合国家、地方或行业现行标准及采购人要求,并随货提供出厂合格证、检测报告单、产品质量保证书、货运清单等相关资料。</w:t>
            </w:r>
          </w:p>
          <w:p w14:paraId="798456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2、合同生效后，成交人拒不履行本合同义务时，向采购人支付本合同价10％的违约金，并赔偿采购人因此遭受的实际损失，履约保证金（如有）不予退还，不足部分，采购人可另行主张，且采购人有权终止合同。</w:t>
            </w:r>
          </w:p>
          <w:p w14:paraId="45BFAB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成交人不得擅自采取停工、上访等措施，否则由此造成的采购人工期延误、名誉受损、增加管理人员等一切经济损失、法律责任由成交人承担。如采购人出现资金困难或业主未及时支付工程款，成交人同意给予 1 个月的付款宽限期，在此期间内不视为采购人违约，且成交人不得以此为由中断本项目的货物供应。</w:t>
            </w:r>
          </w:p>
          <w:p w14:paraId="773677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需提供本项目所有相关主材、辅材、工器具、机械设备、脚手架等，含钢梯所需材料、制作、安装、油漆、两侧栏杆等，并满足设计图纸、图集、答疑、采购文件、政府相关文件、规范等其他资料，满足验收要求。</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08570C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1、本项目专业分包采用包工、包料、包相关材料检测、包工具、包工期、包质量、包安全、包文明施工、包税金、包风险、包通过相关部门验收并出具验收合格意见书等一切工程内容及相关工作内容。</w:t>
      </w:r>
    </w:p>
    <w:p w14:paraId="06BBA4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2、准备工作：包括相关资料的准备，包括人员、主材、机械准备等。</w:t>
      </w:r>
    </w:p>
    <w:p w14:paraId="5F9C60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所有材料、工序、质量技术需经建设单位、监理单位、总包单位三方共同认可，确认后方可采购进场或进入下一步施工。所有进场主要材料必须经建设单位及采购人认可，否则采购人有权将进场主要材料清退出场，所有损失由成交人自行承担。</w:t>
      </w:r>
    </w:p>
    <w:p w14:paraId="6869A4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4、因场地有限，采购人不提供工人生活区，由成交人自行解决，综合考虑在响应报价内。</w:t>
      </w:r>
    </w:p>
    <w:p w14:paraId="378227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5、施工过程中不得干扰附近居民的生产、生活，与地方发生的任何纠纷，成交人自行解决，给采购人造成的任何损失，采购人将追究成交人相关责任。</w:t>
      </w:r>
    </w:p>
    <w:p w14:paraId="0CD59C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交人必须按相关规定办理人身意外伤害险，办理本款保险的一切费用均由成交人承担，不单独计量；供应商进场后一个月内需将该保险保单提交采购人核查与备案，否则采购人将为其代为办理保险，发生费用直接从成交人应得工程款中扣除。</w:t>
      </w:r>
    </w:p>
    <w:p w14:paraId="3ED452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7、因建设单位原因出现停工、停建、变更等情况造成承包范围增减，采购人不承担任何责任。采购人有权对供应商施工范围做出调整。</w:t>
      </w:r>
    </w:p>
    <w:p w14:paraId="7C35DB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人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3D17B3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项目在实施过程中采购人会不定期对项目安全文明施工进行评审、验收，供应商对施工过程中存在问题进行整改，拒不整改的，由采购人派人员进行整改，费用从供应商工程款中扣除（若建设单位提高创优标准，则按照建设单位要求执行）。</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10、成交人需委派项目负责人一名纳入项目部管理。</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84B31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亳州逸合府一期施工总承包项目金属钢结构采购及安装</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工程项目（二次）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40号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247527827"/>
      <w:bookmarkStart w:id="243" w:name="_Toc144974856"/>
      <w:bookmarkStart w:id="244" w:name="_Toc300835209"/>
      <w:bookmarkStart w:id="245" w:name="_Toc152042576"/>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27828"/>
      <w:bookmarkStart w:id="248" w:name="_Toc152045788"/>
      <w:bookmarkStart w:id="249" w:name="_Toc152042577"/>
      <w:bookmarkStart w:id="250" w:name="_Toc247514247"/>
      <w:bookmarkStart w:id="251" w:name="_Toc300835210"/>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52045790"/>
      <w:bookmarkStart w:id="255" w:name="_Toc247527830"/>
      <w:bookmarkStart w:id="256" w:name="_Toc152042579"/>
      <w:bookmarkStart w:id="257" w:name="_Toc14497485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亳州逸合府一期施工总承包项目金属钢结构采购及安装工程项目（二次）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AHTKJS-2025-40号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，计划工期：自采购人下达开工指令之日起60日历天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300835213"/>
      <w:bookmarkStart w:id="261" w:name="_Toc152045791"/>
      <w:bookmarkStart w:id="262" w:name="_Toc144974860"/>
      <w:bookmarkStart w:id="263" w:name="_Toc247514283"/>
      <w:bookmarkStart w:id="264"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300835214"/>
      <w:bookmarkStart w:id="267" w:name="_Toc152042581"/>
      <w:bookmarkStart w:id="268" w:name="_Toc152045792"/>
      <w:bookmarkStart w:id="269" w:name="_Toc247514284"/>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247527834"/>
      <w:bookmarkStart w:id="273" w:name="_Toc300835216"/>
      <w:bookmarkStart w:id="274" w:name="_Toc152042583"/>
      <w:bookmarkStart w:id="275" w:name="_Toc152045794"/>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152045795"/>
      <w:bookmarkStart w:id="280" w:name="_Toc247514287"/>
      <w:bookmarkStart w:id="281" w:name="_Toc144974863"/>
      <w:bookmarkStart w:id="282" w:name="_Toc300835218"/>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7C137B95">
      <w:pPr>
        <w:rPr>
          <w:rFonts w:hint="eastAsia"/>
          <w:lang w:val="en-US" w:eastAsia="zh-CN"/>
        </w:rPr>
      </w:pPr>
    </w:p>
    <w:tbl>
      <w:tblPr>
        <w:tblStyle w:val="18"/>
        <w:tblW w:w="10100" w:type="dxa"/>
        <w:tblInd w:w="-4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0"/>
        <w:gridCol w:w="875"/>
        <w:gridCol w:w="1225"/>
        <w:gridCol w:w="2987"/>
        <w:gridCol w:w="700"/>
        <w:gridCol w:w="775"/>
        <w:gridCol w:w="1338"/>
        <w:gridCol w:w="1550"/>
      </w:tblGrid>
      <w:tr w14:paraId="21A74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650"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13E0B1B7">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87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2EFBB3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122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BCF048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清单名称</w:t>
            </w:r>
          </w:p>
        </w:tc>
        <w:tc>
          <w:tcPr>
            <w:tcW w:w="298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0E80CD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清单特征</w:t>
            </w:r>
          </w:p>
        </w:tc>
        <w:tc>
          <w:tcPr>
            <w:tcW w:w="70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BF772D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单位</w:t>
            </w:r>
          </w:p>
        </w:tc>
        <w:tc>
          <w:tcPr>
            <w:tcW w:w="77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111C44A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33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16FB1A6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含税（9%）</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综合单价</w:t>
            </w:r>
          </w:p>
        </w:tc>
        <w:tc>
          <w:tcPr>
            <w:tcW w:w="1550" w:type="dxa"/>
            <w:vMerge w:val="restart"/>
            <w:tcBorders>
              <w:top w:val="single" w:color="000000" w:sz="8" w:space="0"/>
              <w:left w:val="single" w:color="000000" w:sz="4" w:space="0"/>
              <w:bottom w:val="single" w:color="000000" w:sz="4" w:space="0"/>
              <w:right w:val="single" w:color="000000" w:sz="8" w:space="0"/>
            </w:tcBorders>
            <w:shd w:val="clear" w:color="FFFFFF" w:fill="FFFFFF"/>
            <w:vAlign w:val="center"/>
          </w:tcPr>
          <w:p w14:paraId="59F1251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含税（9%）</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综合合价</w:t>
            </w:r>
          </w:p>
        </w:tc>
      </w:tr>
      <w:tr w14:paraId="60794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650"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58126E6B">
            <w:pPr>
              <w:jc w:val="center"/>
              <w:rPr>
                <w:rFonts w:hint="eastAsia" w:ascii="黑体" w:hAnsi="宋体" w:eastAsia="黑体" w:cs="黑体"/>
                <w:i w:val="0"/>
                <w:iCs w:val="0"/>
                <w:color w:val="000000"/>
                <w:sz w:val="21"/>
                <w:szCs w:val="21"/>
                <w:u w:val="none"/>
              </w:rPr>
            </w:pPr>
          </w:p>
        </w:tc>
        <w:tc>
          <w:tcPr>
            <w:tcW w:w="87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BFCD247">
            <w:pPr>
              <w:jc w:val="center"/>
              <w:rPr>
                <w:rFonts w:hint="eastAsia" w:ascii="黑体" w:hAnsi="宋体" w:eastAsia="黑体" w:cs="黑体"/>
                <w:i w:val="0"/>
                <w:iCs w:val="0"/>
                <w:color w:val="000000"/>
                <w:sz w:val="21"/>
                <w:szCs w:val="21"/>
                <w:u w:val="none"/>
              </w:rPr>
            </w:pPr>
          </w:p>
        </w:tc>
        <w:tc>
          <w:tcPr>
            <w:tcW w:w="122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69082C2">
            <w:pPr>
              <w:jc w:val="center"/>
              <w:rPr>
                <w:rFonts w:hint="eastAsia" w:ascii="黑体" w:hAnsi="宋体" w:eastAsia="黑体" w:cs="黑体"/>
                <w:i w:val="0"/>
                <w:iCs w:val="0"/>
                <w:color w:val="000000"/>
                <w:sz w:val="21"/>
                <w:szCs w:val="21"/>
                <w:u w:val="none"/>
              </w:rPr>
            </w:pPr>
          </w:p>
        </w:tc>
        <w:tc>
          <w:tcPr>
            <w:tcW w:w="298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51B27F8">
            <w:pPr>
              <w:jc w:val="center"/>
              <w:rPr>
                <w:rFonts w:hint="eastAsia" w:ascii="黑体" w:hAnsi="宋体" w:eastAsia="黑体" w:cs="黑体"/>
                <w:i w:val="0"/>
                <w:iCs w:val="0"/>
                <w:color w:val="000000"/>
                <w:sz w:val="21"/>
                <w:szCs w:val="21"/>
                <w:u w:val="none"/>
              </w:rPr>
            </w:pPr>
          </w:p>
        </w:tc>
        <w:tc>
          <w:tcPr>
            <w:tcW w:w="70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F204097">
            <w:pPr>
              <w:jc w:val="center"/>
              <w:rPr>
                <w:rFonts w:hint="eastAsia" w:ascii="黑体" w:hAnsi="宋体" w:eastAsia="黑体" w:cs="黑体"/>
                <w:i w:val="0"/>
                <w:iCs w:val="0"/>
                <w:color w:val="000000"/>
                <w:sz w:val="21"/>
                <w:szCs w:val="21"/>
                <w:u w:val="none"/>
              </w:rPr>
            </w:pPr>
          </w:p>
        </w:tc>
        <w:tc>
          <w:tcPr>
            <w:tcW w:w="77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22142CC">
            <w:pPr>
              <w:jc w:val="center"/>
              <w:rPr>
                <w:rFonts w:hint="eastAsia" w:ascii="黑体" w:hAnsi="宋体" w:eastAsia="黑体" w:cs="黑体"/>
                <w:i w:val="0"/>
                <w:iCs w:val="0"/>
                <w:color w:val="000000"/>
                <w:sz w:val="21"/>
                <w:szCs w:val="21"/>
                <w:u w:val="none"/>
              </w:rPr>
            </w:pPr>
          </w:p>
        </w:tc>
        <w:tc>
          <w:tcPr>
            <w:tcW w:w="133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DFE4481">
            <w:pPr>
              <w:jc w:val="center"/>
              <w:rPr>
                <w:rFonts w:hint="eastAsia" w:ascii="黑体" w:hAnsi="宋体" w:eastAsia="黑体" w:cs="黑体"/>
                <w:i w:val="0"/>
                <w:iCs w:val="0"/>
                <w:color w:val="000000"/>
                <w:sz w:val="21"/>
                <w:szCs w:val="21"/>
                <w:u w:val="none"/>
              </w:rPr>
            </w:pPr>
          </w:p>
        </w:tc>
        <w:tc>
          <w:tcPr>
            <w:tcW w:w="1550" w:type="dxa"/>
            <w:vMerge w:val="continue"/>
            <w:tcBorders>
              <w:top w:val="single" w:color="000000" w:sz="8" w:space="0"/>
              <w:left w:val="single" w:color="000000" w:sz="4" w:space="0"/>
              <w:bottom w:val="single" w:color="000000" w:sz="4" w:space="0"/>
              <w:right w:val="single" w:color="000000" w:sz="8" w:space="0"/>
            </w:tcBorders>
            <w:shd w:val="clear" w:color="FFFFFF" w:fill="FFFFFF"/>
            <w:vAlign w:val="center"/>
          </w:tcPr>
          <w:p w14:paraId="29958618">
            <w:pPr>
              <w:jc w:val="center"/>
              <w:rPr>
                <w:rFonts w:hint="eastAsia" w:ascii="黑体" w:hAnsi="宋体" w:eastAsia="黑体" w:cs="黑体"/>
                <w:i w:val="0"/>
                <w:iCs w:val="0"/>
                <w:color w:val="000000"/>
                <w:sz w:val="21"/>
                <w:szCs w:val="21"/>
                <w:u w:val="none"/>
              </w:rPr>
            </w:pPr>
          </w:p>
        </w:tc>
      </w:tr>
      <w:tr w14:paraId="3DFC0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62E1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720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010606008001</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D5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钢梯1</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69E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1、部位：屋面检修钢爬梯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2、钢梯形式：距地面2200，详15J401 第D17页节点做法1检修钢梯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3、油漆做法：详见建筑设计说明</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E6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07C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5608">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1C75DA5">
            <w:pPr>
              <w:jc w:val="center"/>
              <w:rPr>
                <w:rFonts w:hint="eastAsia" w:ascii="宋体" w:hAnsi="宋体" w:eastAsia="宋体" w:cs="宋体"/>
                <w:i w:val="0"/>
                <w:iCs w:val="0"/>
                <w:color w:val="000000"/>
                <w:sz w:val="21"/>
                <w:szCs w:val="21"/>
                <w:u w:val="none"/>
              </w:rPr>
            </w:pPr>
          </w:p>
        </w:tc>
      </w:tr>
      <w:tr w14:paraId="251CD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0F7B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35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010606008002</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F92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钢梯2</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35A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1、部位：电梯机房爬梯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2、钢梯制、安、油，含两侧栏杆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3、钢梯做法参见图集15401-1第A6页T2A10a,外涂防火涂料，满足耐火极限1.0小时。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4、油漆做法：详见建筑设计说明</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FF6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FF9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92FC0">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FD26C3D">
            <w:pPr>
              <w:jc w:val="center"/>
              <w:rPr>
                <w:rFonts w:hint="eastAsia" w:ascii="宋体" w:hAnsi="宋体" w:eastAsia="宋体" w:cs="宋体"/>
                <w:i w:val="0"/>
                <w:iCs w:val="0"/>
                <w:color w:val="000000"/>
                <w:sz w:val="21"/>
                <w:szCs w:val="21"/>
                <w:u w:val="none"/>
              </w:rPr>
            </w:pPr>
          </w:p>
        </w:tc>
      </w:tr>
      <w:tr w14:paraId="6CD49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B829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AA3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010606008001</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2A5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钢梯3</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AE2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1、部位：电梯基坑检修钢爬梯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2、钢梯制、安、油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3、油漆做法：详见建筑设计说明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4、钢爬梯具体做法：φ20钢筋弯制</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288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A54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3B56">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FCCF0DF">
            <w:pPr>
              <w:jc w:val="center"/>
              <w:rPr>
                <w:rFonts w:hint="eastAsia" w:ascii="宋体" w:hAnsi="宋体" w:eastAsia="宋体" w:cs="宋体"/>
                <w:i w:val="0"/>
                <w:iCs w:val="0"/>
                <w:color w:val="000000"/>
                <w:sz w:val="21"/>
                <w:szCs w:val="21"/>
                <w:u w:val="none"/>
              </w:rPr>
            </w:pPr>
          </w:p>
        </w:tc>
      </w:tr>
      <w:tr w14:paraId="47F31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3F85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BBB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010606013001</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2F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零星钢构件-排水沟</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39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1、构件名称：截水沟铸铁篦子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2、预埋件：详见图纸设计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3、铸铁篦子详见国标17J927-1第3-16页节点4</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8E4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15A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53.18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F2383">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2E28662">
            <w:pPr>
              <w:jc w:val="center"/>
              <w:rPr>
                <w:rFonts w:hint="eastAsia" w:ascii="宋体" w:hAnsi="宋体" w:eastAsia="宋体" w:cs="宋体"/>
                <w:i w:val="0"/>
                <w:iCs w:val="0"/>
                <w:color w:val="000000"/>
                <w:sz w:val="21"/>
                <w:szCs w:val="21"/>
                <w:u w:val="none"/>
              </w:rPr>
            </w:pPr>
          </w:p>
        </w:tc>
      </w:tr>
      <w:tr w14:paraId="2E1CB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600B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058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010606013002</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18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零星钢构件-集水坑</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840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1、市购成品铸铁盖板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2、预埋件：详见图纸设计</w:t>
            </w:r>
            <w:r>
              <w:rPr>
                <w:rFonts w:hint="eastAsia" w:ascii="宋体" w:hAnsi="宋体" w:eastAsia="宋体" w:cs="宋体"/>
                <w:i w:val="0"/>
                <w:iCs w:val="0"/>
                <w:color w:val="000000"/>
                <w:kern w:val="0"/>
                <w:sz w:val="21"/>
                <w:szCs w:val="21"/>
                <w:u w:val="none"/>
                <w:lang w:val="en-US" w:eastAsia="zh-CN" w:bidi="ar"/>
              </w:rPr>
              <w:br w:type="textWrapp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0BE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F1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47.32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B739">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58266D9">
            <w:pPr>
              <w:jc w:val="center"/>
              <w:rPr>
                <w:rFonts w:hint="eastAsia" w:ascii="宋体" w:hAnsi="宋体" w:eastAsia="宋体" w:cs="宋体"/>
                <w:i w:val="0"/>
                <w:iCs w:val="0"/>
                <w:color w:val="000000"/>
                <w:sz w:val="21"/>
                <w:szCs w:val="21"/>
                <w:u w:val="none"/>
              </w:rPr>
            </w:pPr>
          </w:p>
        </w:tc>
      </w:tr>
      <w:tr w14:paraId="35E7A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0" w:hRule="atLeast"/>
        </w:trPr>
        <w:tc>
          <w:tcPr>
            <w:tcW w:w="8550"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3E13F3FB">
            <w:pPr>
              <w:jc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合计</w:t>
            </w: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A89ACE0">
            <w:pPr>
              <w:jc w:val="center"/>
              <w:rPr>
                <w:rFonts w:hint="eastAsia" w:ascii="宋体" w:hAnsi="宋体" w:eastAsia="宋体" w:cs="宋体"/>
                <w:b/>
                <w:bCs/>
                <w:i w:val="0"/>
                <w:iCs w:val="0"/>
                <w:color w:val="000000"/>
                <w:sz w:val="21"/>
                <w:szCs w:val="21"/>
                <w:u w:val="none"/>
              </w:rPr>
            </w:pPr>
          </w:p>
        </w:tc>
      </w:tr>
      <w:tr w14:paraId="5A3EC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2" w:hRule="atLeast"/>
        </w:trPr>
        <w:tc>
          <w:tcPr>
            <w:tcW w:w="10100" w:type="dxa"/>
            <w:gridSpan w:val="8"/>
            <w:tcBorders>
              <w:top w:val="single" w:color="000000" w:sz="4" w:space="0"/>
              <w:left w:val="single" w:color="000000" w:sz="8" w:space="0"/>
              <w:bottom w:val="single" w:color="000000" w:sz="8" w:space="0"/>
              <w:right w:val="single" w:color="000000" w:sz="8" w:space="0"/>
            </w:tcBorders>
            <w:shd w:val="clear" w:color="auto" w:fill="auto"/>
            <w:vAlign w:val="center"/>
          </w:tcPr>
          <w:p w14:paraId="11B2CB2F">
            <w:pPr>
              <w:tabs>
                <w:tab w:val="left" w:pos="2868"/>
              </w:tabs>
              <w:jc w:val="left"/>
              <w:rPr>
                <w:rFonts w:hint="default" w:ascii="宋体" w:hAnsi="宋体" w:eastAsia="宋体" w:cs="宋体"/>
                <w:b/>
                <w:bCs/>
                <w:i w:val="0"/>
                <w:iCs w:val="0"/>
                <w:color w:val="000000"/>
                <w:sz w:val="21"/>
                <w:szCs w:val="21"/>
                <w:u w:val="none"/>
                <w:lang w:val="en-US" w:eastAsia="zh-CN"/>
              </w:rPr>
            </w:pPr>
            <w:r>
              <w:rPr>
                <w:rFonts w:hint="eastAsia" w:ascii="宋体" w:hAnsi="宋体" w:eastAsia="宋体" w:cs="宋体"/>
                <w:b/>
                <w:bCs/>
                <w:i w:val="0"/>
                <w:iCs w:val="0"/>
                <w:color w:val="000000"/>
                <w:sz w:val="21"/>
                <w:szCs w:val="21"/>
                <w:u w:val="none"/>
                <w:lang w:val="en-US" w:eastAsia="zh-CN"/>
              </w:rPr>
              <w:t>备注：具体详见图纸、图集、答疑、采购文件、政府相关文件、规范等其他资料，满足验收要求。</w:t>
            </w:r>
          </w:p>
        </w:tc>
      </w:tr>
    </w:tbl>
    <w:p w14:paraId="19E39C34">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247514288"/>
      <w:bookmarkStart w:id="285" w:name="_Toc300835221"/>
      <w:bookmarkStart w:id="286" w:name="_Toc152045796"/>
      <w:bookmarkStart w:id="287" w:name="_Toc247527836"/>
      <w:bookmarkStart w:id="288" w:name="_Toc152042585"/>
      <w:bookmarkStart w:id="289"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47085891"/>
      <w:bookmarkStart w:id="293" w:name="_Toc179632828"/>
      <w:bookmarkStart w:id="294" w:name="_Toc296602618"/>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7085888"/>
      <w:bookmarkStart w:id="298" w:name="_Toc246997113"/>
      <w:bookmarkStart w:id="299" w:name="_Toc246996370"/>
      <w:bookmarkStart w:id="300" w:name="_Toc247527850"/>
      <w:bookmarkStart w:id="301" w:name="_Toc152042599"/>
      <w:bookmarkStart w:id="302" w:name="_Toc152045810"/>
      <w:bookmarkStart w:id="303" w:name="_Toc144974878"/>
      <w:bookmarkStart w:id="304" w:name="_Toc247514302"/>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7085889"/>
      <w:bookmarkStart w:id="308" w:name="_Toc246996371"/>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247514303"/>
      <w:bookmarkStart w:id="312" w:name="_Toc144974879"/>
      <w:bookmarkStart w:id="313" w:name="_Toc247527851"/>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44974881"/>
      <w:bookmarkStart w:id="316" w:name="_Toc247527853"/>
      <w:bookmarkStart w:id="317" w:name="_Toc247530162"/>
      <w:bookmarkStart w:id="318" w:name="_Toc152042602"/>
      <w:bookmarkStart w:id="319" w:name="_Toc152045813"/>
      <w:bookmarkStart w:id="320" w:name="_Toc247514305"/>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465C4FB-DCD7-4F07-9281-809953673FFC}"/>
  </w:font>
  <w:font w:name="Arial">
    <w:panose1 w:val="020B0604020202020204"/>
    <w:charset w:val="01"/>
    <w:family w:val="swiss"/>
    <w:pitch w:val="default"/>
    <w:sig w:usb0="E0002EFF" w:usb1="C000785B" w:usb2="00000009" w:usb3="00000000" w:csb0="400001FF" w:csb1="FFFF0000"/>
    <w:embedRegular r:id="rId2" w:fontKey="{8FD01DD0-40B5-460F-A1DF-AA30F669D4F9}"/>
  </w:font>
  <w:font w:name="黑体">
    <w:panose1 w:val="02010609060101010101"/>
    <w:charset w:val="86"/>
    <w:family w:val="auto"/>
    <w:pitch w:val="default"/>
    <w:sig w:usb0="800002BF" w:usb1="38CF7CFA" w:usb2="00000016" w:usb3="00000000" w:csb0="00040001" w:csb1="00000000"/>
    <w:embedRegular r:id="rId3" w:fontKey="{7A135288-6BE4-4B58-AA4B-C5FD59DD52A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4B07C56C-AB3D-4815-9B1F-2C565E31E45E}"/>
  </w:font>
  <w:font w:name="仿宋_GB2312">
    <w:panose1 w:val="02010609030101010101"/>
    <w:charset w:val="86"/>
    <w:family w:val="modern"/>
    <w:pitch w:val="default"/>
    <w:sig w:usb0="00000001" w:usb1="080E0000" w:usb2="00000000" w:usb3="00000000" w:csb0="00040000" w:csb1="00000000"/>
    <w:embedRegular r:id="rId5" w:fontKey="{8BFEF38B-9AB4-4CB2-9745-323E9115D1B9}"/>
  </w:font>
  <w:font w:name="楷体">
    <w:panose1 w:val="02010609060101010101"/>
    <w:charset w:val="86"/>
    <w:family w:val="auto"/>
    <w:pitch w:val="default"/>
    <w:sig w:usb0="800002BF" w:usb1="38CF7CFA" w:usb2="00000016" w:usb3="00000000" w:csb0="00040001" w:csb1="00000000"/>
    <w:embedRegular r:id="rId6" w:fontKey="{540C6244-E044-49BC-8393-3FC60E16A32D}"/>
  </w:font>
  <w:font w:name="Wingdings 2">
    <w:panose1 w:val="05020102010507070707"/>
    <w:charset w:val="00"/>
    <w:family w:val="auto"/>
    <w:pitch w:val="default"/>
    <w:sig w:usb0="00000000" w:usb1="00000000" w:usb2="00000000" w:usb3="00000000" w:csb0="80000000" w:csb1="00000000"/>
    <w:embedRegular r:id="rId7" w:fontKey="{0DA14800-E0AB-4490-8575-D42CA68F1FE8}"/>
  </w:font>
  <w:font w:name="方正仿宋_GB2312">
    <w:panose1 w:val="02000000000000000000"/>
    <w:charset w:val="86"/>
    <w:family w:val="auto"/>
    <w:pitch w:val="default"/>
    <w:sig w:usb0="A00002BF" w:usb1="184F6CFA" w:usb2="00000012" w:usb3="00000000" w:csb0="00040001" w:csb1="00000000"/>
    <w:embedRegular r:id="rId8" w:fontKey="{F11E88C4-E84A-4856-BD5E-4D5109C69842}"/>
  </w:font>
  <w:font w:name="方正小标宋简体">
    <w:panose1 w:val="02000000000000000000"/>
    <w:charset w:val="86"/>
    <w:family w:val="auto"/>
    <w:pitch w:val="default"/>
    <w:sig w:usb0="00000001" w:usb1="08000000" w:usb2="00000000" w:usb3="00000000" w:csb0="00040000" w:csb1="00000000"/>
    <w:embedRegular r:id="rId9" w:fontKey="{BB5B4B6C-4839-481B-B64A-4BF02F4FE0EC}"/>
  </w:font>
  <w:font w:name="仿宋">
    <w:panose1 w:val="02010609060101010101"/>
    <w:charset w:val="86"/>
    <w:family w:val="modern"/>
    <w:pitch w:val="default"/>
    <w:sig w:usb0="800002BF" w:usb1="38CF7CFA" w:usb2="00000016" w:usb3="00000000" w:csb0="00040001" w:csb1="00000000"/>
    <w:embedRegular r:id="rId10" w:fontKey="{DA872712-E303-411C-A709-6C44E14DF47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6184B"/>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EA2D44"/>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542B4"/>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14389</Words>
  <Characters>15335</Characters>
  <Lines>0</Lines>
  <Paragraphs>0</Paragraphs>
  <TotalTime>1</TotalTime>
  <ScaleCrop>false</ScaleCrop>
  <LinksUpToDate>false</LinksUpToDate>
  <CharactersWithSpaces>15539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2025-06-10T06:59:00Z</cp:lastPrinted>
  <dcterms:modified xsi:type="dcterms:W3CDTF">2025-06-24T00:43:49Z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