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防水抗裂砂浆采购项目（二次）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BZJKTL-2025-</w:t>
      </w:r>
      <w:r>
        <w:rPr>
          <w:rFonts w:hint="eastAsia" w:ascii="Times New Roman" w:hAnsi="Times New Roman" w:eastAsia="楷体" w:cs="Times New Roman"/>
          <w:kern w:val="0"/>
          <w:sz w:val="28"/>
          <w:szCs w:val="28"/>
          <w:highlight w:val="none"/>
          <w:u w:val="single"/>
          <w:shd w:val="clear" w:color="auto" w:fill="auto"/>
          <w:lang w:val="en-US" w:eastAsia="zh-CN"/>
        </w:rPr>
        <w:t>04号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防水抗裂砂浆采购项目（二次）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防水抗裂砂浆采购项目（二次）</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BZJKTL-2025-04号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98万元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本次采购的范围是防水抗裂砂浆，采购数量为暂定，具体数量以实际使用数量为准，据实结算，主要使用范围为亳州区域（不含三县）工程在建项目。</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（二）供货期</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自合同签订之日起365日历天</w:t>
      </w:r>
      <w:r>
        <w:rPr>
          <w:rFonts w:hint="eastAsia" w:asciiTheme="minorEastAsia" w:hAnsiTheme="minorEastAsia" w:cstheme="minorEastAsia"/>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3" w:edGrp="everyone"/>
      <w:r>
        <w:rPr>
          <w:rFonts w:hint="eastAsia" w:asciiTheme="minorEastAsia" w:hAnsiTheme="minorEastAsia" w:eastAsiaTheme="minorEastAsia" w:cstheme="minorEastAsia"/>
          <w:sz w:val="28"/>
          <w:szCs w:val="28"/>
          <w:highlight w:val="none"/>
          <w:lang w:val="en-US" w:eastAsia="zh-CN"/>
        </w:rPr>
        <w:t>独立法人资格</w:t>
      </w:r>
      <w:permEnd w:id="13"/>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仿宋_GB2312" w:hAnsi="仿宋_GB2312" w:eastAsia="仿宋_GB2312" w:cs="仿宋_GB2312"/>
          <w:b w:val="0"/>
          <w:bCs w:val="0"/>
          <w:sz w:val="28"/>
          <w:szCs w:val="28"/>
          <w:u w:val="single"/>
          <w:lang w:val="en-US" w:eastAsia="zh-CN"/>
        </w:rPr>
        <w:t>单项合同金额不低于50万元的防水、抗裂砂浆类似供货业绩</w:t>
      </w:r>
      <w:r>
        <w:rPr>
          <w:rFonts w:hint="eastAsia" w:asciiTheme="minorEastAsia" w:hAnsiTheme="minorEastAsia" w:eastAsiaTheme="minorEastAsia" w:cstheme="minorEastAsia"/>
          <w:sz w:val="28"/>
          <w:szCs w:val="28"/>
          <w:highlight w:val="none"/>
          <w:lang w:val="en-US" w:eastAsia="zh-CN"/>
        </w:rPr>
        <w:t>；</w:t>
      </w:r>
    </w:p>
    <w:p w14:paraId="083DC23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7" w:edGrp="everyone"/>
      <w:r>
        <w:rPr>
          <w:rFonts w:hint="eastAsia" w:ascii="仿宋_GB2312" w:hAnsi="仿宋_GB2312" w:eastAsia="仿宋_GB2312" w:cs="仿宋_GB2312"/>
          <w:b w:val="0"/>
          <w:bCs w:val="0"/>
          <w:sz w:val="28"/>
          <w:szCs w:val="28"/>
          <w:lang w:val="en-US" w:eastAsia="zh-CN"/>
        </w:rPr>
        <w:t>注：提供业绩合同、合同</w:t>
      </w:r>
      <w:r>
        <w:rPr>
          <w:rFonts w:hint="eastAsia" w:ascii="仿宋_GB2312" w:hAnsi="仿宋_GB2312" w:cs="仿宋_GB2312"/>
          <w:b w:val="0"/>
          <w:bCs w:val="0"/>
          <w:sz w:val="28"/>
          <w:szCs w:val="28"/>
          <w:lang w:val="en-US" w:eastAsia="zh-CN"/>
        </w:rPr>
        <w:t>履约期内任意节点</w:t>
      </w:r>
      <w:r>
        <w:rPr>
          <w:rFonts w:hint="eastAsia" w:ascii="仿宋_GB2312" w:hAnsi="仿宋_GB2312" w:eastAsia="仿宋_GB2312" w:cs="仿宋_GB2312"/>
          <w:b w:val="0"/>
          <w:bCs w:val="0"/>
          <w:sz w:val="28"/>
          <w:szCs w:val="28"/>
          <w:lang w:val="en-US" w:eastAsia="zh-CN"/>
        </w:rPr>
        <w:t>发票等相关资料复印</w:t>
      </w:r>
      <w:r>
        <w:rPr>
          <w:rFonts w:hint="eastAsia" w:asciiTheme="minorEastAsia" w:hAnsiTheme="minorEastAsia" w:eastAsiaTheme="minorEastAsia" w:cstheme="minorEastAsia"/>
          <w:sz w:val="28"/>
          <w:szCs w:val="28"/>
          <w:highlight w:val="none"/>
          <w:lang w:val="en-US" w:eastAsia="zh-CN"/>
        </w:rPr>
        <w:t>件或扫描件装订入响应文件中。</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End w:id="17"/>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348B102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CC9727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184659A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9" w:edGrp="everyone"/>
      <w:r>
        <w:rPr>
          <w:rFonts w:hint="eastAsia" w:asciiTheme="minorEastAsia" w:hAnsiTheme="minorEastAsia" w:cstheme="minorEastAsia"/>
          <w:sz w:val="28"/>
          <w:szCs w:val="28"/>
          <w:highlight w:val="none"/>
          <w:u w:val="single"/>
          <w:lang w:val="en-US" w:eastAsia="zh-CN"/>
        </w:rPr>
        <w:t>2025</w:t>
      </w:r>
      <w:r>
        <w:rPr>
          <w:rFonts w:hint="eastAsia"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9"/>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b/>
          <w:bCs/>
          <w:color w:val="FF0000"/>
          <w:sz w:val="28"/>
          <w:szCs w:val="28"/>
          <w:highlight w:val="none"/>
          <w:u w:val="single"/>
          <w:lang w:val="en-US" w:eastAsia="zh-CN"/>
        </w:rPr>
        <w:t>安徽通康建设工程有限公司2楼会议室（亳州汽车南站广场易而购超市西侧）</w:t>
      </w:r>
      <w:r>
        <w:rPr>
          <w:rFonts w:hint="eastAsia" w:asciiTheme="minorEastAsia" w:hAnsiTheme="minorEastAsia" w:cstheme="minorEastAsia"/>
          <w:i w:val="0"/>
          <w:iCs w:val="0"/>
          <w:sz w:val="28"/>
          <w:szCs w:val="28"/>
          <w:highlight w:val="none"/>
          <w:lang w:val="en-US" w:eastAsia="zh-CN"/>
        </w:rPr>
        <w:t>；</w:t>
      </w:r>
      <w:permEnd w:id="20"/>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b/>
          <w:bCs/>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邮寄地址：安徽通康建设工程有限公司3楼法务部（亳州汽车南站广场易而购超市西侧）;联系人：李工;联系电话：18906343943</w:t>
      </w:r>
      <w:r>
        <w:rPr>
          <w:rFonts w:hint="eastAsia" w:asciiTheme="minorEastAsia" w:hAnsiTheme="minorEastAsia" w:cstheme="minorEastAsia"/>
          <w:b/>
          <w:bCs/>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1"/>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19000元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3"/>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马经理 </w:t>
      </w:r>
      <w:permEnd w:id="24"/>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日</w:t>
      </w:r>
    </w:p>
    <w:permEnd w:id="25"/>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30</w:t>
            </w:r>
            <w:r>
              <w:rPr>
                <w:rFonts w:hint="eastAsia" w:ascii="Times New Roman" w:hAnsi="Times New Roman" w:cs="Times New Roman"/>
                <w:b/>
                <w:bCs/>
                <w:color w:val="FF0000"/>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b/>
                <w:bCs/>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3" w:edGrp="everyone"/>
            <w:r>
              <w:rPr>
                <w:rFonts w:hint="eastAsia" w:ascii="Times New Roman" w:hAnsi="Times New Roman" w:cs="Times New Roman"/>
                <w:b/>
                <w:bCs/>
                <w:color w:val="FF0000"/>
                <w:szCs w:val="21"/>
                <w:highlight w:val="none"/>
                <w:u w:val="single"/>
                <w:lang w:val="en-US" w:eastAsia="zh-CN"/>
              </w:rPr>
              <w:t xml:space="preserve"> 19000元  </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亳州交控通路交通设施有限公司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eastAsia="zh-CN"/>
              </w:rPr>
              <w:t>20010144152866600000014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b/>
                <w:bCs/>
                <w:color w:val="FF0000"/>
                <w:szCs w:val="21"/>
                <w:highlight w:val="none"/>
                <w:lang w:val="en-US" w:eastAsia="zh-CN"/>
              </w:rPr>
              <w:t>BZJKTL-2025-04号保证金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安徽通康建设工程有限公司2楼会议室（亳州汽车南站广场易而购超市西侧）</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防水抗裂砂浆采购项目（二次）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项目编号：BZJKTL-2025-04号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9"/>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银行账号：20010144152866600000014</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w:t>
            </w:r>
          </w:p>
          <w:permEnd w:id="40"/>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1"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1"/>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b/>
                <w:bCs/>
                <w:color w:val="FF0000"/>
                <w:szCs w:val="21"/>
                <w:highlight w:val="none"/>
                <w:lang w:val="en-US" w:eastAsia="zh-CN"/>
              </w:rPr>
              <w:t>无</w:t>
            </w:r>
            <w:r>
              <w:rPr>
                <w:rFonts w:hint="default" w:ascii="Times New Roman" w:hAnsi="Times New Roman" w:cs="Times New Roman"/>
                <w:b/>
                <w:bCs/>
                <w:color w:val="FF0000"/>
                <w:szCs w:val="21"/>
                <w:highlight w:val="none"/>
                <w:lang w:val="en-US" w:eastAsia="zh-CN"/>
              </w:rPr>
              <w:t>违约行为发生或违约行为已处理的情况下</w:t>
            </w:r>
            <w:r>
              <w:rPr>
                <w:rFonts w:hint="eastAsia" w:ascii="Times New Roman" w:hAnsi="Times New Roman" w:cs="Times New Roman"/>
                <w:b/>
                <w:bCs/>
                <w:color w:val="FF0000"/>
                <w:szCs w:val="21"/>
                <w:highlight w:val="none"/>
                <w:lang w:val="en-US" w:eastAsia="zh-CN"/>
              </w:rPr>
              <w:t>，供货期</w:t>
            </w:r>
            <w:bookmarkStart w:id="323" w:name="_GoBack"/>
            <w:bookmarkEnd w:id="323"/>
            <w:r>
              <w:rPr>
                <w:rFonts w:hint="eastAsia" w:ascii="Times New Roman" w:hAnsi="Times New Roman" w:cs="Times New Roman"/>
                <w:b/>
                <w:bCs/>
                <w:color w:val="FF0000"/>
                <w:szCs w:val="21"/>
                <w:highlight w:val="none"/>
                <w:lang w:val="en-US" w:eastAsia="zh-CN"/>
              </w:rPr>
              <w:t>满且供货完成后无质量问题(或质量问题已解决)退</w:t>
            </w:r>
            <w:r>
              <w:rPr>
                <w:rFonts w:hint="default" w:ascii="Times New Roman" w:hAnsi="Times New Roman" w:cs="Times New Roman"/>
                <w:b/>
                <w:bCs/>
                <w:color w:val="FF0000"/>
                <w:szCs w:val="21"/>
                <w:highlight w:val="none"/>
                <w:lang w:val="en-US" w:eastAsia="zh-CN"/>
              </w:rPr>
              <w:t>还</w:t>
            </w:r>
            <w:r>
              <w:rPr>
                <w:rFonts w:hint="eastAsia" w:ascii="Times New Roman" w:hAnsi="Times New Roman" w:cs="Times New Roman"/>
                <w:b/>
                <w:bCs/>
                <w:color w:val="FF0000"/>
                <w:szCs w:val="21"/>
                <w:highlight w:val="none"/>
                <w:lang w:val="en-US" w:eastAsia="zh-CN"/>
              </w:rPr>
              <w:t>全部</w:t>
            </w:r>
            <w:r>
              <w:rPr>
                <w:rFonts w:hint="default" w:ascii="Times New Roman" w:hAnsi="Times New Roman" w:cs="Times New Roman"/>
                <w:b/>
                <w:bCs/>
                <w:color w:val="FF0000"/>
                <w:szCs w:val="21"/>
                <w:highlight w:val="none"/>
                <w:lang w:val="en-US" w:eastAsia="zh-CN"/>
              </w:rPr>
              <w:t>履约保证金（本金</w:t>
            </w:r>
            <w:r>
              <w:rPr>
                <w:rFonts w:hint="eastAsia" w:ascii="Times New Roman" w:hAnsi="Times New Roman" w:cs="Times New Roman"/>
                <w:b/>
                <w:bCs/>
                <w:color w:val="FF0000"/>
                <w:szCs w:val="21"/>
                <w:highlight w:val="none"/>
                <w:lang w:val="en-US" w:eastAsia="zh-CN"/>
              </w:rPr>
              <w:t>无息</w:t>
            </w:r>
            <w:r>
              <w:rPr>
                <w:rFonts w:hint="default" w:ascii="Times New Roman" w:hAnsi="Times New Roman" w:cs="Times New Roman"/>
                <w:b/>
                <w:bCs/>
                <w:color w:val="FF0000"/>
                <w:szCs w:val="21"/>
                <w:highlight w:val="none"/>
                <w:lang w:val="en-US" w:eastAsia="zh-CN"/>
              </w:rPr>
              <w:t>）</w:t>
            </w:r>
            <w:r>
              <w:rPr>
                <w:rFonts w:hint="default" w:ascii="Times New Roman" w:hAnsi="Times New Roman" w:cs="Times New Roman"/>
                <w:szCs w:val="21"/>
                <w:highlight w:val="none"/>
              </w:rPr>
              <w:t>。</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246996178"/>
      <w:bookmarkStart w:id="2" w:name="_Toc144974500"/>
      <w:bookmarkStart w:id="3" w:name="_Toc152042308"/>
      <w:bookmarkStart w:id="4" w:name="_Toc296602423"/>
      <w:bookmarkStart w:id="5" w:name="_Toc152045532"/>
      <w:bookmarkStart w:id="6" w:name="_Toc246996921"/>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247085695"/>
      <w:bookmarkStart w:id="10" w:name="_Toc144974504"/>
      <w:bookmarkStart w:id="11" w:name="_Toc152045536"/>
      <w:bookmarkStart w:id="12" w:name="_Toc152042312"/>
      <w:bookmarkStart w:id="13" w:name="_Toc246996181"/>
      <w:bookmarkStart w:id="14" w:name="_Toc296602426"/>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179632554"/>
      <w:bookmarkStart w:id="19" w:name="_Toc247085696"/>
      <w:bookmarkStart w:id="20" w:name="_Toc246996925"/>
      <w:bookmarkStart w:id="21" w:name="_Toc152042313"/>
      <w:bookmarkStart w:id="22" w:name="_Toc152045537"/>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152042314"/>
      <w:bookmarkStart w:id="26" w:name="_Toc144974506"/>
      <w:bookmarkStart w:id="27" w:name="_Toc179632555"/>
      <w:bookmarkStart w:id="28" w:name="_Toc247085697"/>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79632560"/>
      <w:bookmarkStart w:id="33" w:name="_Toc246996930"/>
      <w:bookmarkStart w:id="34" w:name="_Toc296602432"/>
      <w:bookmarkStart w:id="35" w:name="_Toc152042318"/>
      <w:bookmarkStart w:id="36" w:name="_Toc152045542"/>
      <w:bookmarkStart w:id="37" w:name="_Toc246996187"/>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52045543"/>
      <w:bookmarkStart w:id="41" w:name="_Toc144974511"/>
      <w:bookmarkStart w:id="42" w:name="_Toc179632561"/>
      <w:bookmarkStart w:id="43" w:name="_Toc296602433"/>
      <w:bookmarkStart w:id="44" w:name="_Toc152042319"/>
      <w:bookmarkStart w:id="45" w:name="_Toc247085702"/>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52042320"/>
      <w:bookmarkStart w:id="49" w:name="_Toc247085703"/>
      <w:bookmarkStart w:id="50" w:name="_Toc152045544"/>
      <w:bookmarkStart w:id="51" w:name="_Toc246996189"/>
      <w:bookmarkStart w:id="52" w:name="_Toc246996932"/>
      <w:bookmarkStart w:id="53" w:name="_Toc144974512"/>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152045545"/>
      <w:bookmarkStart w:id="57" w:name="_Toc246996190"/>
      <w:bookmarkStart w:id="58" w:name="_Toc247085704"/>
      <w:bookmarkStart w:id="59" w:name="_Toc246996933"/>
      <w:bookmarkStart w:id="60" w:name="_Toc179632563"/>
      <w:bookmarkStart w:id="61" w:name="_Toc296602435"/>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46996934"/>
      <w:bookmarkStart w:id="65" w:name="_Toc152045546"/>
      <w:bookmarkStart w:id="66" w:name="_Toc247085705"/>
      <w:bookmarkStart w:id="67" w:name="_Toc246996191"/>
      <w:bookmarkStart w:id="68" w:name="_Toc144974514"/>
      <w:bookmarkStart w:id="69" w:name="_Toc152042322"/>
      <w:bookmarkStart w:id="70" w:name="_Toc29660243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247085706"/>
      <w:bookmarkStart w:id="73" w:name="_Toc144974515"/>
      <w:bookmarkStart w:id="74" w:name="_Toc152045547"/>
      <w:bookmarkStart w:id="75" w:name="_Toc179632565"/>
      <w:bookmarkStart w:id="76" w:name="_Toc296602437"/>
      <w:bookmarkStart w:id="77" w:name="_Toc152042323"/>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246996193"/>
      <w:bookmarkStart w:id="81" w:name="_Toc144974516"/>
      <w:bookmarkStart w:id="82" w:name="_Toc296602438"/>
      <w:bookmarkStart w:id="83" w:name="_Toc247085707"/>
      <w:bookmarkStart w:id="84" w:name="_Toc152042324"/>
      <w:bookmarkStart w:id="85" w:name="_Toc246996936"/>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296602443"/>
      <w:bookmarkStart w:id="97" w:name="_Toc144974523"/>
      <w:bookmarkStart w:id="98" w:name="_Toc152042331"/>
      <w:bookmarkStart w:id="99" w:name="_Toc247085713"/>
      <w:bookmarkStart w:id="100" w:name="_Toc179632573"/>
      <w:bookmarkStart w:id="101" w:name="_Toc152045555"/>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179632574"/>
      <w:bookmarkStart w:id="105" w:name="_Toc247085714"/>
      <w:bookmarkStart w:id="106" w:name="_Toc144974524"/>
      <w:bookmarkStart w:id="107" w:name="_Toc246996943"/>
      <w:bookmarkStart w:id="108" w:name="_Toc152042332"/>
      <w:bookmarkStart w:id="109" w:name="_Toc29660244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247085715"/>
      <w:bookmarkStart w:id="114" w:name="_Toc179632575"/>
      <w:bookmarkStart w:id="115" w:name="_Toc246996944"/>
      <w:bookmarkStart w:id="116" w:name="_Toc152045557"/>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246996945"/>
      <w:bookmarkStart w:id="120" w:name="_Toc296602446"/>
      <w:bookmarkStart w:id="121" w:name="_Toc152045558"/>
      <w:bookmarkStart w:id="122" w:name="_Toc152042334"/>
      <w:bookmarkStart w:id="123" w:name="_Toc247085716"/>
      <w:bookmarkStart w:id="124" w:name="_Toc144974526"/>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46996203"/>
      <w:bookmarkStart w:id="128" w:name="_Toc152042335"/>
      <w:bookmarkStart w:id="129" w:name="_Toc247085717"/>
      <w:bookmarkStart w:id="130" w:name="_Toc152045559"/>
      <w:bookmarkStart w:id="131" w:name="_Toc296602447"/>
      <w:bookmarkStart w:id="132" w:name="_Toc17963257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44974528"/>
      <w:bookmarkStart w:id="136" w:name="_Toc246996947"/>
      <w:bookmarkStart w:id="137" w:name="_Toc152045560"/>
      <w:bookmarkStart w:id="138" w:name="_Toc247085718"/>
      <w:bookmarkStart w:id="139" w:name="_Toc152042336"/>
      <w:bookmarkStart w:id="140" w:name="_Toc179632578"/>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296602449"/>
      <w:bookmarkStart w:id="144" w:name="_Toc152042337"/>
      <w:bookmarkStart w:id="145" w:name="_Toc246996205"/>
      <w:bookmarkStart w:id="146" w:name="_Toc152045561"/>
      <w:bookmarkStart w:id="147" w:name="_Toc179632579"/>
      <w:bookmarkStart w:id="148" w:name="_Toc24708571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296602452"/>
      <w:bookmarkStart w:id="152" w:name="_Toc144974531"/>
      <w:bookmarkStart w:id="153" w:name="_Toc246996950"/>
      <w:bookmarkStart w:id="154" w:name="_Toc152045563"/>
      <w:bookmarkStart w:id="155" w:name="_Toc179632581"/>
      <w:bookmarkStart w:id="156" w:name="_Toc152042339"/>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5566"/>
      <w:bookmarkStart w:id="159" w:name="_Toc144974534"/>
      <w:bookmarkStart w:id="160" w:name="_Toc152042342"/>
      <w:bookmarkStart w:id="161" w:name="_Toc247085724"/>
      <w:bookmarkStart w:id="162" w:name="_Toc296602455"/>
      <w:bookmarkStart w:id="163" w:name="_Toc246996210"/>
      <w:bookmarkStart w:id="164" w:name="_Toc246996953"/>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79632585"/>
      <w:bookmarkStart w:id="168" w:name="_Toc247085725"/>
      <w:bookmarkStart w:id="169" w:name="_Toc144974535"/>
      <w:bookmarkStart w:id="170" w:name="_Toc152042343"/>
      <w:bookmarkStart w:id="171" w:name="_Toc246996211"/>
      <w:bookmarkStart w:id="172" w:name="_Toc152045567"/>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246996955"/>
      <w:bookmarkStart w:id="177" w:name="_Toc247085726"/>
      <w:bookmarkStart w:id="178" w:name="_Toc144974536"/>
      <w:bookmarkStart w:id="179" w:name="_Toc152045568"/>
      <w:bookmarkStart w:id="180" w:name="_Toc246996212"/>
      <w:bookmarkStart w:id="181" w:name="_Toc296602458"/>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52045569"/>
      <w:bookmarkStart w:id="185" w:name="_Toc152042345"/>
      <w:bookmarkStart w:id="186" w:name="_Toc144974537"/>
      <w:bookmarkStart w:id="187" w:name="_Toc246996956"/>
      <w:bookmarkStart w:id="188" w:name="_Toc246996213"/>
      <w:bookmarkStart w:id="189" w:name="_Toc296602459"/>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44974543"/>
      <w:bookmarkStart w:id="194" w:name="_Toc296602462"/>
      <w:bookmarkStart w:id="195" w:name="_Toc296590983"/>
      <w:bookmarkStart w:id="196" w:name="_Toc152042351"/>
      <w:bookmarkStart w:id="197" w:name="_Toc152045575"/>
      <w:bookmarkStart w:id="198" w:name="_Toc246996219"/>
      <w:bookmarkStart w:id="199" w:name="_Toc246996962"/>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01" w:name="_Toc246996220"/>
      <w:bookmarkStart w:id="202" w:name="_Toc246996963"/>
      <w:bookmarkStart w:id="203" w:name="_Toc247085734"/>
      <w:bookmarkStart w:id="204" w:name="_Toc152042352"/>
      <w:bookmarkStart w:id="205" w:name="_Toc179632594"/>
      <w:bookmarkStart w:id="206" w:name="_Toc144974544"/>
      <w:bookmarkStart w:id="207" w:name="_Toc296602463"/>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7085735"/>
      <w:bookmarkStart w:id="211" w:name="_Toc152042353"/>
      <w:bookmarkStart w:id="212" w:name="_Toc296602464"/>
      <w:bookmarkStart w:id="213" w:name="_Toc246996221"/>
      <w:bookmarkStart w:id="214" w:name="_Toc144974545"/>
      <w:bookmarkStart w:id="215" w:name="_Toc179632595"/>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3" w:edGrp="everyone"/>
      <w:r>
        <w:rPr>
          <w:rFonts w:hint="eastAsia" w:ascii="宋体" w:hAnsi="宋体"/>
          <w:color w:val="FF0000"/>
          <w:sz w:val="24"/>
          <w:lang w:val="en-US" w:eastAsia="zh-CN"/>
        </w:rPr>
        <w:t>最低评审价法</w:t>
      </w:r>
      <w:permEnd w:id="43"/>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7085747"/>
            <w:bookmarkStart w:id="219" w:name="_Toc296602477"/>
            <w:bookmarkStart w:id="220" w:name="_Toc144974556"/>
            <w:bookmarkStart w:id="221" w:name="_Toc246996975"/>
            <w:bookmarkStart w:id="222" w:name="_Toc179632607"/>
            <w:bookmarkStart w:id="223" w:name="_Toc152042366"/>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96602481"/>
      <w:bookmarkStart w:id="227" w:name="_Toc179632611"/>
      <w:bookmarkStart w:id="228" w:name="_Toc152042370"/>
      <w:bookmarkStart w:id="229" w:name="_Toc247085751"/>
      <w:bookmarkStart w:id="230" w:name="_Toc246996979"/>
      <w:bookmarkStart w:id="231" w:name="_Toc144974560"/>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296602484"/>
      <w:bookmarkStart w:id="236" w:name="_Toc246996239"/>
      <w:bookmarkStart w:id="237" w:name="_Toc152042373"/>
      <w:bookmarkStart w:id="238" w:name="_Toc246996982"/>
      <w:bookmarkStart w:id="239" w:name="_Toc179632614"/>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4"/>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4530B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根据供应项目每月工程形象进度，按月支付完成验收合格工程量价款的80%，供货周期结束后1个月内支付至结算货款的97%，余款3%作为质保金，自供货完成验收合格之日起1年后一次性无息支付(分项目独立结算)</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EB7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0D88F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72A26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7ABE17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防水抗裂砂浆进场验收标准，成交人应按规定批次向采购人提供质量证明文件，质量证明文件包括出厂检验报告等。如在交货检验过程中发现成交人供给的任何货物的品名、规格、数量或生产厂家与合同的商定有不符之处或任何货物的外观存在破损，采购人有权退货并向成交人提出索赔。成交人交货时应提交产品检测报告。若成交人供给的任何货物与合同规定不符、存在质量问题或存在缺陷(包括内在缺陷或用料不妥)，采购人有权向有关检验机构申请进行检验，并有权凭有关检验机构出具的检验证书向成交人提出索赔。如有关检验机构检验合格，则相关检验费由采购人负担;若检验不合格，检验费将由成交人负担。同时每批次发货需提供材质证明、合格证等质量证明文件。</w:t>
            </w:r>
          </w:p>
          <w:p w14:paraId="5A2D9B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2.材料质量应严格符合设计、采购人要求及有关工程施工及验收标准的要求，同时材料质量及供货效率必须满足采购人为保证工程质量及对质量、效率等方面提出的各种进一步要求。</w:t>
            </w:r>
          </w:p>
          <w:p w14:paraId="685C14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3.材质证明书随货同行，需与所送材料相符，并符合国家标准，送货时必须随带出库单。</w:t>
            </w:r>
          </w:p>
          <w:p w14:paraId="2BF34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4.成交人应承诺严格执行采购人提出的质量要求，并对采购人对质量协作等方面提出的问题准时予以解决。</w:t>
            </w:r>
          </w:p>
          <w:p w14:paraId="3B537B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5.采购人提前三天将供货计划告知成交人，成交人得到计划后应在采购人通知后三天内供货。</w:t>
            </w:r>
          </w:p>
          <w:p w14:paraId="5AEB4F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6.由成交人负责货物的装车运输，并运至指定地点，到工地后由成交人负责卸货。货物到达指定地点后，由采购人现场代表对产品的基本质量和数量进行验收，但不作为最终验收合格的证明。</w:t>
            </w:r>
          </w:p>
        </w:tc>
      </w:tr>
    </w:tbl>
    <w:p w14:paraId="5F9D32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E57663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33F876E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1.货物进场前需提供合格证、检测证明等相关材料，材料需运至项目现场，并卸至项目部指定位置；</w:t>
      </w:r>
    </w:p>
    <w:p w14:paraId="00415FFB">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2.成交人运至现场的材料，需确保材料符合国家、行业及有关工程施工及验收标准的要求，如因材料不符合要求造成退场，每次罚款1000元；</w:t>
      </w:r>
    </w:p>
    <w:p w14:paraId="4ED0D49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3.材料进场前需先提供样品，后期材料需与样品一致，如发现弄虚作假，以次充好等现象，发现一次罚款1000元，三次以上解除合同；</w:t>
      </w:r>
    </w:p>
    <w:p w14:paraId="4B66D20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采购人一般提前三天通知成交人供货，如因成交人原因未能按期供货，造成项目工期延误，误期赔偿费按照1000元/天计算（特殊加工定制的材料除外），并向采购人偿付逾期交货的违约金（违约金按逾期交货部分货款万分之五每日计算），逾期超过5天，采购人有权解除合同，并有权要求成交人承担逾期交货部分货款15%的违约金。</w:t>
      </w:r>
    </w:p>
    <w:p w14:paraId="175ABC6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5.成交人按采购人要求的产品数量供货，如发生货物剩余，由成交人回收，所产生的装卸运输费用由成交人承担，采购人按照实际用量进行结算。</w:t>
      </w:r>
    </w:p>
    <w:p w14:paraId="1B3C1E1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6.合同期间，若发现成交人存在以下行为的，采购人有权单方面解除合同，没收其履约保证金:</w:t>
      </w:r>
    </w:p>
    <w:p w14:paraId="3066CBF0">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(1)出现供货产品质量不合格的;</w:t>
      </w:r>
    </w:p>
    <w:p w14:paraId="180C388A">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14:paraId="12E03AF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(3)3次及以上虚报供货产品数量的;</w:t>
      </w:r>
    </w:p>
    <w:p w14:paraId="63218A8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(4)其他严重损害采购人利益的行为。</w:t>
      </w:r>
    </w:p>
    <w:p w14:paraId="76AB19D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7.采购人对供应产品具有自主选择权，实际供应产品的数量、规格、型号等均以采购人订单通知为准。</w:t>
      </w:r>
    </w:p>
    <w:p w14:paraId="0D843AB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8.对于采购人以书面或电话形式提出的质量.服务等问题，成交人应于24小时内予以答复响应。</w:t>
      </w:r>
    </w:p>
    <w:p w14:paraId="5A16329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9.成交人如有违反质量承诺的，采购人有权没收其履约保证金，给采购人造成损失的同时应承担赔偿责任。</w:t>
      </w:r>
    </w:p>
    <w:p w14:paraId="42008AC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对供应产品应以国家或行业标准配送，不得以次充好，不得偷工减料，对质量不合格的产品应实行包退、包换;若因成交人供应产品质量问题或以次充好或偷工减料造成的工程安全事故，成交人应承担所有经济赔偿和法律责任。</w:t>
      </w:r>
    </w:p>
    <w:p w14:paraId="09AE210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11.合同期间，若发现成交人存在虚报供应产品数量或价格的，采购人有权扣除履约保证金的10%每次作为违约金。</w:t>
      </w:r>
    </w:p>
    <w:p w14:paraId="4F305A2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12.成交人人员在采购人施工现场造成本人或者第三人人身、财产损失，成交人应自行承担责任，若因此导致采购人经济损失，采购人有权对成交人追偿。</w:t>
      </w:r>
    </w:p>
    <w:p w14:paraId="762DFF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13.成交后成交人需委派供货联络员一名负责供货事宜。</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防水抗裂砂浆采购项目（二次）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BZJKTL-2025-</w:t>
      </w:r>
      <w:r>
        <w:rPr>
          <w:rFonts w:hint="eastAsia" w:ascii="Times New Roman" w:hAnsi="Times New Roman" w:eastAsia="楷体" w:cs="Times New Roman"/>
          <w:kern w:val="0"/>
          <w:sz w:val="28"/>
          <w:szCs w:val="28"/>
          <w:highlight w:val="none"/>
          <w:u w:val="single"/>
          <w:shd w:val="clear" w:color="auto" w:fill="auto"/>
          <w:lang w:val="en-US" w:eastAsia="zh-CN"/>
        </w:rPr>
        <w:t>04号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41" w:name="_Toc152042576"/>
      <w:bookmarkStart w:id="242" w:name="_Toc144974856"/>
      <w:bookmarkStart w:id="243" w:name="_Toc247514246"/>
      <w:bookmarkStart w:id="244" w:name="_Toc152045787"/>
      <w:bookmarkStart w:id="245" w:name="_Toc24752782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47" w:name="_Toc247514247"/>
      <w:bookmarkStart w:id="248" w:name="_Toc300835210"/>
      <w:bookmarkStart w:id="249" w:name="_Toc152042577"/>
      <w:bookmarkStart w:id="250" w:name="_Toc144974857"/>
      <w:bookmarkStart w:id="251" w:name="_Toc247527828"/>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44974859"/>
      <w:bookmarkStart w:id="255" w:name="_Toc152045790"/>
      <w:bookmarkStart w:id="256" w:name="_Toc152042579"/>
      <w:bookmarkStart w:id="257" w:name="_Toc247527830"/>
      <w:bookmarkStart w:id="258" w:name="_Toc300835212"/>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防水抗裂砂浆采购项目（二次）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5"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BZJKTL-2025-04号</w:t>
      </w:r>
      <w:permEnd w:id="45"/>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，供货期：自合同签订之日起365日历天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5"/>
        <w:jc w:val="both"/>
        <w:rPr>
          <w:rFonts w:hint="default" w:ascii="Times New Roman" w:hAnsi="Times New Roman" w:cs="Times New Roman"/>
        </w:rPr>
      </w:pPr>
      <w:bookmarkStart w:id="259" w:name="_Toc247514283"/>
      <w:bookmarkStart w:id="260" w:name="_Toc152042580"/>
      <w:bookmarkStart w:id="261" w:name="_Toc247527831"/>
      <w:bookmarkStart w:id="262" w:name="_Toc152045791"/>
      <w:bookmarkStart w:id="263" w:name="_Toc300835213"/>
      <w:bookmarkStart w:id="264" w:name="_Toc144974860"/>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27832"/>
      <w:bookmarkStart w:id="267" w:name="_Toc300835214"/>
      <w:bookmarkStart w:id="268" w:name="_Toc152045792"/>
      <w:bookmarkStart w:id="269" w:name="_Toc14497486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300835216"/>
      <w:bookmarkStart w:id="273" w:name="_Toc247527834"/>
      <w:bookmarkStart w:id="274" w:name="_Toc152042583"/>
      <w:bookmarkStart w:id="275" w:name="_Toc144974862"/>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5795"/>
      <w:bookmarkStart w:id="280" w:name="_Toc247514287"/>
      <w:bookmarkStart w:id="281" w:name="_Toc300835218"/>
      <w:bookmarkStart w:id="282" w:name="_Toc144974863"/>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5"/>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7"/>
        <w:tblW w:w="58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2241"/>
        <w:gridCol w:w="1145"/>
        <w:gridCol w:w="1881"/>
        <w:gridCol w:w="1379"/>
        <w:gridCol w:w="1286"/>
        <w:gridCol w:w="673"/>
        <w:gridCol w:w="635"/>
      </w:tblGrid>
      <w:tr w14:paraId="3A66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29" w:type="pct"/>
            <w:tcBorders>
              <w:top w:val="single" w:color="auto" w:sz="4" w:space="0"/>
              <w:left w:val="single" w:color="auto" w:sz="4" w:space="0"/>
              <w:right w:val="single" w:color="auto" w:sz="4" w:space="0"/>
            </w:tcBorders>
            <w:vAlign w:val="center"/>
          </w:tcPr>
          <w:p w14:paraId="78E8156A">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序号</w:t>
            </w:r>
          </w:p>
        </w:tc>
        <w:tc>
          <w:tcPr>
            <w:tcW w:w="1133" w:type="pct"/>
            <w:tcBorders>
              <w:top w:val="single" w:color="auto" w:sz="4" w:space="0"/>
              <w:left w:val="single" w:color="auto" w:sz="4" w:space="0"/>
              <w:right w:val="single" w:color="auto" w:sz="4" w:space="0"/>
            </w:tcBorders>
            <w:vAlign w:val="center"/>
          </w:tcPr>
          <w:p w14:paraId="12C980F9">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材料名称</w:t>
            </w:r>
          </w:p>
        </w:tc>
        <w:tc>
          <w:tcPr>
            <w:tcW w:w="579" w:type="pct"/>
            <w:tcBorders>
              <w:top w:val="single" w:color="auto" w:sz="4" w:space="0"/>
              <w:left w:val="single" w:color="auto" w:sz="4" w:space="0"/>
              <w:right w:val="single" w:color="auto" w:sz="4" w:space="0"/>
            </w:tcBorders>
            <w:vAlign w:val="center"/>
          </w:tcPr>
          <w:p w14:paraId="01BF9E77">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预估用量</w:t>
            </w:r>
          </w:p>
          <w:p w14:paraId="041FEA36">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w:t>
            </w:r>
            <w:r>
              <w:rPr>
                <w:rFonts w:hint="eastAsia" w:ascii="黑体" w:hAnsi="宋体" w:eastAsia="黑体" w:cs="黑体"/>
                <w:color w:val="000000"/>
                <w:kern w:val="0"/>
                <w:sz w:val="20"/>
                <w:szCs w:val="20"/>
                <w:lang w:val="en-US" w:eastAsia="zh-CN" w:bidi="ar"/>
              </w:rPr>
              <w:t>t</w:t>
            </w:r>
            <w:r>
              <w:rPr>
                <w:rFonts w:hint="eastAsia" w:ascii="黑体" w:hAnsi="宋体" w:eastAsia="黑体" w:cs="黑体"/>
                <w:color w:val="000000"/>
                <w:kern w:val="0"/>
                <w:sz w:val="20"/>
                <w:szCs w:val="20"/>
                <w:lang w:eastAsia="zh-CN" w:bidi="ar"/>
              </w:rPr>
              <w:t>）</w:t>
            </w:r>
          </w:p>
        </w:tc>
        <w:tc>
          <w:tcPr>
            <w:tcW w:w="951" w:type="pct"/>
            <w:tcBorders>
              <w:top w:val="single" w:color="auto" w:sz="4" w:space="0"/>
              <w:left w:val="single" w:color="auto" w:sz="4" w:space="0"/>
              <w:right w:val="single" w:color="auto" w:sz="4" w:space="0"/>
            </w:tcBorders>
            <w:vAlign w:val="center"/>
          </w:tcPr>
          <w:p w14:paraId="201AAE32">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不含税</w:t>
            </w:r>
            <w:r>
              <w:rPr>
                <w:rFonts w:hint="eastAsia" w:ascii="黑体" w:hAnsi="宋体" w:eastAsia="黑体" w:cs="黑体"/>
                <w:color w:val="000000"/>
                <w:kern w:val="0"/>
                <w:sz w:val="20"/>
                <w:szCs w:val="20"/>
                <w:lang w:eastAsia="zh-CN" w:bidi="ar"/>
              </w:rPr>
              <w:t>单项限价</w:t>
            </w:r>
          </w:p>
          <w:p w14:paraId="0D6A4617">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（元/</w:t>
            </w:r>
            <w:r>
              <w:rPr>
                <w:rFonts w:hint="eastAsia" w:ascii="黑体" w:hAnsi="宋体" w:eastAsia="黑体" w:cs="黑体"/>
                <w:color w:val="000000"/>
                <w:kern w:val="0"/>
                <w:sz w:val="20"/>
                <w:szCs w:val="20"/>
                <w:lang w:val="en-US" w:eastAsia="zh-CN" w:bidi="ar"/>
              </w:rPr>
              <w:t>t</w:t>
            </w:r>
            <w:r>
              <w:rPr>
                <w:rFonts w:hint="eastAsia" w:ascii="黑体" w:hAnsi="宋体" w:eastAsia="黑体" w:cs="黑体"/>
                <w:color w:val="000000"/>
                <w:kern w:val="0"/>
                <w:sz w:val="20"/>
                <w:szCs w:val="20"/>
                <w:lang w:eastAsia="zh-CN" w:bidi="ar"/>
              </w:rPr>
              <w:t>）</w:t>
            </w:r>
          </w:p>
        </w:tc>
        <w:tc>
          <w:tcPr>
            <w:tcW w:w="695" w:type="pct"/>
            <w:tcBorders>
              <w:top w:val="single" w:color="auto" w:sz="4" w:space="0"/>
              <w:left w:val="single" w:color="auto" w:sz="4" w:space="0"/>
              <w:right w:val="single" w:color="auto" w:sz="4" w:space="0"/>
            </w:tcBorders>
            <w:vAlign w:val="center"/>
          </w:tcPr>
          <w:p w14:paraId="57B3DC50">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不含税单价</w:t>
            </w:r>
          </w:p>
          <w:p w14:paraId="6964E82F">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（元/</w:t>
            </w:r>
            <w:r>
              <w:rPr>
                <w:rFonts w:hint="eastAsia" w:ascii="黑体" w:hAnsi="宋体" w:eastAsia="黑体" w:cs="黑体"/>
                <w:color w:val="000000"/>
                <w:kern w:val="0"/>
                <w:sz w:val="20"/>
                <w:szCs w:val="20"/>
                <w:lang w:val="en-US" w:eastAsia="zh-CN" w:bidi="ar"/>
              </w:rPr>
              <w:t>t</w:t>
            </w:r>
            <w:r>
              <w:rPr>
                <w:rFonts w:hint="eastAsia" w:ascii="黑体" w:hAnsi="宋体" w:eastAsia="黑体" w:cs="黑体"/>
                <w:color w:val="000000"/>
                <w:kern w:val="0"/>
                <w:sz w:val="20"/>
                <w:szCs w:val="20"/>
                <w:lang w:eastAsia="zh-CN" w:bidi="ar"/>
              </w:rPr>
              <w:t>）</w:t>
            </w:r>
          </w:p>
        </w:tc>
        <w:tc>
          <w:tcPr>
            <w:tcW w:w="650" w:type="pct"/>
            <w:tcBorders>
              <w:top w:val="single" w:color="auto" w:sz="4" w:space="0"/>
              <w:left w:val="single" w:color="auto" w:sz="4" w:space="0"/>
              <w:right w:val="single" w:color="auto" w:sz="4" w:space="0"/>
            </w:tcBorders>
            <w:vAlign w:val="center"/>
          </w:tcPr>
          <w:p w14:paraId="2F55521F">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不含税</w:t>
            </w:r>
            <w:r>
              <w:rPr>
                <w:rFonts w:hint="eastAsia" w:ascii="黑体" w:hAnsi="宋体" w:eastAsia="黑体" w:cs="黑体"/>
                <w:color w:val="000000"/>
                <w:kern w:val="0"/>
                <w:sz w:val="20"/>
                <w:szCs w:val="20"/>
                <w:lang w:eastAsia="zh-CN" w:bidi="ar"/>
              </w:rPr>
              <w:t>合价</w:t>
            </w:r>
          </w:p>
          <w:p w14:paraId="6C227974">
            <w:pPr>
              <w:widowControl/>
              <w:spacing w:line="240" w:lineRule="auto"/>
              <w:ind w:firstLine="0" w:firstLineChars="0"/>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eastAsia="zh-CN" w:bidi="ar"/>
              </w:rPr>
              <w:t>(元)</w:t>
            </w:r>
          </w:p>
        </w:tc>
        <w:tc>
          <w:tcPr>
            <w:tcW w:w="340" w:type="pct"/>
            <w:tcBorders>
              <w:top w:val="single" w:color="auto" w:sz="4" w:space="0"/>
              <w:left w:val="single" w:color="auto" w:sz="4" w:space="0"/>
              <w:right w:val="single" w:color="auto" w:sz="4" w:space="0"/>
            </w:tcBorders>
            <w:vAlign w:val="center"/>
          </w:tcPr>
          <w:p w14:paraId="54D67F3A">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税率</w:t>
            </w:r>
          </w:p>
        </w:tc>
        <w:tc>
          <w:tcPr>
            <w:tcW w:w="319" w:type="pct"/>
            <w:tcBorders>
              <w:top w:val="single" w:color="auto" w:sz="4" w:space="0"/>
              <w:left w:val="single" w:color="auto" w:sz="4" w:space="0"/>
              <w:right w:val="single" w:color="auto" w:sz="4" w:space="0"/>
            </w:tcBorders>
            <w:vAlign w:val="center"/>
          </w:tcPr>
          <w:p w14:paraId="33E90AC8">
            <w:pPr>
              <w:widowControl/>
              <w:spacing w:line="240" w:lineRule="auto"/>
              <w:ind w:firstLine="0" w:firstLineChars="0"/>
              <w:jc w:val="center"/>
              <w:textAlignment w:val="center"/>
              <w:rPr>
                <w:rFonts w:hint="default"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备注</w:t>
            </w:r>
          </w:p>
        </w:tc>
      </w:tr>
      <w:tr w14:paraId="18CD7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329" w:type="pct"/>
            <w:tcBorders>
              <w:top w:val="single" w:color="auto" w:sz="4" w:space="0"/>
              <w:left w:val="single" w:color="auto" w:sz="4" w:space="0"/>
              <w:bottom w:val="single" w:color="auto" w:sz="4" w:space="0"/>
              <w:right w:val="single" w:color="auto" w:sz="4" w:space="0"/>
            </w:tcBorders>
            <w:vAlign w:val="center"/>
          </w:tcPr>
          <w:p w14:paraId="46D1A29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1</w:t>
            </w:r>
          </w:p>
        </w:tc>
        <w:tc>
          <w:tcPr>
            <w:tcW w:w="1133" w:type="pct"/>
            <w:tcBorders>
              <w:top w:val="single" w:color="auto" w:sz="4" w:space="0"/>
              <w:left w:val="single" w:color="auto" w:sz="4" w:space="0"/>
              <w:bottom w:val="single" w:color="auto" w:sz="4" w:space="0"/>
              <w:right w:val="single" w:color="auto" w:sz="4" w:space="0"/>
            </w:tcBorders>
            <w:shd w:val="clear" w:color="auto" w:fill="auto"/>
            <w:vAlign w:val="center"/>
          </w:tcPr>
          <w:p w14:paraId="753865F7">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防水抗裂砂浆</w:t>
            </w:r>
          </w:p>
          <w:p w14:paraId="676979EA">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袋装</w:t>
            </w:r>
            <w:r>
              <w:rPr>
                <w:rFonts w:hint="eastAsia" w:ascii="宋体" w:hAnsi="宋体" w:eastAsia="宋体" w:cs="宋体"/>
                <w:color w:val="000000"/>
                <w:kern w:val="0"/>
                <w:sz w:val="22"/>
                <w:szCs w:val="22"/>
                <w:lang w:eastAsia="zh-CN" w:bidi="ar"/>
              </w:rPr>
              <w:t>）</w:t>
            </w:r>
          </w:p>
        </w:tc>
        <w:tc>
          <w:tcPr>
            <w:tcW w:w="579" w:type="pct"/>
            <w:tcBorders>
              <w:top w:val="single" w:color="auto" w:sz="4" w:space="0"/>
              <w:left w:val="single" w:color="auto" w:sz="4" w:space="0"/>
              <w:bottom w:val="single" w:color="auto" w:sz="4" w:space="0"/>
              <w:right w:val="single" w:color="auto" w:sz="4" w:space="0"/>
            </w:tcBorders>
            <w:shd w:val="clear" w:color="auto" w:fill="auto"/>
            <w:vAlign w:val="center"/>
          </w:tcPr>
          <w:p w14:paraId="09236D25">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1500</w:t>
            </w:r>
          </w:p>
        </w:tc>
        <w:tc>
          <w:tcPr>
            <w:tcW w:w="951" w:type="pct"/>
            <w:tcBorders>
              <w:top w:val="single" w:color="auto" w:sz="4" w:space="0"/>
              <w:left w:val="single" w:color="auto" w:sz="4" w:space="0"/>
              <w:bottom w:val="single" w:color="auto" w:sz="4" w:space="0"/>
              <w:right w:val="single" w:color="auto" w:sz="4" w:space="0"/>
            </w:tcBorders>
            <w:vAlign w:val="center"/>
          </w:tcPr>
          <w:p w14:paraId="0D1E6FE2">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560</w:t>
            </w:r>
          </w:p>
        </w:tc>
        <w:tc>
          <w:tcPr>
            <w:tcW w:w="695" w:type="pct"/>
            <w:tcBorders>
              <w:top w:val="single" w:color="auto" w:sz="4" w:space="0"/>
              <w:left w:val="single" w:color="auto" w:sz="4" w:space="0"/>
              <w:bottom w:val="single" w:color="auto" w:sz="4" w:space="0"/>
              <w:right w:val="single" w:color="auto" w:sz="4" w:space="0"/>
            </w:tcBorders>
            <w:vAlign w:val="center"/>
          </w:tcPr>
          <w:p w14:paraId="63EC148F">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650" w:type="pct"/>
            <w:tcBorders>
              <w:top w:val="single" w:color="auto" w:sz="4" w:space="0"/>
              <w:left w:val="single" w:color="auto" w:sz="4" w:space="0"/>
              <w:bottom w:val="single" w:color="auto" w:sz="4" w:space="0"/>
              <w:right w:val="single" w:color="auto" w:sz="4" w:space="0"/>
            </w:tcBorders>
            <w:vAlign w:val="center"/>
          </w:tcPr>
          <w:p w14:paraId="10D82990">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340" w:type="pct"/>
            <w:tcBorders>
              <w:top w:val="single" w:color="auto" w:sz="4" w:space="0"/>
              <w:left w:val="single" w:color="auto" w:sz="4" w:space="0"/>
              <w:bottom w:val="single" w:color="auto" w:sz="4" w:space="0"/>
              <w:right w:val="single" w:color="auto" w:sz="4" w:space="0"/>
            </w:tcBorders>
            <w:vAlign w:val="center"/>
          </w:tcPr>
          <w:p w14:paraId="3E22CE19">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319" w:type="pct"/>
            <w:tcBorders>
              <w:top w:val="single" w:color="auto" w:sz="4" w:space="0"/>
              <w:left w:val="single" w:color="auto" w:sz="4" w:space="0"/>
              <w:bottom w:val="single" w:color="auto" w:sz="4" w:space="0"/>
              <w:right w:val="single" w:color="auto" w:sz="4" w:space="0"/>
            </w:tcBorders>
            <w:vAlign w:val="center"/>
          </w:tcPr>
          <w:p w14:paraId="14162196">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r>
      <w:tr w14:paraId="1E1F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329" w:type="pct"/>
            <w:tcBorders>
              <w:top w:val="single" w:color="auto" w:sz="4" w:space="0"/>
              <w:left w:val="single" w:color="auto" w:sz="4" w:space="0"/>
              <w:bottom w:val="single" w:color="auto" w:sz="4" w:space="0"/>
              <w:right w:val="single" w:color="auto" w:sz="4" w:space="0"/>
            </w:tcBorders>
            <w:vAlign w:val="center"/>
          </w:tcPr>
          <w:p w14:paraId="566FC992">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2</w:t>
            </w:r>
          </w:p>
        </w:tc>
        <w:tc>
          <w:tcPr>
            <w:tcW w:w="1133" w:type="pct"/>
            <w:tcBorders>
              <w:top w:val="single" w:color="auto" w:sz="4" w:space="0"/>
              <w:left w:val="single" w:color="auto" w:sz="4" w:space="0"/>
              <w:bottom w:val="single" w:color="auto" w:sz="4" w:space="0"/>
              <w:right w:val="single" w:color="auto" w:sz="4" w:space="0"/>
            </w:tcBorders>
            <w:vAlign w:val="center"/>
          </w:tcPr>
          <w:p w14:paraId="2ED4C494">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聚合物防水抗裂砂浆（</w:t>
            </w:r>
            <w:r>
              <w:rPr>
                <w:rFonts w:hint="eastAsia" w:ascii="宋体" w:hAnsi="宋体" w:eastAsia="宋体" w:cs="宋体"/>
                <w:color w:val="000000"/>
                <w:kern w:val="0"/>
                <w:sz w:val="22"/>
                <w:szCs w:val="22"/>
                <w:lang w:val="en-US" w:eastAsia="zh-CN" w:bidi="ar"/>
              </w:rPr>
              <w:t>袋装</w:t>
            </w:r>
            <w:r>
              <w:rPr>
                <w:rFonts w:hint="eastAsia" w:ascii="宋体" w:hAnsi="宋体" w:eastAsia="宋体" w:cs="宋体"/>
                <w:color w:val="000000"/>
                <w:kern w:val="0"/>
                <w:sz w:val="22"/>
                <w:szCs w:val="22"/>
                <w:lang w:eastAsia="zh-CN" w:bidi="ar"/>
              </w:rPr>
              <w:t>）</w:t>
            </w:r>
          </w:p>
        </w:tc>
        <w:tc>
          <w:tcPr>
            <w:tcW w:w="579" w:type="pct"/>
            <w:tcBorders>
              <w:top w:val="single" w:color="auto" w:sz="4" w:space="0"/>
              <w:left w:val="single" w:color="auto" w:sz="4" w:space="0"/>
              <w:bottom w:val="single" w:color="auto" w:sz="4" w:space="0"/>
              <w:right w:val="single" w:color="auto" w:sz="4" w:space="0"/>
            </w:tcBorders>
            <w:vAlign w:val="center"/>
          </w:tcPr>
          <w:p w14:paraId="5748C86F">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200</w:t>
            </w:r>
          </w:p>
        </w:tc>
        <w:tc>
          <w:tcPr>
            <w:tcW w:w="951" w:type="pct"/>
            <w:tcBorders>
              <w:top w:val="single" w:color="auto" w:sz="4" w:space="0"/>
              <w:left w:val="single" w:color="auto" w:sz="4" w:space="0"/>
              <w:bottom w:val="single" w:color="auto" w:sz="4" w:space="0"/>
              <w:right w:val="single" w:color="auto" w:sz="4" w:space="0"/>
            </w:tcBorders>
            <w:vAlign w:val="center"/>
          </w:tcPr>
          <w:p w14:paraId="09073F4C">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700</w:t>
            </w:r>
          </w:p>
        </w:tc>
        <w:tc>
          <w:tcPr>
            <w:tcW w:w="695" w:type="pct"/>
            <w:tcBorders>
              <w:top w:val="single" w:color="auto" w:sz="4" w:space="0"/>
              <w:left w:val="single" w:color="auto" w:sz="4" w:space="0"/>
              <w:bottom w:val="single" w:color="auto" w:sz="4" w:space="0"/>
              <w:right w:val="single" w:color="auto" w:sz="4" w:space="0"/>
            </w:tcBorders>
            <w:vAlign w:val="center"/>
          </w:tcPr>
          <w:p w14:paraId="34F76CF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650" w:type="pct"/>
            <w:tcBorders>
              <w:top w:val="single" w:color="auto" w:sz="4" w:space="0"/>
              <w:left w:val="single" w:color="auto" w:sz="4" w:space="0"/>
              <w:bottom w:val="single" w:color="auto" w:sz="4" w:space="0"/>
              <w:right w:val="single" w:color="auto" w:sz="4" w:space="0"/>
            </w:tcBorders>
            <w:vAlign w:val="center"/>
          </w:tcPr>
          <w:p w14:paraId="19B3106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340" w:type="pct"/>
            <w:tcBorders>
              <w:top w:val="single" w:color="auto" w:sz="4" w:space="0"/>
              <w:left w:val="single" w:color="auto" w:sz="4" w:space="0"/>
              <w:bottom w:val="single" w:color="auto" w:sz="4" w:space="0"/>
              <w:right w:val="single" w:color="auto" w:sz="4" w:space="0"/>
            </w:tcBorders>
            <w:vAlign w:val="center"/>
          </w:tcPr>
          <w:p w14:paraId="0ED61DAA">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319" w:type="pct"/>
            <w:tcBorders>
              <w:top w:val="single" w:color="auto" w:sz="4" w:space="0"/>
              <w:left w:val="single" w:color="auto" w:sz="4" w:space="0"/>
              <w:bottom w:val="single" w:color="auto" w:sz="4" w:space="0"/>
              <w:right w:val="single" w:color="auto" w:sz="4" w:space="0"/>
            </w:tcBorders>
            <w:vAlign w:val="center"/>
          </w:tcPr>
          <w:p w14:paraId="3A7A5541">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r>
      <w:tr w14:paraId="1ED8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689" w:type="pct"/>
            <w:gridSpan w:val="5"/>
            <w:tcBorders>
              <w:top w:val="single" w:color="auto" w:sz="4" w:space="0"/>
              <w:left w:val="single" w:color="auto" w:sz="4" w:space="0"/>
              <w:bottom w:val="single" w:color="auto" w:sz="4" w:space="0"/>
              <w:right w:val="single" w:color="auto" w:sz="4" w:space="0"/>
            </w:tcBorders>
            <w:vAlign w:val="center"/>
          </w:tcPr>
          <w:p w14:paraId="6D7D9B23">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合计</w:t>
            </w:r>
            <w:r>
              <w:rPr>
                <w:rFonts w:hint="eastAsia" w:ascii="宋体" w:hAnsi="宋体" w:eastAsia="宋体" w:cs="宋体"/>
                <w:color w:val="000000"/>
                <w:kern w:val="0"/>
                <w:sz w:val="22"/>
                <w:szCs w:val="22"/>
                <w:lang w:eastAsia="zh-CN" w:bidi="ar"/>
              </w:rPr>
              <w:t>（元）</w:t>
            </w:r>
          </w:p>
        </w:tc>
        <w:tc>
          <w:tcPr>
            <w:tcW w:w="650" w:type="pct"/>
            <w:tcBorders>
              <w:top w:val="single" w:color="auto" w:sz="4" w:space="0"/>
              <w:left w:val="single" w:color="auto" w:sz="4" w:space="0"/>
              <w:bottom w:val="single" w:color="auto" w:sz="4" w:space="0"/>
              <w:right w:val="single" w:color="auto" w:sz="4" w:space="0"/>
            </w:tcBorders>
            <w:vAlign w:val="center"/>
          </w:tcPr>
          <w:p w14:paraId="2539DC21">
            <w:pPr>
              <w:widowControl/>
              <w:spacing w:line="240" w:lineRule="auto"/>
              <w:ind w:firstLine="0" w:firstLineChars="0"/>
              <w:jc w:val="center"/>
              <w:textAlignment w:val="center"/>
              <w:rPr>
                <w:rFonts w:hint="eastAsia" w:ascii="宋体" w:hAnsi="宋体" w:eastAsia="宋体" w:cs="宋体"/>
                <w:color w:val="000000"/>
                <w:kern w:val="0"/>
                <w:sz w:val="22"/>
                <w:szCs w:val="22"/>
                <w:lang w:eastAsia="zh-CN" w:bidi="ar"/>
              </w:rPr>
            </w:pPr>
          </w:p>
        </w:tc>
        <w:tc>
          <w:tcPr>
            <w:tcW w:w="340" w:type="pct"/>
            <w:tcBorders>
              <w:top w:val="single" w:color="auto" w:sz="4" w:space="0"/>
              <w:left w:val="single" w:color="auto" w:sz="4" w:space="0"/>
              <w:bottom w:val="single" w:color="auto" w:sz="4" w:space="0"/>
              <w:right w:val="single" w:color="auto" w:sz="4" w:space="0"/>
            </w:tcBorders>
            <w:vAlign w:val="center"/>
          </w:tcPr>
          <w:p w14:paraId="424965EA">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p>
        </w:tc>
        <w:tc>
          <w:tcPr>
            <w:tcW w:w="319" w:type="pct"/>
            <w:tcBorders>
              <w:top w:val="single" w:color="auto" w:sz="4" w:space="0"/>
              <w:left w:val="single" w:color="auto" w:sz="4" w:space="0"/>
              <w:bottom w:val="single" w:color="auto" w:sz="4" w:space="0"/>
              <w:right w:val="single" w:color="auto" w:sz="4" w:space="0"/>
            </w:tcBorders>
            <w:vAlign w:val="center"/>
          </w:tcPr>
          <w:p w14:paraId="290FA79E">
            <w:pPr>
              <w:widowControl/>
              <w:spacing w:line="240" w:lineRule="auto"/>
              <w:ind w:firstLine="0" w:firstLineChars="0"/>
              <w:jc w:val="center"/>
              <w:textAlignment w:val="center"/>
              <w:rPr>
                <w:rFonts w:hint="default" w:ascii="宋体" w:hAnsi="宋体" w:eastAsia="宋体" w:cs="宋体"/>
                <w:color w:val="000000"/>
                <w:kern w:val="0"/>
                <w:sz w:val="22"/>
                <w:szCs w:val="22"/>
                <w:lang w:val="en-US" w:eastAsia="zh-CN" w:bidi="ar"/>
              </w:rPr>
            </w:pPr>
          </w:p>
        </w:tc>
      </w:tr>
      <w:tr w14:paraId="28F32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14:paraId="2BAB1FFC">
            <w:pPr>
              <w:widowControl/>
              <w:spacing w:line="240" w:lineRule="auto"/>
              <w:ind w:firstLine="0" w:firstLineChars="0"/>
              <w:jc w:val="center"/>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注：采购数量为暂定，具体数量以实际使用数量为准，据实结算。</w:t>
            </w:r>
          </w:p>
        </w:tc>
      </w:tr>
    </w:tbl>
    <w:p w14:paraId="60EB51F1">
      <w:pPr>
        <w:widowControl w:val="0"/>
        <w:numPr>
          <w:ilvl w:val="0"/>
          <w:numId w:val="0"/>
        </w:numPr>
        <w:jc w:val="both"/>
        <w:rPr>
          <w:rFonts w:hint="eastAsia"/>
        </w:rPr>
      </w:pPr>
    </w:p>
    <w:p w14:paraId="505820B5">
      <w:pPr>
        <w:pStyle w:val="5"/>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5"/>
        <w:jc w:val="center"/>
        <w:rPr>
          <w:rFonts w:hint="eastAsia"/>
        </w:rPr>
      </w:pPr>
      <w:bookmarkStart w:id="284" w:name="_Toc247514288"/>
      <w:bookmarkStart w:id="285" w:name="_Toc152045796"/>
      <w:bookmarkStart w:id="286" w:name="_Toc144974864"/>
      <w:bookmarkStart w:id="287" w:name="_Toc152042585"/>
      <w:bookmarkStart w:id="288" w:name="_Toc247527836"/>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7116"/>
      <w:bookmarkStart w:id="293" w:name="_Toc246996373"/>
      <w:bookmarkStart w:id="294" w:name="_Toc247085891"/>
      <w:bookmarkStart w:id="295" w:name="_Toc296602618"/>
      <w:r>
        <w:rPr>
          <w:rFonts w:hint="eastAsia"/>
          <w:b/>
          <w:bCs/>
          <w:color w:val="FF0000"/>
          <w:lang w:val="en-US" w:eastAsia="zh-CN"/>
        </w:rPr>
        <w:t>（注：供应商根据询比公告/邀请书要求按需填写，如无要求，可不填写。）</w:t>
      </w:r>
    </w:p>
    <w:p w14:paraId="3DAB7550">
      <w:pPr>
        <w:pStyle w:val="6"/>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296" w:name="_Toc246996370"/>
      <w:bookmarkStart w:id="297" w:name="_Toc247085888"/>
      <w:bookmarkStart w:id="298" w:name="_Toc246997113"/>
      <w:bookmarkStart w:id="299" w:name="_Toc296602615"/>
      <w:bookmarkStart w:id="300" w:name="_Toc152045810"/>
      <w:bookmarkStart w:id="301" w:name="_Toc144974878"/>
      <w:bookmarkStart w:id="302" w:name="_Toc152042599"/>
      <w:bookmarkStart w:id="303" w:name="_Toc247514302"/>
      <w:bookmarkStart w:id="304" w:name="_Toc300835226"/>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06" w:name="_Toc246997114"/>
      <w:bookmarkStart w:id="307" w:name="_Toc247085889"/>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44974879"/>
      <w:bookmarkStart w:id="312" w:name="_Toc247527851"/>
      <w:bookmarkStart w:id="313" w:name="_Toc15204581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6"/>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5813"/>
      <w:bookmarkStart w:id="316" w:name="_Toc247514305"/>
      <w:bookmarkStart w:id="317" w:name="_Toc144974881"/>
      <w:bookmarkStart w:id="318" w:name="_Toc152042602"/>
      <w:bookmarkStart w:id="319" w:name="_Toc247527853"/>
      <w:bookmarkStart w:id="320" w:name="_Toc247530162"/>
    </w:p>
    <w:bookmarkEnd w:id="315"/>
    <w:bookmarkEnd w:id="316"/>
    <w:bookmarkEnd w:id="317"/>
    <w:bookmarkEnd w:id="318"/>
    <w:bookmarkEnd w:id="319"/>
    <w:bookmarkEnd w:id="320"/>
    <w:p w14:paraId="1E5B7EEB">
      <w:pPr>
        <w:pStyle w:val="5"/>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7356EC2-1BF8-467D-B977-227EF097E251}"/>
  </w:font>
  <w:font w:name="Arial">
    <w:panose1 w:val="020B0604020202020204"/>
    <w:charset w:val="01"/>
    <w:family w:val="swiss"/>
    <w:pitch w:val="default"/>
    <w:sig w:usb0="E0002EFF" w:usb1="C000785B" w:usb2="00000009" w:usb3="00000000" w:csb0="400001FF" w:csb1="FFFF0000"/>
    <w:embedRegular r:id="rId2" w:fontKey="{82DDC5C5-29B0-4725-939F-ED000320B81F}"/>
  </w:font>
  <w:font w:name="黑体">
    <w:panose1 w:val="02010609060101010101"/>
    <w:charset w:val="86"/>
    <w:family w:val="auto"/>
    <w:pitch w:val="default"/>
    <w:sig w:usb0="800002BF" w:usb1="38CF7CFA" w:usb2="00000016" w:usb3="00000000" w:csb0="00040001" w:csb1="00000000"/>
    <w:embedRegular r:id="rId3" w:fontKey="{0458DC7E-CE3C-4132-B9A5-76CA7C91DD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4E5F9A7-4B4A-4E50-9246-B4B97858B574}"/>
  </w:font>
  <w:font w:name="仿宋_GB2312">
    <w:panose1 w:val="02010609030101010101"/>
    <w:charset w:val="86"/>
    <w:family w:val="modern"/>
    <w:pitch w:val="default"/>
    <w:sig w:usb0="00000001" w:usb1="080E0000" w:usb2="00000000" w:usb3="00000000" w:csb0="00040000" w:csb1="00000000"/>
    <w:embedRegular r:id="rId5" w:fontKey="{5624B19C-C413-4A98-B81E-07ECEFFE8D2C}"/>
  </w:font>
  <w:font w:name="方正小标宋简体">
    <w:panose1 w:val="02000000000000000000"/>
    <w:charset w:val="86"/>
    <w:family w:val="auto"/>
    <w:pitch w:val="default"/>
    <w:sig w:usb0="00000001" w:usb1="08000000" w:usb2="00000000" w:usb3="00000000" w:csb0="00040000" w:csb1="00000000"/>
    <w:embedRegular r:id="rId6" w:fontKey="{9CA18135-EB43-41A3-9329-AEBBAFC6EF23}"/>
  </w:font>
  <w:font w:name="楷体">
    <w:panose1 w:val="02010609060101010101"/>
    <w:charset w:val="86"/>
    <w:family w:val="auto"/>
    <w:pitch w:val="default"/>
    <w:sig w:usb0="800002BF" w:usb1="38CF7CFA" w:usb2="00000016" w:usb3="00000000" w:csb0="00040001" w:csb1="00000000"/>
    <w:embedRegular r:id="rId7" w:fontKey="{B0B202D1-E766-44D8-BC11-D749653637E7}"/>
  </w:font>
  <w:font w:name="Wingdings 2">
    <w:panose1 w:val="05020102010507070707"/>
    <w:charset w:val="00"/>
    <w:family w:val="auto"/>
    <w:pitch w:val="default"/>
    <w:sig w:usb0="00000000" w:usb1="00000000" w:usb2="00000000" w:usb3="00000000" w:csb0="80000000" w:csb1="00000000"/>
    <w:embedRegular r:id="rId8" w:fontKey="{CE617442-4B74-42BE-829E-3A96E8368815}"/>
  </w:font>
  <w:font w:name="方正仿宋_GB2312">
    <w:panose1 w:val="02000000000000000000"/>
    <w:charset w:val="86"/>
    <w:family w:val="auto"/>
    <w:pitch w:val="default"/>
    <w:sig w:usb0="A00002BF" w:usb1="184F6CFA" w:usb2="00000012" w:usb3="00000000" w:csb0="00040001" w:csb1="00000000"/>
    <w:embedRegular r:id="rId9" w:fontKey="{BD5D0FB0-631D-4F67-949B-C00AF6FD2CE0}"/>
  </w:font>
  <w:font w:name="仿宋">
    <w:panose1 w:val="02010609060101010101"/>
    <w:charset w:val="86"/>
    <w:family w:val="modern"/>
    <w:pitch w:val="default"/>
    <w:sig w:usb0="800002BF" w:usb1="38CF7CFA" w:usb2="00000016" w:usb3="00000000" w:csb0="00040001" w:csb1="00000000"/>
    <w:embedRegular r:id="rId10" w:fontKey="{6DAD2DA2-71A0-4CC3-9C22-720E5F10444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16462E"/>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780A15"/>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7F4CDB"/>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3E73"/>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C5CA4"/>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22E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7066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B1CA0"/>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01569"/>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095B3F"/>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065F4"/>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B87C85"/>
    <w:rsid w:val="73C11347"/>
    <w:rsid w:val="73C21356"/>
    <w:rsid w:val="73C51A7E"/>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74A97"/>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9"/>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15031</Words>
  <Characters>16042</Characters>
  <Lines>0</Lines>
  <Paragraphs>0</Paragraphs>
  <TotalTime>56</TotalTime>
  <ScaleCrop>false</ScaleCrop>
  <LinksUpToDate>false</LinksUpToDate>
  <CharactersWithSpaces>16783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2025-06-23T07:47:36Z</cp:lastPrinted>
  <dcterms:modified xsi:type="dcterms:W3CDTF">2025-06-23T08:22:10Z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