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2025年砂、石、水泥集采项目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028号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eastAsia" w:ascii="Times New Roman" w:hAnsi="Times New Roman" w:eastAsia="楷体" w:cs="Times New Roman"/>
          <w:kern w:val="0"/>
          <w:sz w:val="32"/>
          <w:szCs w:val="32"/>
          <w:highlight w:val="none"/>
          <w:shd w:val="clear" w:color="auto" w:fill="auto"/>
          <w:lang w:val="en-US" w:eastAsia="zh-CN"/>
        </w:rPr>
        <w:t>亳州交控通路交通设施有限公司</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月20日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80EC9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96F237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bookmarkStart w:id="323" w:name="_GoBack"/>
      <w:r>
        <w:rPr>
          <w:rFonts w:hint="eastAsia" w:asciiTheme="majorEastAsia" w:hAnsiTheme="majorEastAsia" w:eastAsiaTheme="majorEastAsia" w:cstheme="majorEastAsia"/>
          <w:b/>
          <w:bCs/>
          <w:sz w:val="32"/>
          <w:szCs w:val="32"/>
          <w:highlight w:val="none"/>
          <w:lang w:val="en-US" w:eastAsia="zh-CN"/>
        </w:rPr>
        <w:t>2025年砂、石、水泥集采项目询比公告</w:t>
      </w:r>
    </w:p>
    <w:p w14:paraId="478ABC3E">
      <w:pPr>
        <w:pStyle w:val="2"/>
        <w:rPr>
          <w:rFonts w:hint="default"/>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2025年砂、石、水泥集采项目</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2025年砂、石、水泥集采项目</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BZJK-2025-</w:t>
      </w:r>
      <w:r>
        <w:rPr>
          <w:rFonts w:hint="eastAsia" w:asciiTheme="minorEastAsia" w:hAnsiTheme="minorEastAsia" w:cstheme="minorEastAsia"/>
          <w:sz w:val="28"/>
          <w:szCs w:val="28"/>
          <w:highlight w:val="none"/>
          <w:lang w:val="en-US" w:eastAsia="zh-CN"/>
        </w:rPr>
        <w:t>028</w:t>
      </w:r>
      <w:r>
        <w:rPr>
          <w:rFonts w:hint="eastAsia" w:asciiTheme="minorEastAsia" w:hAnsiTheme="minorEastAsia" w:eastAsiaTheme="minorEastAsia" w:cstheme="minorEastAsia"/>
          <w:sz w:val="28"/>
          <w:szCs w:val="28"/>
          <w:highlight w:val="none"/>
          <w:lang w:val="en-US" w:eastAsia="zh-CN"/>
        </w:rPr>
        <w:t>号</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亳州交控通路交通设施有限公司</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（不含税）</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以供货验收合格当月亳州市除税信息价为基数，按照附件采购清单进行换算，综合不含税下浮率合计不低于14%。</w:t>
      </w:r>
      <w:r>
        <w:rPr>
          <w:rFonts w:hint="eastAsia" w:asciiTheme="minorEastAsia" w:hAnsiTheme="minorEastAsia" w:eastAsiaTheme="minorEastAsia" w:cstheme="minorEastAsia"/>
          <w:sz w:val="28"/>
          <w:szCs w:val="28"/>
          <w:highlight w:val="none"/>
          <w:lang w:val="en-US" w:eastAsia="zh-CN"/>
        </w:rPr>
        <w:t>报价超出限价或为可能影响合同履约的异常低价的，按无效响应处理；报价应包括</w:t>
      </w:r>
      <w:r>
        <w:rPr>
          <w:rFonts w:hint="eastAsia" w:asciiTheme="minorEastAsia" w:hAnsiTheme="minorEastAsia" w:cstheme="minorEastAsia"/>
          <w:sz w:val="28"/>
          <w:szCs w:val="28"/>
          <w:highlight w:val="none"/>
          <w:lang w:val="en-US" w:eastAsia="zh-CN"/>
        </w:rPr>
        <w:t>除税金外</w:t>
      </w:r>
      <w:r>
        <w:rPr>
          <w:rFonts w:hint="eastAsia" w:asciiTheme="minorEastAsia" w:hAnsiTheme="minorEastAsia" w:eastAsiaTheme="minorEastAsia" w:cstheme="minorEastAsia"/>
          <w:sz w:val="28"/>
          <w:szCs w:val="28"/>
          <w:highlight w:val="none"/>
          <w:lang w:val="en-US" w:eastAsia="zh-CN"/>
        </w:rPr>
        <w:t>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采购范围是砂、石、水泥，</w:t>
      </w:r>
      <w:r>
        <w:rPr>
          <w:rFonts w:hint="eastAsia" w:asciiTheme="minorEastAsia" w:hAnsiTheme="minorEastAsia" w:cstheme="minorEastAsia"/>
          <w:sz w:val="28"/>
          <w:szCs w:val="28"/>
          <w:highlight w:val="none"/>
          <w:lang w:val="en-US" w:eastAsia="zh-CN"/>
        </w:rPr>
        <w:t>预估年采购金额约130万元，主要用于采购人亳州市内（不含三县）在建项目。</w:t>
      </w:r>
      <w:r>
        <w:rPr>
          <w:rFonts w:hint="eastAsia" w:asciiTheme="minorEastAsia" w:hAnsiTheme="minorEastAsia" w:eastAsiaTheme="minorEastAsia" w:cstheme="minorEastAsia"/>
          <w:sz w:val="28"/>
          <w:szCs w:val="28"/>
          <w:highlight w:val="none"/>
          <w:lang w:val="en-US" w:eastAsia="zh-CN"/>
        </w:rPr>
        <w:t>具体采购材料的技术参数详见</w:t>
      </w:r>
      <w:r>
        <w:rPr>
          <w:rFonts w:hint="eastAsia" w:asciiTheme="minorEastAsia" w:hAnsiTheme="minorEastAsia" w:cstheme="minorEastAsia"/>
          <w:sz w:val="28"/>
          <w:szCs w:val="28"/>
          <w:highlight w:val="none"/>
          <w:lang w:val="en-US" w:eastAsia="zh-CN"/>
        </w:rPr>
        <w:t>询比文件第五章采购需求</w:t>
      </w:r>
      <w:r>
        <w:rPr>
          <w:rFonts w:hint="eastAsia" w:asciiTheme="minorEastAsia" w:hAnsiTheme="minorEastAsia" w:eastAsiaTheme="minorEastAsia" w:cstheme="minorEastAsia"/>
          <w:sz w:val="28"/>
          <w:szCs w:val="28"/>
          <w:highlight w:val="none"/>
          <w:lang w:val="en-US" w:eastAsia="zh-CN"/>
        </w:rPr>
        <w:t>，采购材料的规格、型号、数量等要求以采购人订单通知为准，按实际合格供货量，分项目据实结算。</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供货期：合同签订后，自2025年7月22日至2026年7月22日止；交货期：自采购人发出交货指令之日起5天内完成供货。</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亳州市区内（不含三县），采购人指定地点。</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，符合询比文件第五章采购需求。</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3"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2</w:t>
      </w:r>
      <w:permEnd w:id="13"/>
      <w:r>
        <w:rPr>
          <w:rFonts w:hint="eastAsia" w:asciiTheme="minorEastAsia" w:hAnsiTheme="minorEastAsia" w:eastAsiaTheme="minorEastAsia" w:cstheme="minorEastAsia"/>
          <w:kern w:val="2"/>
          <w:sz w:val="28"/>
          <w:szCs w:val="28"/>
          <w:highlight w:val="none"/>
          <w:lang w:val="en-US" w:eastAsia="zh-CN"/>
        </w:rPr>
        <w:t>年至今企业类似项目业绩</w:t>
      </w:r>
      <w:permStart w:id="14" w:edGrp="everyone"/>
      <w:r>
        <w:rPr>
          <w:rFonts w:hint="eastAsia" w:asciiTheme="minorEastAsia" w:hAnsiTheme="minorEastAsia" w:eastAsiaTheme="minorEastAsia" w:cstheme="minorEastAsia"/>
          <w:kern w:val="2"/>
          <w:sz w:val="28"/>
          <w:szCs w:val="28"/>
          <w:highlight w:val="none"/>
          <w:u w:val="single"/>
          <w:lang w:val="en-US" w:eastAsia="zh-CN"/>
        </w:rPr>
        <w:t>1</w:t>
      </w:r>
      <w:permEnd w:id="14"/>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5" w:edGrp="everyone"/>
      <w:r>
        <w:rPr>
          <w:rFonts w:hint="eastAsia" w:asciiTheme="minorEastAsia" w:hAnsiTheme="minorEastAsia" w:eastAsiaTheme="minorEastAsia" w:cstheme="minorEastAsia"/>
          <w:kern w:val="2"/>
          <w:sz w:val="28"/>
          <w:szCs w:val="28"/>
          <w:highlight w:val="none"/>
          <w:lang w:val="en-US" w:eastAsia="zh-CN"/>
        </w:rPr>
        <w:t>合同签订时间</w:t>
      </w:r>
      <w:permEnd w:id="15"/>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kern w:val="2"/>
          <w:sz w:val="28"/>
          <w:szCs w:val="28"/>
          <w:highlight w:val="none"/>
          <w:u w:val="single"/>
          <w:lang w:val="en-US" w:eastAsia="zh-CN"/>
        </w:rPr>
        <w:t>单项合同金额不低于50万元的砂、石、水泥材料（业绩类别可以是以上任意单一材料或组合）供应业绩</w:t>
      </w:r>
      <w:r>
        <w:rPr>
          <w:rFonts w:hint="eastAsia" w:asciiTheme="minorEastAsia" w:hAnsiTheme="minorEastAsia" w:eastAsiaTheme="minorEastAsia" w:cstheme="minorEastAsia"/>
          <w:sz w:val="28"/>
          <w:szCs w:val="28"/>
          <w:highlight w:val="none"/>
          <w:lang w:val="en-US" w:eastAsia="zh-CN"/>
        </w:rPr>
        <w:t>；</w:t>
      </w:r>
    </w:p>
    <w:p w14:paraId="2DD013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6" w:edGrp="everyone"/>
      <w:r>
        <w:rPr>
          <w:rFonts w:hint="default" w:asciiTheme="minorEastAsia" w:hAnsiTheme="minorEastAsia" w:eastAsiaTheme="minorEastAsia" w:cstheme="minorEastAsia"/>
          <w:sz w:val="28"/>
          <w:szCs w:val="28"/>
          <w:highlight w:val="none"/>
          <w:lang w:val="en-US" w:eastAsia="zh-CN"/>
        </w:rPr>
        <w:t>提供业绩合同的复印件或扫描件装订入响应文件中</w:t>
      </w:r>
      <w:r>
        <w:rPr>
          <w:rFonts w:hint="eastAsia" w:asciiTheme="minorEastAsia" w:hAnsiTheme="minorEastAsia" w:cstheme="minorEastAsia"/>
          <w:sz w:val="28"/>
          <w:szCs w:val="28"/>
          <w:highlight w:val="none"/>
          <w:lang w:val="en-US" w:eastAsia="zh-CN"/>
        </w:rPr>
        <w:t>。</w:t>
      </w:r>
    </w:p>
    <w:permEnd w:id="16"/>
    <w:p w14:paraId="42BAFA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w:t>
      </w:r>
      <w:r>
        <w:rPr>
          <w:rFonts w:hint="eastAsia" w:asciiTheme="minorEastAsia" w:hAnsiTheme="minorEastAsia" w:eastAsiaTheme="minorEastAsia" w:cstheme="minorEastAsia"/>
          <w:sz w:val="28"/>
          <w:szCs w:val="28"/>
          <w:highlight w:val="none"/>
          <w:lang w:val="en-US" w:eastAsia="zh-CN"/>
        </w:rPr>
        <w:t>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5BDDA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2BEAF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FE2C0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8" w:edGrp="everyone"/>
      <w:r>
        <w:rPr>
          <w:rFonts w:hint="eastAsia" w:asciiTheme="minorEastAsia" w:hAnsiTheme="minorEastAsia" w:cstheme="minorEastAsia"/>
          <w:b/>
          <w:bCs/>
          <w:sz w:val="28"/>
          <w:szCs w:val="28"/>
          <w:highlight w:val="none"/>
          <w:lang w:val="en-US" w:eastAsia="zh-CN"/>
        </w:rPr>
        <w:t>2025年</w:t>
      </w:r>
      <w:r>
        <w:rPr>
          <w:rFonts w:hint="eastAsia" w:asciiTheme="minorEastAsia" w:hAnsiTheme="minorEastAsia" w:cstheme="minorEastAsia"/>
          <w:b/>
          <w:bCs/>
          <w:sz w:val="28"/>
          <w:szCs w:val="28"/>
          <w:highlight w:val="none"/>
          <w:u w:val="single"/>
          <w:lang w:val="en-US" w:eastAsia="zh-CN"/>
        </w:rPr>
        <w:t>6</w:t>
      </w:r>
      <w:r>
        <w:rPr>
          <w:rFonts w:hint="eastAsia" w:asciiTheme="minorEastAsia" w:hAnsiTheme="minorEastAsia" w:cstheme="minorEastAsia"/>
          <w:b/>
          <w:bCs/>
          <w:sz w:val="28"/>
          <w:szCs w:val="28"/>
          <w:highlight w:val="none"/>
          <w:lang w:val="en-US" w:eastAsia="zh-CN"/>
        </w:rPr>
        <w:t>月</w:t>
      </w:r>
      <w:r>
        <w:rPr>
          <w:rFonts w:hint="eastAsia" w:asciiTheme="minorEastAsia" w:hAnsiTheme="minorEastAsia" w:cstheme="minorEastAsia"/>
          <w:b/>
          <w:bCs/>
          <w:sz w:val="28"/>
          <w:szCs w:val="28"/>
          <w:highlight w:val="none"/>
          <w:u w:val="single"/>
          <w:lang w:val="en-US" w:eastAsia="zh-CN"/>
        </w:rPr>
        <w:t>27</w:t>
      </w:r>
      <w:r>
        <w:rPr>
          <w:rFonts w:hint="eastAsia" w:asciiTheme="minorEastAsia" w:hAnsiTheme="minorEastAsia" w:cstheme="minorEastAsia"/>
          <w:b/>
          <w:bCs/>
          <w:sz w:val="28"/>
          <w:szCs w:val="28"/>
          <w:highlight w:val="none"/>
          <w:lang w:val="en-US" w:eastAsia="zh-CN"/>
        </w:rPr>
        <w:t>日</w:t>
      </w:r>
      <w:r>
        <w:rPr>
          <w:rFonts w:hint="eastAsia" w:asciiTheme="minorEastAsia" w:hAnsiTheme="minorEastAsia" w:cstheme="minorEastAsia"/>
          <w:b/>
          <w:bCs/>
          <w:sz w:val="28"/>
          <w:szCs w:val="28"/>
          <w:highlight w:val="none"/>
          <w:u w:val="single"/>
          <w:lang w:val="en-US" w:eastAsia="zh-CN"/>
        </w:rPr>
        <w:t>15</w:t>
      </w:r>
      <w:r>
        <w:rPr>
          <w:rFonts w:hint="eastAsia" w:asciiTheme="minorEastAsia" w:hAnsiTheme="minorEastAsia" w:cstheme="minorEastAsia"/>
          <w:b/>
          <w:bCs/>
          <w:sz w:val="28"/>
          <w:szCs w:val="28"/>
          <w:highlight w:val="none"/>
          <w:lang w:val="en-US" w:eastAsia="zh-CN"/>
        </w:rPr>
        <w:t>时</w:t>
      </w:r>
      <w:r>
        <w:rPr>
          <w:rFonts w:hint="eastAsia" w:asciiTheme="minorEastAsia" w:hAnsiTheme="minorEastAsia" w:cstheme="minorEastAsia"/>
          <w:b/>
          <w:bCs/>
          <w:sz w:val="28"/>
          <w:szCs w:val="28"/>
          <w:highlight w:val="none"/>
          <w:u w:val="single"/>
          <w:lang w:val="en-US" w:eastAsia="zh-CN"/>
        </w:rPr>
        <w:t>00</w:t>
      </w:r>
      <w:r>
        <w:rPr>
          <w:rFonts w:hint="eastAsia" w:asciiTheme="minorEastAsia" w:hAnsiTheme="minorEastAsia" w:cstheme="minorEastAsia"/>
          <w:b/>
          <w:bCs/>
          <w:sz w:val="28"/>
          <w:szCs w:val="28"/>
          <w:highlight w:val="none"/>
          <w:lang w:val="en-US" w:eastAsia="zh-CN"/>
        </w:rPr>
        <w:t>分</w:t>
      </w:r>
      <w:permEnd w:id="18"/>
      <w:r>
        <w:rPr>
          <w:rFonts w:hint="eastAsia" w:asciiTheme="minorEastAsia" w:hAnsiTheme="minorEastAsia" w:cstheme="minorEastAsia"/>
          <w:sz w:val="28"/>
          <w:szCs w:val="28"/>
          <w:highlight w:val="none"/>
          <w:lang w:val="en-US" w:eastAsia="zh-CN"/>
        </w:rPr>
        <w:t>（北京时间）；</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cstheme="minorEastAsia"/>
          <w:b/>
          <w:bCs/>
          <w:color w:val="auto"/>
          <w:sz w:val="28"/>
          <w:szCs w:val="28"/>
          <w:highlight w:val="none"/>
          <w:u w:val="single"/>
          <w:lang w:val="en-US" w:eastAsia="zh-CN"/>
        </w:rPr>
        <w:t>安徽省亳州市谯城区经济技术开发区神农大道与酒城大道交叉口西北亳州高铁南站金融商务中心1楼开标室</w:t>
      </w:r>
      <w:r>
        <w:rPr>
          <w:rFonts w:hint="eastAsia" w:asciiTheme="minorEastAsia" w:hAnsiTheme="minorEastAsia" w:cstheme="minorEastAsia"/>
          <w:i w:val="0"/>
          <w:iCs w:val="0"/>
          <w:color w:val="auto"/>
          <w:sz w:val="28"/>
          <w:szCs w:val="28"/>
          <w:highlight w:val="none"/>
          <w:lang w:val="en-US" w:eastAsia="zh-CN"/>
        </w:rPr>
        <w:t>；</w:t>
      </w:r>
      <w:permEnd w:id="19"/>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0"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邮寄地址：安徽省亳州市谯城区经济技术开发区神农大道与酒城大道交叉口西北亳州高铁南站金融商务中心5楼514室；</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u w:val="single"/>
                <w:lang w:val="en-US" w:eastAsia="zh-CN"/>
              </w:rPr>
              <w:t>联系人：</w:t>
            </w:r>
            <w:r>
              <w:rPr>
                <w:rFonts w:hint="eastAsia" w:asciiTheme="minorEastAsia" w:hAnsiTheme="minorEastAsia" w:cstheme="minorEastAsia"/>
                <w:sz w:val="28"/>
                <w:szCs w:val="28"/>
                <w:highlight w:val="none"/>
                <w:u w:val="single"/>
                <w:lang w:val="en-US" w:eastAsia="zh-CN"/>
              </w:rPr>
              <w:t>田工、张工；</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u w:val="single"/>
                <w:lang w:val="en-US" w:eastAsia="zh-CN"/>
              </w:rPr>
              <w:t>联系</w:t>
            </w:r>
            <w:r>
              <w:rPr>
                <w:rFonts w:hint="eastAsia" w:asciiTheme="minorEastAsia" w:hAnsiTheme="minorEastAsia" w:eastAsiaTheme="minorEastAsia" w:cstheme="minorEastAsia"/>
                <w:sz w:val="28"/>
                <w:szCs w:val="28"/>
                <w:highlight w:val="none"/>
                <w:u w:val="single"/>
                <w:lang w:val="en-US" w:eastAsia="zh-CN"/>
              </w:rPr>
              <w:t>电话：0558-519</w:t>
            </w:r>
            <w:r>
              <w:rPr>
                <w:rFonts w:hint="eastAsia" w:asciiTheme="minorEastAsia" w:hAnsiTheme="minorEastAsia" w:cstheme="minorEastAsia"/>
                <w:sz w:val="28"/>
                <w:szCs w:val="28"/>
                <w:highlight w:val="none"/>
                <w:u w:val="single"/>
                <w:lang w:val="en-US" w:eastAsia="zh-CN"/>
              </w:rPr>
              <w:t>0035。</w:t>
            </w:r>
          </w:p>
        </w:tc>
      </w:tr>
      <w:permEnd w:id="20"/>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sz w:val="28"/>
          <w:szCs w:val="28"/>
          <w:highlight w:val="none"/>
          <w:u w:val="single"/>
          <w:lang w:val="en-US" w:eastAsia="zh-CN"/>
        </w:rPr>
        <w:t>26000元</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2"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亳州交控通路交通设施有限公司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2"/>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马经理 </w:t>
      </w:r>
      <w:permEnd w:id="23"/>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：15656885650</w:t>
      </w:r>
    </w:p>
    <w:p w14:paraId="17CADF5A">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址：亳州市谯城区经济技术开发区神农大道与酒城大道交叉口西北亳州高铁南站金融商务中心5楼514室</w:t>
      </w:r>
    </w:p>
    <w:p w14:paraId="2E1125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cstheme="minorEastAsia"/>
          <w:color w:val="FF0000"/>
          <w:sz w:val="28"/>
          <w:szCs w:val="28"/>
          <w:highlight w:val="none"/>
          <w:lang w:val="en-US" w:eastAsia="zh-CN"/>
        </w:rPr>
        <w:t>亳州交控通路交通设施有限公司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20</w:t>
      </w:r>
      <w:r>
        <w:rPr>
          <w:rFonts w:hint="eastAsia" w:asciiTheme="minorEastAsia" w:hAnsiTheme="minorEastAsia" w:eastAsiaTheme="minorEastAsia" w:cstheme="minorEastAsia"/>
          <w:color w:val="FF0000"/>
          <w:sz w:val="28"/>
          <w:szCs w:val="28"/>
          <w:highlight w:val="none"/>
          <w:lang w:val="en-US" w:eastAsia="zh-CN"/>
        </w:rPr>
        <w:t>日</w:t>
      </w:r>
      <w:permEnd w:id="24"/>
    </w:p>
    <w:bookmarkEnd w:id="323"/>
    <w:p w14:paraId="312370A9">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7"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6</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25</w:t>
            </w:r>
            <w:r>
              <w:rPr>
                <w:rFonts w:hint="eastAsia" w:ascii="Times New Roman" w:hAnsi="Times New Roman" w:cs="Times New Roman"/>
                <w:b/>
                <w:bCs/>
                <w:color w:val="FF0000"/>
                <w:szCs w:val="21"/>
                <w:highlight w:val="none"/>
                <w:u w:val="none"/>
                <w:lang w:val="en-US" w:eastAsia="zh-CN"/>
              </w:rPr>
              <w:t>日前</w:t>
            </w:r>
            <w:permEnd w:id="2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6805542B">
            <w:pPr>
              <w:autoSpaceDE w:val="0"/>
              <w:autoSpaceDN w:val="0"/>
              <w:adjustRightInd w:val="0"/>
              <w:snapToGrid w:val="0"/>
              <w:spacing w:line="440" w:lineRule="exact"/>
              <w:ind w:firstLine="310" w:firstLineChars="147"/>
              <w:jc w:val="left"/>
              <w:rPr>
                <w:rFonts w:hint="eastAsia" w:hAnsi="宋体"/>
                <w:b/>
                <w:bCs/>
                <w:color w:val="FF0000"/>
                <w:szCs w:val="21"/>
              </w:rPr>
            </w:pPr>
            <w:permStart w:id="30" w:edGrp="everyone"/>
            <w:r>
              <w:rPr>
                <w:rFonts w:hint="eastAsia" w:hAnsi="宋体"/>
                <w:b/>
                <w:bCs/>
                <w:color w:val="FF0000"/>
                <w:szCs w:val="21"/>
              </w:rPr>
              <w:t>不需要</w:t>
            </w:r>
            <w:r>
              <w:rPr>
                <w:rFonts w:hint="eastAsia" w:hAnsi="宋体"/>
                <w:b/>
                <w:bCs/>
                <w:color w:val="FF0000"/>
                <w:szCs w:val="21"/>
              </w:rPr>
              <w:sym w:font="Wingdings 2" w:char="00A3"/>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r>
              <w:rPr>
                <w:rFonts w:hint="eastAsia" w:hAnsi="宋体"/>
                <w:b/>
                <w:bCs/>
                <w:color w:val="FF0000"/>
                <w:szCs w:val="21"/>
              </w:rPr>
              <w:t xml:space="preserve">需 </w:t>
            </w:r>
            <w:r>
              <w:rPr>
                <w:rFonts w:hint="eastAsia" w:hAnsi="宋体"/>
                <w:b/>
                <w:bCs/>
                <w:color w:val="FF0000"/>
                <w:szCs w:val="21"/>
                <w:lang w:val="en-US" w:eastAsia="zh-CN"/>
              </w:rPr>
              <w:t xml:space="preserve"> </w:t>
            </w:r>
            <w:r>
              <w:rPr>
                <w:rFonts w:hint="eastAsia" w:hAnsi="宋体"/>
                <w:b/>
                <w:bCs/>
                <w:color w:val="FF0000"/>
                <w:szCs w:val="21"/>
              </w:rPr>
              <w:t>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0"/>
            <w:r>
              <w:rPr>
                <w:rFonts w:hint="default" w:ascii="Times New Roman" w:hAnsi="Times New Roman" w:cs="Times New Roman"/>
                <w:szCs w:val="21"/>
                <w:highlight w:val="none"/>
              </w:rPr>
              <w:t>的形式：</w:t>
            </w:r>
            <w:permStart w:id="31" w:edGrp="everyone"/>
            <w:r>
              <w:rPr>
                <w:rFonts w:hint="default" w:ascii="Times New Roman" w:hAnsi="Times New Roman" w:cs="Times New Roman"/>
                <w:b/>
                <w:bCs/>
                <w:color w:val="FF0000"/>
                <w:szCs w:val="21"/>
                <w:highlight w:val="none"/>
              </w:rPr>
              <w:t>银行汇款或转账</w:t>
            </w:r>
            <w:permEnd w:id="3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2" w:edGrp="everyone"/>
            <w:r>
              <w:rPr>
                <w:rFonts w:hint="eastAsia" w:ascii="Times New Roman" w:hAnsi="Times New Roman" w:cs="Times New Roman"/>
                <w:b/>
                <w:bCs/>
                <w:color w:val="FF0000"/>
                <w:szCs w:val="21"/>
                <w:highlight w:val="none"/>
                <w:u w:val="single"/>
                <w:lang w:val="en-US" w:eastAsia="zh-CN"/>
              </w:rPr>
              <w:t>26000元</w:t>
            </w:r>
            <w:permEnd w:id="3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1024CAC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b/>
                <w:bCs/>
                <w:color w:val="FF0000"/>
                <w:szCs w:val="21"/>
                <w:highlight w:val="none"/>
                <w:lang w:val="en-US" w:eastAsia="zh-CN"/>
              </w:rPr>
              <w:t>BZJK-2025-028号保证金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4"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34"/>
          </w:p>
          <w:p w14:paraId="35D63E0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color w:val="FF0000"/>
              </w:rPr>
              <w:t>提交电子版响应文件的形式：响应文件电子版指供应商现场递交响应文件正本的扫描件（PDF格式）。供应商应于响应文件开启现场递交U盘（随</w:t>
            </w:r>
            <w:r>
              <w:rPr>
                <w:rFonts w:hint="eastAsia"/>
                <w:color w:val="FF0000"/>
                <w:lang w:val="en-US" w:eastAsia="zh-CN"/>
              </w:rPr>
              <w:t>同</w:t>
            </w:r>
            <w:r>
              <w:rPr>
                <w:rFonts w:hint="eastAsia"/>
                <w:color w:val="FF0000"/>
              </w:rPr>
              <w:t>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安徽省亳州市谯城区经济技术开发区神农大道与酒城大道交叉口西北亳州高铁南站金融商务中心1楼开标室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采购人：亳州交控通路交通设施有限公司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2025年砂、石、水泥集采项目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028号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6</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b/>
                <w:bCs/>
                <w:color w:val="FF0000"/>
                <w:sz w:val="24"/>
                <w:szCs w:val="24"/>
                <w:highlight w:val="none"/>
                <w:lang w:val="en-US" w:eastAsia="zh-CN"/>
              </w:rPr>
              <w:sym w:font="Wingdings" w:char="00FE"/>
            </w:r>
            <w:r>
              <w:rPr>
                <w:rFonts w:hint="eastAsia" w:ascii="Times New Roman" w:hAnsi="Times New Roman" w:eastAsia="仿宋_GB2312" w:cs="Times New Roman"/>
                <w:b/>
                <w:bCs/>
                <w:color w:val="FF0000"/>
                <w:sz w:val="24"/>
                <w:szCs w:val="24"/>
                <w:highlight w:val="none"/>
                <w:lang w:val="en-US" w:eastAsia="zh-CN"/>
              </w:rPr>
              <w:t>不转换</w:t>
            </w:r>
            <w:r>
              <w:rPr>
                <w:rFonts w:hint="eastAsia" w:asciiTheme="minorEastAsia" w:hAnsiTheme="minorEastAsia" w:cstheme="minorEastAsia"/>
                <w:b/>
                <w:bCs/>
                <w:color w:val="FF0000"/>
                <w:szCs w:val="21"/>
                <w:highlight w:val="none"/>
                <w:lang w:val="en-US" w:eastAsia="zh-CN"/>
              </w:rPr>
              <w:t xml:space="preserve">   </w:t>
            </w:r>
            <w:r>
              <w:rPr>
                <w:rFonts w:hint="default" w:ascii="Times New Roman" w:hAnsi="Times New Roman" w:eastAsia="仿宋_GB2312" w:cs="Times New Roman"/>
                <w:b/>
                <w:bCs/>
                <w:color w:val="FF0000"/>
                <w:sz w:val="24"/>
                <w:szCs w:val="24"/>
                <w:highlight w:val="none"/>
                <w:lang w:val="en-US" w:eastAsia="zh-CN"/>
              </w:rPr>
              <w:sym w:font="Wingdings" w:char="00A8"/>
            </w:r>
            <w:r>
              <w:rPr>
                <w:rFonts w:hint="eastAsia" w:ascii="Times New Roman" w:hAnsi="Times New Roman" w:eastAsia="仿宋_GB2312" w:cs="Times New Roman"/>
                <w:b/>
                <w:bCs/>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B06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676C9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安徽省亳州市谯城区经济技术开发区神农大道与酒城大道交叉口西北亳州高铁南站金融商务中心5楼514室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3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7"/>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8"/>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9"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或开具银行保函</w:t>
            </w:r>
            <w:r>
              <w:rPr>
                <w:rFonts w:hint="default" w:ascii="Times New Roman" w:hAnsi="Times New Roman" w:cs="Times New Roman"/>
                <w:color w:val="FF0000"/>
                <w:szCs w:val="21"/>
                <w:highlight w:val="none"/>
              </w:rPr>
              <w:t>。采用银行保函形式的，有效期应不少于项目规定的</w:t>
            </w:r>
            <w:r>
              <w:rPr>
                <w:rFonts w:hint="eastAsia" w:ascii="Times New Roman" w:hAnsi="Times New Roman" w:cs="Times New Roman"/>
                <w:color w:val="FF0000"/>
                <w:szCs w:val="21"/>
                <w:highlight w:val="none"/>
                <w:lang w:val="en-US" w:eastAsia="zh-CN"/>
              </w:rPr>
              <w:t>供货期</w:t>
            </w:r>
            <w:r>
              <w:rPr>
                <w:rFonts w:hint="default" w:ascii="Times New Roman" w:hAnsi="Times New Roman" w:cs="Times New Roman"/>
                <w:color w:val="FF0000"/>
                <w:szCs w:val="21"/>
                <w:highlight w:val="none"/>
              </w:rPr>
              <w:t>，且须满足不可撤销的无条件见索即付条件。</w:t>
            </w:r>
          </w:p>
          <w:permEnd w:id="39"/>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0"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100000元</w:t>
            </w:r>
            <w:permEnd w:id="40"/>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供货期满后退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1"/>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7085692"/>
      <w:bookmarkStart w:id="1" w:name="_Toc179632549"/>
      <w:bookmarkStart w:id="2" w:name="_Toc152045532"/>
      <w:bookmarkStart w:id="3" w:name="_Toc152042308"/>
      <w:bookmarkStart w:id="4" w:name="_Toc246996178"/>
      <w:bookmarkStart w:id="5" w:name="_Toc246996921"/>
      <w:bookmarkStart w:id="6" w:name="_Toc144974500"/>
      <w:bookmarkStart w:id="7" w:name="_Toc296602423"/>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7085695"/>
      <w:bookmarkStart w:id="9" w:name="_Toc246996181"/>
      <w:bookmarkStart w:id="10" w:name="_Toc246996924"/>
      <w:bookmarkStart w:id="11" w:name="_Toc152042312"/>
      <w:bookmarkStart w:id="12" w:name="_Toc144974504"/>
      <w:bookmarkStart w:id="13" w:name="_Toc179632553"/>
      <w:bookmarkStart w:id="14" w:name="_Toc152045536"/>
      <w:bookmarkStart w:id="15" w:name="_Toc29660242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296602427"/>
      <w:bookmarkStart w:id="19" w:name="_Toc179632554"/>
      <w:bookmarkStart w:id="20" w:name="_Toc152045537"/>
      <w:bookmarkStart w:id="21" w:name="_Toc246996925"/>
      <w:bookmarkStart w:id="22" w:name="_Toc152042313"/>
      <w:bookmarkStart w:id="23" w:name="_Toc246996182"/>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183"/>
      <w:bookmarkStart w:id="25" w:name="_Toc246996926"/>
      <w:bookmarkStart w:id="26" w:name="_Toc152045538"/>
      <w:bookmarkStart w:id="27" w:name="_Toc144974506"/>
      <w:bookmarkStart w:id="28" w:name="_Toc247085697"/>
      <w:bookmarkStart w:id="29" w:name="_Toc179632555"/>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7085701"/>
      <w:bookmarkStart w:id="32" w:name="_Toc152045542"/>
      <w:bookmarkStart w:id="33" w:name="_Toc246996930"/>
      <w:bookmarkStart w:id="34" w:name="_Toc144974510"/>
      <w:bookmarkStart w:id="35" w:name="_Toc296602432"/>
      <w:bookmarkStart w:id="36" w:name="_Toc179632560"/>
      <w:bookmarkStart w:id="37" w:name="_Toc152042318"/>
      <w:bookmarkStart w:id="38" w:name="_Toc246996187"/>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931"/>
      <w:bookmarkStart w:id="40" w:name="_Toc296602433"/>
      <w:bookmarkStart w:id="41" w:name="_Toc152042319"/>
      <w:bookmarkStart w:id="42" w:name="_Toc246996188"/>
      <w:bookmarkStart w:id="43" w:name="_Toc247085702"/>
      <w:bookmarkStart w:id="44" w:name="_Toc152045543"/>
      <w:bookmarkStart w:id="45" w:name="_Toc179632561"/>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4"/>
      <w:bookmarkStart w:id="48" w:name="_Toc246996932"/>
      <w:bookmarkStart w:id="49" w:name="_Toc179632562"/>
      <w:bookmarkStart w:id="50" w:name="_Toc246996189"/>
      <w:bookmarkStart w:id="51" w:name="_Toc296602434"/>
      <w:bookmarkStart w:id="52" w:name="_Toc152042320"/>
      <w:bookmarkStart w:id="53" w:name="_Toc144974512"/>
      <w:bookmarkStart w:id="54" w:name="_Toc247085703"/>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5545"/>
      <w:bookmarkStart w:id="56" w:name="_Toc152042321"/>
      <w:bookmarkStart w:id="57" w:name="_Toc179632563"/>
      <w:bookmarkStart w:id="58" w:name="_Toc246996933"/>
      <w:bookmarkStart w:id="59" w:name="_Toc144974513"/>
      <w:bookmarkStart w:id="60" w:name="_Toc247085704"/>
      <w:bookmarkStart w:id="61" w:name="_Toc296602435"/>
      <w:bookmarkStart w:id="62" w:name="_Toc246996190"/>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eastAsia="zh-CN"/>
        </w:rPr>
      </w:pPr>
      <w:r>
        <w:rPr>
          <w:rFonts w:hint="eastAsia"/>
          <w:color w:val="auto"/>
          <w:lang w:val="en-US" w:eastAsia="zh-CN"/>
        </w:rPr>
        <w:t>7</w:t>
      </w:r>
      <w:r>
        <w:rPr>
          <w:rFonts w:hint="eastAsia"/>
          <w:color w:val="auto"/>
          <w:lang w:eastAsia="zh-CN"/>
        </w:rPr>
        <w:t>.1采购人或采购平台可以因任何原因，在</w:t>
      </w:r>
      <w:r>
        <w:rPr>
          <w:rFonts w:hint="eastAsia"/>
          <w:color w:val="auto"/>
          <w:lang w:val="en-US" w:eastAsia="zh-CN"/>
        </w:rPr>
        <w:t>响应文件递交</w:t>
      </w:r>
      <w:r>
        <w:rPr>
          <w:rFonts w:hint="eastAsia"/>
          <w:color w:val="auto"/>
          <w:lang w:eastAsia="zh-CN"/>
        </w:rPr>
        <w:t>截止期前对询比文件进行修改，并</w:t>
      </w:r>
      <w:r>
        <w:rPr>
          <w:rFonts w:hint="eastAsia"/>
          <w:color w:val="auto"/>
          <w:lang w:val="en-US" w:eastAsia="zh-CN"/>
        </w:rPr>
        <w:t>于平台发布澄清答疑公告，供应商应主动查询。采购人/采购平台不承担供应商未及时关注相关信息引发的相关责任</w:t>
      </w:r>
      <w:r>
        <w:rPr>
          <w:rFonts w:hint="eastAsia"/>
          <w:color w:val="auto"/>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eastAsia="zh-CN"/>
        </w:rPr>
      </w:pPr>
      <w:r>
        <w:rPr>
          <w:rFonts w:hint="eastAsia"/>
          <w:color w:val="auto"/>
          <w:lang w:val="en-US" w:eastAsia="zh-CN"/>
        </w:rPr>
        <w:t>7</w:t>
      </w:r>
      <w:r>
        <w:rPr>
          <w:rFonts w:hint="eastAsia"/>
          <w:color w:val="auto"/>
          <w:lang w:eastAsia="zh-CN"/>
        </w:rPr>
        <w:t>.2询比文件的修改内容将作为询比文件的组成部分，对供应商具有同样约束力。当询比文件的答疑、澄清、变更、通知或补充等在同一内容的表述上不一致时以最后发出的书面文件为准。供应商应主动查询。采购人/采购平台不承担供应商未及时关注相关信息引发的相关责任。</w:t>
      </w:r>
    </w:p>
    <w:p w14:paraId="54B7BF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color w:val="auto"/>
          <w:lang w:val="en-US" w:eastAsia="zh-CN"/>
        </w:rPr>
        <w:t>7</w:t>
      </w:r>
      <w:r>
        <w:rPr>
          <w:rFonts w:hint="eastAsia"/>
          <w:color w:val="auto"/>
          <w:lang w:eastAsia="zh-CN"/>
        </w:rPr>
        <w:t>.3询比文件的修改应考虑给予供应商合理的时间制作相应的响应文件。采购人/</w:t>
      </w:r>
      <w:r>
        <w:rPr>
          <w:rFonts w:hint="eastAsia"/>
          <w:color w:val="auto"/>
          <w:lang w:val="en-US" w:eastAsia="zh-CN"/>
        </w:rPr>
        <w:t>采购平台</w:t>
      </w:r>
      <w:r>
        <w:rPr>
          <w:rFonts w:hint="eastAsia"/>
          <w:color w:val="auto"/>
          <w:lang w:eastAsia="zh-CN"/>
        </w:rPr>
        <w:t>可酌情延长</w:t>
      </w:r>
      <w:r>
        <w:rPr>
          <w:rFonts w:hint="eastAsia"/>
          <w:color w:val="auto"/>
          <w:lang w:val="en-US" w:eastAsia="zh-CN"/>
        </w:rPr>
        <w:t>响应文件递交</w:t>
      </w:r>
      <w:r>
        <w:rPr>
          <w:rFonts w:hint="eastAsia"/>
          <w:color w:val="auto"/>
          <w:lang w:eastAsia="zh-CN"/>
        </w:rPr>
        <w:t>截止日期，</w:t>
      </w:r>
      <w:bookmarkStart w:id="63" w:name="_Toc246996191"/>
      <w:bookmarkStart w:id="64" w:name="_Toc152042322"/>
      <w:bookmarkStart w:id="65" w:name="_Toc247085705"/>
      <w:bookmarkStart w:id="66" w:name="_Toc296602436"/>
      <w:bookmarkStart w:id="67" w:name="_Toc152045546"/>
      <w:bookmarkStart w:id="68" w:name="_Toc246996934"/>
      <w:bookmarkStart w:id="69" w:name="_Toc179632564"/>
      <w:bookmarkStart w:id="70" w:name="_Toc144974514"/>
      <w:r>
        <w:rPr>
          <w:rFonts w:hint="eastAsia"/>
          <w:color w:val="auto"/>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6"/>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935"/>
      <w:bookmarkStart w:id="72" w:name="_Toc152042323"/>
      <w:bookmarkStart w:id="73" w:name="_Toc296602437"/>
      <w:bookmarkStart w:id="74" w:name="_Toc152045547"/>
      <w:bookmarkStart w:id="75" w:name="_Toc246996192"/>
      <w:bookmarkStart w:id="76" w:name="_Toc179632565"/>
      <w:bookmarkStart w:id="77" w:name="_Toc144974515"/>
      <w:bookmarkStart w:id="78"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lang w:val="en-US" w:eastAsia="zh-CN"/>
        </w:rPr>
        <w:t>虚报瞒报</w:t>
      </w:r>
      <w:r>
        <w:rPr>
          <w:rFonts w:hint="eastAsia"/>
        </w:rPr>
        <w:t>行为的</w:t>
      </w:r>
      <w:r>
        <w:rPr>
          <w:rFonts w:hint="eastAsia"/>
          <w:lang w:eastAsia="zh-CN"/>
        </w:rPr>
        <w:t>，</w:t>
      </w:r>
      <w:r>
        <w:rPr>
          <w:rFonts w:hint="eastAsia"/>
        </w:rPr>
        <w:t>视其</w:t>
      </w:r>
      <w:r>
        <w:rPr>
          <w:rFonts w:hint="eastAsia"/>
          <w:lang w:eastAsia="zh-CN"/>
        </w:rPr>
        <w:t>响</w:t>
      </w:r>
      <w:r>
        <w:rPr>
          <w:rFonts w:hint="eastAsia"/>
          <w:color w:val="auto"/>
          <w:lang w:eastAsia="zh-CN"/>
        </w:rPr>
        <w:t>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6"/>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246996193"/>
      <w:bookmarkStart w:id="81" w:name="_Toc247085707"/>
      <w:bookmarkStart w:id="82" w:name="_Toc152042324"/>
      <w:bookmarkStart w:id="83" w:name="_Toc179632566"/>
      <w:bookmarkStart w:id="84" w:name="_Toc296602438"/>
      <w:bookmarkStart w:id="85" w:name="_Toc144974516"/>
      <w:bookmarkStart w:id="86" w:name="_Toc24699693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79632567"/>
      <w:bookmarkStart w:id="89" w:name="_Toc152045549"/>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7085708"/>
      <w:bookmarkStart w:id="93" w:name="_Toc246996194"/>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43"/>
      <w:bookmarkStart w:id="96" w:name="_Toc246996199"/>
      <w:bookmarkStart w:id="97" w:name="_Toc144974523"/>
      <w:bookmarkStart w:id="98" w:name="_Toc246996942"/>
      <w:bookmarkStart w:id="99" w:name="_Toc152045555"/>
      <w:bookmarkStart w:id="100" w:name="_Toc179632573"/>
      <w:bookmarkStart w:id="101" w:name="_Toc152042331"/>
      <w:bookmarkStart w:id="102" w:name="_Toc24708571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14"/>
      <w:bookmarkStart w:id="104" w:name="_Toc246996943"/>
      <w:bookmarkStart w:id="105" w:name="_Toc179632574"/>
      <w:bookmarkStart w:id="106" w:name="_Toc152042332"/>
      <w:bookmarkStart w:id="107" w:name="_Toc296602444"/>
      <w:bookmarkStart w:id="108" w:name="_Toc152045556"/>
      <w:bookmarkStart w:id="109" w:name="_Toc246996200"/>
      <w:bookmarkStart w:id="110" w:name="_Toc14497452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179632575"/>
      <w:bookmarkStart w:id="113" w:name="_Toc247085715"/>
      <w:bookmarkStart w:id="114" w:name="_Toc144974525"/>
      <w:bookmarkStart w:id="115" w:name="_Toc152042333"/>
      <w:bookmarkStart w:id="116" w:name="_Toc152045557"/>
      <w:bookmarkStart w:id="117"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152045558"/>
      <w:bookmarkStart w:id="120" w:name="_Toc144974526"/>
      <w:bookmarkStart w:id="121" w:name="_Toc247085716"/>
      <w:bookmarkStart w:id="122" w:name="_Toc246996202"/>
      <w:bookmarkStart w:id="123" w:name="_Toc152042334"/>
      <w:bookmarkStart w:id="124" w:name="_Toc296602446"/>
      <w:bookmarkStart w:id="125" w:name="_Toc246996945"/>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2335"/>
      <w:bookmarkStart w:id="127" w:name="_Toc246996203"/>
      <w:bookmarkStart w:id="128" w:name="_Toc246996946"/>
      <w:bookmarkStart w:id="129" w:name="_Toc152045559"/>
      <w:bookmarkStart w:id="130" w:name="_Toc247085717"/>
      <w:bookmarkStart w:id="131" w:name="_Toc144974527"/>
      <w:bookmarkStart w:id="132" w:name="_Toc296602447"/>
      <w:bookmarkStart w:id="133" w:name="_Toc17963257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8"/>
      <w:bookmarkStart w:id="135" w:name="_Toc144974528"/>
      <w:bookmarkStart w:id="136" w:name="_Toc246996947"/>
      <w:bookmarkStart w:id="137" w:name="_Toc152042336"/>
      <w:bookmarkStart w:id="138" w:name="_Toc152045560"/>
      <w:bookmarkStart w:id="139" w:name="_Toc246996204"/>
      <w:bookmarkStart w:id="140" w:name="_Toc179632578"/>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205"/>
      <w:bookmarkStart w:id="143" w:name="_Toc144974529"/>
      <w:bookmarkStart w:id="144" w:name="_Toc296602449"/>
      <w:bookmarkStart w:id="145" w:name="_Toc179632579"/>
      <w:bookmarkStart w:id="146" w:name="_Toc246996948"/>
      <w:bookmarkStart w:id="147" w:name="_Toc152042337"/>
      <w:bookmarkStart w:id="148" w:name="_Toc152045561"/>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246996950"/>
      <w:bookmarkStart w:id="152" w:name="_Toc296602452"/>
      <w:bookmarkStart w:id="153" w:name="_Toc152045563"/>
      <w:bookmarkStart w:id="154" w:name="_Toc247085721"/>
      <w:bookmarkStart w:id="155" w:name="_Toc152042339"/>
      <w:bookmarkStart w:id="156" w:name="_Toc246996207"/>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07F8DE2F">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5"/>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96602455"/>
      <w:bookmarkStart w:id="159" w:name="_Toc152042342"/>
      <w:bookmarkStart w:id="160" w:name="_Toc246996953"/>
      <w:bookmarkStart w:id="161" w:name="_Toc144974534"/>
      <w:bookmarkStart w:id="162" w:name="_Toc179632584"/>
      <w:bookmarkStart w:id="163" w:name="_Toc247085724"/>
      <w:bookmarkStart w:id="164" w:name="_Toc152045566"/>
      <w:bookmarkStart w:id="165" w:name="_Toc246996210"/>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5"/>
      <w:bookmarkStart w:id="167" w:name="_Toc247085725"/>
      <w:bookmarkStart w:id="168" w:name="_Toc246996211"/>
      <w:bookmarkStart w:id="169" w:name="_Toc152042343"/>
      <w:bookmarkStart w:id="170" w:name="_Toc246996954"/>
      <w:bookmarkStart w:id="171" w:name="_Toc144974535"/>
      <w:bookmarkStart w:id="172" w:name="_Toc152045567"/>
      <w:bookmarkStart w:id="173" w:name="_Toc296602456"/>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44974536"/>
      <w:bookmarkStart w:id="176" w:name="_Toc246996212"/>
      <w:bookmarkStart w:id="177" w:name="_Toc296602458"/>
      <w:bookmarkStart w:id="178" w:name="_Toc152042344"/>
      <w:bookmarkStart w:id="179" w:name="_Toc246996955"/>
      <w:bookmarkStart w:id="180" w:name="_Toc247085726"/>
      <w:bookmarkStart w:id="181" w:name="_Toc179632586"/>
      <w:bookmarkStart w:id="182" w:name="_Toc15204556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44974537"/>
      <w:bookmarkStart w:id="184" w:name="_Toc152042345"/>
      <w:bookmarkStart w:id="185" w:name="_Toc246996956"/>
      <w:bookmarkStart w:id="186" w:name="_Toc179632587"/>
      <w:bookmarkStart w:id="187" w:name="_Toc247085727"/>
      <w:bookmarkStart w:id="188" w:name="_Toc152045569"/>
      <w:bookmarkStart w:id="189" w:name="_Toc246996213"/>
      <w:bookmarkStart w:id="190" w:name="_Toc29660245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5"/>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144974543"/>
      <w:bookmarkStart w:id="194" w:name="_Toc246996962"/>
      <w:bookmarkStart w:id="195" w:name="_Toc152045575"/>
      <w:bookmarkStart w:id="196" w:name="_Toc296590983"/>
      <w:bookmarkStart w:id="197" w:name="_Toc296602462"/>
      <w:bookmarkStart w:id="198" w:name="_Toc246996219"/>
      <w:bookmarkStart w:id="199" w:name="_Toc247085733"/>
      <w:bookmarkStart w:id="200" w:name="_Toc17963259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5"/>
        <w:bidi w:val="0"/>
        <w:rPr>
          <w:rFonts w:hint="eastAsia" w:eastAsia="黑体"/>
          <w:lang w:eastAsia="zh-CN"/>
        </w:rPr>
      </w:pPr>
      <w:bookmarkStart w:id="201" w:name="_Toc247085734"/>
      <w:bookmarkStart w:id="202" w:name="_Toc246996220"/>
      <w:bookmarkStart w:id="203" w:name="_Toc296602463"/>
      <w:bookmarkStart w:id="204" w:name="_Toc152045576"/>
      <w:bookmarkStart w:id="205" w:name="_Toc246996963"/>
      <w:bookmarkStart w:id="206" w:name="_Toc179632594"/>
      <w:bookmarkStart w:id="207" w:name="_Toc152042352"/>
      <w:bookmarkStart w:id="208" w:name="_Toc14497454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2353"/>
      <w:bookmarkStart w:id="210" w:name="_Toc246996964"/>
      <w:bookmarkStart w:id="211" w:name="_Toc296602464"/>
      <w:bookmarkStart w:id="212" w:name="_Toc144974545"/>
      <w:bookmarkStart w:id="213" w:name="_Toc152045577"/>
      <w:bookmarkStart w:id="214" w:name="_Toc247085735"/>
      <w:bookmarkStart w:id="215" w:name="_Toc179632595"/>
      <w:bookmarkStart w:id="216" w:name="_Toc246996221"/>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2" w:edGrp="everyone"/>
      <w:r>
        <w:rPr>
          <w:rFonts w:hint="eastAsia" w:ascii="宋体" w:hAnsi="宋体"/>
          <w:color w:val="FF0000"/>
          <w:sz w:val="24"/>
          <w:lang w:val="en-US" w:eastAsia="zh-CN"/>
        </w:rPr>
        <w:t>最低评审价法</w:t>
      </w:r>
      <w:permEnd w:id="42"/>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46704D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937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5589"/>
            <w:bookmarkStart w:id="218" w:name="_Toc296602477"/>
            <w:bookmarkStart w:id="219" w:name="_Toc179632607"/>
            <w:bookmarkStart w:id="220" w:name="_Toc144974556"/>
            <w:bookmarkStart w:id="221" w:name="_Toc247085747"/>
            <w:bookmarkStart w:id="222" w:name="_Toc246996975"/>
            <w:bookmarkStart w:id="223" w:name="_Toc246996232"/>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2B04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769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4E18F5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31AA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119E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D014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454ED8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2A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97BF4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2A0B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989F3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60E4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FBD9E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8BA6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44CE6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9A4F7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B20F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5C97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36AAEC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A9739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410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8FE2D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AD4A9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3D21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73C2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B5527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8F1F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0A19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D2E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B68C5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6228FC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5D5E0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16FE60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808EA2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56F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F27C7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936E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35DF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4BB3EE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C20F5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7AB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604E8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894F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81469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02033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0842E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5965C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75DF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B800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2AAE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7085751"/>
      <w:bookmarkStart w:id="226" w:name="_Toc179632611"/>
      <w:bookmarkStart w:id="227" w:name="_Toc246996979"/>
      <w:bookmarkStart w:id="228" w:name="_Toc246996236"/>
      <w:bookmarkStart w:id="229" w:name="_Toc152042370"/>
      <w:bookmarkStart w:id="230" w:name="_Toc152045593"/>
      <w:bookmarkStart w:id="231" w:name="_Toc296602481"/>
      <w:bookmarkStart w:id="232" w:name="_Toc14497456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247085754"/>
      <w:bookmarkStart w:id="236" w:name="_Toc179632614"/>
      <w:bookmarkStart w:id="237" w:name="_Toc152042373"/>
      <w:bookmarkStart w:id="238" w:name="_Toc296602484"/>
      <w:bookmarkStart w:id="239" w:name="_Toc246996982"/>
      <w:bookmarkStart w:id="240"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3" w:edGrp="everyone"/>
            <w:r>
              <w:rPr>
                <w:rFonts w:hint="eastAsia" w:ascii="Times New Roman" w:hAnsi="Times New Roman" w:cs="Times New Roman"/>
                <w:kern w:val="0"/>
                <w:sz w:val="24"/>
                <w:szCs w:val="24"/>
                <w:highlight w:val="none"/>
                <w:shd w:val="clear" w:color="auto" w:fill="auto"/>
                <w:vertAlign w:val="baseline"/>
                <w:lang w:val="en-US" w:eastAsia="zh-CN"/>
              </w:rPr>
              <w:t>亳州交控通路交通设施有限公司</w:t>
            </w:r>
            <w:permEnd w:id="43"/>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70DD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工程形象进度，采购人次月向成交人支付上月经采购人验收合格货物价款的80%，单个项目供货完成并经采购人验收合格后，付至该项目实际验收合格货物价款的97%，余款3%为质保金，质保金自供货期满且全部项目供货完成后无质量问题（或质量问题已解决）1年内无息付清。</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FCC38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1.违约行为处理方式</w:t>
      </w:r>
    </w:p>
    <w:tbl>
      <w:tblPr>
        <w:tblStyle w:val="19"/>
        <w:tblW w:w="0" w:type="auto"/>
        <w:tblInd w:w="-1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3921"/>
        <w:gridCol w:w="4123"/>
      </w:tblGrid>
      <w:tr w14:paraId="4B216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03DD78F7">
            <w:pPr>
              <w:pStyle w:val="2"/>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序号</w:t>
            </w:r>
          </w:p>
        </w:tc>
        <w:tc>
          <w:tcPr>
            <w:tcW w:w="0" w:type="auto"/>
            <w:vAlign w:val="center"/>
          </w:tcPr>
          <w:p w14:paraId="1C51F7EF">
            <w:pPr>
              <w:pStyle w:val="2"/>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违约行为</w:t>
            </w:r>
          </w:p>
        </w:tc>
        <w:tc>
          <w:tcPr>
            <w:tcW w:w="0" w:type="auto"/>
            <w:vAlign w:val="center"/>
          </w:tcPr>
          <w:p w14:paraId="2033ED47">
            <w:pPr>
              <w:pStyle w:val="2"/>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处理方式</w:t>
            </w:r>
          </w:p>
        </w:tc>
      </w:tr>
      <w:tr w14:paraId="71397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2F9E464E">
            <w:pPr>
              <w:pStyle w:val="2"/>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1</w:t>
            </w:r>
          </w:p>
        </w:tc>
        <w:tc>
          <w:tcPr>
            <w:tcW w:w="0" w:type="auto"/>
            <w:vAlign w:val="center"/>
          </w:tcPr>
          <w:p w14:paraId="39FA9D0A">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如因供应商原因，造成供货产品质量不合格、未按合同约定或规范标准供货的</w:t>
            </w:r>
          </w:p>
        </w:tc>
        <w:tc>
          <w:tcPr>
            <w:tcW w:w="0" w:type="auto"/>
            <w:vAlign w:val="center"/>
          </w:tcPr>
          <w:p w14:paraId="06531F4B">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cs="宋体"/>
                <w:kern w:val="2"/>
                <w:sz w:val="21"/>
                <w:szCs w:val="21"/>
                <w:u w:val="none"/>
                <w:lang w:val="en-US" w:eastAsia="zh-CN"/>
              </w:rPr>
              <w:t>1.</w:t>
            </w:r>
            <w:r>
              <w:rPr>
                <w:rFonts w:hint="eastAsia" w:ascii="宋体" w:hAnsi="宋体" w:eastAsia="宋体" w:cs="宋体"/>
                <w:kern w:val="2"/>
                <w:sz w:val="21"/>
                <w:szCs w:val="21"/>
                <w:u w:val="none"/>
                <w:lang w:val="en-US" w:eastAsia="zh-CN"/>
              </w:rPr>
              <w:t>采购人有权予以拒收，供应商应对质量不合格的产品实行包退、包换。</w:t>
            </w:r>
          </w:p>
          <w:p w14:paraId="42F5B4B6">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cs="宋体"/>
                <w:kern w:val="2"/>
                <w:sz w:val="21"/>
                <w:szCs w:val="21"/>
                <w:u w:val="none"/>
                <w:lang w:val="en-US" w:eastAsia="zh-CN"/>
              </w:rPr>
              <w:t>2.</w:t>
            </w:r>
            <w:r>
              <w:rPr>
                <w:rFonts w:hint="eastAsia" w:ascii="宋体" w:hAnsi="宋体" w:eastAsia="宋体" w:cs="宋体"/>
                <w:kern w:val="2"/>
                <w:sz w:val="21"/>
                <w:szCs w:val="21"/>
                <w:u w:val="none"/>
                <w:lang w:val="en-US" w:eastAsia="zh-CN"/>
              </w:rPr>
              <w:t>若因供应商供应产品的质量问题（以次充好或偷工减料）所造成的工程安全事故或延期交货，供应商应承担所有经济赔偿和法律责任。</w:t>
            </w:r>
          </w:p>
          <w:p w14:paraId="47C34C03">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cs="宋体"/>
                <w:kern w:val="2"/>
                <w:sz w:val="21"/>
                <w:szCs w:val="21"/>
                <w:u w:val="none"/>
                <w:lang w:val="en-US" w:eastAsia="zh-CN"/>
              </w:rPr>
              <w:t>3.</w:t>
            </w:r>
            <w:r>
              <w:rPr>
                <w:rFonts w:hint="eastAsia" w:ascii="宋体" w:hAnsi="宋体" w:eastAsia="宋体" w:cs="宋体"/>
                <w:kern w:val="2"/>
                <w:sz w:val="21"/>
                <w:szCs w:val="21"/>
                <w:u w:val="none"/>
                <w:lang w:val="en-US" w:eastAsia="zh-CN"/>
              </w:rPr>
              <w:t>情况严重的，采购人有权单方面解除合同，并没收供应商全部履约保证金。</w:t>
            </w:r>
          </w:p>
        </w:tc>
      </w:tr>
      <w:tr w14:paraId="66CC7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43291BD7">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2</w:t>
            </w:r>
          </w:p>
        </w:tc>
        <w:tc>
          <w:tcPr>
            <w:tcW w:w="0" w:type="auto"/>
            <w:vAlign w:val="center"/>
          </w:tcPr>
          <w:p w14:paraId="6777F69A">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3次以内（不含3次），因供应商原因未能按期供货，造成项目工期延误给采购人造成损失的</w:t>
            </w:r>
          </w:p>
        </w:tc>
        <w:tc>
          <w:tcPr>
            <w:tcW w:w="0" w:type="auto"/>
            <w:vAlign w:val="center"/>
          </w:tcPr>
          <w:p w14:paraId="5A3BAE40">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供应商应据实承担所有经济赔偿和法律责任，误期赔偿费按照1000元/天计算（特殊加工定制的材料除外），并承担采购人因此所受的损失费用。</w:t>
            </w:r>
          </w:p>
        </w:tc>
      </w:tr>
      <w:tr w14:paraId="71767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5CBA8A43">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3</w:t>
            </w:r>
          </w:p>
        </w:tc>
        <w:tc>
          <w:tcPr>
            <w:tcW w:w="0" w:type="auto"/>
            <w:vAlign w:val="center"/>
          </w:tcPr>
          <w:p w14:paraId="1283D640">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因供应商原因未能按期供货，逾期超过5天的</w:t>
            </w:r>
          </w:p>
        </w:tc>
        <w:tc>
          <w:tcPr>
            <w:tcW w:w="0" w:type="auto"/>
            <w:vAlign w:val="center"/>
          </w:tcPr>
          <w:p w14:paraId="62F0AD0F">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采购人有权解除合同，供应商需承担逾期交货部分货款15%的违约金</w:t>
            </w:r>
          </w:p>
        </w:tc>
      </w:tr>
      <w:tr w14:paraId="13983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580025DA">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4</w:t>
            </w:r>
          </w:p>
        </w:tc>
        <w:tc>
          <w:tcPr>
            <w:tcW w:w="0" w:type="auto"/>
            <w:vAlign w:val="center"/>
          </w:tcPr>
          <w:p w14:paraId="68B2A67A">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3次及以上供货时间严重超出合同约定或订单通知时限要求的</w:t>
            </w:r>
          </w:p>
        </w:tc>
        <w:tc>
          <w:tcPr>
            <w:tcW w:w="0" w:type="auto"/>
            <w:vAlign w:val="center"/>
          </w:tcPr>
          <w:p w14:paraId="6609F0A8">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采购人有权单方面解除合同，并没收其全部履约保证金。</w:t>
            </w:r>
          </w:p>
        </w:tc>
      </w:tr>
      <w:tr w14:paraId="6B797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17D2A0BD">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5</w:t>
            </w:r>
          </w:p>
        </w:tc>
        <w:tc>
          <w:tcPr>
            <w:tcW w:w="0" w:type="auto"/>
            <w:vAlign w:val="center"/>
          </w:tcPr>
          <w:p w14:paraId="0874D329">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3次以内（不含3次）虚报供应产品数量或价格的</w:t>
            </w:r>
          </w:p>
        </w:tc>
        <w:tc>
          <w:tcPr>
            <w:tcW w:w="0" w:type="auto"/>
            <w:vAlign w:val="center"/>
          </w:tcPr>
          <w:p w14:paraId="0CDCABA0">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采购人有权扣除履约保证金的10%每次作为违约金</w:t>
            </w:r>
          </w:p>
        </w:tc>
      </w:tr>
      <w:tr w14:paraId="3DA2E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2C3A9CDA">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6</w:t>
            </w:r>
          </w:p>
        </w:tc>
        <w:tc>
          <w:tcPr>
            <w:tcW w:w="0" w:type="auto"/>
            <w:vAlign w:val="center"/>
          </w:tcPr>
          <w:p w14:paraId="1CD5D354">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3次及以上虚报供货产品数量或价格的</w:t>
            </w:r>
          </w:p>
        </w:tc>
        <w:tc>
          <w:tcPr>
            <w:tcW w:w="0" w:type="auto"/>
            <w:vAlign w:val="center"/>
          </w:tcPr>
          <w:p w14:paraId="0F0AB916">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采购人有权单方面解除合同，并没收其全部履约保证金。</w:t>
            </w:r>
          </w:p>
        </w:tc>
      </w:tr>
      <w:tr w14:paraId="7602A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5D72AAEC">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7</w:t>
            </w:r>
          </w:p>
        </w:tc>
        <w:tc>
          <w:tcPr>
            <w:tcW w:w="0" w:type="auto"/>
            <w:vAlign w:val="center"/>
          </w:tcPr>
          <w:p w14:paraId="783EA7E5">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供应商工作人员在采购人施工现场造成本人或者第三人人身、财产损失供应商工作人员在采购人施工现场造成本人或者第三人人身、财产损失</w:t>
            </w:r>
          </w:p>
        </w:tc>
        <w:tc>
          <w:tcPr>
            <w:tcW w:w="0" w:type="auto"/>
            <w:vAlign w:val="center"/>
          </w:tcPr>
          <w:p w14:paraId="57063076">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供应商应自行承担责任，若因此导致采购人担责，采购人有权对供应商追偿供应商应自行承担责任，若因此导致采购人担责，采购人有权对供应商追偿</w:t>
            </w:r>
          </w:p>
        </w:tc>
      </w:tr>
      <w:tr w14:paraId="3FA4C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5E4AF988">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8</w:t>
            </w:r>
          </w:p>
        </w:tc>
        <w:tc>
          <w:tcPr>
            <w:tcW w:w="0" w:type="auto"/>
            <w:vAlign w:val="center"/>
          </w:tcPr>
          <w:p w14:paraId="0AE20610">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其他严重损害采购人利益的行为</w:t>
            </w:r>
          </w:p>
        </w:tc>
        <w:tc>
          <w:tcPr>
            <w:tcW w:w="0" w:type="auto"/>
            <w:vAlign w:val="center"/>
          </w:tcPr>
          <w:p w14:paraId="1A3FA8EC">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采购人有权单方面解除合同，并没收其全部履约保证金。</w:t>
            </w:r>
          </w:p>
        </w:tc>
      </w:tr>
    </w:tbl>
    <w:p w14:paraId="4083E3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供应商</w:t>
      </w:r>
      <w:r>
        <w:rPr>
          <w:rFonts w:hint="eastAsia" w:ascii="Times New Roman" w:hAnsi="Times New Roman" w:cs="Times New Roman" w:eastAsiaTheme="minorEastAsia"/>
          <w:kern w:val="0"/>
          <w:sz w:val="24"/>
          <w:szCs w:val="24"/>
          <w:highlight w:val="none"/>
          <w:lang w:val="en-US" w:eastAsia="zh-CN"/>
        </w:rPr>
        <w:t>对供应产品应以国家或行业标准配送，不得以次充好，不得偷工减料。</w:t>
      </w:r>
    </w:p>
    <w:p w14:paraId="0EECC3F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3.采购人对供应产品具有自主选择权，实际供应产品的数量、规格、型号等均以采购人订单通知为准。</w:t>
      </w:r>
    </w:p>
    <w:p w14:paraId="748D72E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4.对于采购人以书面或电话形式提出的质量、服务等问题，</w:t>
      </w:r>
      <w:r>
        <w:rPr>
          <w:rFonts w:hint="eastAsia" w:ascii="Times New Roman" w:hAnsi="Times New Roman" w:cs="Times New Roman"/>
          <w:kern w:val="0"/>
          <w:sz w:val="24"/>
          <w:szCs w:val="24"/>
          <w:highlight w:val="none"/>
          <w:lang w:val="en-US" w:eastAsia="zh-CN"/>
        </w:rPr>
        <w:t>供应商</w:t>
      </w:r>
      <w:r>
        <w:rPr>
          <w:rFonts w:hint="eastAsia" w:ascii="Times New Roman" w:hAnsi="Times New Roman" w:cs="Times New Roman" w:eastAsiaTheme="minorEastAsia"/>
          <w:kern w:val="0"/>
          <w:sz w:val="24"/>
          <w:szCs w:val="24"/>
          <w:highlight w:val="none"/>
          <w:lang w:val="en-US" w:eastAsia="zh-CN"/>
        </w:rPr>
        <w:t>应于24 小时内予以答复响应。</w:t>
      </w:r>
    </w:p>
    <w:p w14:paraId="3003DC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5.由</w:t>
      </w:r>
      <w:r>
        <w:rPr>
          <w:rFonts w:hint="eastAsia" w:ascii="Times New Roman" w:hAnsi="Times New Roman" w:cs="Times New Roman"/>
          <w:kern w:val="0"/>
          <w:sz w:val="24"/>
          <w:szCs w:val="24"/>
          <w:highlight w:val="none"/>
          <w:lang w:val="en-US" w:eastAsia="zh-CN"/>
        </w:rPr>
        <w:t>供应商</w:t>
      </w:r>
      <w:r>
        <w:rPr>
          <w:rFonts w:hint="eastAsia" w:ascii="Times New Roman" w:hAnsi="Times New Roman" w:cs="Times New Roman" w:eastAsiaTheme="minorEastAsia"/>
          <w:kern w:val="0"/>
          <w:sz w:val="24"/>
          <w:szCs w:val="24"/>
          <w:highlight w:val="none"/>
          <w:lang w:val="en-US" w:eastAsia="zh-CN"/>
        </w:rPr>
        <w:t>负责货物的装车运输，并运至指定地点，到工地后由</w:t>
      </w:r>
      <w:r>
        <w:rPr>
          <w:rFonts w:hint="eastAsia" w:ascii="Times New Roman" w:hAnsi="Times New Roman" w:cs="Times New Roman"/>
          <w:kern w:val="0"/>
          <w:sz w:val="24"/>
          <w:szCs w:val="24"/>
          <w:highlight w:val="none"/>
          <w:lang w:val="en-US" w:eastAsia="zh-CN"/>
        </w:rPr>
        <w:t>供应商</w:t>
      </w:r>
      <w:r>
        <w:rPr>
          <w:rFonts w:hint="eastAsia" w:ascii="Times New Roman" w:hAnsi="Times New Roman" w:cs="Times New Roman" w:eastAsiaTheme="minorEastAsia"/>
          <w:kern w:val="0"/>
          <w:sz w:val="24"/>
          <w:szCs w:val="24"/>
          <w:highlight w:val="none"/>
          <w:lang w:val="en-US" w:eastAsia="zh-CN"/>
        </w:rPr>
        <w:t>负责卸货。货物到达指定地点后，由采购人派收货员对货物的数量进行验收，并在送货单据上签字确认。</w:t>
      </w:r>
    </w:p>
    <w:p w14:paraId="676588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6.技术参数要求：</w:t>
      </w:r>
    </w:p>
    <w:p w14:paraId="63F306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（1）砂：细度模数（2.2-1.6 GB/T14684，3.7-2.3GB/T14684），颗粒级配区以实际需求为准，含泥量小于 3%，泥块含量小于 1%，松散堆积密度大于1350kg/m³,砂中不得有带根、树叶、树枝、煤块、炉渣及弱软颗粒等杂物，具体规格型号以使用需求为准；</w:t>
      </w:r>
    </w:p>
    <w:p w14:paraId="159AF6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（2）碎石；压碎指标小于 20%，针片状小于 10%，含泥量小于 1%，泥块含量小于0.2%，松散堆积密度大于1350kg/m³，具体规格型号以使用需求为准。</w:t>
      </w:r>
    </w:p>
    <w:p w14:paraId="2BCDC55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（3）水泥（袋装）：具体规格型号以使用需求为准。</w:t>
      </w:r>
    </w:p>
    <w:p w14:paraId="4EB6F1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7.成交后供应商需提供供货联络员一名。</w:t>
      </w:r>
    </w:p>
    <w:p w14:paraId="73A7E2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8.采购人不对合同期间货物的采购数量做任何承诺，暂估采购数量仅作参考，如合同期间货物的采购数量不足，供应商不得以此为由调整供货单价，采购人对供应商不承担任何违约责任。</w:t>
      </w:r>
    </w:p>
    <w:p w14:paraId="76B4A2C9">
      <w:pPr>
        <w:pStyle w:val="2"/>
        <w:ind w:left="0" w:leftChars="0"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w:t>
      </w:r>
      <w:r>
        <w:rPr>
          <w:rFonts w:hint="eastAsia" w:ascii="Times New Roman" w:hAnsi="Times New Roman" w:cs="Times New Roman" w:eastAsiaTheme="minorEastAsia"/>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采购清单</w:t>
      </w:r>
    </w:p>
    <w:tbl>
      <w:tblPr>
        <w:tblStyle w:val="18"/>
        <w:tblW w:w="9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
        <w:gridCol w:w="1219"/>
        <w:gridCol w:w="552"/>
        <w:gridCol w:w="1203"/>
        <w:gridCol w:w="1222"/>
        <w:gridCol w:w="1619"/>
        <w:gridCol w:w="2309"/>
        <w:gridCol w:w="876"/>
      </w:tblGrid>
      <w:tr w14:paraId="1E189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right w:val="single" w:color="auto" w:sz="4" w:space="0"/>
            </w:tcBorders>
            <w:vAlign w:val="center"/>
          </w:tcPr>
          <w:p w14:paraId="6748303C">
            <w:pPr>
              <w:tabs>
                <w:tab w:val="center" w:pos="4153"/>
                <w:tab w:val="right" w:pos="8306"/>
              </w:tabs>
              <w:snapToGrid w:val="0"/>
              <w:jc w:val="center"/>
              <w:rPr>
                <w:szCs w:val="21"/>
              </w:rPr>
            </w:pPr>
            <w:r>
              <w:rPr>
                <w:rFonts w:hint="eastAsia"/>
                <w:szCs w:val="21"/>
              </w:rPr>
              <w:t>序号</w:t>
            </w:r>
          </w:p>
        </w:tc>
        <w:tc>
          <w:tcPr>
            <w:tcW w:w="1219" w:type="dxa"/>
            <w:tcBorders>
              <w:top w:val="single" w:color="auto" w:sz="4" w:space="0"/>
              <w:left w:val="single" w:color="auto" w:sz="4" w:space="0"/>
              <w:right w:val="single" w:color="auto" w:sz="4" w:space="0"/>
            </w:tcBorders>
            <w:vAlign w:val="center"/>
          </w:tcPr>
          <w:p w14:paraId="7B0BA16D">
            <w:pPr>
              <w:tabs>
                <w:tab w:val="center" w:pos="4153"/>
                <w:tab w:val="right" w:pos="8306"/>
              </w:tabs>
              <w:snapToGrid w:val="0"/>
              <w:jc w:val="center"/>
              <w:rPr>
                <w:szCs w:val="21"/>
              </w:rPr>
            </w:pPr>
            <w:r>
              <w:rPr>
                <w:rFonts w:hint="eastAsia"/>
                <w:szCs w:val="21"/>
              </w:rPr>
              <w:t>材料名称</w:t>
            </w:r>
          </w:p>
        </w:tc>
        <w:tc>
          <w:tcPr>
            <w:tcW w:w="552" w:type="dxa"/>
            <w:tcBorders>
              <w:top w:val="single" w:color="auto" w:sz="4" w:space="0"/>
              <w:left w:val="single" w:color="auto" w:sz="4" w:space="0"/>
              <w:right w:val="single" w:color="auto" w:sz="4" w:space="0"/>
            </w:tcBorders>
            <w:vAlign w:val="center"/>
          </w:tcPr>
          <w:p w14:paraId="2BB3D357">
            <w:pPr>
              <w:tabs>
                <w:tab w:val="center" w:pos="4153"/>
                <w:tab w:val="right" w:pos="8306"/>
              </w:tabs>
              <w:snapToGrid w:val="0"/>
              <w:jc w:val="center"/>
              <w:rPr>
                <w:szCs w:val="21"/>
              </w:rPr>
            </w:pPr>
            <w:r>
              <w:rPr>
                <w:rFonts w:hint="eastAsia"/>
                <w:szCs w:val="21"/>
              </w:rPr>
              <w:t>单位</w:t>
            </w:r>
          </w:p>
        </w:tc>
        <w:tc>
          <w:tcPr>
            <w:tcW w:w="1203" w:type="dxa"/>
            <w:tcBorders>
              <w:top w:val="single" w:color="auto" w:sz="4" w:space="0"/>
              <w:left w:val="single" w:color="auto" w:sz="4" w:space="0"/>
              <w:right w:val="single" w:color="auto" w:sz="4" w:space="0"/>
            </w:tcBorders>
            <w:vAlign w:val="center"/>
          </w:tcPr>
          <w:p w14:paraId="18FFF218">
            <w:pPr>
              <w:tabs>
                <w:tab w:val="center" w:pos="4153"/>
                <w:tab w:val="right" w:pos="8306"/>
              </w:tabs>
              <w:snapToGrid w:val="0"/>
              <w:jc w:val="center"/>
              <w:rPr>
                <w:rFonts w:hint="eastAsia"/>
                <w:szCs w:val="21"/>
              </w:rPr>
            </w:pPr>
            <w:r>
              <w:rPr>
                <w:rFonts w:hint="eastAsia"/>
                <w:szCs w:val="21"/>
              </w:rPr>
              <w:t>规格</w:t>
            </w:r>
          </w:p>
          <w:p w14:paraId="31A0713B">
            <w:pPr>
              <w:tabs>
                <w:tab w:val="center" w:pos="4153"/>
                <w:tab w:val="right" w:pos="8306"/>
              </w:tabs>
              <w:snapToGrid w:val="0"/>
              <w:jc w:val="center"/>
              <w:rPr>
                <w:rFonts w:hint="eastAsia" w:eastAsia="宋体"/>
                <w:szCs w:val="21"/>
                <w:lang w:eastAsia="zh-CN"/>
              </w:rPr>
            </w:pPr>
            <w:r>
              <w:rPr>
                <w:rFonts w:hint="eastAsia"/>
                <w:szCs w:val="21"/>
                <w:lang w:eastAsia="zh-CN"/>
              </w:rPr>
              <w:t>（</w:t>
            </w:r>
            <w:r>
              <w:rPr>
                <w:rFonts w:hint="eastAsia"/>
                <w:szCs w:val="21"/>
              </w:rPr>
              <w:t>mm</w:t>
            </w:r>
            <w:r>
              <w:rPr>
                <w:rFonts w:hint="eastAsia"/>
                <w:szCs w:val="21"/>
                <w:lang w:eastAsia="zh-CN"/>
              </w:rPr>
              <w:t>）</w:t>
            </w:r>
          </w:p>
        </w:tc>
        <w:tc>
          <w:tcPr>
            <w:tcW w:w="1222" w:type="dxa"/>
            <w:tcBorders>
              <w:top w:val="single" w:color="auto" w:sz="4" w:space="0"/>
              <w:left w:val="single" w:color="auto" w:sz="4" w:space="0"/>
              <w:right w:val="single" w:color="auto" w:sz="4" w:space="0"/>
            </w:tcBorders>
            <w:vAlign w:val="center"/>
          </w:tcPr>
          <w:p w14:paraId="5ECC1C09">
            <w:pPr>
              <w:tabs>
                <w:tab w:val="center" w:pos="4153"/>
                <w:tab w:val="right" w:pos="8306"/>
              </w:tabs>
              <w:snapToGrid w:val="0"/>
              <w:jc w:val="center"/>
              <w:rPr>
                <w:szCs w:val="21"/>
              </w:rPr>
            </w:pPr>
            <w:r>
              <w:rPr>
                <w:rFonts w:hint="eastAsia"/>
                <w:szCs w:val="21"/>
                <w:lang w:val="en-US" w:eastAsia="zh-CN"/>
              </w:rPr>
              <w:t>估算</w:t>
            </w:r>
            <w:r>
              <w:rPr>
                <w:rFonts w:hint="eastAsia"/>
                <w:szCs w:val="21"/>
              </w:rPr>
              <w:t>占比（%）</w:t>
            </w:r>
          </w:p>
        </w:tc>
        <w:tc>
          <w:tcPr>
            <w:tcW w:w="1619" w:type="dxa"/>
            <w:tcBorders>
              <w:top w:val="single" w:color="auto" w:sz="4" w:space="0"/>
              <w:left w:val="single" w:color="auto" w:sz="4" w:space="0"/>
              <w:right w:val="single" w:color="auto" w:sz="4" w:space="0"/>
            </w:tcBorders>
            <w:vAlign w:val="center"/>
          </w:tcPr>
          <w:p w14:paraId="7D1E1900">
            <w:pPr>
              <w:tabs>
                <w:tab w:val="center" w:pos="4153"/>
                <w:tab w:val="right" w:pos="8306"/>
              </w:tabs>
              <w:snapToGrid w:val="0"/>
              <w:jc w:val="center"/>
              <w:rPr>
                <w:rFonts w:hint="eastAsia" w:eastAsiaTheme="minorEastAsia"/>
                <w:szCs w:val="21"/>
                <w:lang w:val="en-US" w:eastAsia="zh-CN"/>
              </w:rPr>
            </w:pPr>
            <w:r>
              <w:rPr>
                <w:rFonts w:hint="eastAsia"/>
                <w:szCs w:val="21"/>
              </w:rPr>
              <w:t>除税信息价</w:t>
            </w:r>
            <w:r>
              <w:rPr>
                <w:rFonts w:hint="eastAsia"/>
                <w:szCs w:val="21"/>
                <w:lang w:val="en-US" w:eastAsia="zh-CN"/>
              </w:rPr>
              <w:t>下浮率</w:t>
            </w:r>
          </w:p>
        </w:tc>
        <w:tc>
          <w:tcPr>
            <w:tcW w:w="2309" w:type="dxa"/>
            <w:tcBorders>
              <w:top w:val="single" w:color="auto" w:sz="4" w:space="0"/>
              <w:left w:val="single" w:color="auto" w:sz="4" w:space="0"/>
              <w:right w:val="single" w:color="auto" w:sz="4" w:space="0"/>
            </w:tcBorders>
            <w:vAlign w:val="center"/>
          </w:tcPr>
          <w:p w14:paraId="26E132C7">
            <w:pPr>
              <w:tabs>
                <w:tab w:val="center" w:pos="4153"/>
                <w:tab w:val="right" w:pos="8306"/>
              </w:tabs>
              <w:snapToGrid w:val="0"/>
              <w:jc w:val="center"/>
              <w:rPr>
                <w:szCs w:val="21"/>
              </w:rPr>
            </w:pPr>
            <w:r>
              <w:rPr>
                <w:rFonts w:hint="eastAsia"/>
                <w:szCs w:val="21"/>
              </w:rPr>
              <w:t>综合不含税下浮率</w:t>
            </w:r>
          </w:p>
        </w:tc>
        <w:tc>
          <w:tcPr>
            <w:tcW w:w="876" w:type="dxa"/>
            <w:tcBorders>
              <w:top w:val="single" w:color="auto" w:sz="4" w:space="0"/>
              <w:left w:val="single" w:color="auto" w:sz="4" w:space="0"/>
              <w:right w:val="single" w:color="auto" w:sz="4" w:space="0"/>
            </w:tcBorders>
            <w:vAlign w:val="center"/>
          </w:tcPr>
          <w:p w14:paraId="2D74ED59">
            <w:pPr>
              <w:tabs>
                <w:tab w:val="center" w:pos="4153"/>
                <w:tab w:val="right" w:pos="8306"/>
              </w:tabs>
              <w:snapToGrid w:val="0"/>
              <w:jc w:val="center"/>
              <w:rPr>
                <w:szCs w:val="21"/>
              </w:rPr>
            </w:pPr>
            <w:r>
              <w:rPr>
                <w:rFonts w:hint="eastAsia"/>
                <w:szCs w:val="21"/>
                <w:lang w:val="en-US" w:eastAsia="zh-CN"/>
              </w:rPr>
              <w:t>另外，增值税</w:t>
            </w:r>
            <w:r>
              <w:rPr>
                <w:rFonts w:hint="eastAsia"/>
                <w:szCs w:val="21"/>
              </w:rPr>
              <w:t>税率</w:t>
            </w:r>
          </w:p>
        </w:tc>
      </w:tr>
      <w:tr w14:paraId="53A75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right w:val="single" w:color="auto" w:sz="4" w:space="0"/>
            </w:tcBorders>
            <w:vAlign w:val="center"/>
          </w:tcPr>
          <w:p w14:paraId="1A4DE719">
            <w:pPr>
              <w:tabs>
                <w:tab w:val="center" w:pos="4153"/>
                <w:tab w:val="right" w:pos="8306"/>
              </w:tabs>
              <w:snapToGrid w:val="0"/>
              <w:jc w:val="center"/>
              <w:rPr>
                <w:szCs w:val="21"/>
              </w:rPr>
            </w:pPr>
            <w:r>
              <w:rPr>
                <w:rFonts w:hint="eastAsia"/>
                <w:szCs w:val="21"/>
              </w:rPr>
              <w:t>1</w:t>
            </w:r>
          </w:p>
        </w:tc>
        <w:tc>
          <w:tcPr>
            <w:tcW w:w="1219" w:type="dxa"/>
            <w:tcBorders>
              <w:top w:val="single" w:color="auto" w:sz="4" w:space="0"/>
              <w:left w:val="single" w:color="auto" w:sz="4" w:space="0"/>
              <w:right w:val="single" w:color="auto" w:sz="4" w:space="0"/>
            </w:tcBorders>
            <w:vAlign w:val="center"/>
          </w:tcPr>
          <w:p w14:paraId="0FF414F9">
            <w:pPr>
              <w:tabs>
                <w:tab w:val="center" w:pos="4153"/>
                <w:tab w:val="right" w:pos="8306"/>
              </w:tabs>
              <w:snapToGrid w:val="0"/>
              <w:jc w:val="center"/>
              <w:rPr>
                <w:szCs w:val="21"/>
              </w:rPr>
            </w:pPr>
            <w:r>
              <w:rPr>
                <w:rFonts w:hint="eastAsia"/>
                <w:szCs w:val="21"/>
              </w:rPr>
              <w:t>砂</w:t>
            </w:r>
          </w:p>
        </w:tc>
        <w:tc>
          <w:tcPr>
            <w:tcW w:w="552" w:type="dxa"/>
            <w:tcBorders>
              <w:top w:val="single" w:color="auto" w:sz="4" w:space="0"/>
              <w:left w:val="single" w:color="auto" w:sz="4" w:space="0"/>
              <w:right w:val="single" w:color="auto" w:sz="4" w:space="0"/>
            </w:tcBorders>
            <w:vAlign w:val="center"/>
          </w:tcPr>
          <w:p w14:paraId="4E5E068D">
            <w:pPr>
              <w:tabs>
                <w:tab w:val="center" w:pos="4153"/>
                <w:tab w:val="right" w:pos="8306"/>
              </w:tabs>
              <w:snapToGrid w:val="0"/>
              <w:jc w:val="center"/>
              <w:rPr>
                <w:szCs w:val="21"/>
              </w:rPr>
            </w:pPr>
            <w:r>
              <w:rPr>
                <w:rFonts w:hint="eastAsia"/>
                <w:szCs w:val="21"/>
              </w:rPr>
              <w:t>吨</w:t>
            </w:r>
          </w:p>
        </w:tc>
        <w:tc>
          <w:tcPr>
            <w:tcW w:w="1203" w:type="dxa"/>
            <w:tcBorders>
              <w:top w:val="single" w:color="auto" w:sz="4" w:space="0"/>
              <w:left w:val="single" w:color="auto" w:sz="4" w:space="0"/>
              <w:right w:val="single" w:color="auto" w:sz="4" w:space="0"/>
            </w:tcBorders>
            <w:vAlign w:val="center"/>
          </w:tcPr>
          <w:p w14:paraId="57C3BF28">
            <w:pPr>
              <w:tabs>
                <w:tab w:val="center" w:pos="4153"/>
                <w:tab w:val="right" w:pos="8306"/>
              </w:tabs>
              <w:snapToGrid w:val="0"/>
              <w:jc w:val="center"/>
              <w:rPr>
                <w:szCs w:val="21"/>
              </w:rPr>
            </w:pPr>
            <w:r>
              <w:rPr>
                <w:rFonts w:hint="eastAsia"/>
                <w:szCs w:val="21"/>
                <w:lang w:val="en-US" w:eastAsia="zh-CN"/>
              </w:rPr>
              <w:t>以订单通知</w:t>
            </w:r>
            <w:r>
              <w:rPr>
                <w:rFonts w:hint="eastAsia"/>
                <w:szCs w:val="21"/>
              </w:rPr>
              <w:t>为准</w:t>
            </w:r>
          </w:p>
        </w:tc>
        <w:tc>
          <w:tcPr>
            <w:tcW w:w="1222" w:type="dxa"/>
            <w:tcBorders>
              <w:top w:val="single" w:color="auto" w:sz="4" w:space="0"/>
              <w:left w:val="single" w:color="auto" w:sz="4" w:space="0"/>
              <w:right w:val="single" w:color="auto" w:sz="4" w:space="0"/>
            </w:tcBorders>
            <w:vAlign w:val="center"/>
          </w:tcPr>
          <w:p w14:paraId="2C9F872C">
            <w:pPr>
              <w:tabs>
                <w:tab w:val="center" w:pos="4153"/>
                <w:tab w:val="right" w:pos="8306"/>
              </w:tabs>
              <w:snapToGrid w:val="0"/>
              <w:jc w:val="center"/>
              <w:rPr>
                <w:szCs w:val="21"/>
              </w:rPr>
            </w:pPr>
            <w:r>
              <w:rPr>
                <w:rFonts w:hint="eastAsia"/>
                <w:szCs w:val="21"/>
              </w:rPr>
              <w:t>42%</w:t>
            </w:r>
          </w:p>
        </w:tc>
        <w:tc>
          <w:tcPr>
            <w:tcW w:w="1619" w:type="dxa"/>
            <w:tcBorders>
              <w:top w:val="single" w:color="auto" w:sz="4" w:space="0"/>
              <w:left w:val="single" w:color="auto" w:sz="4" w:space="0"/>
              <w:right w:val="single" w:color="auto" w:sz="4" w:space="0"/>
            </w:tcBorders>
            <w:vAlign w:val="center"/>
          </w:tcPr>
          <w:p w14:paraId="4D0D05EF">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2309" w:type="dxa"/>
            <w:tcBorders>
              <w:top w:val="single" w:color="auto" w:sz="4" w:space="0"/>
              <w:left w:val="single" w:color="auto" w:sz="4" w:space="0"/>
              <w:right w:val="single" w:color="auto" w:sz="4" w:space="0"/>
            </w:tcBorders>
            <w:vAlign w:val="center"/>
          </w:tcPr>
          <w:p w14:paraId="2A03C0B4">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占比*除税信息价</w:t>
            </w:r>
            <w:r>
              <w:rPr>
                <w:rFonts w:hint="eastAsia"/>
                <w:szCs w:val="21"/>
                <w:lang w:val="en-US" w:eastAsia="zh-CN"/>
              </w:rPr>
              <w:t>下浮率</w:t>
            </w:r>
          </w:p>
        </w:tc>
        <w:tc>
          <w:tcPr>
            <w:tcW w:w="876" w:type="dxa"/>
            <w:vMerge w:val="restart"/>
            <w:tcBorders>
              <w:top w:val="single" w:color="auto" w:sz="4" w:space="0"/>
              <w:left w:val="single" w:color="auto" w:sz="4" w:space="0"/>
              <w:right w:val="single" w:color="auto" w:sz="4" w:space="0"/>
            </w:tcBorders>
            <w:vAlign w:val="center"/>
          </w:tcPr>
          <w:p w14:paraId="75E5E10F">
            <w:pPr>
              <w:tabs>
                <w:tab w:val="center" w:pos="4153"/>
                <w:tab w:val="right" w:pos="8306"/>
              </w:tabs>
              <w:snapToGrid w:val="0"/>
              <w:jc w:val="center"/>
              <w:rPr>
                <w:szCs w:val="21"/>
              </w:rPr>
            </w:pPr>
            <w:r>
              <w:rPr>
                <w:rFonts w:hint="eastAsia"/>
                <w:szCs w:val="21"/>
                <w:u w:val="single"/>
              </w:rPr>
              <w:t xml:space="preserve">   </w:t>
            </w:r>
            <w:r>
              <w:rPr>
                <w:rFonts w:hint="eastAsia"/>
                <w:szCs w:val="21"/>
              </w:rPr>
              <w:t>%</w:t>
            </w:r>
          </w:p>
        </w:tc>
      </w:tr>
      <w:tr w14:paraId="3CDE5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right w:val="single" w:color="auto" w:sz="4" w:space="0"/>
            </w:tcBorders>
            <w:vAlign w:val="center"/>
          </w:tcPr>
          <w:p w14:paraId="624CF357">
            <w:pPr>
              <w:tabs>
                <w:tab w:val="center" w:pos="4153"/>
                <w:tab w:val="right" w:pos="8306"/>
              </w:tabs>
              <w:snapToGrid w:val="0"/>
              <w:jc w:val="center"/>
              <w:rPr>
                <w:szCs w:val="21"/>
              </w:rPr>
            </w:pPr>
            <w:r>
              <w:rPr>
                <w:rFonts w:hint="eastAsia"/>
                <w:szCs w:val="21"/>
              </w:rPr>
              <w:t>2</w:t>
            </w:r>
          </w:p>
        </w:tc>
        <w:tc>
          <w:tcPr>
            <w:tcW w:w="1219" w:type="dxa"/>
            <w:tcBorders>
              <w:top w:val="single" w:color="auto" w:sz="4" w:space="0"/>
              <w:left w:val="single" w:color="auto" w:sz="4" w:space="0"/>
              <w:right w:val="single" w:color="auto" w:sz="4" w:space="0"/>
            </w:tcBorders>
            <w:vAlign w:val="center"/>
          </w:tcPr>
          <w:p w14:paraId="230C7D28">
            <w:pPr>
              <w:tabs>
                <w:tab w:val="center" w:pos="4153"/>
                <w:tab w:val="right" w:pos="8306"/>
              </w:tabs>
              <w:snapToGrid w:val="0"/>
              <w:jc w:val="center"/>
              <w:rPr>
                <w:szCs w:val="21"/>
              </w:rPr>
            </w:pPr>
            <w:r>
              <w:rPr>
                <w:rFonts w:hint="eastAsia"/>
                <w:szCs w:val="21"/>
              </w:rPr>
              <w:t>碎石</w:t>
            </w:r>
          </w:p>
        </w:tc>
        <w:tc>
          <w:tcPr>
            <w:tcW w:w="552" w:type="dxa"/>
            <w:tcBorders>
              <w:top w:val="single" w:color="auto" w:sz="4" w:space="0"/>
              <w:left w:val="single" w:color="auto" w:sz="4" w:space="0"/>
              <w:right w:val="single" w:color="auto" w:sz="4" w:space="0"/>
            </w:tcBorders>
            <w:vAlign w:val="center"/>
          </w:tcPr>
          <w:p w14:paraId="1986809C">
            <w:pPr>
              <w:tabs>
                <w:tab w:val="center" w:pos="4153"/>
                <w:tab w:val="right" w:pos="8306"/>
              </w:tabs>
              <w:snapToGrid w:val="0"/>
              <w:jc w:val="center"/>
              <w:rPr>
                <w:szCs w:val="21"/>
              </w:rPr>
            </w:pPr>
            <w:r>
              <w:rPr>
                <w:rFonts w:hint="eastAsia"/>
                <w:szCs w:val="21"/>
              </w:rPr>
              <w:t>吨</w:t>
            </w:r>
          </w:p>
        </w:tc>
        <w:tc>
          <w:tcPr>
            <w:tcW w:w="1203" w:type="dxa"/>
            <w:tcBorders>
              <w:top w:val="single" w:color="auto" w:sz="4" w:space="0"/>
              <w:left w:val="single" w:color="auto" w:sz="4" w:space="0"/>
              <w:right w:val="single" w:color="auto" w:sz="4" w:space="0"/>
            </w:tcBorders>
            <w:vAlign w:val="center"/>
          </w:tcPr>
          <w:p w14:paraId="3474B891">
            <w:pPr>
              <w:tabs>
                <w:tab w:val="center" w:pos="4153"/>
                <w:tab w:val="right" w:pos="8306"/>
              </w:tabs>
              <w:snapToGrid w:val="0"/>
              <w:jc w:val="center"/>
              <w:rPr>
                <w:szCs w:val="21"/>
              </w:rPr>
            </w:pPr>
            <w:r>
              <w:rPr>
                <w:rFonts w:hint="eastAsia"/>
                <w:szCs w:val="21"/>
                <w:lang w:val="en-US" w:eastAsia="zh-CN"/>
              </w:rPr>
              <w:t>以订单通知</w:t>
            </w:r>
            <w:r>
              <w:rPr>
                <w:rFonts w:hint="eastAsia"/>
                <w:szCs w:val="21"/>
              </w:rPr>
              <w:t>为准</w:t>
            </w:r>
          </w:p>
        </w:tc>
        <w:tc>
          <w:tcPr>
            <w:tcW w:w="1222" w:type="dxa"/>
            <w:tcBorders>
              <w:top w:val="single" w:color="auto" w:sz="4" w:space="0"/>
              <w:left w:val="single" w:color="auto" w:sz="4" w:space="0"/>
              <w:right w:val="single" w:color="auto" w:sz="4" w:space="0"/>
            </w:tcBorders>
            <w:vAlign w:val="center"/>
          </w:tcPr>
          <w:p w14:paraId="07559409">
            <w:pPr>
              <w:tabs>
                <w:tab w:val="center" w:pos="4153"/>
                <w:tab w:val="right" w:pos="8306"/>
              </w:tabs>
              <w:snapToGrid w:val="0"/>
              <w:jc w:val="center"/>
              <w:rPr>
                <w:szCs w:val="21"/>
              </w:rPr>
            </w:pPr>
            <w:r>
              <w:rPr>
                <w:rFonts w:hint="eastAsia"/>
                <w:szCs w:val="21"/>
              </w:rPr>
              <w:t>43%</w:t>
            </w:r>
          </w:p>
        </w:tc>
        <w:tc>
          <w:tcPr>
            <w:tcW w:w="1619" w:type="dxa"/>
            <w:tcBorders>
              <w:top w:val="single" w:color="auto" w:sz="4" w:space="0"/>
              <w:left w:val="single" w:color="auto" w:sz="4" w:space="0"/>
              <w:right w:val="single" w:color="auto" w:sz="4" w:space="0"/>
            </w:tcBorders>
            <w:vAlign w:val="center"/>
          </w:tcPr>
          <w:p w14:paraId="75FB4181">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2309" w:type="dxa"/>
            <w:tcBorders>
              <w:top w:val="single" w:color="auto" w:sz="4" w:space="0"/>
              <w:left w:val="single" w:color="auto" w:sz="4" w:space="0"/>
              <w:right w:val="single" w:color="auto" w:sz="4" w:space="0"/>
            </w:tcBorders>
            <w:vAlign w:val="center"/>
          </w:tcPr>
          <w:p w14:paraId="1AC094BE">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占比*除税信息价</w:t>
            </w:r>
            <w:r>
              <w:rPr>
                <w:rFonts w:hint="eastAsia"/>
                <w:szCs w:val="21"/>
                <w:lang w:val="en-US" w:eastAsia="zh-CN"/>
              </w:rPr>
              <w:t>下浮率</w:t>
            </w:r>
          </w:p>
        </w:tc>
        <w:tc>
          <w:tcPr>
            <w:tcW w:w="876" w:type="dxa"/>
            <w:vMerge w:val="continue"/>
            <w:tcBorders>
              <w:left w:val="single" w:color="auto" w:sz="4" w:space="0"/>
              <w:right w:val="single" w:color="auto" w:sz="4" w:space="0"/>
            </w:tcBorders>
            <w:vAlign w:val="center"/>
          </w:tcPr>
          <w:p w14:paraId="35834CBD">
            <w:pPr>
              <w:tabs>
                <w:tab w:val="center" w:pos="4153"/>
                <w:tab w:val="right" w:pos="8306"/>
              </w:tabs>
              <w:snapToGrid w:val="0"/>
              <w:jc w:val="center"/>
              <w:rPr>
                <w:szCs w:val="21"/>
              </w:rPr>
            </w:pPr>
          </w:p>
        </w:tc>
      </w:tr>
      <w:tr w14:paraId="6E179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bottom w:val="single" w:color="auto" w:sz="4" w:space="0"/>
              <w:right w:val="single" w:color="auto" w:sz="4" w:space="0"/>
            </w:tcBorders>
            <w:vAlign w:val="center"/>
          </w:tcPr>
          <w:p w14:paraId="6A55D0BD">
            <w:pPr>
              <w:tabs>
                <w:tab w:val="center" w:pos="4153"/>
                <w:tab w:val="right" w:pos="8306"/>
              </w:tabs>
              <w:snapToGrid w:val="0"/>
              <w:jc w:val="center"/>
              <w:rPr>
                <w:szCs w:val="21"/>
              </w:rPr>
            </w:pPr>
            <w:r>
              <w:rPr>
                <w:rFonts w:hint="eastAsia"/>
                <w:szCs w:val="21"/>
              </w:rPr>
              <w:t>3</w:t>
            </w:r>
          </w:p>
        </w:tc>
        <w:tc>
          <w:tcPr>
            <w:tcW w:w="1219" w:type="dxa"/>
            <w:tcBorders>
              <w:top w:val="single" w:color="auto" w:sz="4" w:space="0"/>
              <w:left w:val="single" w:color="auto" w:sz="4" w:space="0"/>
              <w:bottom w:val="single" w:color="auto" w:sz="4" w:space="0"/>
              <w:right w:val="single" w:color="auto" w:sz="4" w:space="0"/>
            </w:tcBorders>
            <w:vAlign w:val="center"/>
          </w:tcPr>
          <w:p w14:paraId="48451852">
            <w:pPr>
              <w:tabs>
                <w:tab w:val="center" w:pos="4153"/>
                <w:tab w:val="right" w:pos="8306"/>
              </w:tabs>
              <w:snapToGrid w:val="0"/>
              <w:jc w:val="center"/>
              <w:rPr>
                <w:szCs w:val="21"/>
              </w:rPr>
            </w:pPr>
            <w:r>
              <w:rPr>
                <w:rFonts w:hint="eastAsia"/>
                <w:szCs w:val="21"/>
              </w:rPr>
              <w:t>水泥</w:t>
            </w:r>
          </w:p>
        </w:tc>
        <w:tc>
          <w:tcPr>
            <w:tcW w:w="552" w:type="dxa"/>
            <w:tcBorders>
              <w:top w:val="single" w:color="auto" w:sz="4" w:space="0"/>
              <w:left w:val="single" w:color="auto" w:sz="4" w:space="0"/>
              <w:bottom w:val="single" w:color="auto" w:sz="4" w:space="0"/>
              <w:right w:val="single" w:color="auto" w:sz="4" w:space="0"/>
            </w:tcBorders>
            <w:vAlign w:val="center"/>
          </w:tcPr>
          <w:p w14:paraId="264C91FB">
            <w:pPr>
              <w:tabs>
                <w:tab w:val="center" w:pos="4153"/>
                <w:tab w:val="right" w:pos="8306"/>
              </w:tabs>
              <w:snapToGrid w:val="0"/>
              <w:jc w:val="center"/>
              <w:rPr>
                <w:szCs w:val="21"/>
              </w:rPr>
            </w:pPr>
            <w:r>
              <w:rPr>
                <w:rFonts w:hint="eastAsia"/>
                <w:szCs w:val="21"/>
              </w:rPr>
              <w:t>吨</w:t>
            </w:r>
          </w:p>
        </w:tc>
        <w:tc>
          <w:tcPr>
            <w:tcW w:w="1203" w:type="dxa"/>
            <w:tcBorders>
              <w:top w:val="single" w:color="auto" w:sz="4" w:space="0"/>
              <w:left w:val="single" w:color="auto" w:sz="4" w:space="0"/>
              <w:bottom w:val="single" w:color="auto" w:sz="4" w:space="0"/>
              <w:right w:val="single" w:color="auto" w:sz="4" w:space="0"/>
            </w:tcBorders>
            <w:vAlign w:val="center"/>
          </w:tcPr>
          <w:p w14:paraId="0F19F90C">
            <w:pPr>
              <w:tabs>
                <w:tab w:val="center" w:pos="4153"/>
                <w:tab w:val="right" w:pos="8306"/>
              </w:tabs>
              <w:snapToGrid w:val="0"/>
              <w:jc w:val="center"/>
              <w:rPr>
                <w:szCs w:val="21"/>
              </w:rPr>
            </w:pPr>
            <w:r>
              <w:rPr>
                <w:rFonts w:hint="eastAsia"/>
                <w:szCs w:val="21"/>
                <w:lang w:val="en-US" w:eastAsia="zh-CN"/>
              </w:rPr>
              <w:t>以订单通知</w:t>
            </w:r>
            <w:r>
              <w:rPr>
                <w:rFonts w:hint="eastAsia"/>
                <w:szCs w:val="21"/>
              </w:rPr>
              <w:t>为准</w:t>
            </w:r>
          </w:p>
        </w:tc>
        <w:tc>
          <w:tcPr>
            <w:tcW w:w="1222" w:type="dxa"/>
            <w:tcBorders>
              <w:top w:val="single" w:color="auto" w:sz="4" w:space="0"/>
              <w:left w:val="single" w:color="auto" w:sz="4" w:space="0"/>
              <w:bottom w:val="single" w:color="auto" w:sz="4" w:space="0"/>
              <w:right w:val="single" w:color="auto" w:sz="4" w:space="0"/>
            </w:tcBorders>
            <w:vAlign w:val="center"/>
          </w:tcPr>
          <w:p w14:paraId="583BF77E">
            <w:pPr>
              <w:tabs>
                <w:tab w:val="center" w:pos="4153"/>
                <w:tab w:val="right" w:pos="8306"/>
              </w:tabs>
              <w:snapToGrid w:val="0"/>
              <w:jc w:val="center"/>
              <w:rPr>
                <w:szCs w:val="21"/>
              </w:rPr>
            </w:pPr>
            <w:r>
              <w:rPr>
                <w:rFonts w:hint="eastAsia"/>
                <w:szCs w:val="21"/>
              </w:rPr>
              <w:t>15%</w:t>
            </w:r>
          </w:p>
        </w:tc>
        <w:tc>
          <w:tcPr>
            <w:tcW w:w="1619" w:type="dxa"/>
            <w:tcBorders>
              <w:top w:val="single" w:color="auto" w:sz="4" w:space="0"/>
              <w:left w:val="single" w:color="auto" w:sz="4" w:space="0"/>
              <w:bottom w:val="single" w:color="auto" w:sz="4" w:space="0"/>
              <w:right w:val="single" w:color="auto" w:sz="4" w:space="0"/>
            </w:tcBorders>
            <w:vAlign w:val="center"/>
          </w:tcPr>
          <w:p w14:paraId="4071BF73">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2309" w:type="dxa"/>
            <w:tcBorders>
              <w:top w:val="single" w:color="auto" w:sz="4" w:space="0"/>
              <w:left w:val="single" w:color="auto" w:sz="4" w:space="0"/>
              <w:bottom w:val="single" w:color="auto" w:sz="4" w:space="0"/>
              <w:right w:val="single" w:color="auto" w:sz="4" w:space="0"/>
            </w:tcBorders>
            <w:vAlign w:val="center"/>
          </w:tcPr>
          <w:p w14:paraId="67592AB9">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占比*除税信息价</w:t>
            </w:r>
            <w:r>
              <w:rPr>
                <w:rFonts w:hint="eastAsia"/>
                <w:szCs w:val="21"/>
                <w:lang w:val="en-US" w:eastAsia="zh-CN"/>
              </w:rPr>
              <w:t>下浮率</w:t>
            </w:r>
          </w:p>
        </w:tc>
        <w:tc>
          <w:tcPr>
            <w:tcW w:w="876" w:type="dxa"/>
            <w:vMerge w:val="continue"/>
            <w:tcBorders>
              <w:left w:val="single" w:color="auto" w:sz="4" w:space="0"/>
              <w:right w:val="single" w:color="auto" w:sz="4" w:space="0"/>
            </w:tcBorders>
            <w:vAlign w:val="center"/>
          </w:tcPr>
          <w:p w14:paraId="7337FD3A">
            <w:pPr>
              <w:tabs>
                <w:tab w:val="center" w:pos="4153"/>
                <w:tab w:val="right" w:pos="8306"/>
              </w:tabs>
              <w:snapToGrid w:val="0"/>
              <w:jc w:val="center"/>
              <w:rPr>
                <w:szCs w:val="21"/>
              </w:rPr>
            </w:pPr>
          </w:p>
        </w:tc>
      </w:tr>
      <w:tr w14:paraId="5C989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9477" w:type="dxa"/>
            <w:gridSpan w:val="8"/>
            <w:tcBorders>
              <w:top w:val="single" w:color="auto" w:sz="4" w:space="0"/>
              <w:left w:val="single" w:color="auto" w:sz="4" w:space="0"/>
              <w:bottom w:val="single" w:color="auto" w:sz="4" w:space="0"/>
              <w:right w:val="single" w:color="auto" w:sz="4" w:space="0"/>
            </w:tcBorders>
            <w:vAlign w:val="center"/>
          </w:tcPr>
          <w:p w14:paraId="2B6DC175">
            <w:pPr>
              <w:tabs>
                <w:tab w:val="center" w:pos="4153"/>
                <w:tab w:val="right" w:pos="8306"/>
              </w:tabs>
              <w:snapToGrid w:val="0"/>
              <w:jc w:val="center"/>
              <w:rPr>
                <w:rFonts w:hint="default" w:eastAsia="宋体"/>
                <w:szCs w:val="21"/>
                <w:lang w:val="en-US" w:eastAsia="zh-CN"/>
              </w:rPr>
            </w:pPr>
            <w:r>
              <w:rPr>
                <w:rFonts w:hint="eastAsia"/>
                <w:szCs w:val="21"/>
              </w:rPr>
              <w:t>综合不含税下浮率合计：</w:t>
            </w:r>
            <w:r>
              <w:rPr>
                <w:rFonts w:hint="eastAsia"/>
                <w:szCs w:val="21"/>
                <w:u w:val="single"/>
                <w:lang w:val="en-US" w:eastAsia="zh-CN"/>
              </w:rPr>
              <w:t xml:space="preserve">      %</w:t>
            </w:r>
          </w:p>
        </w:tc>
      </w:tr>
      <w:tr w14:paraId="36FD4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9477" w:type="dxa"/>
            <w:gridSpan w:val="8"/>
            <w:tcBorders>
              <w:top w:val="single" w:color="auto" w:sz="4" w:space="0"/>
              <w:left w:val="single" w:color="auto" w:sz="4" w:space="0"/>
              <w:bottom w:val="single" w:color="auto" w:sz="4" w:space="0"/>
              <w:right w:val="single" w:color="auto" w:sz="4" w:space="0"/>
            </w:tcBorders>
            <w:vAlign w:val="center"/>
          </w:tcPr>
          <w:p w14:paraId="2A0335F9">
            <w:pPr>
              <w:tabs>
                <w:tab w:val="center" w:pos="4153"/>
                <w:tab w:val="right" w:pos="8306"/>
              </w:tabs>
              <w:snapToGrid w:val="0"/>
              <w:jc w:val="left"/>
              <w:rPr>
                <w:rFonts w:hint="eastAsia"/>
                <w:szCs w:val="21"/>
                <w:lang w:val="zh-CN"/>
              </w:rPr>
            </w:pPr>
            <w:r>
              <w:rPr>
                <w:rFonts w:hint="eastAsia"/>
                <w:szCs w:val="21"/>
                <w:lang w:val="zh-CN"/>
              </w:rPr>
              <w:t>备注：</w:t>
            </w:r>
            <w:r>
              <w:rPr>
                <w:rFonts w:hint="eastAsia"/>
                <w:szCs w:val="21"/>
                <w:lang w:val="en-US" w:eastAsia="zh-CN"/>
              </w:rPr>
              <w:t>1.综合</w:t>
            </w:r>
            <w:r>
              <w:rPr>
                <w:rFonts w:hint="eastAsia"/>
                <w:szCs w:val="21"/>
                <w:lang w:val="zh-CN"/>
              </w:rPr>
              <w:t>不含税下浮率=</w:t>
            </w:r>
            <w:r>
              <w:rPr>
                <w:rFonts w:hint="eastAsia"/>
                <w:szCs w:val="21"/>
                <w:lang w:val="en-US" w:eastAsia="zh-CN"/>
              </w:rPr>
              <w:t>各材料估算</w:t>
            </w:r>
            <w:r>
              <w:rPr>
                <w:rFonts w:hint="eastAsia"/>
                <w:szCs w:val="21"/>
                <w:lang w:val="zh-CN"/>
              </w:rPr>
              <w:t>占比*</w:t>
            </w:r>
            <w:r>
              <w:rPr>
                <w:rFonts w:hint="eastAsia"/>
                <w:szCs w:val="21"/>
              </w:rPr>
              <w:t>除税信息价下浮</w:t>
            </w:r>
            <w:r>
              <w:rPr>
                <w:rFonts w:hint="eastAsia"/>
                <w:szCs w:val="21"/>
                <w:lang w:val="en-US" w:eastAsia="zh-CN"/>
              </w:rPr>
              <w:t>率</w:t>
            </w:r>
            <w:r>
              <w:rPr>
                <w:rFonts w:hint="eastAsia"/>
                <w:szCs w:val="21"/>
                <w:lang w:val="zh-CN"/>
              </w:rPr>
              <w:t>，</w:t>
            </w:r>
            <w:r>
              <w:rPr>
                <w:rFonts w:hint="eastAsia"/>
                <w:szCs w:val="21"/>
                <w:lang w:val="zh-CN" w:eastAsia="zh-CN"/>
              </w:rPr>
              <w:t>然后</w:t>
            </w:r>
            <w:r>
              <w:rPr>
                <w:rFonts w:hint="eastAsia"/>
                <w:szCs w:val="21"/>
                <w:lang w:val="zh-CN"/>
              </w:rPr>
              <w:t>进行累加合计；</w:t>
            </w:r>
          </w:p>
          <w:p w14:paraId="5FD8DD95">
            <w:pPr>
              <w:tabs>
                <w:tab w:val="center" w:pos="4153"/>
                <w:tab w:val="right" w:pos="8306"/>
              </w:tabs>
              <w:snapToGrid w:val="0"/>
              <w:ind w:firstLine="630" w:firstLineChars="300"/>
              <w:jc w:val="left"/>
              <w:rPr>
                <w:rFonts w:hint="eastAsia"/>
                <w:szCs w:val="21"/>
              </w:rPr>
            </w:pPr>
            <w:r>
              <w:rPr>
                <w:rFonts w:hint="eastAsia"/>
                <w:szCs w:val="21"/>
                <w:lang w:val="zh-CN"/>
              </w:rPr>
              <w:t>2.</w:t>
            </w:r>
            <w:r>
              <w:rPr>
                <w:rFonts w:hint="eastAsia"/>
                <w:szCs w:val="21"/>
                <w:lang w:val="en-US" w:eastAsia="zh-CN"/>
              </w:rPr>
              <w:t>不含税</w:t>
            </w:r>
            <w:r>
              <w:rPr>
                <w:rFonts w:hint="eastAsia"/>
                <w:szCs w:val="21"/>
                <w:lang w:val="zh-CN"/>
              </w:rPr>
              <w:t>报价应包括</w:t>
            </w:r>
            <w:r>
              <w:rPr>
                <w:rFonts w:hint="eastAsia"/>
                <w:szCs w:val="21"/>
                <w:lang w:val="en-US" w:eastAsia="zh-CN"/>
              </w:rPr>
              <w:t>除税金外</w:t>
            </w:r>
            <w:r>
              <w:rPr>
                <w:rFonts w:hint="eastAsia"/>
                <w:szCs w:val="21"/>
                <w:lang w:val="zh-CN"/>
              </w:rPr>
              <w:t>为完成本采购项目各阶段材料供应以及后期服务所需的全部费用。</w:t>
            </w:r>
            <w:r>
              <w:rPr>
                <w:rFonts w:hint="eastAsia" w:ascii="仿宋" w:hAnsi="仿宋" w:eastAsia="仿宋" w:cs="仿宋"/>
                <w:sz w:val="24"/>
                <w:lang w:val="zh-CN"/>
              </w:rPr>
              <w:t xml:space="preserve"> </w:t>
            </w:r>
          </w:p>
        </w:tc>
      </w:tr>
    </w:tbl>
    <w:p w14:paraId="1434E57B">
      <w:pPr>
        <w:pStyle w:val="2"/>
        <w:ind w:left="0" w:leftChars="0" w:firstLine="0" w:firstLineChars="0"/>
        <w:rPr>
          <w:rFonts w:hint="default" w:ascii="Times New Roman" w:hAnsi="Times New Roman" w:cs="Times New Roman"/>
          <w:kern w:val="0"/>
          <w:sz w:val="24"/>
          <w:szCs w:val="24"/>
          <w:highlight w:val="none"/>
          <w:lang w:val="en-US" w:eastAsia="zh-CN"/>
        </w:rPr>
      </w:pPr>
    </w:p>
    <w:p w14:paraId="2EED5A85">
      <w:pPr>
        <w:pStyle w:val="2"/>
        <w:ind w:left="0" w:leftChars="0" w:firstLine="0" w:firstLineChars="0"/>
        <w:rPr>
          <w:rFonts w:hint="default"/>
          <w:lang w:val="en-US" w:eastAsia="zh-CN"/>
        </w:rPr>
      </w:pPr>
    </w:p>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2025年砂、石、水泥集采项目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4"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号</w:t>
      </w:r>
      <w:permEnd w:id="44"/>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5"/>
        <w:jc w:val="center"/>
        <w:rPr>
          <w:rFonts w:hint="default" w:ascii="Times New Roman" w:hAnsi="Times New Roman" w:cs="Times New Roman"/>
        </w:rPr>
      </w:pPr>
      <w:bookmarkStart w:id="241" w:name="_Toc247527827"/>
      <w:bookmarkStart w:id="242" w:name="_Toc247514246"/>
      <w:bookmarkStart w:id="243" w:name="_Toc144974856"/>
      <w:bookmarkStart w:id="244" w:name="_Toc152042576"/>
      <w:bookmarkStart w:id="245" w:name="_Toc152045787"/>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5"/>
        <w:jc w:val="center"/>
        <w:rPr>
          <w:rFonts w:hint="default" w:ascii="Times New Roman" w:hAnsi="Times New Roman" w:eastAsia="黑体" w:cs="Times New Roman"/>
          <w:sz w:val="20"/>
          <w:szCs w:val="20"/>
        </w:rPr>
      </w:pPr>
      <w:bookmarkStart w:id="247" w:name="_Toc144974857"/>
      <w:bookmarkStart w:id="248" w:name="_Toc152042577"/>
      <w:bookmarkStart w:id="249" w:name="_Toc152045788"/>
      <w:bookmarkStart w:id="250" w:name="_Toc247514247"/>
      <w:bookmarkStart w:id="251" w:name="_Toc300835210"/>
      <w:bookmarkStart w:id="252"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14249"/>
      <w:bookmarkStart w:id="254" w:name="_Toc247527830"/>
      <w:bookmarkStart w:id="255" w:name="_Toc300835212"/>
      <w:bookmarkStart w:id="256" w:name="_Toc152042579"/>
      <w:bookmarkStart w:id="257" w:name="_Toc152045790"/>
      <w:bookmarkStart w:id="258" w:name="_Toc144974859"/>
      <w:r>
        <w:rPr>
          <w:rFonts w:hint="eastAsia" w:ascii="Times New Roman" w:hAnsi="Times New Roman" w:cs="Times New Roman"/>
          <w:szCs w:val="21"/>
          <w:u w:val="single"/>
          <w:lang w:val="en-US" w:eastAsia="zh-CN"/>
        </w:rPr>
        <w:t>亳州交控通路交通设施有限公司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2025年砂、石、水泥集采项目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5" w:edGrp="everyone"/>
      <w:r>
        <w:rPr>
          <w:rFonts w:hint="eastAsia" w:ascii="Times New Roman" w:hAnsi="Times New Roman" w:cs="Times New Roman"/>
          <w:szCs w:val="21"/>
          <w:u w:val="none"/>
          <w:lang w:val="en-US" w:eastAsia="zh-CN"/>
        </w:rPr>
        <w:t>BZJK-2025-</w:t>
      </w:r>
      <w:r>
        <w:rPr>
          <w:rFonts w:hint="eastAsia" w:ascii="Times New Roman" w:hAnsi="Times New Roman" w:cs="Times New Roman"/>
          <w:szCs w:val="21"/>
          <w:u w:val="single"/>
          <w:lang w:val="en-US" w:eastAsia="zh-CN"/>
        </w:rPr>
        <w:t xml:space="preserve">    号</w:t>
      </w:r>
      <w:permEnd w:id="45"/>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w:t>
      </w:r>
      <w:permStart w:id="46" w:edGrp="everyone"/>
      <w:r>
        <w:rPr>
          <w:rFonts w:hint="eastAsia" w:ascii="Times New Roman" w:hAnsi="Times New Roman" w:cs="Times New Roman"/>
          <w:szCs w:val="21"/>
          <w:lang w:val="en-US" w:eastAsia="zh-CN"/>
        </w:rPr>
        <w:t>以供货验收合格当月亳州市除税信息价为基数，按照附件采购清单进行换算，综合不含税下浮率合计</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%（另外，增值税税率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6"/>
      <w:r>
        <w:rPr>
          <w:rFonts w:hint="eastAsia" w:ascii="Times New Roman" w:hAnsi="Times New Roman" w:cs="Times New Roman"/>
          <w:szCs w:val="21"/>
          <w:lang w:val="en-US" w:eastAsia="zh-CN"/>
        </w:rPr>
        <w:t>，供货期：合同签订后，自2025年7月22日至2026年7月22日止；交货期：自采购人发出交货指令5天内完成供货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5"/>
        <w:jc w:val="both"/>
        <w:rPr>
          <w:rFonts w:hint="default" w:ascii="Times New Roman" w:hAnsi="Times New Roman" w:cs="Times New Roman"/>
        </w:rPr>
      </w:pPr>
      <w:bookmarkStart w:id="259" w:name="_Toc144974860"/>
      <w:bookmarkStart w:id="260" w:name="_Toc152042580"/>
      <w:bookmarkStart w:id="261" w:name="_Toc247514283"/>
      <w:bookmarkStart w:id="262" w:name="_Toc152045791"/>
      <w:bookmarkStart w:id="263" w:name="_Toc247527831"/>
      <w:bookmarkStart w:id="264" w:name="_Toc300835213"/>
    </w:p>
    <w:p w14:paraId="352DF75A">
      <w:pPr>
        <w:rPr>
          <w:rFonts w:hint="default"/>
        </w:rPr>
      </w:pPr>
    </w:p>
    <w:p w14:paraId="37F9C44E">
      <w:pPr>
        <w:pStyle w:val="5"/>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144974861"/>
      <w:bookmarkStart w:id="267" w:name="_Toc247514284"/>
      <w:bookmarkStart w:id="268" w:name="_Toc152042581"/>
      <w:bookmarkStart w:id="269" w:name="_Toc300835214"/>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2583"/>
      <w:bookmarkStart w:id="272" w:name="_Toc247514286"/>
      <w:bookmarkStart w:id="273" w:name="_Toc300835216"/>
      <w:bookmarkStart w:id="274" w:name="_Toc247527834"/>
      <w:bookmarkStart w:id="275" w:name="_Toc152045794"/>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14287"/>
      <w:bookmarkStart w:id="279" w:name="_Toc247527835"/>
      <w:bookmarkStart w:id="280" w:name="_Toc144974863"/>
      <w:bookmarkStart w:id="281" w:name="_Toc152042584"/>
      <w:bookmarkStart w:id="282" w:name="_Toc152045795"/>
      <w:bookmarkStart w:id="283" w:name="_Toc300835218"/>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9"/>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1AF54C02">
      <w:pPr>
        <w:rPr>
          <w:rFonts w:hint="eastAsia" w:ascii="Times New Roman" w:hAnsi="Times New Roman" w:cs="Times New Roman"/>
          <w:lang w:val="en-US" w:eastAsia="zh-CN"/>
        </w:rPr>
      </w:pPr>
      <w:r>
        <w:rPr>
          <w:rFonts w:hint="eastAsia" w:ascii="Times New Roman" w:hAnsi="Times New Roman" w:cs="Times New Roman"/>
          <w:lang w:val="en-US" w:eastAsia="zh-CN"/>
        </w:rPr>
        <w:br w:type="page"/>
      </w:r>
    </w:p>
    <w:p w14:paraId="6683BE55">
      <w:pPr>
        <w:pStyle w:val="5"/>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5"/>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5"/>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7C137B95">
      <w:pPr>
        <w:rPr>
          <w:rFonts w:hint="eastAsia"/>
          <w:lang w:val="en-US" w:eastAsia="zh-CN"/>
        </w:rPr>
      </w:pPr>
    </w:p>
    <w:tbl>
      <w:tblPr>
        <w:tblStyle w:val="18"/>
        <w:tblW w:w="9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
        <w:gridCol w:w="1219"/>
        <w:gridCol w:w="552"/>
        <w:gridCol w:w="1203"/>
        <w:gridCol w:w="1222"/>
        <w:gridCol w:w="1619"/>
        <w:gridCol w:w="2309"/>
        <w:gridCol w:w="876"/>
      </w:tblGrid>
      <w:tr w14:paraId="39C8C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right w:val="single" w:color="auto" w:sz="4" w:space="0"/>
            </w:tcBorders>
            <w:vAlign w:val="center"/>
          </w:tcPr>
          <w:p w14:paraId="1161DE81">
            <w:pPr>
              <w:tabs>
                <w:tab w:val="center" w:pos="4153"/>
                <w:tab w:val="right" w:pos="8306"/>
              </w:tabs>
              <w:snapToGrid w:val="0"/>
              <w:jc w:val="center"/>
              <w:rPr>
                <w:szCs w:val="21"/>
              </w:rPr>
            </w:pPr>
            <w:r>
              <w:rPr>
                <w:rFonts w:hint="eastAsia"/>
                <w:szCs w:val="21"/>
              </w:rPr>
              <w:t>序号</w:t>
            </w:r>
          </w:p>
        </w:tc>
        <w:tc>
          <w:tcPr>
            <w:tcW w:w="1219" w:type="dxa"/>
            <w:tcBorders>
              <w:top w:val="single" w:color="auto" w:sz="4" w:space="0"/>
              <w:left w:val="single" w:color="auto" w:sz="4" w:space="0"/>
              <w:right w:val="single" w:color="auto" w:sz="4" w:space="0"/>
            </w:tcBorders>
            <w:vAlign w:val="center"/>
          </w:tcPr>
          <w:p w14:paraId="4593F9B5">
            <w:pPr>
              <w:tabs>
                <w:tab w:val="center" w:pos="4153"/>
                <w:tab w:val="right" w:pos="8306"/>
              </w:tabs>
              <w:snapToGrid w:val="0"/>
              <w:jc w:val="center"/>
              <w:rPr>
                <w:szCs w:val="21"/>
              </w:rPr>
            </w:pPr>
            <w:r>
              <w:rPr>
                <w:rFonts w:hint="eastAsia"/>
                <w:szCs w:val="21"/>
              </w:rPr>
              <w:t>材料名称</w:t>
            </w:r>
          </w:p>
        </w:tc>
        <w:tc>
          <w:tcPr>
            <w:tcW w:w="552" w:type="dxa"/>
            <w:tcBorders>
              <w:top w:val="single" w:color="auto" w:sz="4" w:space="0"/>
              <w:left w:val="single" w:color="auto" w:sz="4" w:space="0"/>
              <w:right w:val="single" w:color="auto" w:sz="4" w:space="0"/>
            </w:tcBorders>
            <w:vAlign w:val="center"/>
          </w:tcPr>
          <w:p w14:paraId="5A28D88E">
            <w:pPr>
              <w:tabs>
                <w:tab w:val="center" w:pos="4153"/>
                <w:tab w:val="right" w:pos="8306"/>
              </w:tabs>
              <w:snapToGrid w:val="0"/>
              <w:jc w:val="center"/>
              <w:rPr>
                <w:szCs w:val="21"/>
              </w:rPr>
            </w:pPr>
            <w:r>
              <w:rPr>
                <w:rFonts w:hint="eastAsia"/>
                <w:szCs w:val="21"/>
              </w:rPr>
              <w:t>单位</w:t>
            </w:r>
          </w:p>
        </w:tc>
        <w:tc>
          <w:tcPr>
            <w:tcW w:w="1203" w:type="dxa"/>
            <w:tcBorders>
              <w:top w:val="single" w:color="auto" w:sz="4" w:space="0"/>
              <w:left w:val="single" w:color="auto" w:sz="4" w:space="0"/>
              <w:right w:val="single" w:color="auto" w:sz="4" w:space="0"/>
            </w:tcBorders>
            <w:vAlign w:val="center"/>
          </w:tcPr>
          <w:p w14:paraId="25695595">
            <w:pPr>
              <w:tabs>
                <w:tab w:val="center" w:pos="4153"/>
                <w:tab w:val="right" w:pos="8306"/>
              </w:tabs>
              <w:snapToGrid w:val="0"/>
              <w:jc w:val="center"/>
              <w:rPr>
                <w:rFonts w:hint="eastAsia"/>
                <w:szCs w:val="21"/>
              </w:rPr>
            </w:pPr>
            <w:r>
              <w:rPr>
                <w:rFonts w:hint="eastAsia"/>
                <w:szCs w:val="21"/>
              </w:rPr>
              <w:t>规格</w:t>
            </w:r>
          </w:p>
          <w:p w14:paraId="6A100028">
            <w:pPr>
              <w:tabs>
                <w:tab w:val="center" w:pos="4153"/>
                <w:tab w:val="right" w:pos="8306"/>
              </w:tabs>
              <w:snapToGrid w:val="0"/>
              <w:jc w:val="center"/>
              <w:rPr>
                <w:rFonts w:hint="eastAsia" w:eastAsia="宋体"/>
                <w:szCs w:val="21"/>
                <w:lang w:eastAsia="zh-CN"/>
              </w:rPr>
            </w:pPr>
            <w:r>
              <w:rPr>
                <w:rFonts w:hint="eastAsia"/>
                <w:szCs w:val="21"/>
                <w:lang w:eastAsia="zh-CN"/>
              </w:rPr>
              <w:t>（</w:t>
            </w:r>
            <w:r>
              <w:rPr>
                <w:rFonts w:hint="eastAsia"/>
                <w:szCs w:val="21"/>
              </w:rPr>
              <w:t>mm</w:t>
            </w:r>
            <w:r>
              <w:rPr>
                <w:rFonts w:hint="eastAsia"/>
                <w:szCs w:val="21"/>
                <w:lang w:eastAsia="zh-CN"/>
              </w:rPr>
              <w:t>）</w:t>
            </w:r>
          </w:p>
        </w:tc>
        <w:tc>
          <w:tcPr>
            <w:tcW w:w="1222" w:type="dxa"/>
            <w:tcBorders>
              <w:top w:val="single" w:color="auto" w:sz="4" w:space="0"/>
              <w:left w:val="single" w:color="auto" w:sz="4" w:space="0"/>
              <w:right w:val="single" w:color="auto" w:sz="4" w:space="0"/>
            </w:tcBorders>
            <w:vAlign w:val="center"/>
          </w:tcPr>
          <w:p w14:paraId="1DB5D83E">
            <w:pPr>
              <w:tabs>
                <w:tab w:val="center" w:pos="4153"/>
                <w:tab w:val="right" w:pos="8306"/>
              </w:tabs>
              <w:snapToGrid w:val="0"/>
              <w:jc w:val="center"/>
              <w:rPr>
                <w:szCs w:val="21"/>
              </w:rPr>
            </w:pPr>
            <w:r>
              <w:rPr>
                <w:rFonts w:hint="eastAsia"/>
                <w:szCs w:val="21"/>
                <w:lang w:val="en-US" w:eastAsia="zh-CN"/>
              </w:rPr>
              <w:t>估算</w:t>
            </w:r>
            <w:r>
              <w:rPr>
                <w:rFonts w:hint="eastAsia"/>
                <w:szCs w:val="21"/>
              </w:rPr>
              <w:t>占比（%）</w:t>
            </w:r>
          </w:p>
        </w:tc>
        <w:tc>
          <w:tcPr>
            <w:tcW w:w="1619" w:type="dxa"/>
            <w:tcBorders>
              <w:top w:val="single" w:color="auto" w:sz="4" w:space="0"/>
              <w:left w:val="single" w:color="auto" w:sz="4" w:space="0"/>
              <w:right w:val="single" w:color="auto" w:sz="4" w:space="0"/>
            </w:tcBorders>
            <w:vAlign w:val="center"/>
          </w:tcPr>
          <w:p w14:paraId="49D89E12">
            <w:pPr>
              <w:tabs>
                <w:tab w:val="center" w:pos="4153"/>
                <w:tab w:val="right" w:pos="8306"/>
              </w:tabs>
              <w:snapToGrid w:val="0"/>
              <w:jc w:val="center"/>
              <w:rPr>
                <w:rFonts w:hint="eastAsia" w:eastAsiaTheme="minorEastAsia"/>
                <w:szCs w:val="21"/>
                <w:lang w:val="en-US" w:eastAsia="zh-CN"/>
              </w:rPr>
            </w:pPr>
            <w:r>
              <w:rPr>
                <w:rFonts w:hint="eastAsia"/>
                <w:szCs w:val="21"/>
              </w:rPr>
              <w:t>除税信息价</w:t>
            </w:r>
            <w:r>
              <w:rPr>
                <w:rFonts w:hint="eastAsia"/>
                <w:szCs w:val="21"/>
                <w:lang w:val="en-US" w:eastAsia="zh-CN"/>
              </w:rPr>
              <w:t>下浮率</w:t>
            </w:r>
          </w:p>
        </w:tc>
        <w:tc>
          <w:tcPr>
            <w:tcW w:w="2309" w:type="dxa"/>
            <w:tcBorders>
              <w:top w:val="single" w:color="auto" w:sz="4" w:space="0"/>
              <w:left w:val="single" w:color="auto" w:sz="4" w:space="0"/>
              <w:right w:val="single" w:color="auto" w:sz="4" w:space="0"/>
            </w:tcBorders>
            <w:vAlign w:val="center"/>
          </w:tcPr>
          <w:p w14:paraId="67D049FE">
            <w:pPr>
              <w:tabs>
                <w:tab w:val="center" w:pos="4153"/>
                <w:tab w:val="right" w:pos="8306"/>
              </w:tabs>
              <w:snapToGrid w:val="0"/>
              <w:jc w:val="center"/>
              <w:rPr>
                <w:szCs w:val="21"/>
              </w:rPr>
            </w:pPr>
            <w:r>
              <w:rPr>
                <w:rFonts w:hint="eastAsia"/>
                <w:szCs w:val="21"/>
              </w:rPr>
              <w:t>综合不含税下浮率</w:t>
            </w:r>
          </w:p>
        </w:tc>
        <w:tc>
          <w:tcPr>
            <w:tcW w:w="876" w:type="dxa"/>
            <w:tcBorders>
              <w:top w:val="single" w:color="auto" w:sz="4" w:space="0"/>
              <w:left w:val="single" w:color="auto" w:sz="4" w:space="0"/>
              <w:right w:val="single" w:color="auto" w:sz="4" w:space="0"/>
            </w:tcBorders>
            <w:vAlign w:val="center"/>
          </w:tcPr>
          <w:p w14:paraId="2383674B">
            <w:pPr>
              <w:tabs>
                <w:tab w:val="center" w:pos="4153"/>
                <w:tab w:val="right" w:pos="8306"/>
              </w:tabs>
              <w:snapToGrid w:val="0"/>
              <w:jc w:val="center"/>
              <w:rPr>
                <w:szCs w:val="21"/>
              </w:rPr>
            </w:pPr>
            <w:r>
              <w:rPr>
                <w:rFonts w:hint="eastAsia"/>
                <w:szCs w:val="21"/>
                <w:lang w:val="en-US" w:eastAsia="zh-CN"/>
              </w:rPr>
              <w:t>另外，增值税</w:t>
            </w:r>
            <w:r>
              <w:rPr>
                <w:rFonts w:hint="eastAsia"/>
                <w:szCs w:val="21"/>
              </w:rPr>
              <w:t>税率</w:t>
            </w:r>
          </w:p>
        </w:tc>
      </w:tr>
      <w:tr w14:paraId="5C92A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right w:val="single" w:color="auto" w:sz="4" w:space="0"/>
            </w:tcBorders>
            <w:vAlign w:val="center"/>
          </w:tcPr>
          <w:p w14:paraId="4EB9C693">
            <w:pPr>
              <w:tabs>
                <w:tab w:val="center" w:pos="4153"/>
                <w:tab w:val="right" w:pos="8306"/>
              </w:tabs>
              <w:snapToGrid w:val="0"/>
              <w:jc w:val="center"/>
              <w:rPr>
                <w:szCs w:val="21"/>
              </w:rPr>
            </w:pPr>
            <w:r>
              <w:rPr>
                <w:rFonts w:hint="eastAsia"/>
                <w:szCs w:val="21"/>
              </w:rPr>
              <w:t>1</w:t>
            </w:r>
          </w:p>
        </w:tc>
        <w:tc>
          <w:tcPr>
            <w:tcW w:w="1219" w:type="dxa"/>
            <w:tcBorders>
              <w:top w:val="single" w:color="auto" w:sz="4" w:space="0"/>
              <w:left w:val="single" w:color="auto" w:sz="4" w:space="0"/>
              <w:right w:val="single" w:color="auto" w:sz="4" w:space="0"/>
            </w:tcBorders>
            <w:vAlign w:val="center"/>
          </w:tcPr>
          <w:p w14:paraId="6A1C5944">
            <w:pPr>
              <w:tabs>
                <w:tab w:val="center" w:pos="4153"/>
                <w:tab w:val="right" w:pos="8306"/>
              </w:tabs>
              <w:snapToGrid w:val="0"/>
              <w:jc w:val="center"/>
              <w:rPr>
                <w:szCs w:val="21"/>
              </w:rPr>
            </w:pPr>
            <w:r>
              <w:rPr>
                <w:rFonts w:hint="eastAsia"/>
                <w:szCs w:val="21"/>
              </w:rPr>
              <w:t>砂</w:t>
            </w:r>
          </w:p>
        </w:tc>
        <w:tc>
          <w:tcPr>
            <w:tcW w:w="552" w:type="dxa"/>
            <w:tcBorders>
              <w:top w:val="single" w:color="auto" w:sz="4" w:space="0"/>
              <w:left w:val="single" w:color="auto" w:sz="4" w:space="0"/>
              <w:right w:val="single" w:color="auto" w:sz="4" w:space="0"/>
            </w:tcBorders>
            <w:vAlign w:val="center"/>
          </w:tcPr>
          <w:p w14:paraId="1BC08AA6">
            <w:pPr>
              <w:tabs>
                <w:tab w:val="center" w:pos="4153"/>
                <w:tab w:val="right" w:pos="8306"/>
              </w:tabs>
              <w:snapToGrid w:val="0"/>
              <w:jc w:val="center"/>
              <w:rPr>
                <w:szCs w:val="21"/>
              </w:rPr>
            </w:pPr>
            <w:r>
              <w:rPr>
                <w:rFonts w:hint="eastAsia"/>
                <w:szCs w:val="21"/>
              </w:rPr>
              <w:t>吨</w:t>
            </w:r>
          </w:p>
        </w:tc>
        <w:tc>
          <w:tcPr>
            <w:tcW w:w="1203" w:type="dxa"/>
            <w:tcBorders>
              <w:top w:val="single" w:color="auto" w:sz="4" w:space="0"/>
              <w:left w:val="single" w:color="auto" w:sz="4" w:space="0"/>
              <w:right w:val="single" w:color="auto" w:sz="4" w:space="0"/>
            </w:tcBorders>
            <w:vAlign w:val="center"/>
          </w:tcPr>
          <w:p w14:paraId="253D7E80">
            <w:pPr>
              <w:tabs>
                <w:tab w:val="center" w:pos="4153"/>
                <w:tab w:val="right" w:pos="8306"/>
              </w:tabs>
              <w:snapToGrid w:val="0"/>
              <w:jc w:val="center"/>
              <w:rPr>
                <w:szCs w:val="21"/>
              </w:rPr>
            </w:pPr>
            <w:r>
              <w:rPr>
                <w:rFonts w:hint="eastAsia"/>
                <w:szCs w:val="21"/>
                <w:lang w:val="en-US" w:eastAsia="zh-CN"/>
              </w:rPr>
              <w:t>以订单通知</w:t>
            </w:r>
            <w:r>
              <w:rPr>
                <w:rFonts w:hint="eastAsia"/>
                <w:szCs w:val="21"/>
              </w:rPr>
              <w:t>为准</w:t>
            </w:r>
          </w:p>
        </w:tc>
        <w:tc>
          <w:tcPr>
            <w:tcW w:w="1222" w:type="dxa"/>
            <w:tcBorders>
              <w:top w:val="single" w:color="auto" w:sz="4" w:space="0"/>
              <w:left w:val="single" w:color="auto" w:sz="4" w:space="0"/>
              <w:right w:val="single" w:color="auto" w:sz="4" w:space="0"/>
            </w:tcBorders>
            <w:vAlign w:val="center"/>
          </w:tcPr>
          <w:p w14:paraId="3E4B639F">
            <w:pPr>
              <w:tabs>
                <w:tab w:val="center" w:pos="4153"/>
                <w:tab w:val="right" w:pos="8306"/>
              </w:tabs>
              <w:snapToGrid w:val="0"/>
              <w:jc w:val="center"/>
              <w:rPr>
                <w:szCs w:val="21"/>
              </w:rPr>
            </w:pPr>
            <w:r>
              <w:rPr>
                <w:rFonts w:hint="eastAsia"/>
                <w:szCs w:val="21"/>
              </w:rPr>
              <w:t>42%</w:t>
            </w:r>
          </w:p>
        </w:tc>
        <w:tc>
          <w:tcPr>
            <w:tcW w:w="1619" w:type="dxa"/>
            <w:tcBorders>
              <w:top w:val="single" w:color="auto" w:sz="4" w:space="0"/>
              <w:left w:val="single" w:color="auto" w:sz="4" w:space="0"/>
              <w:right w:val="single" w:color="auto" w:sz="4" w:space="0"/>
            </w:tcBorders>
            <w:vAlign w:val="center"/>
          </w:tcPr>
          <w:p w14:paraId="09AC56F9">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2309" w:type="dxa"/>
            <w:tcBorders>
              <w:top w:val="single" w:color="auto" w:sz="4" w:space="0"/>
              <w:left w:val="single" w:color="auto" w:sz="4" w:space="0"/>
              <w:right w:val="single" w:color="auto" w:sz="4" w:space="0"/>
            </w:tcBorders>
            <w:vAlign w:val="center"/>
          </w:tcPr>
          <w:p w14:paraId="08991520">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占比*除税信息价</w:t>
            </w:r>
            <w:r>
              <w:rPr>
                <w:rFonts w:hint="eastAsia"/>
                <w:szCs w:val="21"/>
                <w:lang w:val="en-US" w:eastAsia="zh-CN"/>
              </w:rPr>
              <w:t>下浮率</w:t>
            </w:r>
          </w:p>
        </w:tc>
        <w:tc>
          <w:tcPr>
            <w:tcW w:w="876" w:type="dxa"/>
            <w:vMerge w:val="restart"/>
            <w:tcBorders>
              <w:top w:val="single" w:color="auto" w:sz="4" w:space="0"/>
              <w:left w:val="single" w:color="auto" w:sz="4" w:space="0"/>
              <w:right w:val="single" w:color="auto" w:sz="4" w:space="0"/>
            </w:tcBorders>
            <w:vAlign w:val="center"/>
          </w:tcPr>
          <w:p w14:paraId="32867006">
            <w:pPr>
              <w:tabs>
                <w:tab w:val="center" w:pos="4153"/>
                <w:tab w:val="right" w:pos="8306"/>
              </w:tabs>
              <w:snapToGrid w:val="0"/>
              <w:jc w:val="center"/>
              <w:rPr>
                <w:szCs w:val="21"/>
              </w:rPr>
            </w:pPr>
            <w:r>
              <w:rPr>
                <w:rFonts w:hint="eastAsia"/>
                <w:szCs w:val="21"/>
                <w:u w:val="single"/>
              </w:rPr>
              <w:t xml:space="preserve">   </w:t>
            </w:r>
            <w:r>
              <w:rPr>
                <w:rFonts w:hint="eastAsia"/>
                <w:szCs w:val="21"/>
              </w:rPr>
              <w:t>%</w:t>
            </w:r>
          </w:p>
        </w:tc>
      </w:tr>
      <w:tr w14:paraId="7C869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right w:val="single" w:color="auto" w:sz="4" w:space="0"/>
            </w:tcBorders>
            <w:vAlign w:val="center"/>
          </w:tcPr>
          <w:p w14:paraId="29D823A1">
            <w:pPr>
              <w:tabs>
                <w:tab w:val="center" w:pos="4153"/>
                <w:tab w:val="right" w:pos="8306"/>
              </w:tabs>
              <w:snapToGrid w:val="0"/>
              <w:jc w:val="center"/>
              <w:rPr>
                <w:szCs w:val="21"/>
              </w:rPr>
            </w:pPr>
            <w:r>
              <w:rPr>
                <w:rFonts w:hint="eastAsia"/>
                <w:szCs w:val="21"/>
              </w:rPr>
              <w:t>2</w:t>
            </w:r>
          </w:p>
        </w:tc>
        <w:tc>
          <w:tcPr>
            <w:tcW w:w="1219" w:type="dxa"/>
            <w:tcBorders>
              <w:top w:val="single" w:color="auto" w:sz="4" w:space="0"/>
              <w:left w:val="single" w:color="auto" w:sz="4" w:space="0"/>
              <w:right w:val="single" w:color="auto" w:sz="4" w:space="0"/>
            </w:tcBorders>
            <w:vAlign w:val="center"/>
          </w:tcPr>
          <w:p w14:paraId="5D3E6706">
            <w:pPr>
              <w:tabs>
                <w:tab w:val="center" w:pos="4153"/>
                <w:tab w:val="right" w:pos="8306"/>
              </w:tabs>
              <w:snapToGrid w:val="0"/>
              <w:jc w:val="center"/>
              <w:rPr>
                <w:szCs w:val="21"/>
              </w:rPr>
            </w:pPr>
            <w:r>
              <w:rPr>
                <w:rFonts w:hint="eastAsia"/>
                <w:szCs w:val="21"/>
              </w:rPr>
              <w:t>碎石</w:t>
            </w:r>
          </w:p>
        </w:tc>
        <w:tc>
          <w:tcPr>
            <w:tcW w:w="552" w:type="dxa"/>
            <w:tcBorders>
              <w:top w:val="single" w:color="auto" w:sz="4" w:space="0"/>
              <w:left w:val="single" w:color="auto" w:sz="4" w:space="0"/>
              <w:right w:val="single" w:color="auto" w:sz="4" w:space="0"/>
            </w:tcBorders>
            <w:vAlign w:val="center"/>
          </w:tcPr>
          <w:p w14:paraId="26535538">
            <w:pPr>
              <w:tabs>
                <w:tab w:val="center" w:pos="4153"/>
                <w:tab w:val="right" w:pos="8306"/>
              </w:tabs>
              <w:snapToGrid w:val="0"/>
              <w:jc w:val="center"/>
              <w:rPr>
                <w:szCs w:val="21"/>
              </w:rPr>
            </w:pPr>
            <w:r>
              <w:rPr>
                <w:rFonts w:hint="eastAsia"/>
                <w:szCs w:val="21"/>
              </w:rPr>
              <w:t>吨</w:t>
            </w:r>
          </w:p>
        </w:tc>
        <w:tc>
          <w:tcPr>
            <w:tcW w:w="1203" w:type="dxa"/>
            <w:tcBorders>
              <w:top w:val="single" w:color="auto" w:sz="4" w:space="0"/>
              <w:left w:val="single" w:color="auto" w:sz="4" w:space="0"/>
              <w:right w:val="single" w:color="auto" w:sz="4" w:space="0"/>
            </w:tcBorders>
            <w:vAlign w:val="center"/>
          </w:tcPr>
          <w:p w14:paraId="5732693C">
            <w:pPr>
              <w:tabs>
                <w:tab w:val="center" w:pos="4153"/>
                <w:tab w:val="right" w:pos="8306"/>
              </w:tabs>
              <w:snapToGrid w:val="0"/>
              <w:jc w:val="center"/>
              <w:rPr>
                <w:szCs w:val="21"/>
              </w:rPr>
            </w:pPr>
            <w:r>
              <w:rPr>
                <w:rFonts w:hint="eastAsia"/>
                <w:szCs w:val="21"/>
                <w:lang w:val="en-US" w:eastAsia="zh-CN"/>
              </w:rPr>
              <w:t>以订单通知</w:t>
            </w:r>
            <w:r>
              <w:rPr>
                <w:rFonts w:hint="eastAsia"/>
                <w:szCs w:val="21"/>
              </w:rPr>
              <w:t>为准</w:t>
            </w:r>
          </w:p>
        </w:tc>
        <w:tc>
          <w:tcPr>
            <w:tcW w:w="1222" w:type="dxa"/>
            <w:tcBorders>
              <w:top w:val="single" w:color="auto" w:sz="4" w:space="0"/>
              <w:left w:val="single" w:color="auto" w:sz="4" w:space="0"/>
              <w:right w:val="single" w:color="auto" w:sz="4" w:space="0"/>
            </w:tcBorders>
            <w:vAlign w:val="center"/>
          </w:tcPr>
          <w:p w14:paraId="014513E6">
            <w:pPr>
              <w:tabs>
                <w:tab w:val="center" w:pos="4153"/>
                <w:tab w:val="right" w:pos="8306"/>
              </w:tabs>
              <w:snapToGrid w:val="0"/>
              <w:jc w:val="center"/>
              <w:rPr>
                <w:szCs w:val="21"/>
              </w:rPr>
            </w:pPr>
            <w:r>
              <w:rPr>
                <w:rFonts w:hint="eastAsia"/>
                <w:szCs w:val="21"/>
              </w:rPr>
              <w:t>43%</w:t>
            </w:r>
          </w:p>
        </w:tc>
        <w:tc>
          <w:tcPr>
            <w:tcW w:w="1619" w:type="dxa"/>
            <w:tcBorders>
              <w:top w:val="single" w:color="auto" w:sz="4" w:space="0"/>
              <w:left w:val="single" w:color="auto" w:sz="4" w:space="0"/>
              <w:right w:val="single" w:color="auto" w:sz="4" w:space="0"/>
            </w:tcBorders>
            <w:vAlign w:val="center"/>
          </w:tcPr>
          <w:p w14:paraId="418F029B">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2309" w:type="dxa"/>
            <w:tcBorders>
              <w:top w:val="single" w:color="auto" w:sz="4" w:space="0"/>
              <w:left w:val="single" w:color="auto" w:sz="4" w:space="0"/>
              <w:right w:val="single" w:color="auto" w:sz="4" w:space="0"/>
            </w:tcBorders>
            <w:vAlign w:val="center"/>
          </w:tcPr>
          <w:p w14:paraId="0B75680F">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占比*除税信息价</w:t>
            </w:r>
            <w:r>
              <w:rPr>
                <w:rFonts w:hint="eastAsia"/>
                <w:szCs w:val="21"/>
                <w:lang w:val="en-US" w:eastAsia="zh-CN"/>
              </w:rPr>
              <w:t>下浮率</w:t>
            </w:r>
          </w:p>
        </w:tc>
        <w:tc>
          <w:tcPr>
            <w:tcW w:w="876" w:type="dxa"/>
            <w:vMerge w:val="continue"/>
            <w:tcBorders>
              <w:left w:val="single" w:color="auto" w:sz="4" w:space="0"/>
              <w:right w:val="single" w:color="auto" w:sz="4" w:space="0"/>
            </w:tcBorders>
            <w:vAlign w:val="center"/>
          </w:tcPr>
          <w:p w14:paraId="5E72BA96">
            <w:pPr>
              <w:tabs>
                <w:tab w:val="center" w:pos="4153"/>
                <w:tab w:val="right" w:pos="8306"/>
              </w:tabs>
              <w:snapToGrid w:val="0"/>
              <w:jc w:val="center"/>
              <w:rPr>
                <w:szCs w:val="21"/>
              </w:rPr>
            </w:pPr>
          </w:p>
        </w:tc>
      </w:tr>
      <w:tr w14:paraId="499AB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bottom w:val="single" w:color="auto" w:sz="4" w:space="0"/>
              <w:right w:val="single" w:color="auto" w:sz="4" w:space="0"/>
            </w:tcBorders>
            <w:vAlign w:val="center"/>
          </w:tcPr>
          <w:p w14:paraId="79158D05">
            <w:pPr>
              <w:tabs>
                <w:tab w:val="center" w:pos="4153"/>
                <w:tab w:val="right" w:pos="8306"/>
              </w:tabs>
              <w:snapToGrid w:val="0"/>
              <w:jc w:val="center"/>
              <w:rPr>
                <w:szCs w:val="21"/>
              </w:rPr>
            </w:pPr>
            <w:r>
              <w:rPr>
                <w:rFonts w:hint="eastAsia"/>
                <w:szCs w:val="21"/>
              </w:rPr>
              <w:t>3</w:t>
            </w:r>
          </w:p>
        </w:tc>
        <w:tc>
          <w:tcPr>
            <w:tcW w:w="1219" w:type="dxa"/>
            <w:tcBorders>
              <w:top w:val="single" w:color="auto" w:sz="4" w:space="0"/>
              <w:left w:val="single" w:color="auto" w:sz="4" w:space="0"/>
              <w:bottom w:val="single" w:color="auto" w:sz="4" w:space="0"/>
              <w:right w:val="single" w:color="auto" w:sz="4" w:space="0"/>
            </w:tcBorders>
            <w:vAlign w:val="center"/>
          </w:tcPr>
          <w:p w14:paraId="3F54265E">
            <w:pPr>
              <w:tabs>
                <w:tab w:val="center" w:pos="4153"/>
                <w:tab w:val="right" w:pos="8306"/>
              </w:tabs>
              <w:snapToGrid w:val="0"/>
              <w:jc w:val="center"/>
              <w:rPr>
                <w:szCs w:val="21"/>
              </w:rPr>
            </w:pPr>
            <w:r>
              <w:rPr>
                <w:rFonts w:hint="eastAsia"/>
                <w:szCs w:val="21"/>
              </w:rPr>
              <w:t>水泥</w:t>
            </w:r>
          </w:p>
        </w:tc>
        <w:tc>
          <w:tcPr>
            <w:tcW w:w="552" w:type="dxa"/>
            <w:tcBorders>
              <w:top w:val="single" w:color="auto" w:sz="4" w:space="0"/>
              <w:left w:val="single" w:color="auto" w:sz="4" w:space="0"/>
              <w:bottom w:val="single" w:color="auto" w:sz="4" w:space="0"/>
              <w:right w:val="single" w:color="auto" w:sz="4" w:space="0"/>
            </w:tcBorders>
            <w:vAlign w:val="center"/>
          </w:tcPr>
          <w:p w14:paraId="013BA324">
            <w:pPr>
              <w:tabs>
                <w:tab w:val="center" w:pos="4153"/>
                <w:tab w:val="right" w:pos="8306"/>
              </w:tabs>
              <w:snapToGrid w:val="0"/>
              <w:jc w:val="center"/>
              <w:rPr>
                <w:szCs w:val="21"/>
              </w:rPr>
            </w:pPr>
            <w:r>
              <w:rPr>
                <w:rFonts w:hint="eastAsia"/>
                <w:szCs w:val="21"/>
              </w:rPr>
              <w:t>吨</w:t>
            </w:r>
          </w:p>
        </w:tc>
        <w:tc>
          <w:tcPr>
            <w:tcW w:w="1203" w:type="dxa"/>
            <w:tcBorders>
              <w:top w:val="single" w:color="auto" w:sz="4" w:space="0"/>
              <w:left w:val="single" w:color="auto" w:sz="4" w:space="0"/>
              <w:bottom w:val="single" w:color="auto" w:sz="4" w:space="0"/>
              <w:right w:val="single" w:color="auto" w:sz="4" w:space="0"/>
            </w:tcBorders>
            <w:vAlign w:val="center"/>
          </w:tcPr>
          <w:p w14:paraId="59AE3D5C">
            <w:pPr>
              <w:tabs>
                <w:tab w:val="center" w:pos="4153"/>
                <w:tab w:val="right" w:pos="8306"/>
              </w:tabs>
              <w:snapToGrid w:val="0"/>
              <w:jc w:val="center"/>
              <w:rPr>
                <w:szCs w:val="21"/>
              </w:rPr>
            </w:pPr>
            <w:r>
              <w:rPr>
                <w:rFonts w:hint="eastAsia"/>
                <w:szCs w:val="21"/>
                <w:lang w:val="en-US" w:eastAsia="zh-CN"/>
              </w:rPr>
              <w:t>以订单通知</w:t>
            </w:r>
            <w:r>
              <w:rPr>
                <w:rFonts w:hint="eastAsia"/>
                <w:szCs w:val="21"/>
              </w:rPr>
              <w:t>为准</w:t>
            </w:r>
          </w:p>
        </w:tc>
        <w:tc>
          <w:tcPr>
            <w:tcW w:w="1222" w:type="dxa"/>
            <w:tcBorders>
              <w:top w:val="single" w:color="auto" w:sz="4" w:space="0"/>
              <w:left w:val="single" w:color="auto" w:sz="4" w:space="0"/>
              <w:bottom w:val="single" w:color="auto" w:sz="4" w:space="0"/>
              <w:right w:val="single" w:color="auto" w:sz="4" w:space="0"/>
            </w:tcBorders>
            <w:vAlign w:val="center"/>
          </w:tcPr>
          <w:p w14:paraId="09392595">
            <w:pPr>
              <w:tabs>
                <w:tab w:val="center" w:pos="4153"/>
                <w:tab w:val="right" w:pos="8306"/>
              </w:tabs>
              <w:snapToGrid w:val="0"/>
              <w:jc w:val="center"/>
              <w:rPr>
                <w:szCs w:val="21"/>
              </w:rPr>
            </w:pPr>
            <w:r>
              <w:rPr>
                <w:rFonts w:hint="eastAsia"/>
                <w:szCs w:val="21"/>
              </w:rPr>
              <w:t>15%</w:t>
            </w:r>
          </w:p>
        </w:tc>
        <w:tc>
          <w:tcPr>
            <w:tcW w:w="1619" w:type="dxa"/>
            <w:tcBorders>
              <w:top w:val="single" w:color="auto" w:sz="4" w:space="0"/>
              <w:left w:val="single" w:color="auto" w:sz="4" w:space="0"/>
              <w:bottom w:val="single" w:color="auto" w:sz="4" w:space="0"/>
              <w:right w:val="single" w:color="auto" w:sz="4" w:space="0"/>
            </w:tcBorders>
            <w:vAlign w:val="center"/>
          </w:tcPr>
          <w:p w14:paraId="7E385B08">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2309" w:type="dxa"/>
            <w:tcBorders>
              <w:top w:val="single" w:color="auto" w:sz="4" w:space="0"/>
              <w:left w:val="single" w:color="auto" w:sz="4" w:space="0"/>
              <w:bottom w:val="single" w:color="auto" w:sz="4" w:space="0"/>
              <w:right w:val="single" w:color="auto" w:sz="4" w:space="0"/>
            </w:tcBorders>
            <w:vAlign w:val="center"/>
          </w:tcPr>
          <w:p w14:paraId="56F840CB">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占比*除税信息价</w:t>
            </w:r>
            <w:r>
              <w:rPr>
                <w:rFonts w:hint="eastAsia"/>
                <w:szCs w:val="21"/>
                <w:lang w:val="en-US" w:eastAsia="zh-CN"/>
              </w:rPr>
              <w:t>下浮率</w:t>
            </w:r>
          </w:p>
        </w:tc>
        <w:tc>
          <w:tcPr>
            <w:tcW w:w="876" w:type="dxa"/>
            <w:vMerge w:val="continue"/>
            <w:tcBorders>
              <w:left w:val="single" w:color="auto" w:sz="4" w:space="0"/>
              <w:right w:val="single" w:color="auto" w:sz="4" w:space="0"/>
            </w:tcBorders>
            <w:vAlign w:val="center"/>
          </w:tcPr>
          <w:p w14:paraId="6E7D470E">
            <w:pPr>
              <w:tabs>
                <w:tab w:val="center" w:pos="4153"/>
                <w:tab w:val="right" w:pos="8306"/>
              </w:tabs>
              <w:snapToGrid w:val="0"/>
              <w:jc w:val="center"/>
              <w:rPr>
                <w:szCs w:val="21"/>
              </w:rPr>
            </w:pPr>
          </w:p>
        </w:tc>
      </w:tr>
      <w:tr w14:paraId="2DD0D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9477" w:type="dxa"/>
            <w:gridSpan w:val="8"/>
            <w:tcBorders>
              <w:top w:val="single" w:color="auto" w:sz="4" w:space="0"/>
              <w:left w:val="single" w:color="auto" w:sz="4" w:space="0"/>
              <w:bottom w:val="single" w:color="auto" w:sz="4" w:space="0"/>
              <w:right w:val="single" w:color="auto" w:sz="4" w:space="0"/>
            </w:tcBorders>
            <w:vAlign w:val="center"/>
          </w:tcPr>
          <w:p w14:paraId="067C0188">
            <w:pPr>
              <w:tabs>
                <w:tab w:val="center" w:pos="4153"/>
                <w:tab w:val="right" w:pos="8306"/>
              </w:tabs>
              <w:snapToGrid w:val="0"/>
              <w:jc w:val="center"/>
              <w:rPr>
                <w:rFonts w:hint="default" w:eastAsia="宋体"/>
                <w:szCs w:val="21"/>
                <w:lang w:val="en-US" w:eastAsia="zh-CN"/>
              </w:rPr>
            </w:pPr>
            <w:r>
              <w:rPr>
                <w:rFonts w:hint="eastAsia"/>
                <w:szCs w:val="21"/>
              </w:rPr>
              <w:t>综合不含税下浮率合计：</w:t>
            </w:r>
            <w:r>
              <w:rPr>
                <w:rFonts w:hint="eastAsia"/>
                <w:szCs w:val="21"/>
                <w:u w:val="single"/>
                <w:lang w:val="en-US" w:eastAsia="zh-CN"/>
              </w:rPr>
              <w:t xml:space="preserve">      %</w:t>
            </w:r>
          </w:p>
        </w:tc>
      </w:tr>
      <w:tr w14:paraId="6545F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9477" w:type="dxa"/>
            <w:gridSpan w:val="8"/>
            <w:tcBorders>
              <w:top w:val="single" w:color="auto" w:sz="4" w:space="0"/>
              <w:left w:val="single" w:color="auto" w:sz="4" w:space="0"/>
              <w:bottom w:val="single" w:color="auto" w:sz="4" w:space="0"/>
              <w:right w:val="single" w:color="auto" w:sz="4" w:space="0"/>
            </w:tcBorders>
            <w:vAlign w:val="center"/>
          </w:tcPr>
          <w:p w14:paraId="3CAEC3F3">
            <w:pPr>
              <w:tabs>
                <w:tab w:val="center" w:pos="4153"/>
                <w:tab w:val="right" w:pos="8306"/>
              </w:tabs>
              <w:snapToGrid w:val="0"/>
              <w:jc w:val="left"/>
              <w:rPr>
                <w:rFonts w:hint="eastAsia"/>
                <w:szCs w:val="21"/>
                <w:lang w:val="zh-CN"/>
              </w:rPr>
            </w:pPr>
            <w:r>
              <w:rPr>
                <w:rFonts w:hint="eastAsia"/>
                <w:szCs w:val="21"/>
                <w:lang w:val="zh-CN"/>
              </w:rPr>
              <w:t>备注：</w:t>
            </w:r>
            <w:r>
              <w:rPr>
                <w:rFonts w:hint="eastAsia"/>
                <w:szCs w:val="21"/>
                <w:lang w:val="en-US" w:eastAsia="zh-CN"/>
              </w:rPr>
              <w:t>1.综合</w:t>
            </w:r>
            <w:r>
              <w:rPr>
                <w:rFonts w:hint="eastAsia"/>
                <w:szCs w:val="21"/>
                <w:lang w:val="zh-CN"/>
              </w:rPr>
              <w:t>不含税下浮率=</w:t>
            </w:r>
            <w:r>
              <w:rPr>
                <w:rFonts w:hint="eastAsia"/>
                <w:szCs w:val="21"/>
                <w:lang w:val="en-US" w:eastAsia="zh-CN"/>
              </w:rPr>
              <w:t>各材料估算</w:t>
            </w:r>
            <w:r>
              <w:rPr>
                <w:rFonts w:hint="eastAsia"/>
                <w:szCs w:val="21"/>
                <w:lang w:val="zh-CN"/>
              </w:rPr>
              <w:t>占比*</w:t>
            </w:r>
            <w:r>
              <w:rPr>
                <w:rFonts w:hint="eastAsia"/>
                <w:szCs w:val="21"/>
              </w:rPr>
              <w:t>除税信息价下浮</w:t>
            </w:r>
            <w:r>
              <w:rPr>
                <w:rFonts w:hint="eastAsia"/>
                <w:szCs w:val="21"/>
                <w:lang w:val="en-US" w:eastAsia="zh-CN"/>
              </w:rPr>
              <w:t>率</w:t>
            </w:r>
            <w:r>
              <w:rPr>
                <w:rFonts w:hint="eastAsia"/>
                <w:szCs w:val="21"/>
                <w:lang w:val="zh-CN"/>
              </w:rPr>
              <w:t>，</w:t>
            </w:r>
            <w:r>
              <w:rPr>
                <w:rFonts w:hint="eastAsia"/>
                <w:szCs w:val="21"/>
                <w:lang w:val="zh-CN" w:eastAsia="zh-CN"/>
              </w:rPr>
              <w:t>然后</w:t>
            </w:r>
            <w:r>
              <w:rPr>
                <w:rFonts w:hint="eastAsia"/>
                <w:szCs w:val="21"/>
                <w:lang w:val="zh-CN"/>
              </w:rPr>
              <w:t>进行累加合计；</w:t>
            </w:r>
          </w:p>
          <w:p w14:paraId="7986C677">
            <w:pPr>
              <w:tabs>
                <w:tab w:val="center" w:pos="4153"/>
                <w:tab w:val="right" w:pos="8306"/>
              </w:tabs>
              <w:snapToGrid w:val="0"/>
              <w:ind w:firstLine="630" w:firstLineChars="300"/>
              <w:jc w:val="left"/>
              <w:rPr>
                <w:rFonts w:hint="eastAsia"/>
                <w:szCs w:val="21"/>
              </w:rPr>
            </w:pPr>
            <w:r>
              <w:rPr>
                <w:rFonts w:hint="eastAsia"/>
                <w:szCs w:val="21"/>
                <w:lang w:val="zh-CN"/>
              </w:rPr>
              <w:t>2.</w:t>
            </w:r>
            <w:r>
              <w:rPr>
                <w:rFonts w:hint="eastAsia"/>
                <w:szCs w:val="21"/>
                <w:lang w:val="en-US" w:eastAsia="zh-CN"/>
              </w:rPr>
              <w:t>不含税</w:t>
            </w:r>
            <w:r>
              <w:rPr>
                <w:rFonts w:hint="eastAsia"/>
                <w:szCs w:val="21"/>
                <w:lang w:val="zh-CN"/>
              </w:rPr>
              <w:t>报价应包括</w:t>
            </w:r>
            <w:r>
              <w:rPr>
                <w:rFonts w:hint="eastAsia"/>
                <w:szCs w:val="21"/>
                <w:lang w:val="en-US" w:eastAsia="zh-CN"/>
              </w:rPr>
              <w:t>除税金外</w:t>
            </w:r>
            <w:r>
              <w:rPr>
                <w:rFonts w:hint="eastAsia"/>
                <w:szCs w:val="21"/>
                <w:lang w:val="zh-CN"/>
              </w:rPr>
              <w:t>为完成本采购项目各阶段材料供应以及后期服务所需的全部费用。</w:t>
            </w:r>
            <w:r>
              <w:rPr>
                <w:rFonts w:hint="eastAsia" w:ascii="仿宋" w:hAnsi="仿宋" w:eastAsia="仿宋" w:cs="仿宋"/>
                <w:sz w:val="24"/>
                <w:lang w:val="zh-CN"/>
              </w:rPr>
              <w:t xml:space="preserve"> </w:t>
            </w:r>
          </w:p>
        </w:tc>
      </w:tr>
    </w:tbl>
    <w:p w14:paraId="0D39A99E">
      <w:pPr>
        <w:pStyle w:val="2"/>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5"/>
        <w:jc w:val="center"/>
        <w:rPr>
          <w:rFonts w:hint="eastAsia"/>
        </w:rPr>
      </w:pPr>
      <w:bookmarkStart w:id="284" w:name="_Toc152045796"/>
      <w:bookmarkStart w:id="285" w:name="_Toc247527836"/>
      <w:bookmarkStart w:id="286" w:name="_Toc144974864"/>
      <w:bookmarkStart w:id="287" w:name="_Toc300835221"/>
      <w:bookmarkStart w:id="288" w:name="_Toc247514288"/>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3DAB7550">
      <w:pPr>
        <w:pStyle w:val="6"/>
        <w:jc w:val="both"/>
        <w:rPr>
          <w:rFonts w:hint="eastAsia"/>
        </w:rPr>
      </w:pPr>
      <w:bookmarkStart w:id="291" w:name="_Toc246997116"/>
      <w:bookmarkStart w:id="292" w:name="_Toc246996373"/>
      <w:bookmarkStart w:id="293" w:name="_Toc296602618"/>
      <w:bookmarkStart w:id="294" w:name="_Toc179632828"/>
      <w:bookmarkStart w:id="295" w:name="_Toc247085891"/>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6"/>
        <w:jc w:val="both"/>
      </w:pPr>
      <w:bookmarkStart w:id="296" w:name="_Toc246996370"/>
      <w:bookmarkStart w:id="297" w:name="_Toc247085888"/>
      <w:bookmarkStart w:id="298" w:name="_Toc246997113"/>
      <w:bookmarkStart w:id="299" w:name="_Toc296602615"/>
      <w:bookmarkStart w:id="300" w:name="_Toc144974878"/>
      <w:bookmarkStart w:id="301" w:name="_Toc300835226"/>
      <w:bookmarkStart w:id="302" w:name="_Toc247514302"/>
      <w:bookmarkStart w:id="303" w:name="_Toc152042599"/>
      <w:bookmarkStart w:id="304" w:name="_Toc152045810"/>
      <w:bookmarkStart w:id="305" w:name="_Toc24752785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6"/>
        <w:jc w:val="both"/>
        <w:rPr>
          <w:rFonts w:eastAsia="黑体"/>
          <w:sz w:val="23"/>
          <w:szCs w:val="23"/>
        </w:rPr>
      </w:pPr>
      <w:bookmarkStart w:id="306" w:name="_Toc246996371"/>
      <w:bookmarkStart w:id="307" w:name="_Toc296602616"/>
      <w:bookmarkStart w:id="308" w:name="_Toc247085889"/>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6"/>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247527851"/>
      <w:bookmarkStart w:id="312" w:name="_Toc152045811"/>
      <w:bookmarkStart w:id="313" w:name="_Toc144974879"/>
      <w:bookmarkStart w:id="314" w:name="_Toc247514303"/>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6"/>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如有，按询比文件要求提供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6"/>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75526744">
      <w:pPr>
        <w:spacing w:line="440" w:lineRule="exact"/>
        <w:ind w:firstLine="422" w:firstLineChars="200"/>
        <w:rPr>
          <w:rFonts w:hint="default" w:ascii="Times New Roman" w:hAnsi="Times New Roman" w:cs="Times New Roman"/>
        </w:rPr>
      </w:pPr>
      <w:r>
        <w:rPr>
          <w:rFonts w:hint="default" w:ascii="Times New Roman" w:hAnsi="Times New Roman" w:cs="Times New Roman"/>
          <w:b/>
          <w:bCs/>
          <w:color w:val="FF0000"/>
        </w:rPr>
        <w:t>注：包括但不限于供货方案、响应产品性能指标的详细描述、技术支持资料、技术服务和质保期服务计划等内容。</w:t>
      </w:r>
      <w:r>
        <w:rPr>
          <w:rFonts w:hint="default" w:ascii="Times New Roman" w:hAnsi="Times New Roman" w:cs="Times New Roman"/>
        </w:rPr>
        <w:br w:type="page"/>
      </w:r>
      <w:bookmarkStart w:id="315" w:name="_Toc152042602"/>
      <w:bookmarkStart w:id="316" w:name="_Toc247530162"/>
      <w:bookmarkStart w:id="317" w:name="_Toc247514305"/>
      <w:bookmarkStart w:id="318" w:name="_Toc247527853"/>
      <w:bookmarkStart w:id="319" w:name="_Toc152045813"/>
      <w:bookmarkStart w:id="320" w:name="_Toc144974881"/>
    </w:p>
    <w:bookmarkEnd w:id="315"/>
    <w:bookmarkEnd w:id="316"/>
    <w:bookmarkEnd w:id="317"/>
    <w:bookmarkEnd w:id="318"/>
    <w:bookmarkEnd w:id="319"/>
    <w:bookmarkEnd w:id="320"/>
    <w:p w14:paraId="1E5B7EEB">
      <w:pPr>
        <w:pStyle w:val="5"/>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3E728B1-ACFB-4364-8754-E72ED5B4A467}"/>
  </w:font>
  <w:font w:name="Arial">
    <w:panose1 w:val="020B0604020202020204"/>
    <w:charset w:val="01"/>
    <w:family w:val="swiss"/>
    <w:pitch w:val="default"/>
    <w:sig w:usb0="E0002EFF" w:usb1="C000785B" w:usb2="00000009" w:usb3="00000000" w:csb0="400001FF" w:csb1="FFFF0000"/>
    <w:embedRegular r:id="rId2" w:fontKey="{B7D0A64B-0363-49CE-91EC-0054FC913425}"/>
  </w:font>
  <w:font w:name="黑体">
    <w:panose1 w:val="02010609060101010101"/>
    <w:charset w:val="86"/>
    <w:family w:val="auto"/>
    <w:pitch w:val="default"/>
    <w:sig w:usb0="800002BF" w:usb1="38CF7CFA" w:usb2="00000016" w:usb3="00000000" w:csb0="00040001" w:csb1="00000000"/>
    <w:embedRegular r:id="rId3" w:fontKey="{845715FB-0444-40C7-BA32-923E19C732A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BAF2924F-941C-4E2E-AE3F-BF891A3E114F}"/>
  </w:font>
  <w:font w:name="仿宋_GB2312">
    <w:panose1 w:val="02010609030101010101"/>
    <w:charset w:val="86"/>
    <w:family w:val="modern"/>
    <w:pitch w:val="default"/>
    <w:sig w:usb0="00000001" w:usb1="080E0000" w:usb2="00000000" w:usb3="00000000" w:csb0="00040000" w:csb1="00000000"/>
    <w:embedRegular r:id="rId5" w:fontKey="{70C780EE-D80F-46EC-AD9F-1C9CB5FC17F1}"/>
  </w:font>
  <w:font w:name="楷体">
    <w:panose1 w:val="02010609060101010101"/>
    <w:charset w:val="86"/>
    <w:family w:val="auto"/>
    <w:pitch w:val="default"/>
    <w:sig w:usb0="800002BF" w:usb1="38CF7CFA" w:usb2="00000016" w:usb3="00000000" w:csb0="00040001" w:csb1="00000000"/>
    <w:embedRegular r:id="rId6" w:fontKey="{5A26B738-78C8-4168-A6B5-553AC4E7BC8B}"/>
  </w:font>
  <w:font w:name="Wingdings 2">
    <w:panose1 w:val="05020102010507070707"/>
    <w:charset w:val="00"/>
    <w:family w:val="auto"/>
    <w:pitch w:val="default"/>
    <w:sig w:usb0="00000000" w:usb1="00000000" w:usb2="00000000" w:usb3="00000000" w:csb0="80000000" w:csb1="00000000"/>
    <w:embedRegular r:id="rId7" w:fontKey="{DC516C14-8BC1-47AD-BC48-10232D0BB1E8}"/>
  </w:font>
  <w:font w:name="方正仿宋_GB2312">
    <w:panose1 w:val="02000000000000000000"/>
    <w:charset w:val="86"/>
    <w:family w:val="auto"/>
    <w:pitch w:val="default"/>
    <w:sig w:usb0="A00002BF" w:usb1="184F6CFA" w:usb2="00000012" w:usb3="00000000" w:csb0="00040001" w:csb1="00000000"/>
    <w:embedRegular r:id="rId8" w:fontKey="{56F9EAE2-7260-421A-AFF2-3E06153A49F6}"/>
  </w:font>
  <w:font w:name="仿宋">
    <w:panose1 w:val="02010609060101010101"/>
    <w:charset w:val="86"/>
    <w:family w:val="modern"/>
    <w:pitch w:val="default"/>
    <w:sig w:usb0="800002BF" w:usb1="38CF7CFA" w:usb2="00000016" w:usb3="00000000" w:csb0="00040001" w:csb1="00000000"/>
    <w:embedRegular r:id="rId9" w:fontKey="{5D689DE1-6499-4DF0-ACED-E2A6C4E94316}"/>
  </w:font>
  <w:font w:name="方正小标宋简体">
    <w:panose1 w:val="03000509000000000000"/>
    <w:charset w:val="86"/>
    <w:family w:val="auto"/>
    <w:pitch w:val="default"/>
    <w:sig w:usb0="00000001" w:usb1="080E0000" w:usb2="00000000" w:usb3="00000000" w:csb0="00040000" w:csb1="00000000"/>
    <w:embedRegular r:id="rId10" w:fontKey="{B8CAEC38-A5B5-422F-A826-057588AC477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4F9BDDA">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54F9BDDA">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37586"/>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61E94"/>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9FE29B2"/>
    <w:rsid w:val="0A074254"/>
    <w:rsid w:val="0A0B0C4F"/>
    <w:rsid w:val="0A0D7099"/>
    <w:rsid w:val="0A2F0DBE"/>
    <w:rsid w:val="0A3B332D"/>
    <w:rsid w:val="0A3E36F7"/>
    <w:rsid w:val="0A466107"/>
    <w:rsid w:val="0A500304"/>
    <w:rsid w:val="0A5234C1"/>
    <w:rsid w:val="0A6809F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274D23"/>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521C2"/>
    <w:rsid w:val="0E053AB5"/>
    <w:rsid w:val="0E093A81"/>
    <w:rsid w:val="0E1201C4"/>
    <w:rsid w:val="0E2844A2"/>
    <w:rsid w:val="0E323572"/>
    <w:rsid w:val="0E35096D"/>
    <w:rsid w:val="0E3C08A3"/>
    <w:rsid w:val="0E626142"/>
    <w:rsid w:val="0E636264"/>
    <w:rsid w:val="0E6C36EA"/>
    <w:rsid w:val="0E6D3EE4"/>
    <w:rsid w:val="0E8168AC"/>
    <w:rsid w:val="0E8E2249"/>
    <w:rsid w:val="0E9601D9"/>
    <w:rsid w:val="0E9843E1"/>
    <w:rsid w:val="0E9D59AD"/>
    <w:rsid w:val="0EA24254"/>
    <w:rsid w:val="0EAB29B5"/>
    <w:rsid w:val="0EAC50D3"/>
    <w:rsid w:val="0EBD2E3C"/>
    <w:rsid w:val="0EC51CF1"/>
    <w:rsid w:val="0ED463D8"/>
    <w:rsid w:val="0ED624A7"/>
    <w:rsid w:val="0EDF39F1"/>
    <w:rsid w:val="0EDF4D5E"/>
    <w:rsid w:val="0EE1117F"/>
    <w:rsid w:val="0EF860F0"/>
    <w:rsid w:val="0F024085"/>
    <w:rsid w:val="0F045089"/>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2136E2"/>
    <w:rsid w:val="123A69E4"/>
    <w:rsid w:val="12445622"/>
    <w:rsid w:val="124D3BAD"/>
    <w:rsid w:val="1250061C"/>
    <w:rsid w:val="125A52C4"/>
    <w:rsid w:val="12655D96"/>
    <w:rsid w:val="127557DC"/>
    <w:rsid w:val="127A564B"/>
    <w:rsid w:val="12837F21"/>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65422D"/>
    <w:rsid w:val="158374C1"/>
    <w:rsid w:val="15A62ECC"/>
    <w:rsid w:val="15B14179"/>
    <w:rsid w:val="15BB60D3"/>
    <w:rsid w:val="15C516BD"/>
    <w:rsid w:val="15CC3B64"/>
    <w:rsid w:val="15CF6FE1"/>
    <w:rsid w:val="15D469C1"/>
    <w:rsid w:val="160055BA"/>
    <w:rsid w:val="160475A2"/>
    <w:rsid w:val="160F71A0"/>
    <w:rsid w:val="1619003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6D77B5"/>
    <w:rsid w:val="17740758"/>
    <w:rsid w:val="17824660"/>
    <w:rsid w:val="178F2FF8"/>
    <w:rsid w:val="179121FE"/>
    <w:rsid w:val="17915931"/>
    <w:rsid w:val="17B16D6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0776E2"/>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751A0"/>
    <w:rsid w:val="1D9C4E32"/>
    <w:rsid w:val="1DB1626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974FE3"/>
    <w:rsid w:val="1FA7625B"/>
    <w:rsid w:val="1FAA6A2E"/>
    <w:rsid w:val="1FB61240"/>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0D4311"/>
    <w:rsid w:val="22270787"/>
    <w:rsid w:val="224D73DD"/>
    <w:rsid w:val="22592601"/>
    <w:rsid w:val="2259286B"/>
    <w:rsid w:val="22603DB2"/>
    <w:rsid w:val="226D7B83"/>
    <w:rsid w:val="22837AA1"/>
    <w:rsid w:val="2293123C"/>
    <w:rsid w:val="229E633A"/>
    <w:rsid w:val="22A570EC"/>
    <w:rsid w:val="22D569A0"/>
    <w:rsid w:val="230F1167"/>
    <w:rsid w:val="232E56FD"/>
    <w:rsid w:val="233F5F96"/>
    <w:rsid w:val="235A4CA6"/>
    <w:rsid w:val="235F4D23"/>
    <w:rsid w:val="236553F8"/>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D171E9"/>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C3A6A"/>
    <w:rsid w:val="26AF686C"/>
    <w:rsid w:val="26CA60FC"/>
    <w:rsid w:val="26D16018"/>
    <w:rsid w:val="26DB3228"/>
    <w:rsid w:val="26DF6074"/>
    <w:rsid w:val="26E05716"/>
    <w:rsid w:val="26E31456"/>
    <w:rsid w:val="26FE679C"/>
    <w:rsid w:val="27084A19"/>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2D69B8"/>
    <w:rsid w:val="29366359"/>
    <w:rsid w:val="293D4E4D"/>
    <w:rsid w:val="294066EC"/>
    <w:rsid w:val="294B3CA5"/>
    <w:rsid w:val="29586D7A"/>
    <w:rsid w:val="29772B51"/>
    <w:rsid w:val="29791894"/>
    <w:rsid w:val="29836AE4"/>
    <w:rsid w:val="2984235F"/>
    <w:rsid w:val="2984482A"/>
    <w:rsid w:val="29891E41"/>
    <w:rsid w:val="29967FD2"/>
    <w:rsid w:val="29A52D8F"/>
    <w:rsid w:val="29A948BE"/>
    <w:rsid w:val="29C56C3A"/>
    <w:rsid w:val="29C77C6F"/>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A27CB"/>
    <w:rsid w:val="2ACB46DB"/>
    <w:rsid w:val="2AD750C3"/>
    <w:rsid w:val="2AE77D08"/>
    <w:rsid w:val="2AEA3011"/>
    <w:rsid w:val="2AFA0B1C"/>
    <w:rsid w:val="2B061504"/>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0E72BF"/>
    <w:rsid w:val="2C1C6937"/>
    <w:rsid w:val="2C1E3C6A"/>
    <w:rsid w:val="2C202757"/>
    <w:rsid w:val="2C270D43"/>
    <w:rsid w:val="2C4C7604"/>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2101FF"/>
    <w:rsid w:val="2D2A4061"/>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668A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831B82"/>
    <w:rsid w:val="34993CA2"/>
    <w:rsid w:val="349B5E0E"/>
    <w:rsid w:val="34A432B6"/>
    <w:rsid w:val="34AA020B"/>
    <w:rsid w:val="34B451A4"/>
    <w:rsid w:val="34B66335"/>
    <w:rsid w:val="34BC17DA"/>
    <w:rsid w:val="34C77CC1"/>
    <w:rsid w:val="34D015E3"/>
    <w:rsid w:val="34DA3E98"/>
    <w:rsid w:val="34DA5C46"/>
    <w:rsid w:val="34DA79F4"/>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3FEF583C"/>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80764"/>
    <w:rsid w:val="409D2A1A"/>
    <w:rsid w:val="40A752D1"/>
    <w:rsid w:val="40B21FB5"/>
    <w:rsid w:val="40B95E2E"/>
    <w:rsid w:val="40C17F9E"/>
    <w:rsid w:val="40C43B66"/>
    <w:rsid w:val="40D93256"/>
    <w:rsid w:val="40E247F7"/>
    <w:rsid w:val="40EE5966"/>
    <w:rsid w:val="410F1967"/>
    <w:rsid w:val="41130294"/>
    <w:rsid w:val="41182A7C"/>
    <w:rsid w:val="41335FC7"/>
    <w:rsid w:val="413D193E"/>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0F5127"/>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EE1DBE"/>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4643C"/>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57E4D"/>
    <w:rsid w:val="47B642F1"/>
    <w:rsid w:val="47B91028"/>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3338DF"/>
    <w:rsid w:val="4C3752D5"/>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3F1387"/>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633F7"/>
    <w:rsid w:val="52B87033"/>
    <w:rsid w:val="52BE5917"/>
    <w:rsid w:val="52ED3633"/>
    <w:rsid w:val="52F766E2"/>
    <w:rsid w:val="53034162"/>
    <w:rsid w:val="530A3743"/>
    <w:rsid w:val="531B72EC"/>
    <w:rsid w:val="531E35FC"/>
    <w:rsid w:val="531E3DBA"/>
    <w:rsid w:val="532B1547"/>
    <w:rsid w:val="532C2C22"/>
    <w:rsid w:val="533B2FF6"/>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5753F4"/>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684D1F"/>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62049"/>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C6CD8"/>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DD794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3E40D1"/>
    <w:rsid w:val="613F2531"/>
    <w:rsid w:val="61432D9E"/>
    <w:rsid w:val="614623F7"/>
    <w:rsid w:val="614F6934"/>
    <w:rsid w:val="615D3929"/>
    <w:rsid w:val="61683AEB"/>
    <w:rsid w:val="618446C0"/>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324E3A"/>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3C5960"/>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2A553B"/>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870A3"/>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A77C40"/>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949B4"/>
    <w:rsid w:val="6FEB7EFB"/>
    <w:rsid w:val="700148B1"/>
    <w:rsid w:val="700708F2"/>
    <w:rsid w:val="70262445"/>
    <w:rsid w:val="7054057E"/>
    <w:rsid w:val="706C7393"/>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BE038B"/>
    <w:rsid w:val="71E13469"/>
    <w:rsid w:val="72005730"/>
    <w:rsid w:val="72280301"/>
    <w:rsid w:val="7231753D"/>
    <w:rsid w:val="72386C6E"/>
    <w:rsid w:val="723A3057"/>
    <w:rsid w:val="723B526F"/>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764AC8"/>
    <w:rsid w:val="7688585F"/>
    <w:rsid w:val="769211D6"/>
    <w:rsid w:val="76943AE5"/>
    <w:rsid w:val="76A2766B"/>
    <w:rsid w:val="76E97048"/>
    <w:rsid w:val="76F54CF0"/>
    <w:rsid w:val="76FD5906"/>
    <w:rsid w:val="77072866"/>
    <w:rsid w:val="770B684E"/>
    <w:rsid w:val="770E6AAE"/>
    <w:rsid w:val="77153FF9"/>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14320"/>
    <w:rsid w:val="7ABC15CC"/>
    <w:rsid w:val="7AF84FA0"/>
    <w:rsid w:val="7AF909C6"/>
    <w:rsid w:val="7B022443"/>
    <w:rsid w:val="7B2014A6"/>
    <w:rsid w:val="7B4C2104"/>
    <w:rsid w:val="7B6273C9"/>
    <w:rsid w:val="7B6A44CF"/>
    <w:rsid w:val="7B6F1BD0"/>
    <w:rsid w:val="7B732126"/>
    <w:rsid w:val="7B755C15"/>
    <w:rsid w:val="7B7B20CE"/>
    <w:rsid w:val="7B8E1216"/>
    <w:rsid w:val="7B9A1345"/>
    <w:rsid w:val="7BBF0CBF"/>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A40C90"/>
    <w:rsid w:val="7DD00A7F"/>
    <w:rsid w:val="7DED3C92"/>
    <w:rsid w:val="7E006F08"/>
    <w:rsid w:val="7E01736D"/>
    <w:rsid w:val="7E333E03"/>
    <w:rsid w:val="7E391FE6"/>
    <w:rsid w:val="7E916762"/>
    <w:rsid w:val="7EA45F4A"/>
    <w:rsid w:val="7EA916FD"/>
    <w:rsid w:val="7EAB552B"/>
    <w:rsid w:val="7EE53C64"/>
    <w:rsid w:val="7F313C82"/>
    <w:rsid w:val="7F392B36"/>
    <w:rsid w:val="7F541580"/>
    <w:rsid w:val="7F590594"/>
    <w:rsid w:val="7F667225"/>
    <w:rsid w:val="7F7B2EF8"/>
    <w:rsid w:val="7F7C7C94"/>
    <w:rsid w:val="7F815ACA"/>
    <w:rsid w:val="7F844A6E"/>
    <w:rsid w:val="7F932247"/>
    <w:rsid w:val="7F98785D"/>
    <w:rsid w:val="7FA2248A"/>
    <w:rsid w:val="7FAA1C29"/>
    <w:rsid w:val="7FAC4830"/>
    <w:rsid w:val="7FB659E5"/>
    <w:rsid w:val="7FB7407D"/>
    <w:rsid w:val="7FE03C92"/>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0"/>
    <w:pPr>
      <w:ind w:firstLine="420"/>
    </w:pPr>
  </w:style>
  <w:style w:type="paragraph" w:styleId="3">
    <w:name w:val="Body Text Indent"/>
    <w:basedOn w:val="1"/>
    <w:qFormat/>
    <w:uiPriority w:val="0"/>
    <w:pPr>
      <w:spacing w:after="120" w:afterLines="0"/>
      <w:ind w:left="420" w:leftChars="200"/>
    </w:p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w:basedOn w:val="1"/>
    <w:qFormat/>
    <w:uiPriority w:val="0"/>
    <w:pPr>
      <w:spacing w:after="12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9"/>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17517</Words>
  <Characters>18659</Characters>
  <Lines>0</Lines>
  <Paragraphs>0</Paragraphs>
  <TotalTime>7</TotalTime>
  <ScaleCrop>false</ScaleCrop>
  <LinksUpToDate>false</LinksUpToDate>
  <CharactersWithSpaces>19855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2025-06-18T09:47:00Z</cp:lastPrinted>
  <dcterms:modified xsi:type="dcterms:W3CDTF">2025-06-20T01:16:02Z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3DC1C1C5EC6741F69426F536341F9981</vt:lpwstr>
  </property>
  <property fmtid="{D5CDD505-2E9C-101B-9397-08002B2CF9AE}" pid="4" name="KSOTemplateDocerSaveRecord">
    <vt:lpwstr>eyJoZGlkIjoiMmExZjUxNWE0NWJhMGEyZGI3ZWI3YTYxOTBiYmQ5M2YiLCJ1c2VySWQiOiIxNTY2MDI0ODcyIn0=</vt:lpwstr>
  </property>
</Properties>
</file>