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CE8A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亳州逸合府一期施工总承包项目金属钢结构采购及安装</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工程项目</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亳州逸合府一期施工总承包项目金属钢结构采购及安装工程项目</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亳州逸合府一期施工总承包项目金属钢结构采购及安装工程项目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40号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22万元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按照设计图纸要求，完成屋面检修钢爬梯、电梯机房钢爬梯、电梯基坑检修钢爬梯、截水沟铸铁篦子、集水坑成品铸铁盖板等材料</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及施工。包含不限于提供主材、辅材、机械、工具及安装等，具体详见图纸及清单。具体工程量以实际完成合格工程量为准，清单数量为暂定，据实按含税单价结算，供应商响应前请认真</w:t>
      </w:r>
      <w:r>
        <w:rPr>
          <w:rFonts w:hint="eastAsia" w:asciiTheme="minorEastAsia" w:hAnsiTheme="minorEastAsia" w:cstheme="minorEastAsia"/>
          <w:sz w:val="28"/>
          <w:szCs w:val="28"/>
          <w:highlight w:val="none"/>
          <w:lang w:val="en-US" w:eastAsia="zh-CN"/>
        </w:rPr>
        <w:t>查</w:t>
      </w:r>
      <w:r>
        <w:rPr>
          <w:rFonts w:hint="eastAsia" w:asciiTheme="minorEastAsia" w:hAnsiTheme="minorEastAsia" w:eastAsiaTheme="minorEastAsia" w:cstheme="minorEastAsia"/>
          <w:sz w:val="28"/>
          <w:szCs w:val="28"/>
          <w:highlight w:val="none"/>
          <w:lang w:val="en-US" w:eastAsia="zh-CN"/>
        </w:rPr>
        <w:t>阅清单及要求并现场勘察了解情况，响应时我方认为供应商已充分了解工程概况及工作范围。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14:paraId="668B6CE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（二）资质要求：具有有效的钢结构工程专业承包三级及以上资质和有效的安全生产许可证；</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单项合同金额不低于</w:t>
      </w:r>
      <w:r>
        <w:rPr>
          <w:rFonts w:hint="eastAsia" w:asciiTheme="minorEastAsia" w:hAnsiTheme="minorEastAsia" w:cstheme="minorEastAsia"/>
          <w:kern w:val="2"/>
          <w:sz w:val="28"/>
          <w:szCs w:val="28"/>
          <w:highlight w:val="none"/>
          <w:u w:val="single"/>
          <w:lang w:val="en-US" w:eastAsia="zh-CN"/>
        </w:rPr>
        <w:t>15</w:t>
      </w:r>
      <w:r>
        <w:rPr>
          <w:rFonts w:hint="eastAsia" w:asciiTheme="minorEastAsia" w:hAnsiTheme="minorEastAsia" w:eastAsiaTheme="minorEastAsia" w:cstheme="minorEastAsia"/>
          <w:kern w:val="2"/>
          <w:sz w:val="28"/>
          <w:szCs w:val="28"/>
          <w:highlight w:val="none"/>
          <w:u w:val="single"/>
          <w:lang w:val="en-US" w:eastAsia="zh-CN"/>
        </w:rPr>
        <w:t>万元的金属钢结构供货及安装业绩</w:t>
      </w:r>
      <w:permEnd w:id="17"/>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20"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6</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19</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9</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20"/>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b/>
          <w:bCs/>
          <w:color w:val="FF0000"/>
          <w:sz w:val="28"/>
          <w:szCs w:val="28"/>
          <w:highlight w:val="none"/>
          <w:u w:val="single"/>
          <w:lang w:val="en-US" w:eastAsia="zh-CN"/>
        </w:rPr>
        <w:t>亳州交通投资控股集团有限公司15楼会议室（药都大道与希夷大道交叉口东北角15楼）</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2"/>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sz w:val="28"/>
          <w:szCs w:val="28"/>
          <w:highlight w:val="none"/>
          <w:u w:val="single"/>
          <w:lang w:val="en-US" w:eastAsia="zh-CN"/>
        </w:rPr>
        <w:t>4400元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刘经理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：15212269052</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日</w:t>
      </w:r>
    </w:p>
    <w:permEnd w:id="26"/>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18</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4400元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AHTKJS-2025-40号保证金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亳州逸合府一期施工总承包项目金属钢结构采购及安装工程项目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40号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19</w:t>
            </w:r>
            <w:bookmarkStart w:id="323" w:name="_GoBack"/>
            <w:bookmarkEnd w:id="323"/>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时0</w:t>
            </w:r>
            <w:r>
              <w:rPr>
                <w:rFonts w:hint="eastAsia" w:ascii="Times New Roman" w:hAnsi="Times New Roman" w:cs="Times New Roman"/>
                <w:color w:val="FF0000"/>
                <w:szCs w:val="21"/>
                <w:highlight w:val="none"/>
                <w:u w:val="single"/>
                <w:lang w:val="en-US" w:eastAsia="zh-CN"/>
              </w:rPr>
              <w:t>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296602423"/>
      <w:bookmarkStart w:id="2" w:name="_Toc247085692"/>
      <w:bookmarkStart w:id="3" w:name="_Toc246996178"/>
      <w:bookmarkStart w:id="4" w:name="_Toc246996921"/>
      <w:bookmarkStart w:id="5" w:name="_Toc152042308"/>
      <w:bookmarkStart w:id="6" w:name="_Toc144974500"/>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152045536"/>
      <w:bookmarkStart w:id="10" w:name="_Toc296602426"/>
      <w:bookmarkStart w:id="11" w:name="_Toc246996924"/>
      <w:bookmarkStart w:id="12" w:name="_Toc152042312"/>
      <w:bookmarkStart w:id="13" w:name="_Toc246996181"/>
      <w:bookmarkStart w:id="14" w:name="_Toc144974504"/>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46996182"/>
      <w:bookmarkStart w:id="19" w:name="_Toc152045537"/>
      <w:bookmarkStart w:id="20" w:name="_Toc296602427"/>
      <w:bookmarkStart w:id="21" w:name="_Toc179632554"/>
      <w:bookmarkStart w:id="22" w:name="_Toc152042313"/>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246996926"/>
      <w:bookmarkStart w:id="26" w:name="_Toc144974506"/>
      <w:bookmarkStart w:id="27" w:name="_Toc247085697"/>
      <w:bookmarkStart w:id="28" w:name="_Toc152045538"/>
      <w:bookmarkStart w:id="29" w:name="_Toc152042314"/>
      <w:bookmarkStart w:id="30"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246996187"/>
      <w:bookmarkStart w:id="33" w:name="_Toc152042318"/>
      <w:bookmarkStart w:id="34" w:name="_Toc179632560"/>
      <w:bookmarkStart w:id="35" w:name="_Toc152045542"/>
      <w:bookmarkStart w:id="36" w:name="_Toc247085701"/>
      <w:bookmarkStart w:id="37" w:name="_Toc296602432"/>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144974511"/>
      <w:bookmarkStart w:id="41" w:name="_Toc246996188"/>
      <w:bookmarkStart w:id="42" w:name="_Toc296602433"/>
      <w:bookmarkStart w:id="43" w:name="_Toc247085702"/>
      <w:bookmarkStart w:id="44" w:name="_Toc179632561"/>
      <w:bookmarkStart w:id="45" w:name="_Toc246996931"/>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246996189"/>
      <w:bookmarkStart w:id="49" w:name="_Toc296602434"/>
      <w:bookmarkStart w:id="50" w:name="_Toc246996932"/>
      <w:bookmarkStart w:id="51" w:name="_Toc152045544"/>
      <w:bookmarkStart w:id="52" w:name="_Toc144974512"/>
      <w:bookmarkStart w:id="53" w:name="_Toc247085703"/>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79632563"/>
      <w:bookmarkStart w:id="57" w:name="_Toc247085704"/>
      <w:bookmarkStart w:id="58" w:name="_Toc152042321"/>
      <w:bookmarkStart w:id="59" w:name="_Toc246996933"/>
      <w:bookmarkStart w:id="60" w:name="_Toc296602435"/>
      <w:bookmarkStart w:id="61" w:name="_Toc246996190"/>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46996191"/>
      <w:bookmarkStart w:id="65" w:name="_Toc246996934"/>
      <w:bookmarkStart w:id="66" w:name="_Toc179632564"/>
      <w:bookmarkStart w:id="67" w:name="_Toc152042322"/>
      <w:bookmarkStart w:id="68" w:name="_Toc296602436"/>
      <w:bookmarkStart w:id="69" w:name="_Toc247085705"/>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47085706"/>
      <w:bookmarkStart w:id="73" w:name="_Toc296602437"/>
      <w:bookmarkStart w:id="74" w:name="_Toc246996192"/>
      <w:bookmarkStart w:id="75" w:name="_Toc246996935"/>
      <w:bookmarkStart w:id="76" w:name="_Toc179632565"/>
      <w:bookmarkStart w:id="77" w:name="_Toc152045547"/>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152042324"/>
      <w:bookmarkStart w:id="81" w:name="_Toc246996193"/>
      <w:bookmarkStart w:id="82" w:name="_Toc144974516"/>
      <w:bookmarkStart w:id="83" w:name="_Toc179632566"/>
      <w:bookmarkStart w:id="84" w:name="_Toc152045548"/>
      <w:bookmarkStart w:id="85" w:name="_Toc247085707"/>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79632567"/>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937"/>
      <w:bookmarkStart w:id="93" w:name="_Toc246996194"/>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296602443"/>
      <w:bookmarkStart w:id="97" w:name="_Toc246996199"/>
      <w:bookmarkStart w:id="98" w:name="_Toc246996942"/>
      <w:bookmarkStart w:id="99" w:name="_Toc247085713"/>
      <w:bookmarkStart w:id="100" w:name="_Toc152045555"/>
      <w:bookmarkStart w:id="101" w:name="_Toc144974523"/>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52042332"/>
      <w:bookmarkStart w:id="105" w:name="_Toc296602444"/>
      <w:bookmarkStart w:id="106" w:name="_Toc144974524"/>
      <w:bookmarkStart w:id="107" w:name="_Toc152045556"/>
      <w:bookmarkStart w:id="108" w:name="_Toc247085714"/>
      <w:bookmarkStart w:id="109" w:name="_Toc246996200"/>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44974525"/>
      <w:bookmarkStart w:id="113" w:name="_Toc247085715"/>
      <w:bookmarkStart w:id="114" w:name="_Toc179632575"/>
      <w:bookmarkStart w:id="115" w:name="_Toc152042333"/>
      <w:bookmarkStart w:id="116" w:name="_Toc152045557"/>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52042334"/>
      <w:bookmarkStart w:id="120" w:name="_Toc246996945"/>
      <w:bookmarkStart w:id="121" w:name="_Toc179632576"/>
      <w:bookmarkStart w:id="122" w:name="_Toc247085716"/>
      <w:bookmarkStart w:id="123" w:name="_Toc246996202"/>
      <w:bookmarkStart w:id="124" w:name="_Toc144974526"/>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246996203"/>
      <w:bookmarkStart w:id="128" w:name="_Toc246996946"/>
      <w:bookmarkStart w:id="129" w:name="_Toc296602447"/>
      <w:bookmarkStart w:id="130" w:name="_Toc152045559"/>
      <w:bookmarkStart w:id="131" w:name="_Toc179632577"/>
      <w:bookmarkStart w:id="132" w:name="_Toc247085717"/>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8"/>
      <w:bookmarkStart w:id="135" w:name="_Toc152042336"/>
      <w:bookmarkStart w:id="136" w:name="_Toc152045560"/>
      <w:bookmarkStart w:id="137" w:name="_Toc296602448"/>
      <w:bookmarkStart w:id="138" w:name="_Toc246996204"/>
      <w:bookmarkStart w:id="139" w:name="_Toc179632578"/>
      <w:bookmarkStart w:id="140" w:name="_Toc246996947"/>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179632579"/>
      <w:bookmarkStart w:id="144" w:name="_Toc152045561"/>
      <w:bookmarkStart w:id="145" w:name="_Toc296602449"/>
      <w:bookmarkStart w:id="146" w:name="_Toc152042337"/>
      <w:bookmarkStart w:id="147" w:name="_Toc247085719"/>
      <w:bookmarkStart w:id="148" w:name="_Toc246996205"/>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44974531"/>
      <w:bookmarkStart w:id="152" w:name="_Toc246996207"/>
      <w:bookmarkStart w:id="153" w:name="_Toc152045563"/>
      <w:bookmarkStart w:id="154" w:name="_Toc296602452"/>
      <w:bookmarkStart w:id="155" w:name="_Toc152042339"/>
      <w:bookmarkStart w:id="156" w:name="_Toc179632581"/>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247085724"/>
      <w:bookmarkStart w:id="160" w:name="_Toc144974534"/>
      <w:bookmarkStart w:id="161" w:name="_Toc246996953"/>
      <w:bookmarkStart w:id="162" w:name="_Toc246996210"/>
      <w:bookmarkStart w:id="163" w:name="_Toc152045566"/>
      <w:bookmarkStart w:id="164" w:name="_Toc179632584"/>
      <w:bookmarkStart w:id="165" w:name="_Toc296602455"/>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152045567"/>
      <w:bookmarkStart w:id="168" w:name="_Toc179632585"/>
      <w:bookmarkStart w:id="169" w:name="_Toc144974535"/>
      <w:bookmarkStart w:id="170" w:name="_Toc296602456"/>
      <w:bookmarkStart w:id="171" w:name="_Toc247085725"/>
      <w:bookmarkStart w:id="172" w:name="_Toc246996211"/>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6996212"/>
      <w:bookmarkStart w:id="177" w:name="_Toc152042344"/>
      <w:bookmarkStart w:id="178" w:name="_Toc152045568"/>
      <w:bookmarkStart w:id="179" w:name="_Toc179632586"/>
      <w:bookmarkStart w:id="180" w:name="_Toc247085726"/>
      <w:bookmarkStart w:id="181" w:name="_Toc144974536"/>
      <w:bookmarkStart w:id="182" w:name="_Toc246996955"/>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144974537"/>
      <w:bookmarkStart w:id="185" w:name="_Toc296602459"/>
      <w:bookmarkStart w:id="186" w:name="_Toc152042345"/>
      <w:bookmarkStart w:id="187" w:name="_Toc246996956"/>
      <w:bookmarkStart w:id="188" w:name="_Toc152045569"/>
      <w:bookmarkStart w:id="189" w:name="_Toc247085727"/>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247085733"/>
      <w:bookmarkStart w:id="194" w:name="_Toc296590983"/>
      <w:bookmarkStart w:id="195" w:name="_Toc246996962"/>
      <w:bookmarkStart w:id="196" w:name="_Toc296602462"/>
      <w:bookmarkStart w:id="197" w:name="_Toc179632593"/>
      <w:bookmarkStart w:id="198" w:name="_Toc152042351"/>
      <w:bookmarkStart w:id="199" w:name="_Toc144974543"/>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152045576"/>
      <w:bookmarkStart w:id="203" w:name="_Toc246996963"/>
      <w:bookmarkStart w:id="204" w:name="_Toc246996220"/>
      <w:bookmarkStart w:id="205" w:name="_Toc179632594"/>
      <w:bookmarkStart w:id="206" w:name="_Toc152042352"/>
      <w:bookmarkStart w:id="207" w:name="_Toc144974544"/>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246996221"/>
      <w:bookmarkStart w:id="211" w:name="_Toc144974545"/>
      <w:bookmarkStart w:id="212" w:name="_Toc152042353"/>
      <w:bookmarkStart w:id="213" w:name="_Toc179632595"/>
      <w:bookmarkStart w:id="214" w:name="_Toc152045577"/>
      <w:bookmarkStart w:id="215" w:name="_Toc247085735"/>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152042366"/>
            <w:bookmarkStart w:id="219" w:name="_Toc144974556"/>
            <w:bookmarkStart w:id="220" w:name="_Toc246996975"/>
            <w:bookmarkStart w:id="221" w:name="_Toc247085747"/>
            <w:bookmarkStart w:id="222" w:name="_Toc246996232"/>
            <w:bookmarkStart w:id="223" w:name="_Toc152045589"/>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02DB9F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2781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C84B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F4007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5593"/>
      <w:bookmarkStart w:id="226" w:name="_Toc246996979"/>
      <w:bookmarkStart w:id="227" w:name="_Toc296602481"/>
      <w:bookmarkStart w:id="228" w:name="_Toc179632611"/>
      <w:bookmarkStart w:id="229" w:name="_Toc247085751"/>
      <w:bookmarkStart w:id="230" w:name="_Toc152042370"/>
      <w:bookmarkStart w:id="231" w:name="_Toc144974560"/>
      <w:bookmarkStart w:id="232" w:name="_Toc246996236"/>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7085754"/>
      <w:bookmarkStart w:id="236" w:name="_Toc296602484"/>
      <w:bookmarkStart w:id="237" w:name="_Toc246996239"/>
      <w:bookmarkStart w:id="238" w:name="_Toc246996982"/>
      <w:bookmarkStart w:id="239" w:name="_Toc179632614"/>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成交人每月按照采购人上月完成实际工程量进行结算，每月应完成工程量以成交人审定为准（不得滞后于合同约定的进度）。当月进度完成时，付款数额按审定工程量的80%支付；验收合格后，工程款付至累计产值的90%；竣工验收备案及总承包单位与建设单位结算完毕后30日内付至最终审计审定结算价款的97%，余款3%为质保金，待两年质保期满后无质量问题或质量问题已解决后无息支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E2F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D7F3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77A6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021FF6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1、成交人提供的材料,应符合国家、地方或行业现行标准及采购人要求,并随货提供出厂合格证、检测报告单、产品质量保证书、货运清单等相关资料。</w:t>
            </w:r>
          </w:p>
          <w:p w14:paraId="798456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2、合同生效后，成交人拒不履行本合同义务时，向采购人支付本合同价10％的违约金，并赔偿采购人因此遭受的实际损失，履约保证金（如有）不予退还，不足部分，采购人可另行主张，且采购人有权终止合同。</w:t>
            </w:r>
          </w:p>
          <w:p w14:paraId="45BFAB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同意给予 1 个月的付款宽限期，在此期间内不视为采购人违约，且成交人不得以此为由中断本项目的货物供应。</w:t>
            </w:r>
          </w:p>
          <w:p w14:paraId="773677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需提供本项目所有相关主材、辅材、工器具、机械设备、脚手架等，含钢梯所需材料、制作、安装、油漆、两侧栏杆等，并满足设计图纸、图集、答疑、采购文件、政府相关文件、规范等其他资料，满足验收要求。</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08570C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1、本项目专业分包采用包工、包料、包相关材料检测、包工具、包工期、包质量、包安全、包文明施工、包税金、包风险、包通过相关部门验收并出具验收合格意见书等一切工程内容及相关工作内容。</w:t>
      </w:r>
    </w:p>
    <w:p w14:paraId="06BBA4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2、准备工作：包括相关资料的准备，包括人员、主材、机械准备等。</w:t>
      </w:r>
    </w:p>
    <w:p w14:paraId="5F9C60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有材料、工序、质量技术需经建设单位、监理单位、总包单位三方共同认可，确认后方可采购进场或进入下一步施工。所有进场主要材料必须经建设单位及采购人认可，否则采购人有权将进场主要材料清退出场，所有损失由成交人自行承担。</w:t>
      </w:r>
    </w:p>
    <w:p w14:paraId="6869A4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4、因场地有限，采购人不提供工人生活区，由成交人自行解决，综合考虑在响应报价内。</w:t>
      </w:r>
    </w:p>
    <w:p w14:paraId="378227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5、施工过程中不得干扰附近居民的生产、生活，与地方发生的任何纠纷，成交人自行解决，给采购人造成的任何损失，采购人将追究成交人相关责任。</w:t>
      </w:r>
    </w:p>
    <w:p w14:paraId="0CD59C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人必须按相关规定办理人身意外伤害险，办理本款保险的一切费用均由成交人承担，不单独计量；供应商进场后一个月内需将该保险保单提交采购人核查与备案，否则采购人将为其代为办理保险，发生费用直接从成交人应得工程款中扣除。</w:t>
      </w:r>
    </w:p>
    <w:p w14:paraId="3ED452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7、因建设单位原因出现停工、停建、变更等情况造成承包范围增减，采购人不承担任何责任。采购人有权对供应商施工范围做出调整。</w:t>
      </w:r>
    </w:p>
    <w:p w14:paraId="7C35DB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3D17B3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项目在实施过程中采购人会不定期对项目安全文明施工进行评审、验收，供应商对施工过程中存在问题进行整改，拒不整改的，由采购人派人员进行整改，费用从供应商工程款中扣除（若建设单位提高创优标准，则按照建设单位要求执行）。</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10、成交人需委派项目负责人一名纳入项目部管理。</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84B31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亳州逸合府一期施工总承包项目金属钢结构采购及安装</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工程项目</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40号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144974856"/>
      <w:bookmarkStart w:id="243" w:name="_Toc300835209"/>
      <w:bookmarkStart w:id="244" w:name="_Toc152042576"/>
      <w:bookmarkStart w:id="245" w:name="_Toc247514246"/>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300835210"/>
      <w:bookmarkStart w:id="249" w:name="_Toc247527828"/>
      <w:bookmarkStart w:id="250" w:name="_Toc247514247"/>
      <w:bookmarkStart w:id="251" w:name="_Toc14497485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300835212"/>
      <w:bookmarkStart w:id="255" w:name="_Toc152042579"/>
      <w:bookmarkStart w:id="256" w:name="_Toc144974859"/>
      <w:bookmarkStart w:id="257" w:name="_Toc152045790"/>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亳州逸合府一期施工总承包项目金属钢结构采购及安装工程项目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AHTKJS-2025-40号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，计划工期：自采购人下达开工指令之日起60日历天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300835213"/>
      <w:bookmarkStart w:id="260" w:name="_Toc247527831"/>
      <w:bookmarkStart w:id="261" w:name="_Toc144974860"/>
      <w:bookmarkStart w:id="262" w:name="_Toc152045791"/>
      <w:bookmarkStart w:id="263" w:name="_Toc152042580"/>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2581"/>
      <w:bookmarkStart w:id="267" w:name="_Toc300835214"/>
      <w:bookmarkStart w:id="268" w:name="_Toc144974861"/>
      <w:bookmarkStart w:id="269" w:name="_Toc152045792"/>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300835216"/>
      <w:bookmarkStart w:id="273" w:name="_Toc144974862"/>
      <w:bookmarkStart w:id="274" w:name="_Toc152045794"/>
      <w:bookmarkStart w:id="275" w:name="_Toc247527834"/>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144974863"/>
      <w:bookmarkStart w:id="280" w:name="_Toc152045795"/>
      <w:bookmarkStart w:id="281" w:name="_Toc247527835"/>
      <w:bookmarkStart w:id="282" w:name="_Toc152042584"/>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10100" w:type="dxa"/>
        <w:tblInd w:w="-4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0"/>
        <w:gridCol w:w="875"/>
        <w:gridCol w:w="1225"/>
        <w:gridCol w:w="2987"/>
        <w:gridCol w:w="700"/>
        <w:gridCol w:w="775"/>
        <w:gridCol w:w="1338"/>
        <w:gridCol w:w="1550"/>
      </w:tblGrid>
      <w:tr w14:paraId="21A74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5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13E0B1B7">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87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2EFBB3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22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BCF048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清单名称</w:t>
            </w:r>
          </w:p>
        </w:tc>
        <w:tc>
          <w:tcPr>
            <w:tcW w:w="298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0E80CD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清单特征</w:t>
            </w:r>
          </w:p>
        </w:tc>
        <w:tc>
          <w:tcPr>
            <w:tcW w:w="70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BF772D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77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11C44A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33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6FB1A6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含税（9%）</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综合单价</w:t>
            </w:r>
          </w:p>
        </w:tc>
        <w:tc>
          <w:tcPr>
            <w:tcW w:w="1550" w:type="dxa"/>
            <w:vMerge w:val="restart"/>
            <w:tcBorders>
              <w:top w:val="single" w:color="000000" w:sz="8" w:space="0"/>
              <w:left w:val="single" w:color="000000" w:sz="4" w:space="0"/>
              <w:bottom w:val="single" w:color="000000" w:sz="4" w:space="0"/>
              <w:right w:val="single" w:color="000000" w:sz="8" w:space="0"/>
            </w:tcBorders>
            <w:shd w:val="clear" w:color="FFFFFF" w:fill="FFFFFF"/>
            <w:vAlign w:val="center"/>
          </w:tcPr>
          <w:p w14:paraId="59F1251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含税（9%）</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综合合价</w:t>
            </w:r>
          </w:p>
        </w:tc>
      </w:tr>
      <w:tr w14:paraId="60794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650"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8126E6B">
            <w:pPr>
              <w:jc w:val="center"/>
              <w:rPr>
                <w:rFonts w:hint="eastAsia" w:ascii="黑体" w:hAnsi="宋体" w:eastAsia="黑体" w:cs="黑体"/>
                <w:i w:val="0"/>
                <w:iCs w:val="0"/>
                <w:color w:val="000000"/>
                <w:sz w:val="21"/>
                <w:szCs w:val="21"/>
                <w:u w:val="none"/>
              </w:rPr>
            </w:pPr>
          </w:p>
        </w:tc>
        <w:tc>
          <w:tcPr>
            <w:tcW w:w="87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BFCD247">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69082C2">
            <w:pPr>
              <w:jc w:val="center"/>
              <w:rPr>
                <w:rFonts w:hint="eastAsia" w:ascii="黑体" w:hAnsi="宋体" w:eastAsia="黑体" w:cs="黑体"/>
                <w:i w:val="0"/>
                <w:iCs w:val="0"/>
                <w:color w:val="000000"/>
                <w:sz w:val="21"/>
                <w:szCs w:val="21"/>
                <w:u w:val="none"/>
              </w:rPr>
            </w:pPr>
          </w:p>
        </w:tc>
        <w:tc>
          <w:tcPr>
            <w:tcW w:w="2987"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51B27F8">
            <w:pPr>
              <w:jc w:val="center"/>
              <w:rPr>
                <w:rFonts w:hint="eastAsia" w:ascii="黑体" w:hAnsi="宋体" w:eastAsia="黑体" w:cs="黑体"/>
                <w:i w:val="0"/>
                <w:iCs w:val="0"/>
                <w:color w:val="000000"/>
                <w:sz w:val="21"/>
                <w:szCs w:val="21"/>
                <w:u w:val="none"/>
              </w:rPr>
            </w:pPr>
          </w:p>
        </w:tc>
        <w:tc>
          <w:tcPr>
            <w:tcW w:w="70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F204097">
            <w:pPr>
              <w:jc w:val="center"/>
              <w:rPr>
                <w:rFonts w:hint="eastAsia" w:ascii="黑体" w:hAnsi="宋体" w:eastAsia="黑体" w:cs="黑体"/>
                <w:i w:val="0"/>
                <w:iCs w:val="0"/>
                <w:color w:val="000000"/>
                <w:sz w:val="21"/>
                <w:szCs w:val="21"/>
                <w:u w:val="none"/>
              </w:rPr>
            </w:pPr>
          </w:p>
        </w:tc>
        <w:tc>
          <w:tcPr>
            <w:tcW w:w="775"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22142CC">
            <w:pPr>
              <w:jc w:val="center"/>
              <w:rPr>
                <w:rFonts w:hint="eastAsia" w:ascii="黑体" w:hAnsi="宋体" w:eastAsia="黑体" w:cs="黑体"/>
                <w:i w:val="0"/>
                <w:iCs w:val="0"/>
                <w:color w:val="000000"/>
                <w:sz w:val="21"/>
                <w:szCs w:val="21"/>
                <w:u w:val="none"/>
              </w:rPr>
            </w:pPr>
          </w:p>
        </w:tc>
        <w:tc>
          <w:tcPr>
            <w:tcW w:w="1338"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DFE4481">
            <w:pPr>
              <w:jc w:val="center"/>
              <w:rPr>
                <w:rFonts w:hint="eastAsia" w:ascii="黑体" w:hAnsi="宋体" w:eastAsia="黑体" w:cs="黑体"/>
                <w:i w:val="0"/>
                <w:iCs w:val="0"/>
                <w:color w:val="000000"/>
                <w:sz w:val="21"/>
                <w:szCs w:val="21"/>
                <w:u w:val="none"/>
              </w:rPr>
            </w:pPr>
          </w:p>
        </w:tc>
        <w:tc>
          <w:tcPr>
            <w:tcW w:w="1550" w:type="dxa"/>
            <w:vMerge w:val="continue"/>
            <w:tcBorders>
              <w:top w:val="single" w:color="000000" w:sz="8" w:space="0"/>
              <w:left w:val="single" w:color="000000" w:sz="4" w:space="0"/>
              <w:bottom w:val="single" w:color="000000" w:sz="4" w:space="0"/>
              <w:right w:val="single" w:color="000000" w:sz="8" w:space="0"/>
            </w:tcBorders>
            <w:shd w:val="clear" w:color="FFFFFF" w:fill="FFFFFF"/>
            <w:vAlign w:val="center"/>
          </w:tcPr>
          <w:p w14:paraId="29958618">
            <w:pPr>
              <w:jc w:val="center"/>
              <w:rPr>
                <w:rFonts w:hint="eastAsia" w:ascii="黑体" w:hAnsi="宋体" w:eastAsia="黑体" w:cs="黑体"/>
                <w:i w:val="0"/>
                <w:iCs w:val="0"/>
                <w:color w:val="000000"/>
                <w:sz w:val="21"/>
                <w:szCs w:val="21"/>
                <w:u w:val="none"/>
              </w:rPr>
            </w:pPr>
          </w:p>
        </w:tc>
      </w:tr>
      <w:tr w14:paraId="3DFC0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62E1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20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010606008001</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D5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钢梯1</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69E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1、部位：屋面检修钢爬梯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2、钢梯形式：距地面2200，详15J401 第D17页节点做法1检修钢梯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3、油漆做法：详见建筑设计说明</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E6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07C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5608">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1C75DA5">
            <w:pPr>
              <w:jc w:val="center"/>
              <w:rPr>
                <w:rFonts w:hint="eastAsia" w:ascii="宋体" w:hAnsi="宋体" w:eastAsia="宋体" w:cs="宋体"/>
                <w:i w:val="0"/>
                <w:iCs w:val="0"/>
                <w:color w:val="000000"/>
                <w:sz w:val="21"/>
                <w:szCs w:val="21"/>
                <w:u w:val="none"/>
              </w:rPr>
            </w:pPr>
          </w:p>
        </w:tc>
      </w:tr>
      <w:tr w14:paraId="251CD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0F7B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35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010606008002</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F92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钢梯2</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35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1、部位：电梯机房爬梯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2、钢梯制、安、油，含两侧栏杆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3、钢梯做法参见图集15401-1第A6页T2A10a,外涂防火涂料，满足耐火极限1.0小时。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4、油漆做法：详见建筑设计说明</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F6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F9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2FC0">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FD26C3D">
            <w:pPr>
              <w:jc w:val="center"/>
              <w:rPr>
                <w:rFonts w:hint="eastAsia" w:ascii="宋体" w:hAnsi="宋体" w:eastAsia="宋体" w:cs="宋体"/>
                <w:i w:val="0"/>
                <w:iCs w:val="0"/>
                <w:color w:val="000000"/>
                <w:sz w:val="21"/>
                <w:szCs w:val="21"/>
                <w:u w:val="none"/>
              </w:rPr>
            </w:pPr>
          </w:p>
        </w:tc>
      </w:tr>
      <w:tr w14:paraId="6CD49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B829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A3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010606008001</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A5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钢梯3</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AE2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1、部位：电梯基坑检修钢爬梯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2、钢梯制、安、油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3、油漆做法：详见建筑设计说明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4、钢爬梯具体做法：φ20钢筋弯制</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288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A54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3B56">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FCCF0DF">
            <w:pPr>
              <w:jc w:val="center"/>
              <w:rPr>
                <w:rFonts w:hint="eastAsia" w:ascii="宋体" w:hAnsi="宋体" w:eastAsia="宋体" w:cs="宋体"/>
                <w:i w:val="0"/>
                <w:iCs w:val="0"/>
                <w:color w:val="000000"/>
                <w:sz w:val="21"/>
                <w:szCs w:val="21"/>
                <w:u w:val="none"/>
              </w:rPr>
            </w:pPr>
          </w:p>
        </w:tc>
      </w:tr>
      <w:tr w14:paraId="47F31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3F85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BB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010606013001</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2F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零星钢构件-排水沟</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A39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1、构件名称：截水沟铸铁篦子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2、预埋件：详见图纸设计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3、铸铁篦子详见国标17J927-1第3-16页节点4</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8E4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15A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53.18</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F2383">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42E28662">
            <w:pPr>
              <w:jc w:val="center"/>
              <w:rPr>
                <w:rFonts w:hint="eastAsia" w:ascii="宋体" w:hAnsi="宋体" w:eastAsia="宋体" w:cs="宋体"/>
                <w:i w:val="0"/>
                <w:iCs w:val="0"/>
                <w:color w:val="000000"/>
                <w:sz w:val="21"/>
                <w:szCs w:val="21"/>
                <w:u w:val="none"/>
              </w:rPr>
            </w:pPr>
          </w:p>
        </w:tc>
      </w:tr>
      <w:tr w14:paraId="2E1CB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0" w:hRule="atLeast"/>
        </w:trPr>
        <w:tc>
          <w:tcPr>
            <w:tcW w:w="65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600B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58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010606013002</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18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零星钢构件-集水坑</w:t>
            </w:r>
          </w:p>
        </w:tc>
        <w:tc>
          <w:tcPr>
            <w:tcW w:w="2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840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1、市购成品铸铁盖板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2、预埋件：详见图纸设计</w:t>
            </w:r>
            <w:r>
              <w:rPr>
                <w:rFonts w:hint="eastAsia" w:ascii="宋体" w:hAnsi="宋体" w:eastAsia="宋体" w:cs="宋体"/>
                <w:i w:val="0"/>
                <w:iCs w:val="0"/>
                <w:color w:val="000000"/>
                <w:kern w:val="0"/>
                <w:sz w:val="21"/>
                <w:szCs w:val="21"/>
                <w:u w:val="none"/>
                <w:lang w:val="en-US" w:eastAsia="zh-CN" w:bidi="ar"/>
              </w:rPr>
              <w:br w:type="textWrapping"/>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0BE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F1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47.32</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B739">
            <w:pPr>
              <w:jc w:val="center"/>
              <w:rPr>
                <w:rFonts w:hint="eastAsia" w:ascii="宋体" w:hAnsi="宋体" w:eastAsia="宋体" w:cs="宋体"/>
                <w:i w:val="0"/>
                <w:iCs w:val="0"/>
                <w:color w:val="000000"/>
                <w:sz w:val="21"/>
                <w:szCs w:val="21"/>
                <w:u w:val="none"/>
              </w:rPr>
            </w:pP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58266D9">
            <w:pPr>
              <w:jc w:val="center"/>
              <w:rPr>
                <w:rFonts w:hint="eastAsia" w:ascii="宋体" w:hAnsi="宋体" w:eastAsia="宋体" w:cs="宋体"/>
                <w:i w:val="0"/>
                <w:iCs w:val="0"/>
                <w:color w:val="000000"/>
                <w:sz w:val="21"/>
                <w:szCs w:val="21"/>
                <w:u w:val="none"/>
              </w:rPr>
            </w:pPr>
          </w:p>
        </w:tc>
      </w:tr>
      <w:tr w14:paraId="35E7A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trPr>
        <w:tc>
          <w:tcPr>
            <w:tcW w:w="8550"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3E13F3FB">
            <w:pPr>
              <w:jc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合计</w:t>
            </w:r>
          </w:p>
        </w:tc>
        <w:tc>
          <w:tcPr>
            <w:tcW w:w="1550"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89ACE0">
            <w:pPr>
              <w:jc w:val="center"/>
              <w:rPr>
                <w:rFonts w:hint="eastAsia" w:ascii="宋体" w:hAnsi="宋体" w:eastAsia="宋体" w:cs="宋体"/>
                <w:b/>
                <w:bCs/>
                <w:i w:val="0"/>
                <w:iCs w:val="0"/>
                <w:color w:val="000000"/>
                <w:sz w:val="21"/>
                <w:szCs w:val="21"/>
                <w:u w:val="none"/>
              </w:rPr>
            </w:pPr>
          </w:p>
        </w:tc>
      </w:tr>
      <w:tr w14:paraId="5A3EC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2" w:hRule="atLeast"/>
        </w:trPr>
        <w:tc>
          <w:tcPr>
            <w:tcW w:w="10100" w:type="dxa"/>
            <w:gridSpan w:val="8"/>
            <w:tcBorders>
              <w:top w:val="single" w:color="000000" w:sz="4" w:space="0"/>
              <w:left w:val="single" w:color="000000" w:sz="8" w:space="0"/>
              <w:bottom w:val="single" w:color="000000" w:sz="8" w:space="0"/>
              <w:right w:val="single" w:color="000000" w:sz="8" w:space="0"/>
            </w:tcBorders>
            <w:shd w:val="clear" w:color="auto" w:fill="auto"/>
            <w:vAlign w:val="center"/>
          </w:tcPr>
          <w:p w14:paraId="11B2CB2F">
            <w:pPr>
              <w:tabs>
                <w:tab w:val="left" w:pos="2868"/>
              </w:tabs>
              <w:jc w:val="left"/>
              <w:rPr>
                <w:rFonts w:hint="default"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备注：具体详见图纸、图集、答疑、采购文件、政府相关文件、规范等其他资料，满足验收要求。</w:t>
            </w:r>
          </w:p>
        </w:tc>
      </w:tr>
    </w:tbl>
    <w:p w14:paraId="19E39C34">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5796"/>
      <w:bookmarkStart w:id="285" w:name="_Toc300835221"/>
      <w:bookmarkStart w:id="286" w:name="_Toc247527836"/>
      <w:bookmarkStart w:id="287" w:name="_Toc152042585"/>
      <w:bookmarkStart w:id="288" w:name="_Toc247514288"/>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7085891"/>
      <w:bookmarkStart w:id="293" w:name="_Toc179632828"/>
      <w:bookmarkStart w:id="294" w:name="_Toc246996373"/>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7085888"/>
      <w:bookmarkStart w:id="298" w:name="_Toc246996370"/>
      <w:bookmarkStart w:id="299" w:name="_Toc246997113"/>
      <w:bookmarkStart w:id="300" w:name="_Toc152045810"/>
      <w:bookmarkStart w:id="301" w:name="_Toc300835226"/>
      <w:bookmarkStart w:id="302" w:name="_Toc247527850"/>
      <w:bookmarkStart w:id="303" w:name="_Toc144974878"/>
      <w:bookmarkStart w:id="304" w:name="_Toc247514302"/>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27851"/>
      <w:bookmarkStart w:id="312" w:name="_Toc152045811"/>
      <w:bookmarkStart w:id="313" w:name="_Toc247514303"/>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144974881"/>
      <w:bookmarkStart w:id="317" w:name="_Toc152045813"/>
      <w:bookmarkStart w:id="318" w:name="_Toc247530162"/>
      <w:bookmarkStart w:id="319" w:name="_Toc247514305"/>
      <w:bookmarkStart w:id="320" w:name="_Toc24752785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4144DE8-44AB-408C-9678-BC6BEF21032B}"/>
  </w:font>
  <w:font w:name="Arial">
    <w:panose1 w:val="020B0604020202020204"/>
    <w:charset w:val="01"/>
    <w:family w:val="swiss"/>
    <w:pitch w:val="default"/>
    <w:sig w:usb0="E0002EFF" w:usb1="C000785B" w:usb2="00000009" w:usb3="00000000" w:csb0="400001FF" w:csb1="FFFF0000"/>
    <w:embedRegular r:id="rId2" w:fontKey="{C29E1E6F-537C-46CC-9F09-45DF573D536E}"/>
  </w:font>
  <w:font w:name="黑体">
    <w:panose1 w:val="02010609060101010101"/>
    <w:charset w:val="86"/>
    <w:family w:val="auto"/>
    <w:pitch w:val="default"/>
    <w:sig w:usb0="800002BF" w:usb1="38CF7CFA" w:usb2="00000016" w:usb3="00000000" w:csb0="00040001" w:csb1="00000000"/>
    <w:embedRegular r:id="rId3" w:fontKey="{BD29F90A-3A5A-4C1D-AC1A-93AEADAA304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DCA8475D-05D2-4895-AA3B-8302F543B394}"/>
  </w:font>
  <w:font w:name="仿宋_GB2312">
    <w:panose1 w:val="02010609030101010101"/>
    <w:charset w:val="86"/>
    <w:family w:val="modern"/>
    <w:pitch w:val="default"/>
    <w:sig w:usb0="00000001" w:usb1="080E0000" w:usb2="00000000" w:usb3="00000000" w:csb0="00040000" w:csb1="00000000"/>
    <w:embedRegular r:id="rId5" w:fontKey="{4B7D0A09-ED92-4CBD-AE44-D4CBEEE9F7E7}"/>
  </w:font>
  <w:font w:name="楷体">
    <w:panose1 w:val="02010609060101010101"/>
    <w:charset w:val="86"/>
    <w:family w:val="auto"/>
    <w:pitch w:val="default"/>
    <w:sig w:usb0="800002BF" w:usb1="38CF7CFA" w:usb2="00000016" w:usb3="00000000" w:csb0="00040001" w:csb1="00000000"/>
    <w:embedRegular r:id="rId6" w:fontKey="{796474F6-E5A3-467B-8180-382D49983074}"/>
  </w:font>
  <w:font w:name="Wingdings 2">
    <w:panose1 w:val="05020102010507070707"/>
    <w:charset w:val="00"/>
    <w:family w:val="auto"/>
    <w:pitch w:val="default"/>
    <w:sig w:usb0="00000000" w:usb1="00000000" w:usb2="00000000" w:usb3="00000000" w:csb0="80000000" w:csb1="00000000"/>
    <w:embedRegular r:id="rId7" w:fontKey="{2CB5E219-6876-421D-91F8-C944DBB4033F}"/>
  </w:font>
  <w:font w:name="方正仿宋_GB2312">
    <w:panose1 w:val="02000000000000000000"/>
    <w:charset w:val="86"/>
    <w:family w:val="auto"/>
    <w:pitch w:val="default"/>
    <w:sig w:usb0="A00002BF" w:usb1="184F6CFA" w:usb2="00000012" w:usb3="00000000" w:csb0="00040001" w:csb1="00000000"/>
    <w:embedRegular r:id="rId8" w:fontKey="{91540423-886C-41D8-8A86-E3964B99E17C}"/>
  </w:font>
  <w:font w:name="方正小标宋简体">
    <w:panose1 w:val="02000000000000000000"/>
    <w:charset w:val="86"/>
    <w:family w:val="auto"/>
    <w:pitch w:val="default"/>
    <w:sig w:usb0="00000001" w:usb1="08000000" w:usb2="00000000" w:usb3="00000000" w:csb0="00040000" w:csb1="00000000"/>
    <w:embedRegular r:id="rId9" w:fontKey="{EBA7B970-4CD1-417F-9C06-0A30EF85ADD4}"/>
  </w:font>
  <w:font w:name="仿宋">
    <w:panose1 w:val="02010609060101010101"/>
    <w:charset w:val="86"/>
    <w:family w:val="modern"/>
    <w:pitch w:val="default"/>
    <w:sig w:usb0="800002BF" w:usb1="38CF7CFA" w:usb2="00000016" w:usb3="00000000" w:csb0="00040001" w:csb1="00000000"/>
    <w:embedRegular r:id="rId10" w:fontKey="{C07544AD-3A6D-4870-BB73-8348126487C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14281</Words>
  <Characters>15235</Characters>
  <Lines>0</Lines>
  <Paragraphs>0</Paragraphs>
  <TotalTime>7</TotalTime>
  <ScaleCrop>false</ScaleCrop>
  <LinksUpToDate>false</LinksUpToDate>
  <CharactersWithSpaces>15434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2025-06-12T07:35:06Z</cp:lastPrinted>
  <dcterms:modified xsi:type="dcterms:W3CDTF">2025-06-12T07:35:58Z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