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防水抗裂砂浆采购项目</w:t>
      </w: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BZJKTL-2025-</w:t>
      </w:r>
      <w:r>
        <w:rPr>
          <w:rFonts w:hint="eastAsia" w:ascii="Times New Roman" w:hAnsi="Times New Roman" w:eastAsia="楷体" w:cs="Times New Roman"/>
          <w:kern w:val="0"/>
          <w:sz w:val="28"/>
          <w:szCs w:val="28"/>
          <w:highlight w:val="none"/>
          <w:u w:val="single"/>
          <w:shd w:val="clear" w:color="auto" w:fill="auto"/>
          <w:lang w:val="en-US" w:eastAsia="zh-CN"/>
        </w:rPr>
        <w:t>04号</w:t>
      </w:r>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D73BE66">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0" w:edGrp="everyone"/>
      <w:r>
        <w:rPr>
          <w:rFonts w:hint="eastAsia" w:ascii="Times New Roman" w:hAnsi="Times New Roman" w:eastAsia="楷体" w:cs="Times New Roman"/>
          <w:kern w:val="0"/>
          <w:sz w:val="32"/>
          <w:szCs w:val="32"/>
          <w:highlight w:val="none"/>
          <w:shd w:val="clear" w:color="auto" w:fill="auto"/>
          <w:lang w:val="en-US" w:eastAsia="zh-CN"/>
        </w:rPr>
        <w:t xml:space="preserve">亳州交控通路交通设施有限公司 </w:t>
      </w:r>
      <w:permEnd w:id="0"/>
    </w:p>
    <w:p w14:paraId="615C4D7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1" w:edGrp="everyone"/>
      <w:r>
        <w:rPr>
          <w:rFonts w:hint="eastAsia" w:ascii="Times New Roman" w:hAnsi="Times New Roman" w:eastAsia="楷体" w:cs="Times New Roman"/>
          <w:kern w:val="0"/>
          <w:sz w:val="32"/>
          <w:szCs w:val="32"/>
          <w:highlight w:val="none"/>
          <w:shd w:val="clear" w:color="auto" w:fill="auto"/>
          <w:lang w:val="en-US" w:eastAsia="zh-CN"/>
        </w:rPr>
        <w:t>2025年5</w:t>
      </w:r>
      <w:r>
        <w:rPr>
          <w:rFonts w:hint="eastAsia" w:ascii="Times New Roman" w:hAnsi="Times New Roman" w:eastAsia="楷体" w:cs="Times New Roman"/>
          <w:kern w:val="0"/>
          <w:sz w:val="32"/>
          <w:szCs w:val="32"/>
          <w:highlight w:val="none"/>
          <w:u w:val="none"/>
          <w:shd w:val="clear" w:color="auto" w:fill="auto"/>
          <w:lang w:val="en-US" w:eastAsia="zh-CN"/>
        </w:rPr>
        <w:t>月23日</w:t>
      </w:r>
      <w:permEnd w:id="1"/>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2"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 xml:space="preserve">............................................................1第二章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2"/>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7D7B826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29346F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6D3A3FC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宋体" w:hAnsi="宋体" w:eastAsia="宋体" w:cs="宋体"/>
          <w:sz w:val="28"/>
          <w:szCs w:val="28"/>
          <w:highlight w:val="none"/>
          <w:u w:val="single"/>
          <w:lang w:val="en-US" w:eastAsia="zh-CN"/>
        </w:rPr>
        <w:t>防水抗裂砂浆采购项目</w:t>
      </w:r>
      <w:r>
        <w:rPr>
          <w:rFonts w:hint="eastAsia" w:ascii="宋体" w:hAnsi="宋体" w:eastAsia="宋体" w:cs="宋体"/>
          <w:sz w:val="28"/>
          <w:szCs w:val="28"/>
          <w:highlight w:val="none"/>
          <w:lang w:val="en-US" w:eastAsia="zh-CN"/>
        </w:rPr>
        <w:t>已具备采购条件，现对该项目进行公开询比。</w:t>
      </w:r>
    </w:p>
    <w:p w14:paraId="3EC2A6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12ECEDE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3" w:edGrp="everyone"/>
      <w:r>
        <w:rPr>
          <w:rFonts w:hint="eastAsia" w:asciiTheme="minorEastAsia" w:hAnsiTheme="minorEastAsia" w:cstheme="minorEastAsia"/>
          <w:sz w:val="28"/>
          <w:szCs w:val="28"/>
          <w:highlight w:val="none"/>
          <w:lang w:val="en-US" w:eastAsia="zh-CN"/>
        </w:rPr>
        <w:t>防水抗裂砂浆采购项目</w:t>
      </w:r>
    </w:p>
    <w:permEnd w:id="3"/>
    <w:p w14:paraId="1121C96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4" w:edGrp="everyone"/>
      <w:r>
        <w:rPr>
          <w:rFonts w:hint="eastAsia" w:asciiTheme="minorEastAsia" w:hAnsiTheme="minorEastAsia" w:cstheme="minorEastAsia"/>
          <w:sz w:val="28"/>
          <w:szCs w:val="28"/>
          <w:highlight w:val="none"/>
          <w:lang w:val="en-US" w:eastAsia="zh-CN"/>
        </w:rPr>
        <w:t>BZJKTL-2025-04号</w:t>
      </w:r>
      <w:r>
        <w:rPr>
          <w:rFonts w:hint="eastAsia" w:asciiTheme="minorEastAsia" w:hAnsiTheme="minorEastAsia" w:eastAsiaTheme="minorEastAsia" w:cstheme="minorEastAsia"/>
          <w:sz w:val="28"/>
          <w:szCs w:val="28"/>
          <w:highlight w:val="none"/>
          <w:lang w:val="en-US" w:eastAsia="zh-CN"/>
        </w:rPr>
        <w:t xml:space="preserve"> </w:t>
      </w:r>
      <w:permEnd w:id="4"/>
    </w:p>
    <w:p w14:paraId="6B077A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cstheme="minorEastAsia"/>
          <w:sz w:val="28"/>
          <w:szCs w:val="28"/>
          <w:highlight w:val="none"/>
          <w:lang w:val="en-US" w:eastAsia="zh-CN"/>
        </w:rPr>
        <w:t>亳州交控通路交通设施有限公司</w:t>
      </w:r>
      <w:r>
        <w:rPr>
          <w:rFonts w:hint="eastAsia" w:asciiTheme="minorEastAsia" w:hAnsiTheme="minorEastAsia" w:cstheme="minorEastAsia"/>
          <w:color w:val="FF0000"/>
          <w:sz w:val="28"/>
          <w:szCs w:val="28"/>
          <w:highlight w:val="none"/>
          <w:lang w:val="en-US" w:eastAsia="zh-CN"/>
        </w:rPr>
        <w:t xml:space="preserve"> </w:t>
      </w:r>
      <w:permEnd w:id="5"/>
    </w:p>
    <w:p w14:paraId="413FAF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6"/>
    </w:p>
    <w:p w14:paraId="705F257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7" w:edGrp="everyone"/>
      <w:r>
        <w:rPr>
          <w:rFonts w:hint="eastAsia" w:asciiTheme="minorEastAsia" w:hAnsiTheme="minorEastAsia" w:cstheme="minorEastAsia"/>
          <w:color w:val="FF0000"/>
          <w:sz w:val="28"/>
          <w:szCs w:val="28"/>
          <w:highlight w:val="none"/>
          <w:lang w:val="en-US" w:eastAsia="zh-CN"/>
        </w:rPr>
        <w:t>（不含税）</w:t>
      </w:r>
      <w:permEnd w:id="7"/>
      <w:r>
        <w:rPr>
          <w:rFonts w:hint="eastAsia" w:asciiTheme="minorEastAsia" w:hAnsiTheme="minorEastAsia" w:eastAsiaTheme="minorEastAsia" w:cstheme="minorEastAsia"/>
          <w:sz w:val="28"/>
          <w:szCs w:val="28"/>
          <w:highlight w:val="none"/>
          <w:lang w:val="en-US" w:eastAsia="zh-CN"/>
        </w:rPr>
        <w:t>：</w:t>
      </w:r>
      <w:permStart w:id="8" w:edGrp="everyone"/>
      <w:r>
        <w:rPr>
          <w:rFonts w:hint="eastAsia" w:asciiTheme="minorEastAsia" w:hAnsiTheme="minorEastAsia" w:cstheme="minorEastAsia"/>
          <w:color w:val="FF0000"/>
          <w:sz w:val="28"/>
          <w:szCs w:val="28"/>
          <w:highlight w:val="none"/>
          <w:u w:val="single"/>
          <w:lang w:val="en-US" w:eastAsia="zh-CN"/>
        </w:rPr>
        <w:t>577500</w:t>
      </w:r>
      <w:permEnd w:id="8"/>
      <w:r>
        <w:rPr>
          <w:rFonts w:hint="eastAsia" w:asciiTheme="minorEastAsia" w:hAnsiTheme="minorEastAsia" w:cstheme="minorEastAsia"/>
          <w:color w:val="FF0000"/>
          <w:sz w:val="28"/>
          <w:szCs w:val="28"/>
          <w:highlight w:val="none"/>
          <w:u w:val="single"/>
          <w:lang w:val="en-US" w:eastAsia="zh-CN"/>
        </w:rPr>
        <w:t>元</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按</w:t>
      </w:r>
      <w:permStart w:id="9" w:edGrp="everyone"/>
      <w:r>
        <w:rPr>
          <w:rFonts w:hint="eastAsia" w:asciiTheme="minorEastAsia" w:hAnsiTheme="minorEastAsia" w:cstheme="minorEastAsia"/>
          <w:color w:val="FF0000"/>
          <w:sz w:val="28"/>
          <w:szCs w:val="28"/>
          <w:highlight w:val="none"/>
          <w:u w:val="single"/>
          <w:lang w:val="en-US" w:eastAsia="zh-CN"/>
        </w:rPr>
        <w:t>固定单价</w:t>
      </w:r>
      <w:permEnd w:id="9"/>
      <w:r>
        <w:rPr>
          <w:rFonts w:hint="eastAsia" w:asciiTheme="minorEastAsia" w:hAnsiTheme="minorEastAsia" w:eastAsiaTheme="minorEastAsia" w:cstheme="minorEastAsia"/>
          <w:sz w:val="28"/>
          <w:szCs w:val="28"/>
          <w:highlight w:val="none"/>
          <w:lang w:val="en-US" w:eastAsia="zh-CN"/>
        </w:rPr>
        <w:t>报价。报价超出限价或低于成本价的，按无效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，成交后不予调整，其他未尽事宜应统一考虑在报价内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45AD3F4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0736D0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0" w:edGrp="everyone"/>
      <w:r>
        <w:rPr>
          <w:rFonts w:hint="eastAsia" w:asciiTheme="minorEastAsia" w:hAnsiTheme="minorEastAsia" w:eastAsiaTheme="minorEastAsia" w:cstheme="minorEastAsia"/>
          <w:sz w:val="28"/>
          <w:szCs w:val="28"/>
          <w:highlight w:val="none"/>
          <w:lang w:val="en-US" w:eastAsia="zh-CN"/>
        </w:rPr>
        <w:t>本次采购的范围是防水抗裂砂浆，采购数量为暂定，具体数量以实际使用数量为准，据实结算，主要使用范围为亳州区域（不含三县）工程在建项目。</w:t>
      </w:r>
    </w:p>
    <w:permEnd w:id="10"/>
    <w:p w14:paraId="394679E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（二）交货期</w:t>
      </w:r>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Theme="minorEastAsia" w:hAnsiTheme="minorEastAsia" w:eastAsiaTheme="minorEastAsia" w:cstheme="minorEastAsia"/>
          <w:sz w:val="28"/>
          <w:szCs w:val="28"/>
          <w:highlight w:val="none"/>
          <w:lang w:val="en-US" w:eastAsia="zh-CN"/>
        </w:rPr>
        <w:t>自合同签订之日起365日历天</w:t>
      </w:r>
      <w:r>
        <w:rPr>
          <w:rFonts w:hint="eastAsia" w:asciiTheme="minorEastAsia" w:hAnsiTheme="minorEastAsia" w:cstheme="minorEastAsia"/>
          <w:sz w:val="28"/>
          <w:szCs w:val="28"/>
          <w:highlight w:val="none"/>
          <w:lang w:val="en-US" w:eastAsia="zh-CN"/>
        </w:rPr>
        <w:t>。</w:t>
      </w:r>
      <w:permEnd w:id="11"/>
    </w:p>
    <w:p w14:paraId="7EAEC0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（三）交货地点</w:t>
      </w:r>
      <w:r>
        <w:rPr>
          <w:rFonts w:hint="eastAsia" w:asciiTheme="minorEastAsia" w:hAnsiTheme="minorEastAsia" w:eastAsiaTheme="minorEastAsia" w:cstheme="minorEastAsia"/>
          <w:sz w:val="28"/>
          <w:szCs w:val="28"/>
          <w:highlight w:val="none"/>
          <w:lang w:val="en-US" w:eastAsia="zh-CN"/>
        </w:rPr>
        <w:t>：</w:t>
      </w:r>
      <w:permStart w:id="12" w:edGrp="everyone"/>
      <w:r>
        <w:rPr>
          <w:rFonts w:hint="eastAsia" w:asciiTheme="minorEastAsia" w:hAnsiTheme="minorEastAsia" w:cstheme="minorEastAsia"/>
          <w:sz w:val="28"/>
          <w:szCs w:val="28"/>
          <w:highlight w:val="none"/>
          <w:lang w:val="en-US" w:eastAsia="zh-CN"/>
        </w:rPr>
        <w:t>亳州市区内（不含三县）。</w:t>
      </w:r>
      <w:r>
        <w:rPr>
          <w:rFonts w:hint="eastAsia" w:asciiTheme="minorEastAsia" w:hAnsiTheme="minorEastAsia" w:cstheme="minorEastAsia"/>
          <w:color w:val="FF0000"/>
          <w:sz w:val="28"/>
          <w:szCs w:val="28"/>
          <w:highlight w:val="none"/>
          <w:lang w:val="en-US" w:eastAsia="zh-CN"/>
        </w:rPr>
        <w:t xml:space="preserve"> </w:t>
      </w:r>
      <w:permEnd w:id="12"/>
    </w:p>
    <w:p w14:paraId="110398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3"/>
    </w:p>
    <w:p w14:paraId="2AEA82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112750F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4" w:edGrp="everyone"/>
      <w:r>
        <w:rPr>
          <w:rFonts w:hint="eastAsia" w:asciiTheme="minorEastAsia" w:hAnsiTheme="minorEastAsia" w:eastAsiaTheme="minorEastAsia" w:cstheme="minorEastAsia"/>
          <w:sz w:val="28"/>
          <w:szCs w:val="28"/>
          <w:highlight w:val="none"/>
          <w:lang w:val="en-US" w:eastAsia="zh-CN"/>
        </w:rPr>
        <w:t>独立法人资格</w:t>
      </w:r>
      <w:permEnd w:id="14"/>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项目货物供应</w:t>
      </w:r>
      <w:r>
        <w:rPr>
          <w:rFonts w:hint="eastAsia" w:asciiTheme="minorEastAsia" w:hAnsiTheme="minorEastAsia" w:eastAsiaTheme="minorEastAsia" w:cstheme="minorEastAsia"/>
          <w:sz w:val="28"/>
          <w:szCs w:val="28"/>
          <w:highlight w:val="none"/>
          <w:lang w:val="en-US" w:eastAsia="zh-CN"/>
        </w:rPr>
        <w:t>的能力；</w:t>
      </w:r>
    </w:p>
    <w:p w14:paraId="4B789E3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kern w:val="2"/>
          <w:sz w:val="28"/>
          <w:szCs w:val="28"/>
          <w:highlight w:val="none"/>
          <w:lang w:val="en-US" w:eastAsia="zh-CN"/>
        </w:rPr>
        <w:t>业绩要求：提供</w:t>
      </w:r>
      <w:permStart w:id="15" w:edGrp="everyone"/>
      <w:r>
        <w:rPr>
          <w:rFonts w:hint="eastAsia" w:asciiTheme="minorEastAsia" w:hAnsiTheme="minorEastAsia" w:eastAsiaTheme="minorEastAsia" w:cstheme="minorEastAsia"/>
          <w:kern w:val="2"/>
          <w:sz w:val="28"/>
          <w:szCs w:val="28"/>
          <w:highlight w:val="none"/>
          <w:u w:val="single"/>
          <w:lang w:val="en-US" w:eastAsia="zh-CN"/>
        </w:rPr>
        <w:t xml:space="preserve">   202</w:t>
      </w:r>
      <w:r>
        <w:rPr>
          <w:rFonts w:hint="eastAsia" w:asciiTheme="minorEastAsia" w:hAnsiTheme="minorEastAsia" w:cstheme="minorEastAsia"/>
          <w:kern w:val="2"/>
          <w:sz w:val="28"/>
          <w:szCs w:val="28"/>
          <w:highlight w:val="none"/>
          <w:u w:val="single"/>
          <w:lang w:val="en-US" w:eastAsia="zh-CN"/>
        </w:rPr>
        <w:t>2</w:t>
      </w:r>
      <w:r>
        <w:rPr>
          <w:rFonts w:hint="eastAsia" w:asciiTheme="minorEastAsia" w:hAnsiTheme="minorEastAsia" w:eastAsiaTheme="minorEastAsia" w:cstheme="minorEastAsia"/>
          <w:kern w:val="2"/>
          <w:sz w:val="28"/>
          <w:szCs w:val="28"/>
          <w:highlight w:val="none"/>
          <w:u w:val="single"/>
          <w:lang w:val="en-US" w:eastAsia="zh-CN"/>
        </w:rPr>
        <w:t xml:space="preserve">   </w:t>
      </w:r>
      <w:permEnd w:id="15"/>
      <w:r>
        <w:rPr>
          <w:rFonts w:hint="eastAsia" w:asciiTheme="minorEastAsia" w:hAnsiTheme="minorEastAsia" w:eastAsiaTheme="minorEastAsia" w:cstheme="minorEastAsia"/>
          <w:kern w:val="2"/>
          <w:sz w:val="28"/>
          <w:szCs w:val="28"/>
          <w:highlight w:val="none"/>
          <w:lang w:val="en-US" w:eastAsia="zh-CN"/>
        </w:rPr>
        <w:t>年至今企业类似项目业绩</w:t>
      </w:r>
      <w:permStart w:id="16" w:edGrp="everyone"/>
      <w:r>
        <w:rPr>
          <w:rFonts w:hint="eastAsia" w:asciiTheme="minorEastAsia" w:hAnsiTheme="minorEastAsia" w:eastAsiaTheme="minorEastAsia" w:cstheme="minorEastAsia"/>
          <w:kern w:val="2"/>
          <w:sz w:val="28"/>
          <w:szCs w:val="28"/>
          <w:highlight w:val="none"/>
          <w:u w:val="single"/>
          <w:lang w:val="en-US" w:eastAsia="zh-CN"/>
        </w:rPr>
        <w:t xml:space="preserve">   1   </w:t>
      </w:r>
      <w:permEnd w:id="16"/>
      <w:r>
        <w:rPr>
          <w:rFonts w:hint="eastAsia" w:asciiTheme="minorEastAsia" w:hAnsiTheme="minorEastAsia" w:eastAsiaTheme="minorEastAsia" w:cstheme="minorEastAsia"/>
          <w:kern w:val="2"/>
          <w:sz w:val="28"/>
          <w:szCs w:val="28"/>
          <w:highlight w:val="none"/>
          <w:lang w:val="en-US" w:eastAsia="zh-CN"/>
        </w:rPr>
        <w:t>个</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以</w:t>
      </w:r>
      <w:permStart w:id="17" w:edGrp="everyone"/>
      <w:r>
        <w:rPr>
          <w:rFonts w:hint="eastAsia" w:asciiTheme="minorEastAsia" w:hAnsiTheme="minorEastAsia" w:eastAsiaTheme="minorEastAsia" w:cstheme="minorEastAsia"/>
          <w:kern w:val="2"/>
          <w:sz w:val="28"/>
          <w:szCs w:val="28"/>
          <w:highlight w:val="none"/>
          <w:lang w:val="en-US" w:eastAsia="zh-CN"/>
        </w:rPr>
        <w:t>合同签订时间</w:t>
      </w:r>
      <w:permEnd w:id="17"/>
      <w:r>
        <w:rPr>
          <w:rFonts w:hint="eastAsia" w:asciiTheme="minorEastAsia" w:hAnsiTheme="minorEastAsia" w:eastAsiaTheme="minorEastAsia" w:cstheme="minorEastAsia"/>
          <w:kern w:val="2"/>
          <w:sz w:val="28"/>
          <w:szCs w:val="28"/>
          <w:highlight w:val="none"/>
          <w:lang w:val="en-US" w:eastAsia="zh-CN"/>
        </w:rPr>
        <w:t>为准。类似项目业绩指</w:t>
      </w:r>
      <w:r>
        <w:rPr>
          <w:rFonts w:hint="eastAsia" w:asciiTheme="minorEastAsia" w:hAnsiTheme="minorEastAsia" w:eastAsiaTheme="minorEastAsia" w:cstheme="minorEastAsia"/>
          <w:sz w:val="28"/>
          <w:szCs w:val="28"/>
          <w:highlight w:val="none"/>
          <w:lang w:val="en-US" w:eastAsia="zh-CN"/>
        </w:rPr>
        <w:t>：</w:t>
      </w:r>
      <w:r>
        <w:rPr>
          <w:rFonts w:hint="eastAsia" w:ascii="仿宋_GB2312" w:hAnsi="仿宋_GB2312" w:eastAsia="仿宋_GB2312" w:cs="仿宋_GB2312"/>
          <w:b w:val="0"/>
          <w:bCs w:val="0"/>
          <w:sz w:val="28"/>
          <w:szCs w:val="28"/>
          <w:u w:val="single"/>
          <w:lang w:val="en-US" w:eastAsia="zh-CN"/>
        </w:rPr>
        <w:t>单项合同金额不低于30万元的防水抗裂砂浆类似供货业绩</w:t>
      </w:r>
      <w:r>
        <w:rPr>
          <w:rFonts w:hint="eastAsia" w:asciiTheme="minorEastAsia" w:hAnsiTheme="minorEastAsia" w:eastAsiaTheme="minorEastAsia" w:cstheme="minorEastAsia"/>
          <w:sz w:val="28"/>
          <w:szCs w:val="28"/>
          <w:highlight w:val="none"/>
          <w:lang w:val="en-US" w:eastAsia="zh-CN"/>
        </w:rPr>
        <w:t>；</w:t>
      </w:r>
    </w:p>
    <w:p w14:paraId="083DC23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left="559" w:leftChars="266" w:firstLine="0" w:firstLineChars="0"/>
        <w:textAlignment w:val="auto"/>
        <w:rPr>
          <w:rFonts w:hint="eastAsia" w:ascii="仿宋_GB2312" w:hAnsi="仿宋_GB2312" w:eastAsia="仿宋_GB2312" w:cs="仿宋_GB2312"/>
          <w:b w:val="0"/>
          <w:bCs w:val="0"/>
          <w:sz w:val="28"/>
          <w:szCs w:val="28"/>
          <w:lang w:val="en-US" w:eastAsia="zh-CN"/>
        </w:rPr>
      </w:pPr>
      <w:permStart w:id="18" w:edGrp="everyone"/>
      <w:r>
        <w:rPr>
          <w:rFonts w:hint="eastAsia" w:ascii="仿宋_GB2312" w:hAnsi="仿宋_GB2312" w:eastAsia="仿宋_GB2312" w:cs="仿宋_GB2312"/>
          <w:b w:val="0"/>
          <w:bCs w:val="0"/>
          <w:sz w:val="28"/>
          <w:szCs w:val="28"/>
          <w:lang w:val="en-US" w:eastAsia="zh-CN"/>
        </w:rPr>
        <w:t>注：提供业绩合同、合同</w:t>
      </w:r>
      <w:r>
        <w:rPr>
          <w:rFonts w:hint="eastAsia" w:ascii="仿宋_GB2312" w:hAnsi="仿宋_GB2312" w:cs="仿宋_GB2312"/>
          <w:b w:val="0"/>
          <w:bCs w:val="0"/>
          <w:sz w:val="28"/>
          <w:szCs w:val="28"/>
          <w:lang w:val="en-US" w:eastAsia="zh-CN"/>
        </w:rPr>
        <w:t>履约期内任意节点</w:t>
      </w:r>
      <w:r>
        <w:rPr>
          <w:rFonts w:hint="eastAsia" w:ascii="仿宋_GB2312" w:hAnsi="仿宋_GB2312" w:eastAsia="仿宋_GB2312" w:cs="仿宋_GB2312"/>
          <w:b w:val="0"/>
          <w:bCs w:val="0"/>
          <w:sz w:val="28"/>
          <w:szCs w:val="28"/>
          <w:lang w:val="en-US" w:eastAsia="zh-CN"/>
        </w:rPr>
        <w:t>发票等相关资料复印件或扫描件装订入响应文件中。</w:t>
      </w:r>
    </w:p>
    <w:p w14:paraId="1BDE42E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left="559" w:leftChars="266" w:firstLine="0" w:firstLineChars="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permEnd w:id="18"/>
      <w:r>
        <w:rPr>
          <w:rFonts w:hint="eastAsia" w:asciiTheme="minorEastAsia" w:hAnsiTheme="minorEastAsia" w:cstheme="minorEastAsia"/>
          <w:sz w:val="28"/>
          <w:szCs w:val="28"/>
          <w:highlight w:val="none"/>
          <w:lang w:val="en-US" w:eastAsia="zh-CN"/>
        </w:rPr>
        <w:t>信用要求：供应商</w:t>
      </w:r>
      <w:r>
        <w:rPr>
          <w:rFonts w:hint="eastAsia" w:asciiTheme="minorEastAsia" w:hAnsiTheme="minorEastAsia" w:eastAsiaTheme="minorEastAsia" w:cstheme="minorEastAsia"/>
          <w:sz w:val="28"/>
          <w:szCs w:val="28"/>
          <w:highlight w:val="none"/>
          <w:lang w:val="en-US" w:eastAsia="zh-CN"/>
        </w:rPr>
        <w:t>（含分公司，不含子公司）</w:t>
      </w:r>
      <w:r>
        <w:rPr>
          <w:rFonts w:hint="eastAsia" w:asciiTheme="minorEastAsia" w:hAnsiTheme="minorEastAsia" w:cstheme="minorEastAsia"/>
          <w:sz w:val="28"/>
          <w:szCs w:val="28"/>
          <w:highlight w:val="none"/>
          <w:lang w:val="en-US" w:eastAsia="zh-CN"/>
        </w:rPr>
        <w:t>不得</w:t>
      </w:r>
      <w:r>
        <w:rPr>
          <w:rFonts w:hint="eastAsia" w:asciiTheme="minorEastAsia" w:hAnsiTheme="minorEastAsia" w:eastAsiaTheme="minorEastAsia" w:cstheme="minorEastAsia"/>
          <w:sz w:val="28"/>
          <w:szCs w:val="28"/>
          <w:highlight w:val="none"/>
          <w:lang w:val="en-US" w:eastAsia="zh-CN"/>
        </w:rPr>
        <w:t>存在</w:t>
      </w:r>
      <w:r>
        <w:rPr>
          <w:rFonts w:hint="eastAsia" w:asciiTheme="minorEastAsia" w:hAnsiTheme="minorEastAsia" w:cstheme="minorEastAsia"/>
          <w:sz w:val="28"/>
          <w:szCs w:val="28"/>
          <w:highlight w:val="none"/>
          <w:lang w:val="en-US" w:eastAsia="zh-CN"/>
        </w:rPr>
        <w:t>下列</w:t>
      </w:r>
      <w:r>
        <w:rPr>
          <w:rFonts w:hint="eastAsia" w:asciiTheme="minorEastAsia" w:hAnsiTheme="minorEastAsia" w:eastAsiaTheme="minorEastAsia" w:cstheme="minorEastAsia"/>
          <w:sz w:val="28"/>
          <w:szCs w:val="28"/>
          <w:highlight w:val="none"/>
          <w:lang w:val="en-US" w:eastAsia="zh-CN"/>
        </w:rPr>
        <w:t>情形之一。</w:t>
      </w:r>
    </w:p>
    <w:p w14:paraId="348B102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3CC9727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184659A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185E81A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（4）供应商</w:t>
      </w:r>
      <w:r>
        <w:rPr>
          <w:rFonts w:hint="eastAsia" w:asciiTheme="minorEastAsia" w:hAnsiTheme="minorEastAsia" w:eastAsiaTheme="minorEastAsia" w:cstheme="minorEastAsia"/>
          <w:sz w:val="28"/>
          <w:szCs w:val="28"/>
          <w:highlight w:val="none"/>
          <w:lang w:val="en-US" w:eastAsia="zh-CN"/>
        </w:rPr>
        <w:t>在以往承接</w:t>
      </w:r>
      <w:r>
        <w:rPr>
          <w:rFonts w:hint="eastAsia" w:asciiTheme="minorEastAsia" w:hAnsiTheme="minorEastAsia" w:cstheme="minorEastAsia"/>
          <w:sz w:val="28"/>
          <w:szCs w:val="28"/>
          <w:highlight w:val="none"/>
          <w:lang w:val="en-US" w:eastAsia="zh-CN"/>
        </w:rPr>
        <w:t>亳州交通投资控股集团有限公司及下属企业</w:t>
      </w:r>
      <w:r>
        <w:rPr>
          <w:rFonts w:hint="eastAsia" w:asciiTheme="minorEastAsia" w:hAnsiTheme="minorEastAsia" w:eastAsiaTheme="minorEastAsia" w:cstheme="minorEastAsia"/>
          <w:sz w:val="28"/>
          <w:szCs w:val="28"/>
          <w:highlight w:val="none"/>
          <w:lang w:val="en-US" w:eastAsia="zh-CN"/>
        </w:rPr>
        <w:t>项目过程中被记入“黑名单”</w:t>
      </w:r>
      <w:r>
        <w:rPr>
          <w:rFonts w:hint="eastAsia" w:asciiTheme="minorEastAsia" w:hAnsiTheme="minorEastAsia" w:cstheme="minorEastAsia"/>
          <w:sz w:val="28"/>
          <w:szCs w:val="28"/>
          <w:highlight w:val="none"/>
          <w:lang w:val="en-US" w:eastAsia="zh-CN"/>
        </w:rPr>
        <w:t>。</w:t>
      </w:r>
    </w:p>
    <w:p w14:paraId="64B93F7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）本次</w:t>
      </w:r>
      <w:permStart w:id="19"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9"/>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4542DA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0F51664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6C5A499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1A4B980D">
      <w:pPr>
        <w:keepNext w:val="0"/>
        <w:keepLines w:val="0"/>
        <w:pageBreakBefore w:val="0"/>
        <w:widowControl w:val="0"/>
        <w:kinsoku/>
        <w:wordWrap/>
        <w:overflowPunct/>
        <w:topLinePunct w:val="0"/>
        <w:autoSpaceDE/>
        <w:autoSpaceDN/>
        <w:bidi w:val="0"/>
        <w:adjustRightInd/>
        <w:snapToGrid/>
        <w:spacing w:line="480" w:lineRule="exact"/>
        <w:ind w:left="279" w:leftChars="133" w:firstLine="280" w:firstLineChars="1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开启时间（</w:t>
      </w:r>
      <w:r>
        <w:rPr>
          <w:rFonts w:hint="eastAsia" w:asciiTheme="minorEastAsia" w:hAnsiTheme="minorEastAsia" w:eastAsiaTheme="minorEastAsia" w:cstheme="minorEastAsia"/>
          <w:sz w:val="28"/>
          <w:szCs w:val="28"/>
          <w:highlight w:val="none"/>
          <w:lang w:val="en-US" w:eastAsia="zh-CN"/>
        </w:rPr>
        <w:t>响应文件递交的截止时间</w:t>
      </w:r>
      <w:r>
        <w:rPr>
          <w:rFonts w:hint="eastAsia" w:asciiTheme="minorEastAsia" w:hAnsiTheme="minorEastAsia" w:cstheme="minorEastAsia"/>
          <w:sz w:val="28"/>
          <w:szCs w:val="28"/>
          <w:highlight w:val="none"/>
          <w:lang w:val="en-US" w:eastAsia="zh-CN"/>
        </w:rPr>
        <w:t>）：</w:t>
      </w:r>
      <w:permStart w:id="20" w:edGrp="everyone"/>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2025</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5</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28</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30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20"/>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5C3CB60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21" w:edGrp="everyone"/>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会议室</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ermEnd w:id="21"/>
    </w:p>
    <w:p w14:paraId="4896574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6997573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22"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p>
    <w:p w14:paraId="7C03A376">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cstheme="minorEastAsia"/>
          <w:b/>
          <w:bCs/>
          <w:color w:val="FF0000"/>
          <w:sz w:val="28"/>
          <w:szCs w:val="28"/>
          <w:highlight w:val="none"/>
          <w:lang w:val="en-US" w:eastAsia="zh-CN"/>
        </w:rPr>
      </w:pPr>
      <w:r>
        <w:rPr>
          <w:rFonts w:hint="eastAsia" w:asciiTheme="minorEastAsia" w:hAnsiTheme="minorEastAsia" w:cstheme="minorEastAsia"/>
          <w:b/>
          <w:bCs/>
          <w:color w:val="FF0000"/>
          <w:sz w:val="28"/>
          <w:szCs w:val="28"/>
          <w:highlight w:val="none"/>
          <w:u w:val="single"/>
          <w:lang w:val="en-US" w:eastAsia="zh-CN"/>
        </w:rPr>
        <w:t>邮寄地址：亳州市谯城区药都大道1289号(亳州交控集团1楼传达室);联系人：李工;联系电话：18906343943</w:t>
      </w:r>
      <w:r>
        <w:rPr>
          <w:rFonts w:hint="eastAsia" w:asciiTheme="minorEastAsia" w:hAnsiTheme="minorEastAsia" w:cstheme="minorEastAsia"/>
          <w:b/>
          <w:bCs/>
          <w:color w:val="FF0000"/>
          <w:sz w:val="28"/>
          <w:szCs w:val="28"/>
          <w:highlight w:val="none"/>
          <w:lang w:val="en-US" w:eastAsia="zh-CN"/>
        </w:rPr>
        <w:t>；</w:t>
      </w:r>
    </w:p>
    <w:p w14:paraId="321CF42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ermEnd w:id="22"/>
    </w:p>
    <w:p w14:paraId="56608AB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75BA98D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3" w:edGrp="everyone"/>
      <w:r>
        <w:rPr>
          <w:rFonts w:hint="eastAsia" w:asciiTheme="minorEastAsia" w:hAnsiTheme="minorEastAsia" w:cstheme="minorEastAsia"/>
          <w:sz w:val="28"/>
          <w:szCs w:val="28"/>
          <w:highlight w:val="none"/>
          <w:u w:val="single"/>
          <w:lang w:val="en-US" w:eastAsia="zh-CN"/>
        </w:rPr>
        <w:t>10000元</w:t>
      </w:r>
      <w:r>
        <w:rPr>
          <w:rFonts w:hint="default" w:asciiTheme="minorEastAsia" w:hAnsiTheme="minorEastAsia" w:eastAsiaTheme="minorEastAsia" w:cstheme="minorEastAsia"/>
          <w:sz w:val="28"/>
          <w:szCs w:val="28"/>
          <w:highlight w:val="none"/>
          <w:lang w:val="en-US" w:eastAsia="zh-CN"/>
        </w:rPr>
        <w:t>（人民币）</w:t>
      </w:r>
      <w:permEnd w:id="23"/>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7BEDECF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56AA7A5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24"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r>
        <w:rPr>
          <w:rFonts w:hint="eastAsia" w:asciiTheme="minorEastAsia" w:hAnsiTheme="minorEastAsia" w:cstheme="minorEastAsia"/>
          <w:sz w:val="28"/>
          <w:szCs w:val="28"/>
          <w:highlight w:val="none"/>
          <w:lang w:val="en-US" w:eastAsia="zh-CN"/>
        </w:rPr>
        <w:t>亳州交控通路交通设施有限公司</w:t>
      </w:r>
    </w:p>
    <w:p w14:paraId="7AC82E8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24"/>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5" w:edGrp="everyone"/>
      <w:r>
        <w:rPr>
          <w:rFonts w:hint="eastAsia" w:asciiTheme="minorEastAsia" w:hAnsiTheme="minorEastAsia" w:cstheme="minorEastAsia"/>
          <w:sz w:val="28"/>
          <w:szCs w:val="28"/>
          <w:highlight w:val="none"/>
          <w:lang w:val="en-US" w:eastAsia="zh-CN"/>
        </w:rPr>
        <w:t xml:space="preserve">马经理 </w:t>
      </w:r>
      <w:permEnd w:id="25"/>
    </w:p>
    <w:p w14:paraId="69E108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：15656885650</w:t>
      </w:r>
    </w:p>
    <w:p w14:paraId="3F14B09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7CADF5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175DBB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w:t>
      </w:r>
      <w:r>
        <w:rPr>
          <w:rFonts w:hint="eastAsia" w:asciiTheme="minorEastAsia" w:hAnsiTheme="minorEastAsia" w:cstheme="minorEastAsia"/>
          <w:sz w:val="28"/>
          <w:szCs w:val="28"/>
          <w:highlight w:val="none"/>
          <w:lang w:val="en-US" w:eastAsia="zh-CN"/>
        </w:rPr>
        <w:t>亳州交控通路交通设施有限公司</w:t>
      </w:r>
    </w:p>
    <w:p w14:paraId="5998C39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14:paraId="7D53F8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18906343943（工作日8:00-12:00，14:30-17:30）</w:t>
      </w:r>
    </w:p>
    <w:p w14:paraId="76B64DB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7DD8DBB1">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4C40A2CF">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418CF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6" w:edGrp="everyone"/>
      <w:r>
        <w:rPr>
          <w:rFonts w:hint="eastAsia" w:asciiTheme="minorEastAsia" w:hAnsiTheme="minorEastAsia" w:cstheme="minorEastAsia"/>
          <w:color w:val="FF0000"/>
          <w:sz w:val="28"/>
          <w:szCs w:val="28"/>
          <w:highlight w:val="none"/>
          <w:lang w:val="en-US" w:eastAsia="zh-CN"/>
        </w:rPr>
        <w:t>亳州交控通路交通设施有限公司</w:t>
      </w:r>
    </w:p>
    <w:p w14:paraId="3D43342B">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5</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23</w:t>
      </w:r>
      <w:r>
        <w:rPr>
          <w:rFonts w:hint="eastAsia" w:asciiTheme="minorEastAsia" w:hAnsiTheme="minorEastAsia" w:eastAsiaTheme="minorEastAsia" w:cstheme="minorEastAsia"/>
          <w:color w:val="FF0000"/>
          <w:sz w:val="28"/>
          <w:szCs w:val="28"/>
          <w:highlight w:val="none"/>
          <w:lang w:val="en-US" w:eastAsia="zh-CN"/>
        </w:rPr>
        <w:t>日</w:t>
      </w:r>
    </w:p>
    <w:permEnd w:id="26"/>
    <w:p w14:paraId="012F763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1924493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2B60478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5837C43E">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7"/>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7"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8"/>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8"/>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7"/>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8"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8"/>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9" w:edGrp="everyone"/>
            <w:r>
              <w:rPr>
                <w:rFonts w:hint="eastAsia" w:ascii="Times New Roman" w:hAnsi="Times New Roman" w:cs="Times New Roman"/>
                <w:b/>
                <w:bCs/>
                <w:color w:val="FF0000"/>
                <w:szCs w:val="21"/>
                <w:highlight w:val="none"/>
                <w:u w:val="single"/>
                <w:lang w:val="en-US" w:eastAsia="zh-CN"/>
              </w:rPr>
              <w:t>2025</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5</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27</w:t>
            </w:r>
            <w:r>
              <w:rPr>
                <w:rFonts w:hint="eastAsia" w:ascii="Times New Roman" w:hAnsi="Times New Roman" w:cs="Times New Roman"/>
                <w:b/>
                <w:bCs/>
                <w:color w:val="FF0000"/>
                <w:szCs w:val="21"/>
                <w:highlight w:val="none"/>
                <w:u w:val="none"/>
                <w:lang w:val="en-US" w:eastAsia="zh-CN"/>
              </w:rPr>
              <w:t>日前</w:t>
            </w:r>
            <w:permEnd w:id="29"/>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0"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30"/>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1"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31"/>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32"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32"/>
            <w:r>
              <w:rPr>
                <w:rFonts w:hint="default" w:ascii="Times New Roman" w:hAnsi="Times New Roman" w:cs="Times New Roman"/>
                <w:szCs w:val="21"/>
                <w:highlight w:val="none"/>
              </w:rPr>
              <w:t>的形式：</w:t>
            </w:r>
            <w:permStart w:id="33" w:edGrp="everyone"/>
            <w:r>
              <w:rPr>
                <w:rFonts w:hint="default" w:ascii="Times New Roman" w:hAnsi="Times New Roman" w:cs="Times New Roman"/>
                <w:b/>
                <w:bCs/>
                <w:color w:val="FF0000"/>
                <w:szCs w:val="21"/>
                <w:highlight w:val="none"/>
              </w:rPr>
              <w:t>银行汇款或转账</w:t>
            </w:r>
            <w:permEnd w:id="33"/>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34" w:edGrp="everyone"/>
            <w:r>
              <w:rPr>
                <w:rFonts w:hint="eastAsia" w:ascii="Times New Roman" w:hAnsi="Times New Roman" w:cs="Times New Roman"/>
                <w:b/>
                <w:bCs/>
                <w:color w:val="FF0000"/>
                <w:szCs w:val="21"/>
                <w:highlight w:val="none"/>
                <w:u w:val="single"/>
                <w:lang w:val="en-US" w:eastAsia="zh-CN"/>
              </w:rPr>
              <w:t xml:space="preserve"> 10000元  </w:t>
            </w:r>
            <w:permEnd w:id="34"/>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252F1CB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开户名称：</w:t>
            </w:r>
            <w:r>
              <w:rPr>
                <w:rFonts w:hint="eastAsia" w:ascii="Times New Roman" w:hAnsi="Times New Roman" w:cs="Times New Roman"/>
                <w:szCs w:val="21"/>
                <w:highlight w:val="none"/>
                <w:lang w:eastAsia="zh-CN"/>
              </w:rPr>
              <w:t>亳州交控通路交通设施有限公司</w:t>
            </w:r>
          </w:p>
          <w:p w14:paraId="751BB97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开户银行：</w:t>
            </w:r>
            <w:r>
              <w:rPr>
                <w:rFonts w:hint="eastAsia" w:ascii="Times New Roman" w:hAnsi="Times New Roman" w:cs="Times New Roman"/>
                <w:szCs w:val="21"/>
                <w:highlight w:val="none"/>
                <w:lang w:eastAsia="zh-CN"/>
              </w:rPr>
              <w:t>亳州药都农村商业银行股份有限公司</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银行账号：</w:t>
            </w:r>
            <w:r>
              <w:rPr>
                <w:rFonts w:hint="eastAsia" w:ascii="Times New Roman" w:hAnsi="Times New Roman" w:cs="Times New Roman"/>
                <w:szCs w:val="21"/>
                <w:highlight w:val="none"/>
                <w:lang w:eastAsia="zh-CN"/>
              </w:rPr>
              <w:t>20010144152866600000014</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5" w:edGrp="everyone"/>
            <w:r>
              <w:rPr>
                <w:rFonts w:hint="eastAsia" w:ascii="Times New Roman" w:hAnsi="Times New Roman" w:cs="Times New Roman"/>
                <w:b/>
                <w:bCs/>
                <w:color w:val="FF0000"/>
                <w:szCs w:val="21"/>
                <w:highlight w:val="none"/>
                <w:lang w:val="en-US" w:eastAsia="zh-CN"/>
              </w:rPr>
              <w:t>BZJKTL-2025-04号保证金</w:t>
            </w:r>
            <w:permEnd w:id="35"/>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6" w:edGrp="everyone"/>
            <w:r>
              <w:rPr>
                <w:rFonts w:hint="eastAsia" w:ascii="Times New Roman" w:hAnsi="Times New Roman" w:cs="Times New Roman"/>
                <w:b/>
                <w:bCs/>
                <w:color w:val="FF0000"/>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6"/>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20FF93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7"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亳州交通投资控股集团有限公司15楼开标室（药都大道与希夷大道交叉口东北角15楼）</w:t>
            </w:r>
          </w:p>
          <w:p w14:paraId="78DB563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采购人：亳州交控通路交通设施有限公司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防水抗裂砂浆采购项目</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项目编号：BZJKTL-2025-04号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5</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28</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15</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30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7"/>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CE13E5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7513ADE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40D6A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8"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亳州交控通路交通设施有限公司法务部 李工</w:t>
            </w:r>
          </w:p>
          <w:p w14:paraId="008719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18906343943   </w:t>
            </w:r>
          </w:p>
          <w:p w14:paraId="332B3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亳州市谯城区汽车南站西侧三楼法务部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38"/>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9"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9"/>
          <w:p w14:paraId="101878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40"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40"/>
          </w:p>
          <w:p w14:paraId="09EFA34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开户名称：亳州交控通路交通设施有限公司</w:t>
            </w:r>
          </w:p>
          <w:p w14:paraId="3674059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开户银行：亳州药都农村商业银行股份有限公司</w:t>
            </w:r>
          </w:p>
          <w:p w14:paraId="192B401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银行账号：20010144152866600000014</w:t>
            </w:r>
          </w:p>
          <w:p w14:paraId="0414D99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41"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val="en-US" w:eastAsia="zh-CN"/>
              </w:rPr>
              <w:t>或开具银行保函</w:t>
            </w:r>
            <w:r>
              <w:rPr>
                <w:rFonts w:hint="default" w:ascii="Times New Roman" w:hAnsi="Times New Roman" w:cs="Times New Roman"/>
                <w:color w:val="FF0000"/>
                <w:szCs w:val="21"/>
                <w:highlight w:val="none"/>
              </w:rPr>
              <w:t>。</w:t>
            </w:r>
          </w:p>
          <w:permEnd w:id="41"/>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permStart w:id="42" w:edGrp="everyone"/>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 xml:space="preserve">成交价款的10%  </w:t>
            </w:r>
            <w:permEnd w:id="42"/>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3"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工程验收合格后退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43"/>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5"/>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6"/>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152045532"/>
      <w:bookmarkStart w:id="1" w:name="_Toc247085692"/>
      <w:bookmarkStart w:id="2" w:name="_Toc296602423"/>
      <w:bookmarkStart w:id="3" w:name="_Toc144974500"/>
      <w:bookmarkStart w:id="4" w:name="_Toc179632549"/>
      <w:bookmarkStart w:id="5" w:name="_Toc152042308"/>
      <w:bookmarkStart w:id="6" w:name="_Toc246996178"/>
      <w:bookmarkStart w:id="7" w:name="_Toc246996921"/>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6"/>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246996924"/>
      <w:bookmarkStart w:id="9" w:name="_Toc152045536"/>
      <w:bookmarkStart w:id="10" w:name="_Toc247085695"/>
      <w:bookmarkStart w:id="11" w:name="_Toc246996181"/>
      <w:bookmarkStart w:id="12" w:name="_Toc144974504"/>
      <w:bookmarkStart w:id="13" w:name="_Toc152042312"/>
      <w:bookmarkStart w:id="14" w:name="_Toc179632553"/>
      <w:bookmarkStart w:id="15" w:name="_Toc296602426"/>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247085696"/>
      <w:bookmarkStart w:id="18" w:name="_Toc246996182"/>
      <w:bookmarkStart w:id="19" w:name="_Toc152045537"/>
      <w:bookmarkStart w:id="20" w:name="_Toc152042313"/>
      <w:bookmarkStart w:id="21" w:name="_Toc179632554"/>
      <w:bookmarkStart w:id="22" w:name="_Toc246996925"/>
      <w:bookmarkStart w:id="23" w:name="_Toc296602427"/>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152042314"/>
      <w:bookmarkStart w:id="25" w:name="_Toc144974506"/>
      <w:bookmarkStart w:id="26" w:name="_Toc246996926"/>
      <w:bookmarkStart w:id="27" w:name="_Toc246996183"/>
      <w:bookmarkStart w:id="28" w:name="_Toc179632555"/>
      <w:bookmarkStart w:id="29" w:name="_Toc247085697"/>
      <w:bookmarkStart w:id="30" w:name="_Toc152045538"/>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14:paraId="0E216643">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152045542"/>
      <w:bookmarkStart w:id="32" w:name="_Toc247085701"/>
      <w:bookmarkStart w:id="33" w:name="_Toc152042318"/>
      <w:bookmarkStart w:id="34" w:name="_Toc246996930"/>
      <w:bookmarkStart w:id="35" w:name="_Toc246996187"/>
      <w:bookmarkStart w:id="36" w:name="_Toc144974510"/>
      <w:bookmarkStart w:id="37" w:name="_Toc179632560"/>
      <w:bookmarkStart w:id="38" w:name="_Toc296602432"/>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14:paraId="5C8FCF89">
      <w:pPr>
        <w:pStyle w:val="6"/>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247085702"/>
      <w:bookmarkStart w:id="40" w:name="_Toc246996188"/>
      <w:bookmarkStart w:id="41" w:name="_Toc179632561"/>
      <w:bookmarkStart w:id="42" w:name="_Toc144974511"/>
      <w:bookmarkStart w:id="43" w:name="_Toc296602433"/>
      <w:bookmarkStart w:id="44" w:name="_Toc152042319"/>
      <w:bookmarkStart w:id="45" w:name="_Toc152045543"/>
      <w:bookmarkStart w:id="46" w:name="_Toc246996931"/>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296602434"/>
      <w:bookmarkStart w:id="48" w:name="_Toc144974512"/>
      <w:bookmarkStart w:id="49" w:name="_Toc247085703"/>
      <w:bookmarkStart w:id="50" w:name="_Toc246996932"/>
      <w:bookmarkStart w:id="51" w:name="_Toc152045544"/>
      <w:bookmarkStart w:id="52" w:name="_Toc179632562"/>
      <w:bookmarkStart w:id="53" w:name="_Toc246996189"/>
      <w:bookmarkStart w:id="54" w:name="_Toc152042320"/>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152045545"/>
      <w:bookmarkStart w:id="56" w:name="_Toc246996190"/>
      <w:bookmarkStart w:id="57" w:name="_Toc152042321"/>
      <w:bookmarkStart w:id="58" w:name="_Toc179632563"/>
      <w:bookmarkStart w:id="59" w:name="_Toc247085704"/>
      <w:bookmarkStart w:id="60" w:name="_Toc246996933"/>
      <w:bookmarkStart w:id="61" w:name="_Toc144974513"/>
      <w:bookmarkStart w:id="62" w:name="_Toc296602435"/>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3" w:name="_Toc247085705"/>
      <w:bookmarkStart w:id="64" w:name="_Toc152042322"/>
      <w:bookmarkStart w:id="65" w:name="_Toc179632564"/>
      <w:bookmarkStart w:id="66" w:name="_Toc152045546"/>
      <w:bookmarkStart w:id="67" w:name="_Toc246996934"/>
      <w:bookmarkStart w:id="68" w:name="_Toc246996191"/>
      <w:bookmarkStart w:id="69" w:name="_Toc296602436"/>
      <w:bookmarkStart w:id="70" w:name="_Toc144974514"/>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14:paraId="49D07759">
      <w:pPr>
        <w:pStyle w:val="5"/>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14:paraId="63973300">
      <w:pPr>
        <w:pStyle w:val="6"/>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179632565"/>
      <w:bookmarkStart w:id="72" w:name="_Toc246996192"/>
      <w:bookmarkStart w:id="73" w:name="_Toc247085706"/>
      <w:bookmarkStart w:id="74" w:name="_Toc152045547"/>
      <w:bookmarkStart w:id="75" w:name="_Toc152042323"/>
      <w:bookmarkStart w:id="76" w:name="_Toc296602437"/>
      <w:bookmarkStart w:id="77" w:name="_Toc246996935"/>
      <w:bookmarkStart w:id="78" w:name="_Toc144974515"/>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6"/>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296602438"/>
      <w:bookmarkStart w:id="80" w:name="_Toc152042324"/>
      <w:bookmarkStart w:id="81" w:name="_Toc179632566"/>
      <w:bookmarkStart w:id="82" w:name="_Toc144974516"/>
      <w:bookmarkStart w:id="83" w:name="_Toc246996936"/>
      <w:bookmarkStart w:id="84" w:name="_Toc246996193"/>
      <w:bookmarkStart w:id="85" w:name="_Toc152045548"/>
      <w:bookmarkStart w:id="86" w:name="_Toc247085707"/>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52042325"/>
      <w:bookmarkStart w:id="88" w:name="_Toc152045549"/>
      <w:bookmarkStart w:id="89" w:name="_Toc179632567"/>
      <w:bookmarkStart w:id="90" w:name="_Toc14497451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6"/>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46996937"/>
      <w:bookmarkStart w:id="92" w:name="_Toc296602439"/>
      <w:bookmarkStart w:id="93" w:name="_Toc246996194"/>
      <w:bookmarkStart w:id="94" w:name="_Toc247085708"/>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46996942"/>
      <w:bookmarkStart w:id="96" w:name="_Toc152042331"/>
      <w:bookmarkStart w:id="97" w:name="_Toc246996199"/>
      <w:bookmarkStart w:id="98" w:name="_Toc144974523"/>
      <w:bookmarkStart w:id="99" w:name="_Toc247085713"/>
      <w:bookmarkStart w:id="100" w:name="_Toc296602443"/>
      <w:bookmarkStart w:id="101" w:name="_Toc179632573"/>
      <w:bookmarkStart w:id="102" w:name="_Toc152045555"/>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14:paraId="073A5E15">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246996200"/>
      <w:bookmarkStart w:id="104" w:name="_Toc152042332"/>
      <w:bookmarkStart w:id="105" w:name="_Toc247085714"/>
      <w:bookmarkStart w:id="106" w:name="_Toc246996943"/>
      <w:bookmarkStart w:id="107" w:name="_Toc144974524"/>
      <w:bookmarkStart w:id="108" w:name="_Toc179632574"/>
      <w:bookmarkStart w:id="109" w:name="_Toc152045556"/>
      <w:bookmarkStart w:id="110" w:name="_Toc296602444"/>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246996944"/>
      <w:bookmarkStart w:id="112" w:name="_Toc246996201"/>
      <w:bookmarkStart w:id="113" w:name="_Toc152045557"/>
      <w:bookmarkStart w:id="114" w:name="_Toc179632575"/>
      <w:bookmarkStart w:id="115" w:name="_Toc144974525"/>
      <w:bookmarkStart w:id="116" w:name="_Toc152042333"/>
      <w:bookmarkStart w:id="117" w:name="_Toc247085715"/>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14:paraId="6A95039E">
      <w:pPr>
        <w:pStyle w:val="6"/>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4"/>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144974526"/>
      <w:bookmarkStart w:id="119" w:name="_Toc179632576"/>
      <w:bookmarkStart w:id="120" w:name="_Toc246996202"/>
      <w:bookmarkStart w:id="121" w:name="_Toc152042334"/>
      <w:bookmarkStart w:id="122" w:name="_Toc152045558"/>
      <w:bookmarkStart w:id="123" w:name="_Toc247085716"/>
      <w:bookmarkStart w:id="124" w:name="_Toc296602446"/>
      <w:bookmarkStart w:id="125" w:name="_Toc246996945"/>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5"/>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152045559"/>
      <w:bookmarkStart w:id="127" w:name="_Toc246996203"/>
      <w:bookmarkStart w:id="128" w:name="_Toc246996946"/>
      <w:bookmarkStart w:id="129" w:name="_Toc247085717"/>
      <w:bookmarkStart w:id="130" w:name="_Toc179632577"/>
      <w:bookmarkStart w:id="131" w:name="_Toc296602447"/>
      <w:bookmarkStart w:id="132" w:name="_Toc144974527"/>
      <w:bookmarkStart w:id="133" w:name="_Toc152042335"/>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14:paraId="1B8FBC78">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247085718"/>
      <w:bookmarkStart w:id="135" w:name="_Toc246996947"/>
      <w:bookmarkStart w:id="136" w:name="_Toc179632578"/>
      <w:bookmarkStart w:id="137" w:name="_Toc152042336"/>
      <w:bookmarkStart w:id="138" w:name="_Toc296602448"/>
      <w:bookmarkStart w:id="139" w:name="_Toc152045560"/>
      <w:bookmarkStart w:id="140" w:name="_Toc246996204"/>
      <w:bookmarkStart w:id="141" w:name="_Toc144974528"/>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296602449"/>
      <w:bookmarkStart w:id="143" w:name="_Toc247085719"/>
      <w:bookmarkStart w:id="144" w:name="_Toc152042337"/>
      <w:bookmarkStart w:id="145" w:name="_Toc246996205"/>
      <w:bookmarkStart w:id="146" w:name="_Toc246996948"/>
      <w:bookmarkStart w:id="147" w:name="_Toc179632579"/>
      <w:bookmarkStart w:id="148" w:name="_Toc144974529"/>
      <w:bookmarkStart w:id="149" w:name="_Toc152045561"/>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（10）在评审过程中，评审委员会发现供应商以他人的名义响应、串通响应、以行贿手段谋取成交或者以其他弄虚作假方式响应的；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6"/>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247085721"/>
      <w:bookmarkStart w:id="151" w:name="_Toc144974531"/>
      <w:bookmarkStart w:id="152" w:name="_Toc246996207"/>
      <w:bookmarkStart w:id="153" w:name="_Toc152045563"/>
      <w:bookmarkStart w:id="154" w:name="_Toc179632581"/>
      <w:bookmarkStart w:id="155" w:name="_Toc152042339"/>
      <w:bookmarkStart w:id="156" w:name="_Toc296602452"/>
      <w:bookmarkStart w:id="157" w:name="_Toc246996950"/>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6"/>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5"/>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179632584"/>
      <w:bookmarkStart w:id="159" w:name="_Toc152042342"/>
      <w:bookmarkStart w:id="160" w:name="_Toc246996210"/>
      <w:bookmarkStart w:id="161" w:name="_Toc152045566"/>
      <w:bookmarkStart w:id="162" w:name="_Toc296602455"/>
      <w:bookmarkStart w:id="163" w:name="_Toc247085724"/>
      <w:bookmarkStart w:id="164" w:name="_Toc144974534"/>
      <w:bookmarkStart w:id="165" w:name="_Toc246996953"/>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14:paraId="539C7B70">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246996954"/>
      <w:bookmarkStart w:id="167" w:name="_Toc152045567"/>
      <w:bookmarkStart w:id="168" w:name="_Toc152042343"/>
      <w:bookmarkStart w:id="169" w:name="_Toc296602456"/>
      <w:bookmarkStart w:id="170" w:name="_Toc247085725"/>
      <w:bookmarkStart w:id="171" w:name="_Toc144974535"/>
      <w:bookmarkStart w:id="172" w:name="_Toc246996211"/>
      <w:bookmarkStart w:id="173" w:name="_Toc179632585"/>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6"/>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152045568"/>
      <w:bookmarkStart w:id="176" w:name="_Toc144974536"/>
      <w:bookmarkStart w:id="177" w:name="_Toc179632586"/>
      <w:bookmarkStart w:id="178" w:name="_Toc246996955"/>
      <w:bookmarkStart w:id="179" w:name="_Toc247085726"/>
      <w:bookmarkStart w:id="180" w:name="_Toc246996212"/>
      <w:bookmarkStart w:id="181" w:name="_Toc296602458"/>
      <w:bookmarkStart w:id="182" w:name="_Toc152042344"/>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w:t>
      </w:r>
      <w:r>
        <w:rPr>
          <w:rFonts w:hint="eastAsia"/>
          <w:lang w:val="en-US" w:eastAsia="zh-CN"/>
        </w:rPr>
        <w:t>成交</w:t>
      </w:r>
      <w:r>
        <w:rPr>
          <w:rFonts w:hint="eastAsia"/>
        </w:rPr>
        <w:t>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6"/>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296602459"/>
      <w:bookmarkStart w:id="184" w:name="_Toc179632587"/>
      <w:bookmarkStart w:id="185" w:name="_Toc152042345"/>
      <w:bookmarkStart w:id="186" w:name="_Toc246996213"/>
      <w:bookmarkStart w:id="187" w:name="_Toc152045569"/>
      <w:bookmarkStart w:id="188" w:name="_Toc144974537"/>
      <w:bookmarkStart w:id="189" w:name="_Toc246996956"/>
      <w:bookmarkStart w:id="190" w:name="_Toc247085727"/>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5"/>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14:paraId="0EEEBE75">
      <w:pPr>
        <w:pStyle w:val="6"/>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179632593"/>
      <w:bookmarkStart w:id="193" w:name="_Toc152045575"/>
      <w:bookmarkStart w:id="194" w:name="_Toc246996962"/>
      <w:bookmarkStart w:id="195" w:name="_Toc246996219"/>
      <w:bookmarkStart w:id="196" w:name="_Toc247085733"/>
      <w:bookmarkStart w:id="197" w:name="_Toc144974543"/>
      <w:bookmarkStart w:id="198" w:name="_Toc296602462"/>
      <w:bookmarkStart w:id="199" w:name="_Toc152042351"/>
      <w:bookmarkStart w:id="200" w:name="_Toc296590983"/>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5"/>
        <w:bidi w:val="0"/>
        <w:rPr>
          <w:rFonts w:hint="eastAsia" w:eastAsia="黑体"/>
          <w:lang w:eastAsia="zh-CN"/>
        </w:rPr>
      </w:pPr>
      <w:bookmarkStart w:id="201" w:name="_Toc152042352"/>
      <w:bookmarkStart w:id="202" w:name="_Toc179632594"/>
      <w:bookmarkStart w:id="203" w:name="_Toc152045576"/>
      <w:bookmarkStart w:id="204" w:name="_Toc144974544"/>
      <w:bookmarkStart w:id="205" w:name="_Toc246996220"/>
      <w:bookmarkStart w:id="206" w:name="_Toc246996963"/>
      <w:bookmarkStart w:id="207" w:name="_Toc296602463"/>
      <w:bookmarkStart w:id="208" w:name="_Toc247085734"/>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w:t>
      </w:r>
      <w:r>
        <w:rPr>
          <w:rFonts w:hint="eastAsia"/>
          <w:lang w:val="en-US" w:eastAsia="zh-CN"/>
        </w:rPr>
        <w:t>成交</w:t>
      </w:r>
      <w:r>
        <w:rPr>
          <w:rFonts w:hint="eastAsia"/>
        </w:rPr>
        <w:t>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6"/>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246996221"/>
      <w:bookmarkStart w:id="210" w:name="_Toc247085735"/>
      <w:bookmarkStart w:id="211" w:name="_Toc179632595"/>
      <w:bookmarkStart w:id="212" w:name="_Toc296602464"/>
      <w:bookmarkStart w:id="213" w:name="_Toc152045577"/>
      <w:bookmarkStart w:id="214" w:name="_Toc246996964"/>
      <w:bookmarkStart w:id="215" w:name="_Toc152042353"/>
      <w:bookmarkStart w:id="216" w:name="_Toc144974545"/>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4" w:edGrp="everyone"/>
      <w:r>
        <w:rPr>
          <w:rFonts w:hint="eastAsia" w:ascii="宋体" w:hAnsi="宋体"/>
          <w:color w:val="FF0000"/>
          <w:sz w:val="24"/>
          <w:lang w:val="en-US" w:eastAsia="zh-CN"/>
        </w:rPr>
        <w:t>最低评审价法</w:t>
      </w:r>
      <w:permEnd w:id="44"/>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7"/>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7584E5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F3DB76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144974556"/>
            <w:bookmarkStart w:id="218" w:name="_Toc247085747"/>
            <w:bookmarkStart w:id="219" w:name="_Toc246996232"/>
            <w:bookmarkStart w:id="220" w:name="_Toc246996975"/>
            <w:bookmarkStart w:id="221" w:name="_Toc179632607"/>
            <w:bookmarkStart w:id="222" w:name="_Toc152042366"/>
            <w:bookmarkStart w:id="223" w:name="_Toc152045589"/>
            <w:bookmarkStart w:id="224" w:name="_Toc296602477"/>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51D4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C3B2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2204CD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3D626B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DB622D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AECF58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14:paraId="6A0887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97A7F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592DF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709E5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66D01B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7C18C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92E657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B586E8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847EB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AD5FBA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544139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03C9A0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44A6B6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7F3B45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58C7F9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6CE6CD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56F5AC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0DC46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08FE6A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64147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48A511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88E56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26FE36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C209E62">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1D0745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253E2D7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37ABA2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2DECE8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768624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41ACCC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AE885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8793AF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186622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BA7CCF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625CB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2CFAE6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3CBD2F0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E7BB15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2B9F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5014CE2">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115599F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3D6E1E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1CC9CD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24A0699">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C880A3A">
      <w:pPr>
        <w:rPr>
          <w:rFonts w:hint="eastAsia" w:ascii="Times New Roman" w:hAnsi="Times New Roman" w:cs="Times New Roman"/>
          <w:kern w:val="0"/>
          <w:sz w:val="24"/>
          <w:szCs w:val="24"/>
          <w:highlight w:val="none"/>
          <w:lang w:val="en-US" w:eastAsia="zh-CN"/>
        </w:rPr>
      </w:pPr>
      <w:bookmarkStart w:id="225" w:name="_Toc246996236"/>
      <w:bookmarkStart w:id="226" w:name="_Toc296602481"/>
      <w:bookmarkStart w:id="227" w:name="_Toc179632611"/>
      <w:bookmarkStart w:id="228" w:name="_Toc152042370"/>
      <w:bookmarkStart w:id="229" w:name="_Toc152045593"/>
      <w:bookmarkStart w:id="230" w:name="_Toc246996979"/>
      <w:bookmarkStart w:id="231" w:name="_Toc247085751"/>
      <w:bookmarkStart w:id="232" w:name="_Toc144974560"/>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152042373"/>
      <w:bookmarkStart w:id="235" w:name="_Toc152045596"/>
      <w:bookmarkStart w:id="236" w:name="_Toc246996982"/>
      <w:bookmarkStart w:id="237" w:name="_Toc296602484"/>
      <w:bookmarkStart w:id="238" w:name="_Toc246996239"/>
      <w:bookmarkStart w:id="239" w:name="_Toc179632614"/>
      <w:bookmarkStart w:id="240" w:name="_Toc247085754"/>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42D76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E6CA6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5B6E8F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27119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74C94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84E06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0B5CA6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14BBD9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5" w:edGrp="everyone"/>
            <w:r>
              <w:rPr>
                <w:rFonts w:hint="eastAsia" w:ascii="Times New Roman" w:hAnsi="Times New Roman" w:cs="Times New Roman"/>
                <w:kern w:val="0"/>
                <w:sz w:val="24"/>
                <w:szCs w:val="24"/>
                <w:highlight w:val="none"/>
                <w:shd w:val="clear" w:color="auto" w:fill="auto"/>
                <w:vertAlign w:val="baseline"/>
                <w:lang w:val="en-US" w:eastAsia="zh-CN"/>
              </w:rPr>
              <w:t xml:space="preserve">亳州交控通路交通设施有限公司  </w:t>
            </w:r>
            <w:permEnd w:id="45"/>
          </w:p>
        </w:tc>
      </w:tr>
      <w:tr w14:paraId="27DBA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D6B67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69AB60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14530B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无预付款，根据供应项目每月工程形象进度，按月支付完成验收合格工程量价款的80%，供货周期结束后1个月内支付至结算货款的97%，余款3%作为质保金，自供货完成验收合格之日起1年后一次性无息支付(分项目独立结算)</w:t>
            </w:r>
          </w:p>
          <w:p w14:paraId="4B42467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，否则采购人有权暂停付款。</w:t>
            </w:r>
          </w:p>
        </w:tc>
      </w:tr>
      <w:tr w14:paraId="1EB779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0D88F7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272A262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主要合同条款</w:t>
            </w:r>
          </w:p>
        </w:tc>
        <w:tc>
          <w:tcPr>
            <w:tcW w:w="6253" w:type="dxa"/>
            <w:vAlign w:val="center"/>
          </w:tcPr>
          <w:p w14:paraId="7ABE170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防水抗裂砂浆进场验收标准，成交人应按规定批次向采购人提供质量证明文件，质量证明文件包括出厂检验报告等。如在交货检验过程中发现成交人供给的任何货物的品名、规格、数量或生产厂家与合同的商定有不符之处或任何货物的外观存在破损，采购人有权退货并向成交人提出索赔。成交人交货时应提交产品检测报告。若成交人供给的任何货物与合同规定不符、存在质量问题或存在缺陷(包括内在缺陷或用料不妥)，采购人有权向有关检验机构申请进行检验，并有权凭有关检验机构出具的检验证书向成交人提出索赔。如有关检验机构检验合格，则相关检验费由采购人负担;若检验不合格，检验费将由成交人负担。同时每批次发货需提供材质证明、合格证等质量证明文件。</w:t>
            </w:r>
          </w:p>
          <w:p w14:paraId="5A2D9BF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2.材料质量应严格符合设计、采购人要求及有关工程施工及验收标准的要求，同时材料质量及供货效率必须满足采购人为保证工程质量及对质量、效率等方面提出的各种进一步要求。</w:t>
            </w:r>
          </w:p>
          <w:p w14:paraId="685C149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3.材质证明书随货同行，需与所送材料相符，并符合国家标准，送货时必须随带出库单。</w:t>
            </w:r>
          </w:p>
          <w:p w14:paraId="2BF34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4.成交人应承诺严格执行采购人提出的质量要求，并对采购人对质量协作等方面提出的问题准时予以解决。</w:t>
            </w:r>
          </w:p>
          <w:p w14:paraId="3B537BD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5.采购人提前三天将供货计划告知成交人，成交人得到计划后应在采购人通知后三天内供货。</w:t>
            </w:r>
          </w:p>
          <w:p w14:paraId="5AEB4F2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6.由成交人负责货物的装车运输，并运至指定地点，到工地后由成交人负责卸货。货物到达指定地点后，由采购人现场代表对产品的基本质量和数量进行验收，但不作为最终验收合格的证明。</w:t>
            </w:r>
          </w:p>
        </w:tc>
      </w:tr>
    </w:tbl>
    <w:p w14:paraId="5F9D321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283E5BD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0E576638">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采购人要求</w:t>
      </w:r>
    </w:p>
    <w:p w14:paraId="33F876E6">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1.货物进场前需提供合格证、检测证明等相关材料，材料需运至项目现场，并卸至项目部指定位置；</w:t>
      </w:r>
    </w:p>
    <w:p w14:paraId="00415FFB">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2.成交人运至现场的材料，需确保材料符合国家、行业及有关工程施工及验收标准的要求，如因材料不符合要求造成退场，每次罚款1000元；</w:t>
      </w:r>
    </w:p>
    <w:p w14:paraId="4ED0D495">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3.材料进场前需先提供样品，后期材料需与样品一致，如发现弄虚作假，以次充好等现象，发现一次罚款1000元，三次以上解除合同；</w:t>
      </w:r>
    </w:p>
    <w:p w14:paraId="4B66D209">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采购人一般提前三天通知成交人供货，如因成交人原因未能按期供货，造成项目工期延误，误期赔偿费按照1000元/天计算（特殊加工定制的材料除外），并向采购人偿付逾期交货的违约金（违约金按逾期交货部分货款万分之五每日计算），逾期超过5天，采购人有权解除合同，并有权要求成交人承担逾期交货部分货款15%的违约金。</w:t>
      </w:r>
    </w:p>
    <w:p w14:paraId="175ABC6E">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5.成交人按采购人要求的产品数量供货，如发生货物剩余，由成交人回收，所产生的装卸运输费用由成交人承担，采购人按照实际用量进行结算。</w:t>
      </w:r>
    </w:p>
    <w:p w14:paraId="1B3C1E12">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6.合同期间，若发现成交人存在以下行为的，采购人有权单方面解除合同，没收其履约保证金:</w:t>
      </w:r>
    </w:p>
    <w:p w14:paraId="3066CBF0">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(1)出现供货产品质量不合格的;</w:t>
      </w:r>
    </w:p>
    <w:p w14:paraId="180C388A">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(2)3次及以上供货时间严重超出合同约定或订单通知时限要求的;</w:t>
      </w:r>
    </w:p>
    <w:p w14:paraId="12E03AF4">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(3)3次及以上虚报供货产品数量的;</w:t>
      </w:r>
    </w:p>
    <w:p w14:paraId="63218A88">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(4)其他严重损害采购人利益的行为。</w:t>
      </w:r>
    </w:p>
    <w:p w14:paraId="76AB19D5">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7.采购人对供应产品具有自主选择权，实际供应产品的数量、规格、型号等均以采购人订单通知为准。</w:t>
      </w:r>
    </w:p>
    <w:p w14:paraId="0D843AB2">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8.对于采购人以书面或电话形式提出的质量.服务等问题，成交人应于24小时内予以答复响应。</w:t>
      </w:r>
    </w:p>
    <w:p w14:paraId="5A163298">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9.成交人如有违反质量承诺的，采购人有权没收其履约保证金，给采购人造成损失的同时应承担赔偿责任。</w:t>
      </w:r>
    </w:p>
    <w:p w14:paraId="42008ACF">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10.成交人对供应产品应以国家或行业标准配送，不得以次充好，不得偷工减料，对质量不合格的产品应实行包退、包换;若因成交人供应产品质量问题或以次充好或偷工减料造成的工程安全事故，成交人应承担所有经济赔偿和法律责任。</w:t>
      </w:r>
    </w:p>
    <w:p w14:paraId="09AE2109">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11.合同期间，若发现成交人存在虚报供应产品数量或价格的，采购人有权扣除履约保证金的10%每次作为违约金。</w:t>
      </w:r>
    </w:p>
    <w:p w14:paraId="4F305A2D">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12.成交人人员在采购人施工现场造成本人或者第三人人身、财产损失，成交人应自行承担责任，若因此导致采购人经济损失，采购人有权对成交人追偿。</w:t>
      </w:r>
    </w:p>
    <w:p w14:paraId="762DFFCD">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13.成交后成交人需委派供货联络员一名负责供货事宜。</w:t>
      </w:r>
      <w:r>
        <w:rPr>
          <w:rFonts w:hint="eastAsia" w:ascii="Times New Roman" w:hAnsi="Times New Roman" w:cs="Times New Roman"/>
          <w:kern w:val="0"/>
          <w:sz w:val="24"/>
          <w:szCs w:val="24"/>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防水抗裂砂浆采购项目</w:t>
      </w: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BZJKTL-2025-</w:t>
      </w:r>
      <w:r>
        <w:rPr>
          <w:rFonts w:hint="eastAsia" w:ascii="Times New Roman" w:hAnsi="Times New Roman" w:eastAsia="楷体" w:cs="Times New Roman"/>
          <w:kern w:val="0"/>
          <w:sz w:val="28"/>
          <w:szCs w:val="28"/>
          <w:highlight w:val="none"/>
          <w:u w:val="single"/>
          <w:shd w:val="clear" w:color="auto" w:fill="auto"/>
          <w:lang w:val="en-US" w:eastAsia="zh-CN"/>
        </w:rPr>
        <w:t>04号</w:t>
      </w:r>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5"/>
        <w:jc w:val="center"/>
        <w:rPr>
          <w:rFonts w:hint="default" w:ascii="Times New Roman" w:hAnsi="Times New Roman" w:cs="Times New Roman"/>
        </w:rPr>
      </w:pPr>
      <w:bookmarkStart w:id="241" w:name="_Toc247514246"/>
      <w:bookmarkStart w:id="242" w:name="_Toc152042576"/>
      <w:bookmarkStart w:id="243" w:name="_Toc144974856"/>
      <w:bookmarkStart w:id="244" w:name="_Toc247527827"/>
      <w:bookmarkStart w:id="245" w:name="_Toc300835209"/>
      <w:bookmarkStart w:id="246" w:name="_Toc152045787"/>
      <w:r>
        <w:rPr>
          <w:rFonts w:hint="default" w:ascii="Times New Roman" w:hAnsi="Times New Roman" w:cs="Times New Roman"/>
        </w:rPr>
        <w:t>目    录</w:t>
      </w:r>
      <w:bookmarkEnd w:id="241"/>
      <w:bookmarkEnd w:id="242"/>
      <w:bookmarkEnd w:id="243"/>
      <w:bookmarkEnd w:id="244"/>
      <w:bookmarkEnd w:id="245"/>
      <w:bookmarkEnd w:id="246"/>
    </w:p>
    <w:p w14:paraId="187E6D0F">
      <w:pPr>
        <w:spacing w:line="540" w:lineRule="exact"/>
        <w:rPr>
          <w:rFonts w:hint="default" w:ascii="Times New Roman" w:hAnsi="Times New Roman" w:cs="Times New Roman"/>
        </w:rPr>
      </w:pPr>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5"/>
        <w:jc w:val="center"/>
        <w:rPr>
          <w:rFonts w:hint="default" w:ascii="Times New Roman" w:hAnsi="Times New Roman" w:eastAsia="黑体" w:cs="Times New Roman"/>
          <w:sz w:val="20"/>
          <w:szCs w:val="20"/>
        </w:rPr>
      </w:pPr>
      <w:bookmarkStart w:id="247" w:name="_Toc300835210"/>
      <w:bookmarkStart w:id="248" w:name="_Toc152045788"/>
      <w:bookmarkStart w:id="249" w:name="_Toc247514247"/>
      <w:bookmarkStart w:id="250" w:name="_Toc247527828"/>
      <w:bookmarkStart w:id="251" w:name="_Toc152042577"/>
      <w:bookmarkStart w:id="252" w:name="_Toc14497485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14:paraId="5498D033">
      <w:pPr>
        <w:spacing w:line="440" w:lineRule="exact"/>
        <w:rPr>
          <w:rFonts w:hint="default" w:ascii="Times New Roman" w:hAnsi="Times New Roman" w:cs="Times New Roman"/>
          <w:szCs w:val="21"/>
        </w:rPr>
      </w:pPr>
      <w:bookmarkStart w:id="253" w:name="_Toc300835212"/>
      <w:bookmarkStart w:id="254" w:name="_Toc152045790"/>
      <w:bookmarkStart w:id="255" w:name="_Toc247527830"/>
      <w:bookmarkStart w:id="256" w:name="_Toc247514249"/>
      <w:bookmarkStart w:id="257" w:name="_Toc144974859"/>
      <w:bookmarkStart w:id="258" w:name="_Toc152042579"/>
      <w:r>
        <w:rPr>
          <w:rFonts w:hint="eastAsia" w:ascii="Times New Roman" w:hAnsi="Times New Roman" w:cs="Times New Roman"/>
          <w:szCs w:val="21"/>
          <w:u w:val="single"/>
          <w:lang w:val="en-US" w:eastAsia="zh-CN"/>
        </w:rPr>
        <w:t>亳州交控通路交通设施有限公司</w:t>
      </w:r>
      <w:r>
        <w:rPr>
          <w:rFonts w:hint="default" w:ascii="Times New Roman" w:hAnsi="Times New Roman" w:cs="Times New Roman"/>
          <w:szCs w:val="21"/>
        </w:rPr>
        <w:t>：</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szCs w:val="21"/>
          <w:lang w:val="en-US" w:eastAsia="zh-CN"/>
        </w:rPr>
        <w:t xml:space="preserve">  </w:t>
      </w:r>
      <w:r>
        <w:rPr>
          <w:rFonts w:hint="eastAsia" w:ascii="Times New Roman" w:hAnsi="Times New Roman" w:cs="Times New Roman"/>
          <w:szCs w:val="21"/>
          <w:u w:val="single"/>
          <w:lang w:val="en-US" w:eastAsia="zh-CN"/>
        </w:rPr>
        <w:t xml:space="preserve">防水抗裂砂浆采购项目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permStart w:id="46" w:edGrp="everyone"/>
      <w:r>
        <w:rPr>
          <w:rFonts w:hint="eastAsia" w:ascii="Times New Roman" w:hAnsi="Times New Roman" w:cs="Times New Roman"/>
          <w:szCs w:val="21"/>
          <w:u w:val="none"/>
          <w:lang w:val="en-US" w:eastAsia="zh-CN"/>
        </w:rPr>
        <w:t xml:space="preserve"> </w:t>
      </w:r>
      <w:r>
        <w:rPr>
          <w:rFonts w:hint="eastAsia" w:ascii="Times New Roman" w:hAnsi="Times New Roman" w:cs="Times New Roman"/>
          <w:szCs w:val="21"/>
          <w:u w:val="single"/>
          <w:lang w:val="en-US" w:eastAsia="zh-CN"/>
        </w:rPr>
        <w:t xml:space="preserve">BZJKTL-2025-04号  </w:t>
      </w:r>
      <w:permEnd w:id="46"/>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7"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eastAsia" w:ascii="Times New Roman" w:hAnsi="Times New Roman" w:cs="Times New Roman"/>
          <w:szCs w:val="21"/>
          <w:lang w:val="en-US" w:eastAsia="zh-CN"/>
        </w:rPr>
        <w:t>的总报价（另外，增值税税率为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w:t>
      </w:r>
      <w:permEnd w:id="47"/>
      <w:r>
        <w:rPr>
          <w:rFonts w:hint="eastAsia" w:ascii="Times New Roman" w:hAnsi="Times New Roman" w:cs="Times New Roman"/>
          <w:szCs w:val="21"/>
          <w:lang w:val="en-US" w:eastAsia="zh-CN"/>
        </w:rPr>
        <w:t>，交货期：自合同签订之日起365日历天</w:t>
      </w:r>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14:paraId="5CB70B30">
      <w:pPr>
        <w:pStyle w:val="5"/>
        <w:jc w:val="both"/>
        <w:rPr>
          <w:rFonts w:hint="default" w:ascii="Times New Roman" w:hAnsi="Times New Roman" w:cs="Times New Roman"/>
        </w:rPr>
      </w:pPr>
      <w:bookmarkStart w:id="259" w:name="_Toc144974860"/>
      <w:bookmarkStart w:id="260" w:name="_Toc247514283"/>
      <w:bookmarkStart w:id="261" w:name="_Toc152045791"/>
      <w:bookmarkStart w:id="262" w:name="_Toc300835213"/>
      <w:bookmarkStart w:id="263" w:name="_Toc152042580"/>
      <w:bookmarkStart w:id="264" w:name="_Toc247527831"/>
    </w:p>
    <w:p w14:paraId="352DF75A">
      <w:pPr>
        <w:rPr>
          <w:rFonts w:hint="default"/>
        </w:rPr>
      </w:pPr>
    </w:p>
    <w:p w14:paraId="37F9C44E">
      <w:pPr>
        <w:pStyle w:val="5"/>
        <w:jc w:val="center"/>
        <w:rPr>
          <w:rFonts w:hint="default" w:ascii="Times New Roman" w:hAnsi="Times New Roman" w:cs="Times New Roman"/>
        </w:rPr>
      </w:pPr>
      <w:r>
        <w:rPr>
          <w:rFonts w:hint="default" w:ascii="Times New Roman" w:hAnsi="Times New Roman" w:cs="Times New Roman"/>
        </w:rPr>
        <w:t>二、法定代表人身份证明</w:t>
      </w:r>
      <w:bookmarkEnd w:id="259"/>
      <w:bookmarkEnd w:id="260"/>
      <w:bookmarkEnd w:id="261"/>
      <w:bookmarkEnd w:id="262"/>
      <w:bookmarkEnd w:id="263"/>
      <w:bookmarkEnd w:id="264"/>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5"/>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152045792"/>
      <w:bookmarkStart w:id="266" w:name="_Toc300835214"/>
      <w:bookmarkStart w:id="267" w:name="_Toc152042581"/>
      <w:bookmarkStart w:id="268" w:name="_Toc247527832"/>
      <w:bookmarkStart w:id="269" w:name="_Toc247514284"/>
      <w:bookmarkStart w:id="270" w:name="_Toc144974861"/>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5"/>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71" w:name="_Toc247514286"/>
      <w:bookmarkStart w:id="272" w:name="_Toc144974862"/>
      <w:bookmarkStart w:id="273" w:name="_Toc152045794"/>
      <w:bookmarkStart w:id="274" w:name="_Toc152042583"/>
      <w:bookmarkStart w:id="275" w:name="_Toc300835216"/>
      <w:bookmarkStart w:id="276" w:name="_Toc247527834"/>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2E07687B">
      <w:pPr>
        <w:topLinePunct/>
        <w:spacing w:line="440" w:lineRule="exact"/>
        <w:ind w:firstLine="420" w:firstLineChars="200"/>
        <w:jc w:val="center"/>
        <w:rPr>
          <w:rFonts w:hint="eastAsia" w:ascii="Times New Roman" w:hAnsi="Times New Roman" w:cs="Times New Roman"/>
          <w:szCs w:val="21"/>
          <w:lang w:val="en-US" w:eastAsia="zh-CN"/>
        </w:rPr>
      </w:pPr>
    </w:p>
    <w:p w14:paraId="6AA9AA8D">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5"/>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77"/>
    <w:p w14:paraId="19A18FFC">
      <w:pPr>
        <w:rPr>
          <w:rFonts w:hint="default" w:ascii="Times New Roman" w:hAnsi="Times New Roman" w:cs="Times New Roman"/>
        </w:rPr>
      </w:pPr>
      <w:bookmarkStart w:id="278" w:name="_Toc144974863"/>
      <w:bookmarkStart w:id="279" w:name="_Toc247527835"/>
      <w:bookmarkStart w:id="280" w:name="_Toc152045795"/>
      <w:bookmarkStart w:id="281" w:name="_Toc247514287"/>
      <w:bookmarkStart w:id="282" w:name="_Toc152042584"/>
      <w:bookmarkStart w:id="283" w:name="_Toc300835218"/>
      <w:r>
        <w:rPr>
          <w:rFonts w:hint="default" w:ascii="Times New Roman" w:hAnsi="Times New Roman" w:cs="Times New Roman"/>
        </w:rPr>
        <w:br w:type="page"/>
      </w:r>
    </w:p>
    <w:p w14:paraId="3C347A40">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14:paraId="575FD0C8">
      <w:pPr>
        <w:spacing w:before="53"/>
      </w:pPr>
    </w:p>
    <w:tbl>
      <w:tblPr>
        <w:tblStyle w:val="31"/>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30"/>
              <w:spacing w:before="174" w:line="221" w:lineRule="auto"/>
              <w:ind w:left="344"/>
              <w:rPr>
                <w:sz w:val="21"/>
                <w:szCs w:val="21"/>
              </w:rPr>
            </w:pPr>
            <w:r>
              <w:rPr>
                <w:spacing w:val="6"/>
                <w:sz w:val="21"/>
                <w:szCs w:val="21"/>
              </w:rPr>
              <w:t>序号</w:t>
            </w:r>
          </w:p>
        </w:tc>
        <w:tc>
          <w:tcPr>
            <w:tcW w:w="3106" w:type="dxa"/>
            <w:vAlign w:val="top"/>
          </w:tcPr>
          <w:p w14:paraId="41B11741">
            <w:pPr>
              <w:pStyle w:val="30"/>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30"/>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30"/>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30"/>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30"/>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30"/>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30"/>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30"/>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30"/>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9"/>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5"/>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14:paraId="773B18A6">
      <w:pPr>
        <w:pStyle w:val="5"/>
        <w:jc w:val="center"/>
        <w:rPr>
          <w:rFonts w:hint="eastAsia" w:ascii="Times New Roman" w:hAnsi="Times New Roman"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289C69A5">
      <w:pPr>
        <w:pStyle w:val="5"/>
        <w:jc w:val="center"/>
        <w:rPr>
          <w:rFonts w:hint="eastAsia" w:ascii="Times New Roman" w:hAnsi="Times New Roman" w:cs="Times New Roman"/>
          <w:lang w:val="en-US" w:eastAsia="zh-CN"/>
        </w:rPr>
      </w:pPr>
      <w:r>
        <w:rPr>
          <w:rFonts w:hint="eastAsia" w:ascii="Times New Roman" w:hAnsi="Times New Roman" w:cs="Times New Roman"/>
          <w:lang w:val="en-US" w:eastAsia="zh-CN"/>
        </w:rPr>
        <w:t>七、报价表</w:t>
      </w:r>
    </w:p>
    <w:tbl>
      <w:tblPr>
        <w:tblStyle w:val="17"/>
        <w:tblW w:w="580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0"/>
        <w:gridCol w:w="1424"/>
        <w:gridCol w:w="1189"/>
        <w:gridCol w:w="1802"/>
        <w:gridCol w:w="1672"/>
        <w:gridCol w:w="1296"/>
        <w:gridCol w:w="952"/>
        <w:gridCol w:w="886"/>
      </w:tblGrid>
      <w:tr w14:paraId="3A66F6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339" w:type="pct"/>
            <w:tcBorders>
              <w:top w:val="single" w:color="auto" w:sz="4" w:space="0"/>
              <w:left w:val="single" w:color="auto" w:sz="4" w:space="0"/>
              <w:right w:val="single" w:color="auto" w:sz="4" w:space="0"/>
            </w:tcBorders>
            <w:vAlign w:val="center"/>
          </w:tcPr>
          <w:p w14:paraId="78E8156A">
            <w:pPr>
              <w:widowControl/>
              <w:spacing w:line="240" w:lineRule="auto"/>
              <w:ind w:firstLine="0" w:firstLineChars="0"/>
              <w:jc w:val="center"/>
              <w:textAlignment w:val="center"/>
              <w:rPr>
                <w:rFonts w:hint="eastAsia" w:ascii="黑体" w:hAnsi="宋体" w:eastAsia="黑体" w:cs="黑体"/>
                <w:color w:val="000000"/>
                <w:kern w:val="0"/>
                <w:sz w:val="20"/>
                <w:szCs w:val="20"/>
                <w:lang w:eastAsia="zh-CN" w:bidi="ar"/>
              </w:rPr>
            </w:pPr>
            <w:r>
              <w:rPr>
                <w:rFonts w:hint="eastAsia" w:ascii="黑体" w:hAnsi="宋体" w:eastAsia="黑体" w:cs="黑体"/>
                <w:color w:val="000000"/>
                <w:kern w:val="0"/>
                <w:sz w:val="20"/>
                <w:szCs w:val="20"/>
                <w:lang w:eastAsia="zh-CN" w:bidi="ar"/>
              </w:rPr>
              <w:t>序号</w:t>
            </w:r>
          </w:p>
        </w:tc>
        <w:tc>
          <w:tcPr>
            <w:tcW w:w="720" w:type="pct"/>
            <w:tcBorders>
              <w:top w:val="single" w:color="auto" w:sz="4" w:space="0"/>
              <w:left w:val="single" w:color="auto" w:sz="4" w:space="0"/>
              <w:right w:val="single" w:color="auto" w:sz="4" w:space="0"/>
            </w:tcBorders>
            <w:vAlign w:val="center"/>
          </w:tcPr>
          <w:p w14:paraId="12C980F9">
            <w:pPr>
              <w:widowControl/>
              <w:spacing w:line="240" w:lineRule="auto"/>
              <w:ind w:firstLine="0" w:firstLineChars="0"/>
              <w:jc w:val="center"/>
              <w:textAlignment w:val="center"/>
              <w:rPr>
                <w:rFonts w:hint="eastAsia" w:ascii="黑体" w:hAnsi="宋体" w:eastAsia="黑体" w:cs="黑体"/>
                <w:color w:val="000000"/>
                <w:kern w:val="0"/>
                <w:sz w:val="20"/>
                <w:szCs w:val="20"/>
                <w:lang w:eastAsia="zh-CN" w:bidi="ar"/>
              </w:rPr>
            </w:pPr>
            <w:r>
              <w:rPr>
                <w:rFonts w:hint="eastAsia" w:ascii="黑体" w:hAnsi="宋体" w:eastAsia="黑体" w:cs="黑体"/>
                <w:color w:val="000000"/>
                <w:kern w:val="0"/>
                <w:sz w:val="20"/>
                <w:szCs w:val="20"/>
                <w:lang w:eastAsia="zh-CN" w:bidi="ar"/>
              </w:rPr>
              <w:t>材料名称</w:t>
            </w:r>
          </w:p>
        </w:tc>
        <w:tc>
          <w:tcPr>
            <w:tcW w:w="601" w:type="pct"/>
            <w:tcBorders>
              <w:top w:val="single" w:color="auto" w:sz="4" w:space="0"/>
              <w:left w:val="single" w:color="auto" w:sz="4" w:space="0"/>
              <w:right w:val="single" w:color="auto" w:sz="4" w:space="0"/>
            </w:tcBorders>
            <w:vAlign w:val="center"/>
          </w:tcPr>
          <w:p w14:paraId="041FEA36">
            <w:pPr>
              <w:widowControl/>
              <w:spacing w:line="240" w:lineRule="auto"/>
              <w:ind w:firstLine="0" w:firstLineChars="0"/>
              <w:jc w:val="center"/>
              <w:textAlignment w:val="center"/>
              <w:rPr>
                <w:rFonts w:hint="eastAsia" w:ascii="黑体" w:hAnsi="宋体" w:eastAsia="黑体" w:cs="黑体"/>
                <w:color w:val="000000"/>
                <w:kern w:val="0"/>
                <w:sz w:val="20"/>
                <w:szCs w:val="20"/>
                <w:lang w:eastAsia="zh-CN" w:bidi="ar"/>
              </w:rPr>
            </w:pPr>
            <w:r>
              <w:rPr>
                <w:rFonts w:hint="eastAsia" w:ascii="黑体" w:hAnsi="宋体" w:eastAsia="黑体" w:cs="黑体"/>
                <w:color w:val="000000"/>
                <w:kern w:val="0"/>
                <w:sz w:val="20"/>
                <w:szCs w:val="20"/>
                <w:lang w:eastAsia="zh-CN" w:bidi="ar"/>
              </w:rPr>
              <w:t>预估用量（</w:t>
            </w:r>
            <w:r>
              <w:rPr>
                <w:rFonts w:hint="eastAsia" w:ascii="黑体" w:hAnsi="宋体" w:eastAsia="黑体" w:cs="黑体"/>
                <w:color w:val="000000"/>
                <w:kern w:val="0"/>
                <w:sz w:val="20"/>
                <w:szCs w:val="20"/>
                <w:lang w:val="en-US" w:eastAsia="zh-CN" w:bidi="ar"/>
              </w:rPr>
              <w:t>t</w:t>
            </w:r>
            <w:r>
              <w:rPr>
                <w:rFonts w:hint="eastAsia" w:ascii="黑体" w:hAnsi="宋体" w:eastAsia="黑体" w:cs="黑体"/>
                <w:color w:val="000000"/>
                <w:kern w:val="0"/>
                <w:sz w:val="20"/>
                <w:szCs w:val="20"/>
                <w:lang w:eastAsia="zh-CN" w:bidi="ar"/>
              </w:rPr>
              <w:t>）</w:t>
            </w:r>
          </w:p>
        </w:tc>
        <w:tc>
          <w:tcPr>
            <w:tcW w:w="911" w:type="pct"/>
            <w:tcBorders>
              <w:top w:val="single" w:color="auto" w:sz="4" w:space="0"/>
              <w:left w:val="single" w:color="auto" w:sz="4" w:space="0"/>
              <w:right w:val="single" w:color="auto" w:sz="4" w:space="0"/>
            </w:tcBorders>
            <w:vAlign w:val="center"/>
          </w:tcPr>
          <w:p w14:paraId="201AAE32">
            <w:pPr>
              <w:widowControl/>
              <w:spacing w:line="240" w:lineRule="auto"/>
              <w:ind w:firstLine="0" w:firstLineChars="0"/>
              <w:jc w:val="center"/>
              <w:textAlignment w:val="center"/>
              <w:rPr>
                <w:rFonts w:hint="eastAsia" w:ascii="黑体" w:hAnsi="宋体" w:eastAsia="黑体" w:cs="黑体"/>
                <w:color w:val="000000"/>
                <w:kern w:val="0"/>
                <w:sz w:val="20"/>
                <w:szCs w:val="20"/>
                <w:lang w:eastAsia="zh-CN" w:bidi="ar"/>
              </w:rPr>
            </w:pPr>
            <w:r>
              <w:rPr>
                <w:rFonts w:hint="eastAsia" w:ascii="黑体" w:hAnsi="宋体" w:eastAsia="黑体" w:cs="黑体"/>
                <w:color w:val="000000"/>
                <w:kern w:val="0"/>
                <w:sz w:val="20"/>
                <w:szCs w:val="20"/>
                <w:lang w:val="en-US" w:eastAsia="zh-CN" w:bidi="ar"/>
              </w:rPr>
              <w:t>不含税</w:t>
            </w:r>
            <w:r>
              <w:rPr>
                <w:rFonts w:hint="eastAsia" w:ascii="黑体" w:hAnsi="宋体" w:eastAsia="黑体" w:cs="黑体"/>
                <w:color w:val="000000"/>
                <w:kern w:val="0"/>
                <w:sz w:val="20"/>
                <w:szCs w:val="20"/>
                <w:lang w:eastAsia="zh-CN" w:bidi="ar"/>
              </w:rPr>
              <w:t>单项限价</w:t>
            </w:r>
          </w:p>
          <w:p w14:paraId="0D6A4617">
            <w:pPr>
              <w:widowControl/>
              <w:spacing w:line="240" w:lineRule="auto"/>
              <w:ind w:firstLine="0" w:firstLineChars="0"/>
              <w:jc w:val="center"/>
              <w:textAlignment w:val="center"/>
              <w:rPr>
                <w:rFonts w:hint="eastAsia" w:ascii="黑体" w:hAnsi="宋体" w:eastAsia="黑体" w:cs="黑体"/>
                <w:color w:val="000000"/>
                <w:kern w:val="0"/>
                <w:sz w:val="20"/>
                <w:szCs w:val="20"/>
                <w:lang w:eastAsia="zh-CN" w:bidi="ar"/>
              </w:rPr>
            </w:pPr>
            <w:r>
              <w:rPr>
                <w:rFonts w:hint="eastAsia" w:ascii="黑体" w:hAnsi="宋体" w:eastAsia="黑体" w:cs="黑体"/>
                <w:color w:val="000000"/>
                <w:kern w:val="0"/>
                <w:sz w:val="20"/>
                <w:szCs w:val="20"/>
                <w:lang w:eastAsia="zh-CN" w:bidi="ar"/>
              </w:rPr>
              <w:t>（元/</w:t>
            </w:r>
            <w:r>
              <w:rPr>
                <w:rFonts w:hint="eastAsia" w:ascii="黑体" w:hAnsi="宋体" w:eastAsia="黑体" w:cs="黑体"/>
                <w:color w:val="000000"/>
                <w:kern w:val="0"/>
                <w:sz w:val="20"/>
                <w:szCs w:val="20"/>
                <w:lang w:val="en-US" w:eastAsia="zh-CN" w:bidi="ar"/>
              </w:rPr>
              <w:t>t</w:t>
            </w:r>
            <w:r>
              <w:rPr>
                <w:rFonts w:hint="eastAsia" w:ascii="黑体" w:hAnsi="宋体" w:eastAsia="黑体" w:cs="黑体"/>
                <w:color w:val="000000"/>
                <w:kern w:val="0"/>
                <w:sz w:val="20"/>
                <w:szCs w:val="20"/>
                <w:lang w:eastAsia="zh-CN" w:bidi="ar"/>
              </w:rPr>
              <w:t>）</w:t>
            </w:r>
          </w:p>
        </w:tc>
        <w:tc>
          <w:tcPr>
            <w:tcW w:w="843" w:type="pct"/>
            <w:tcBorders>
              <w:top w:val="single" w:color="auto" w:sz="4" w:space="0"/>
              <w:left w:val="single" w:color="auto" w:sz="4" w:space="0"/>
              <w:right w:val="single" w:color="auto" w:sz="4" w:space="0"/>
            </w:tcBorders>
            <w:vAlign w:val="center"/>
          </w:tcPr>
          <w:p w14:paraId="57B3DC50">
            <w:pPr>
              <w:widowControl/>
              <w:spacing w:line="240" w:lineRule="auto"/>
              <w:ind w:firstLine="0" w:firstLineChars="0"/>
              <w:jc w:val="center"/>
              <w:textAlignment w:val="center"/>
              <w:rPr>
                <w:rFonts w:hint="eastAsia" w:ascii="黑体" w:hAnsi="宋体" w:eastAsia="黑体" w:cs="黑体"/>
                <w:color w:val="000000"/>
                <w:kern w:val="0"/>
                <w:sz w:val="20"/>
                <w:szCs w:val="20"/>
                <w:lang w:eastAsia="zh-CN" w:bidi="ar"/>
              </w:rPr>
            </w:pPr>
            <w:r>
              <w:rPr>
                <w:rFonts w:hint="eastAsia" w:ascii="黑体" w:hAnsi="宋体" w:eastAsia="黑体" w:cs="黑体"/>
                <w:color w:val="000000"/>
                <w:kern w:val="0"/>
                <w:sz w:val="20"/>
                <w:szCs w:val="20"/>
                <w:lang w:eastAsia="zh-CN" w:bidi="ar"/>
              </w:rPr>
              <w:t>不含税单项报价</w:t>
            </w:r>
          </w:p>
          <w:p w14:paraId="6964E82F">
            <w:pPr>
              <w:widowControl/>
              <w:spacing w:line="240" w:lineRule="auto"/>
              <w:ind w:firstLine="0" w:firstLineChars="0"/>
              <w:jc w:val="center"/>
              <w:textAlignment w:val="center"/>
              <w:rPr>
                <w:rFonts w:hint="eastAsia" w:ascii="黑体" w:hAnsi="宋体" w:eastAsia="黑体" w:cs="黑体"/>
                <w:color w:val="000000"/>
                <w:kern w:val="0"/>
                <w:sz w:val="20"/>
                <w:szCs w:val="20"/>
                <w:lang w:eastAsia="zh-CN" w:bidi="ar"/>
              </w:rPr>
            </w:pPr>
            <w:r>
              <w:rPr>
                <w:rFonts w:hint="eastAsia" w:ascii="黑体" w:hAnsi="宋体" w:eastAsia="黑体" w:cs="黑体"/>
                <w:color w:val="000000"/>
                <w:kern w:val="0"/>
                <w:sz w:val="20"/>
                <w:szCs w:val="20"/>
                <w:lang w:eastAsia="zh-CN" w:bidi="ar"/>
              </w:rPr>
              <w:t>（元/</w:t>
            </w:r>
            <w:r>
              <w:rPr>
                <w:rFonts w:hint="eastAsia" w:ascii="黑体" w:hAnsi="宋体" w:eastAsia="黑体" w:cs="黑体"/>
                <w:color w:val="000000"/>
                <w:kern w:val="0"/>
                <w:sz w:val="20"/>
                <w:szCs w:val="20"/>
                <w:lang w:val="en-US" w:eastAsia="zh-CN" w:bidi="ar"/>
              </w:rPr>
              <w:t>t</w:t>
            </w:r>
            <w:r>
              <w:rPr>
                <w:rFonts w:hint="eastAsia" w:ascii="黑体" w:hAnsi="宋体" w:eastAsia="黑体" w:cs="黑体"/>
                <w:color w:val="000000"/>
                <w:kern w:val="0"/>
                <w:sz w:val="20"/>
                <w:szCs w:val="20"/>
                <w:lang w:eastAsia="zh-CN" w:bidi="ar"/>
              </w:rPr>
              <w:t>）</w:t>
            </w:r>
          </w:p>
        </w:tc>
        <w:tc>
          <w:tcPr>
            <w:tcW w:w="655" w:type="pct"/>
            <w:tcBorders>
              <w:top w:val="single" w:color="auto" w:sz="4" w:space="0"/>
              <w:left w:val="single" w:color="auto" w:sz="4" w:space="0"/>
              <w:right w:val="single" w:color="auto" w:sz="4" w:space="0"/>
            </w:tcBorders>
            <w:vAlign w:val="center"/>
          </w:tcPr>
          <w:p w14:paraId="2F55521F">
            <w:pPr>
              <w:widowControl/>
              <w:spacing w:line="240" w:lineRule="auto"/>
              <w:ind w:firstLine="0" w:firstLineChars="0"/>
              <w:jc w:val="center"/>
              <w:textAlignment w:val="center"/>
              <w:rPr>
                <w:rFonts w:hint="eastAsia" w:ascii="黑体" w:hAnsi="宋体" w:eastAsia="黑体" w:cs="黑体"/>
                <w:color w:val="000000"/>
                <w:kern w:val="0"/>
                <w:sz w:val="20"/>
                <w:szCs w:val="20"/>
                <w:lang w:eastAsia="zh-CN" w:bidi="ar"/>
              </w:rPr>
            </w:pPr>
            <w:r>
              <w:rPr>
                <w:rFonts w:hint="eastAsia" w:ascii="黑体" w:hAnsi="宋体" w:eastAsia="黑体" w:cs="黑体"/>
                <w:color w:val="000000"/>
                <w:kern w:val="0"/>
                <w:sz w:val="20"/>
                <w:szCs w:val="20"/>
                <w:lang w:val="en-US" w:eastAsia="zh-CN" w:bidi="ar"/>
              </w:rPr>
              <w:t>不含税</w:t>
            </w:r>
            <w:r>
              <w:rPr>
                <w:rFonts w:hint="eastAsia" w:ascii="黑体" w:hAnsi="宋体" w:eastAsia="黑体" w:cs="黑体"/>
                <w:color w:val="000000"/>
                <w:kern w:val="0"/>
                <w:sz w:val="20"/>
                <w:szCs w:val="20"/>
                <w:lang w:eastAsia="zh-CN" w:bidi="ar"/>
              </w:rPr>
              <w:t>合价</w:t>
            </w:r>
          </w:p>
          <w:p w14:paraId="6C227974">
            <w:pPr>
              <w:widowControl/>
              <w:spacing w:line="240" w:lineRule="auto"/>
              <w:ind w:firstLine="0" w:firstLineChars="0"/>
              <w:jc w:val="center"/>
              <w:textAlignment w:val="center"/>
              <w:rPr>
                <w:rFonts w:hint="eastAsia" w:ascii="黑体" w:hAnsi="宋体" w:eastAsia="黑体" w:cs="黑体"/>
                <w:color w:val="000000"/>
                <w:kern w:val="0"/>
                <w:sz w:val="20"/>
                <w:szCs w:val="20"/>
                <w:lang w:eastAsia="zh-CN" w:bidi="ar"/>
              </w:rPr>
            </w:pPr>
            <w:r>
              <w:rPr>
                <w:rFonts w:hint="eastAsia" w:ascii="黑体" w:hAnsi="宋体" w:eastAsia="黑体" w:cs="黑体"/>
                <w:color w:val="000000"/>
                <w:kern w:val="0"/>
                <w:sz w:val="20"/>
                <w:szCs w:val="20"/>
                <w:lang w:eastAsia="zh-CN" w:bidi="ar"/>
              </w:rPr>
              <w:t>(元)</w:t>
            </w:r>
          </w:p>
        </w:tc>
        <w:tc>
          <w:tcPr>
            <w:tcW w:w="481" w:type="pct"/>
            <w:tcBorders>
              <w:top w:val="single" w:color="auto" w:sz="4" w:space="0"/>
              <w:left w:val="single" w:color="auto" w:sz="4" w:space="0"/>
              <w:right w:val="single" w:color="auto" w:sz="4" w:space="0"/>
            </w:tcBorders>
            <w:vAlign w:val="center"/>
          </w:tcPr>
          <w:p w14:paraId="54D67F3A">
            <w:pPr>
              <w:widowControl/>
              <w:spacing w:line="240" w:lineRule="auto"/>
              <w:ind w:firstLine="0" w:firstLineChars="0"/>
              <w:jc w:val="center"/>
              <w:textAlignment w:val="center"/>
              <w:rPr>
                <w:rFonts w:hint="default" w:ascii="黑体" w:hAnsi="宋体" w:eastAsia="黑体" w:cs="黑体"/>
                <w:color w:val="000000"/>
                <w:kern w:val="0"/>
                <w:sz w:val="20"/>
                <w:szCs w:val="20"/>
                <w:lang w:val="en-US" w:eastAsia="zh-CN" w:bidi="ar"/>
              </w:rPr>
            </w:pPr>
            <w:r>
              <w:rPr>
                <w:rFonts w:hint="eastAsia" w:ascii="黑体" w:hAnsi="宋体" w:eastAsia="黑体" w:cs="黑体"/>
                <w:color w:val="000000"/>
                <w:kern w:val="0"/>
                <w:sz w:val="20"/>
                <w:szCs w:val="20"/>
                <w:lang w:val="en-US" w:eastAsia="zh-CN" w:bidi="ar"/>
              </w:rPr>
              <w:t>税率</w:t>
            </w:r>
          </w:p>
        </w:tc>
        <w:tc>
          <w:tcPr>
            <w:tcW w:w="446" w:type="pct"/>
            <w:tcBorders>
              <w:top w:val="single" w:color="auto" w:sz="4" w:space="0"/>
              <w:left w:val="single" w:color="auto" w:sz="4" w:space="0"/>
              <w:right w:val="single" w:color="auto" w:sz="4" w:space="0"/>
            </w:tcBorders>
            <w:vAlign w:val="center"/>
          </w:tcPr>
          <w:p w14:paraId="33E90AC8">
            <w:pPr>
              <w:widowControl/>
              <w:spacing w:line="240" w:lineRule="auto"/>
              <w:ind w:firstLine="0" w:firstLineChars="0"/>
              <w:jc w:val="center"/>
              <w:textAlignment w:val="center"/>
              <w:rPr>
                <w:rFonts w:hint="default" w:ascii="黑体" w:hAnsi="宋体" w:eastAsia="黑体" w:cs="黑体"/>
                <w:color w:val="000000"/>
                <w:kern w:val="0"/>
                <w:sz w:val="20"/>
                <w:szCs w:val="20"/>
                <w:lang w:val="en-US" w:eastAsia="zh-CN" w:bidi="ar"/>
              </w:rPr>
            </w:pPr>
            <w:r>
              <w:rPr>
                <w:rFonts w:hint="eastAsia" w:ascii="黑体" w:hAnsi="宋体" w:eastAsia="黑体" w:cs="黑体"/>
                <w:color w:val="000000"/>
                <w:kern w:val="0"/>
                <w:sz w:val="20"/>
                <w:szCs w:val="20"/>
                <w:lang w:val="en-US" w:eastAsia="zh-CN" w:bidi="ar"/>
              </w:rPr>
              <w:t>备注</w:t>
            </w:r>
          </w:p>
        </w:tc>
      </w:tr>
      <w:tr w14:paraId="18CD7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339" w:type="pct"/>
            <w:tcBorders>
              <w:top w:val="single" w:color="auto" w:sz="4" w:space="0"/>
              <w:left w:val="single" w:color="auto" w:sz="4" w:space="0"/>
              <w:bottom w:val="single" w:color="auto" w:sz="4" w:space="0"/>
              <w:right w:val="single" w:color="auto" w:sz="4" w:space="0"/>
            </w:tcBorders>
            <w:vAlign w:val="center"/>
          </w:tcPr>
          <w:p w14:paraId="46D1A293">
            <w:pPr>
              <w:widowControl/>
              <w:spacing w:line="240" w:lineRule="auto"/>
              <w:ind w:firstLine="0" w:firstLineChars="0"/>
              <w:jc w:val="center"/>
              <w:textAlignment w:val="center"/>
              <w:rPr>
                <w:rFonts w:hint="eastAsia" w:ascii="宋体" w:hAnsi="宋体" w:eastAsia="宋体" w:cs="宋体"/>
                <w:color w:val="000000"/>
                <w:kern w:val="0"/>
                <w:sz w:val="22"/>
                <w:szCs w:val="22"/>
                <w:lang w:eastAsia="zh-CN" w:bidi="ar"/>
              </w:rPr>
            </w:pPr>
            <w:r>
              <w:rPr>
                <w:rFonts w:hint="eastAsia" w:ascii="宋体" w:hAnsi="宋体" w:eastAsia="宋体" w:cs="宋体"/>
                <w:color w:val="000000"/>
                <w:kern w:val="0"/>
                <w:sz w:val="22"/>
                <w:szCs w:val="22"/>
                <w:lang w:eastAsia="zh-CN" w:bidi="ar"/>
              </w:rPr>
              <w:t>1</w:t>
            </w:r>
          </w:p>
        </w:tc>
        <w:tc>
          <w:tcPr>
            <w:tcW w:w="720" w:type="pct"/>
            <w:tcBorders>
              <w:top w:val="single" w:color="auto" w:sz="4" w:space="0"/>
              <w:left w:val="single" w:color="auto" w:sz="4" w:space="0"/>
              <w:bottom w:val="single" w:color="auto" w:sz="4" w:space="0"/>
              <w:right w:val="single" w:color="auto" w:sz="4" w:space="0"/>
            </w:tcBorders>
            <w:shd w:val="clear" w:color="auto" w:fill="auto"/>
            <w:vAlign w:val="center"/>
          </w:tcPr>
          <w:p w14:paraId="676979EA">
            <w:pPr>
              <w:widowControl/>
              <w:spacing w:line="240" w:lineRule="auto"/>
              <w:ind w:firstLine="0" w:firstLineChars="0"/>
              <w:jc w:val="center"/>
              <w:textAlignment w:val="center"/>
              <w:rPr>
                <w:rFonts w:hint="eastAsia" w:ascii="宋体" w:hAnsi="宋体" w:eastAsia="宋体" w:cs="宋体"/>
                <w:color w:val="000000"/>
                <w:kern w:val="0"/>
                <w:sz w:val="22"/>
                <w:szCs w:val="22"/>
                <w:lang w:eastAsia="zh-CN" w:bidi="ar"/>
              </w:rPr>
            </w:pPr>
            <w:r>
              <w:rPr>
                <w:rFonts w:hint="eastAsia" w:ascii="宋体" w:hAnsi="宋体" w:eastAsia="宋体" w:cs="宋体"/>
                <w:color w:val="000000"/>
                <w:kern w:val="0"/>
                <w:sz w:val="22"/>
                <w:szCs w:val="22"/>
                <w:lang w:eastAsia="zh-CN" w:bidi="ar"/>
              </w:rPr>
              <w:t>防水抗裂砂浆</w:t>
            </w:r>
          </w:p>
        </w:tc>
        <w:tc>
          <w:tcPr>
            <w:tcW w:w="601" w:type="pct"/>
            <w:tcBorders>
              <w:top w:val="single" w:color="auto" w:sz="4" w:space="0"/>
              <w:left w:val="single" w:color="auto" w:sz="4" w:space="0"/>
              <w:bottom w:val="single" w:color="auto" w:sz="4" w:space="0"/>
              <w:right w:val="single" w:color="auto" w:sz="4" w:space="0"/>
            </w:tcBorders>
            <w:shd w:val="clear" w:color="auto" w:fill="auto"/>
            <w:vAlign w:val="center"/>
          </w:tcPr>
          <w:p w14:paraId="09236D25">
            <w:pPr>
              <w:widowControl/>
              <w:spacing w:line="240" w:lineRule="auto"/>
              <w:ind w:firstLine="0" w:firstLineChars="0"/>
              <w:jc w:val="center"/>
              <w:textAlignment w:val="center"/>
              <w:rPr>
                <w:rFonts w:hint="eastAsia" w:ascii="宋体" w:hAnsi="宋体" w:eastAsia="宋体" w:cs="宋体"/>
                <w:color w:val="000000"/>
                <w:kern w:val="0"/>
                <w:sz w:val="22"/>
                <w:szCs w:val="22"/>
                <w:lang w:eastAsia="zh-CN" w:bidi="ar"/>
              </w:rPr>
            </w:pPr>
            <w:r>
              <w:rPr>
                <w:rFonts w:hint="eastAsia" w:ascii="宋体" w:hAnsi="宋体" w:eastAsia="宋体" w:cs="宋体"/>
                <w:color w:val="000000"/>
                <w:kern w:val="0"/>
                <w:sz w:val="22"/>
                <w:szCs w:val="22"/>
                <w:lang w:eastAsia="zh-CN" w:bidi="ar"/>
              </w:rPr>
              <w:t>1500</w:t>
            </w:r>
          </w:p>
        </w:tc>
        <w:tc>
          <w:tcPr>
            <w:tcW w:w="911" w:type="pct"/>
            <w:tcBorders>
              <w:top w:val="single" w:color="auto" w:sz="4" w:space="0"/>
              <w:left w:val="single" w:color="auto" w:sz="4" w:space="0"/>
              <w:bottom w:val="single" w:color="auto" w:sz="4" w:space="0"/>
              <w:right w:val="single" w:color="auto" w:sz="4" w:space="0"/>
            </w:tcBorders>
            <w:vAlign w:val="center"/>
          </w:tcPr>
          <w:p w14:paraId="0D1E6FE2">
            <w:pPr>
              <w:widowControl/>
              <w:spacing w:line="240" w:lineRule="auto"/>
              <w:ind w:firstLine="0" w:firstLineChars="0"/>
              <w:jc w:val="center"/>
              <w:textAlignment w:val="center"/>
              <w:rPr>
                <w:rFonts w:hint="eastAsia" w:ascii="宋体" w:hAnsi="宋体" w:eastAsia="宋体" w:cs="宋体"/>
                <w:color w:val="000000"/>
                <w:kern w:val="0"/>
                <w:sz w:val="22"/>
                <w:szCs w:val="22"/>
                <w:lang w:eastAsia="zh-CN" w:bidi="ar"/>
              </w:rPr>
            </w:pPr>
            <w:r>
              <w:rPr>
                <w:rFonts w:hint="eastAsia" w:ascii="宋体" w:hAnsi="宋体" w:eastAsia="宋体" w:cs="宋体"/>
                <w:color w:val="000000"/>
                <w:kern w:val="0"/>
                <w:sz w:val="22"/>
                <w:szCs w:val="22"/>
                <w:lang w:eastAsia="zh-CN" w:bidi="ar"/>
              </w:rPr>
              <w:t>289</w:t>
            </w:r>
          </w:p>
        </w:tc>
        <w:tc>
          <w:tcPr>
            <w:tcW w:w="843" w:type="pct"/>
            <w:tcBorders>
              <w:top w:val="single" w:color="auto" w:sz="4" w:space="0"/>
              <w:left w:val="single" w:color="auto" w:sz="4" w:space="0"/>
              <w:bottom w:val="single" w:color="auto" w:sz="4" w:space="0"/>
              <w:right w:val="single" w:color="auto" w:sz="4" w:space="0"/>
            </w:tcBorders>
            <w:vAlign w:val="center"/>
          </w:tcPr>
          <w:p w14:paraId="63EC148F">
            <w:pPr>
              <w:widowControl/>
              <w:spacing w:line="240" w:lineRule="auto"/>
              <w:ind w:firstLine="0" w:firstLineChars="0"/>
              <w:jc w:val="center"/>
              <w:textAlignment w:val="center"/>
              <w:rPr>
                <w:rFonts w:hint="eastAsia" w:ascii="宋体" w:hAnsi="宋体" w:eastAsia="宋体" w:cs="宋体"/>
                <w:color w:val="000000"/>
                <w:kern w:val="0"/>
                <w:sz w:val="22"/>
                <w:szCs w:val="22"/>
                <w:lang w:eastAsia="zh-CN" w:bidi="ar"/>
              </w:rPr>
            </w:pPr>
          </w:p>
        </w:tc>
        <w:tc>
          <w:tcPr>
            <w:tcW w:w="655" w:type="pct"/>
            <w:tcBorders>
              <w:top w:val="single" w:color="auto" w:sz="4" w:space="0"/>
              <w:left w:val="single" w:color="auto" w:sz="4" w:space="0"/>
              <w:bottom w:val="single" w:color="auto" w:sz="4" w:space="0"/>
              <w:right w:val="single" w:color="auto" w:sz="4" w:space="0"/>
            </w:tcBorders>
            <w:vAlign w:val="center"/>
          </w:tcPr>
          <w:p w14:paraId="10D82990">
            <w:pPr>
              <w:widowControl/>
              <w:spacing w:line="240" w:lineRule="auto"/>
              <w:ind w:firstLine="0" w:firstLineChars="0"/>
              <w:jc w:val="center"/>
              <w:textAlignment w:val="center"/>
              <w:rPr>
                <w:rFonts w:hint="eastAsia" w:ascii="宋体" w:hAnsi="宋体" w:eastAsia="宋体" w:cs="宋体"/>
                <w:color w:val="000000"/>
                <w:kern w:val="0"/>
                <w:sz w:val="22"/>
                <w:szCs w:val="22"/>
                <w:lang w:eastAsia="zh-CN" w:bidi="ar"/>
              </w:rPr>
            </w:pPr>
          </w:p>
        </w:tc>
        <w:tc>
          <w:tcPr>
            <w:tcW w:w="481" w:type="pct"/>
            <w:tcBorders>
              <w:top w:val="single" w:color="auto" w:sz="4" w:space="0"/>
              <w:left w:val="single" w:color="auto" w:sz="4" w:space="0"/>
              <w:bottom w:val="single" w:color="auto" w:sz="4" w:space="0"/>
              <w:right w:val="single" w:color="auto" w:sz="4" w:space="0"/>
            </w:tcBorders>
            <w:vAlign w:val="center"/>
          </w:tcPr>
          <w:p w14:paraId="3E22CE19">
            <w:pPr>
              <w:widowControl/>
              <w:spacing w:line="240" w:lineRule="auto"/>
              <w:ind w:firstLine="0" w:firstLineChars="0"/>
              <w:jc w:val="center"/>
              <w:textAlignment w:val="center"/>
              <w:rPr>
                <w:rFonts w:hint="eastAsia" w:ascii="宋体" w:hAnsi="宋体" w:eastAsia="宋体" w:cs="宋体"/>
                <w:color w:val="000000"/>
                <w:kern w:val="0"/>
                <w:sz w:val="22"/>
                <w:szCs w:val="22"/>
                <w:lang w:eastAsia="zh-CN" w:bidi="ar"/>
              </w:rPr>
            </w:pPr>
          </w:p>
        </w:tc>
        <w:tc>
          <w:tcPr>
            <w:tcW w:w="446" w:type="pct"/>
            <w:tcBorders>
              <w:top w:val="single" w:color="auto" w:sz="4" w:space="0"/>
              <w:left w:val="single" w:color="auto" w:sz="4" w:space="0"/>
              <w:bottom w:val="single" w:color="auto" w:sz="4" w:space="0"/>
              <w:right w:val="single" w:color="auto" w:sz="4" w:space="0"/>
            </w:tcBorders>
            <w:vAlign w:val="center"/>
          </w:tcPr>
          <w:p w14:paraId="14162196">
            <w:pPr>
              <w:widowControl/>
              <w:spacing w:line="240" w:lineRule="auto"/>
              <w:ind w:firstLine="0" w:firstLineChars="0"/>
              <w:jc w:val="center"/>
              <w:textAlignment w:val="center"/>
              <w:rPr>
                <w:rFonts w:hint="eastAsia" w:ascii="宋体" w:hAnsi="宋体" w:eastAsia="宋体" w:cs="宋体"/>
                <w:color w:val="000000"/>
                <w:kern w:val="0"/>
                <w:sz w:val="22"/>
                <w:szCs w:val="22"/>
                <w:lang w:eastAsia="zh-CN" w:bidi="ar"/>
              </w:rPr>
            </w:pPr>
          </w:p>
        </w:tc>
      </w:tr>
      <w:tr w14:paraId="1E1F75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339" w:type="pct"/>
            <w:tcBorders>
              <w:top w:val="single" w:color="auto" w:sz="4" w:space="0"/>
              <w:left w:val="single" w:color="auto" w:sz="4" w:space="0"/>
              <w:bottom w:val="single" w:color="auto" w:sz="4" w:space="0"/>
              <w:right w:val="single" w:color="auto" w:sz="4" w:space="0"/>
            </w:tcBorders>
            <w:vAlign w:val="center"/>
          </w:tcPr>
          <w:p w14:paraId="566FC992">
            <w:pPr>
              <w:widowControl/>
              <w:spacing w:line="240" w:lineRule="auto"/>
              <w:ind w:firstLine="0" w:firstLineChars="0"/>
              <w:jc w:val="center"/>
              <w:textAlignment w:val="center"/>
              <w:rPr>
                <w:rFonts w:hint="eastAsia" w:ascii="宋体" w:hAnsi="宋体" w:eastAsia="宋体" w:cs="宋体"/>
                <w:color w:val="000000"/>
                <w:kern w:val="0"/>
                <w:sz w:val="22"/>
                <w:szCs w:val="22"/>
                <w:lang w:eastAsia="zh-CN" w:bidi="ar"/>
              </w:rPr>
            </w:pPr>
            <w:r>
              <w:rPr>
                <w:rFonts w:hint="eastAsia" w:ascii="宋体" w:hAnsi="宋体" w:eastAsia="宋体" w:cs="宋体"/>
                <w:color w:val="000000"/>
                <w:kern w:val="0"/>
                <w:sz w:val="22"/>
                <w:szCs w:val="22"/>
                <w:lang w:eastAsia="zh-CN" w:bidi="ar"/>
              </w:rPr>
              <w:t>2</w:t>
            </w:r>
          </w:p>
        </w:tc>
        <w:tc>
          <w:tcPr>
            <w:tcW w:w="720" w:type="pct"/>
            <w:tcBorders>
              <w:top w:val="single" w:color="auto" w:sz="4" w:space="0"/>
              <w:left w:val="single" w:color="auto" w:sz="4" w:space="0"/>
              <w:bottom w:val="single" w:color="auto" w:sz="4" w:space="0"/>
              <w:right w:val="single" w:color="auto" w:sz="4" w:space="0"/>
            </w:tcBorders>
            <w:vAlign w:val="center"/>
          </w:tcPr>
          <w:p w14:paraId="2ED4C494">
            <w:pPr>
              <w:widowControl/>
              <w:spacing w:line="240" w:lineRule="auto"/>
              <w:ind w:firstLine="0" w:firstLineChars="0"/>
              <w:jc w:val="center"/>
              <w:textAlignment w:val="center"/>
              <w:rPr>
                <w:rFonts w:hint="eastAsia" w:ascii="宋体" w:hAnsi="宋体" w:eastAsia="宋体" w:cs="宋体"/>
                <w:color w:val="000000"/>
                <w:kern w:val="0"/>
                <w:sz w:val="22"/>
                <w:szCs w:val="22"/>
                <w:lang w:eastAsia="zh-CN" w:bidi="ar"/>
              </w:rPr>
            </w:pPr>
            <w:r>
              <w:rPr>
                <w:rFonts w:hint="eastAsia" w:ascii="宋体" w:hAnsi="宋体" w:eastAsia="宋体" w:cs="宋体"/>
                <w:color w:val="000000"/>
                <w:kern w:val="0"/>
                <w:sz w:val="22"/>
                <w:szCs w:val="22"/>
                <w:lang w:eastAsia="zh-CN" w:bidi="ar"/>
              </w:rPr>
              <w:t>聚合物防水抗裂砂浆</w:t>
            </w:r>
          </w:p>
        </w:tc>
        <w:tc>
          <w:tcPr>
            <w:tcW w:w="601" w:type="pct"/>
            <w:tcBorders>
              <w:top w:val="single" w:color="auto" w:sz="4" w:space="0"/>
              <w:left w:val="single" w:color="auto" w:sz="4" w:space="0"/>
              <w:bottom w:val="single" w:color="auto" w:sz="4" w:space="0"/>
              <w:right w:val="single" w:color="auto" w:sz="4" w:space="0"/>
            </w:tcBorders>
            <w:vAlign w:val="center"/>
          </w:tcPr>
          <w:p w14:paraId="5748C86F">
            <w:pPr>
              <w:widowControl/>
              <w:spacing w:line="240" w:lineRule="auto"/>
              <w:ind w:firstLine="0" w:firstLineChars="0"/>
              <w:jc w:val="center"/>
              <w:textAlignment w:val="center"/>
              <w:rPr>
                <w:rFonts w:hint="eastAsia" w:ascii="宋体" w:hAnsi="宋体" w:eastAsia="宋体" w:cs="宋体"/>
                <w:color w:val="000000"/>
                <w:kern w:val="0"/>
                <w:sz w:val="22"/>
                <w:szCs w:val="22"/>
                <w:lang w:eastAsia="zh-CN" w:bidi="ar"/>
              </w:rPr>
            </w:pPr>
            <w:r>
              <w:rPr>
                <w:rFonts w:hint="eastAsia" w:ascii="宋体" w:hAnsi="宋体" w:eastAsia="宋体" w:cs="宋体"/>
                <w:color w:val="000000"/>
                <w:kern w:val="0"/>
                <w:sz w:val="22"/>
                <w:szCs w:val="22"/>
                <w:lang w:eastAsia="zh-CN" w:bidi="ar"/>
              </w:rPr>
              <w:t>200</w:t>
            </w:r>
          </w:p>
        </w:tc>
        <w:tc>
          <w:tcPr>
            <w:tcW w:w="911" w:type="pct"/>
            <w:tcBorders>
              <w:top w:val="single" w:color="auto" w:sz="4" w:space="0"/>
              <w:left w:val="single" w:color="auto" w:sz="4" w:space="0"/>
              <w:bottom w:val="single" w:color="auto" w:sz="4" w:space="0"/>
              <w:right w:val="single" w:color="auto" w:sz="4" w:space="0"/>
            </w:tcBorders>
            <w:vAlign w:val="center"/>
          </w:tcPr>
          <w:p w14:paraId="09073F4C">
            <w:pPr>
              <w:widowControl/>
              <w:spacing w:line="240" w:lineRule="auto"/>
              <w:ind w:firstLine="0" w:firstLineChars="0"/>
              <w:jc w:val="center"/>
              <w:textAlignment w:val="center"/>
              <w:rPr>
                <w:rFonts w:hint="eastAsia" w:ascii="宋体" w:hAnsi="宋体" w:eastAsia="宋体" w:cs="宋体"/>
                <w:color w:val="000000"/>
                <w:kern w:val="0"/>
                <w:sz w:val="22"/>
                <w:szCs w:val="22"/>
                <w:lang w:eastAsia="zh-CN" w:bidi="ar"/>
              </w:rPr>
            </w:pPr>
            <w:r>
              <w:rPr>
                <w:rFonts w:hint="eastAsia" w:ascii="宋体" w:hAnsi="宋体" w:eastAsia="宋体" w:cs="宋体"/>
                <w:color w:val="000000"/>
                <w:kern w:val="0"/>
                <w:sz w:val="22"/>
                <w:szCs w:val="22"/>
                <w:lang w:eastAsia="zh-CN" w:bidi="ar"/>
              </w:rPr>
              <w:t>720</w:t>
            </w:r>
          </w:p>
        </w:tc>
        <w:tc>
          <w:tcPr>
            <w:tcW w:w="843" w:type="pct"/>
            <w:tcBorders>
              <w:top w:val="single" w:color="auto" w:sz="4" w:space="0"/>
              <w:left w:val="single" w:color="auto" w:sz="4" w:space="0"/>
              <w:bottom w:val="single" w:color="auto" w:sz="4" w:space="0"/>
              <w:right w:val="single" w:color="auto" w:sz="4" w:space="0"/>
            </w:tcBorders>
            <w:vAlign w:val="center"/>
          </w:tcPr>
          <w:p w14:paraId="34F76CF3">
            <w:pPr>
              <w:widowControl/>
              <w:spacing w:line="240" w:lineRule="auto"/>
              <w:ind w:firstLine="0" w:firstLineChars="0"/>
              <w:jc w:val="center"/>
              <w:textAlignment w:val="center"/>
              <w:rPr>
                <w:rFonts w:hint="eastAsia" w:ascii="宋体" w:hAnsi="宋体" w:eastAsia="宋体" w:cs="宋体"/>
                <w:color w:val="000000"/>
                <w:kern w:val="0"/>
                <w:sz w:val="22"/>
                <w:szCs w:val="22"/>
                <w:lang w:eastAsia="zh-CN" w:bidi="ar"/>
              </w:rPr>
            </w:pPr>
            <w:bookmarkStart w:id="323" w:name="_GoBack"/>
            <w:bookmarkEnd w:id="323"/>
          </w:p>
        </w:tc>
        <w:tc>
          <w:tcPr>
            <w:tcW w:w="655" w:type="pct"/>
            <w:tcBorders>
              <w:top w:val="single" w:color="auto" w:sz="4" w:space="0"/>
              <w:left w:val="single" w:color="auto" w:sz="4" w:space="0"/>
              <w:bottom w:val="single" w:color="auto" w:sz="4" w:space="0"/>
              <w:right w:val="single" w:color="auto" w:sz="4" w:space="0"/>
            </w:tcBorders>
            <w:vAlign w:val="center"/>
          </w:tcPr>
          <w:p w14:paraId="19B31063">
            <w:pPr>
              <w:widowControl/>
              <w:spacing w:line="240" w:lineRule="auto"/>
              <w:ind w:firstLine="0" w:firstLineChars="0"/>
              <w:jc w:val="center"/>
              <w:textAlignment w:val="center"/>
              <w:rPr>
                <w:rFonts w:hint="eastAsia" w:ascii="宋体" w:hAnsi="宋体" w:eastAsia="宋体" w:cs="宋体"/>
                <w:color w:val="000000"/>
                <w:kern w:val="0"/>
                <w:sz w:val="22"/>
                <w:szCs w:val="22"/>
                <w:lang w:eastAsia="zh-CN" w:bidi="ar"/>
              </w:rPr>
            </w:pPr>
          </w:p>
        </w:tc>
        <w:tc>
          <w:tcPr>
            <w:tcW w:w="481" w:type="pct"/>
            <w:tcBorders>
              <w:top w:val="single" w:color="auto" w:sz="4" w:space="0"/>
              <w:left w:val="single" w:color="auto" w:sz="4" w:space="0"/>
              <w:bottom w:val="single" w:color="auto" w:sz="4" w:space="0"/>
              <w:right w:val="single" w:color="auto" w:sz="4" w:space="0"/>
            </w:tcBorders>
            <w:vAlign w:val="center"/>
          </w:tcPr>
          <w:p w14:paraId="0ED61DAA">
            <w:pPr>
              <w:widowControl/>
              <w:spacing w:line="240" w:lineRule="auto"/>
              <w:ind w:firstLine="0" w:firstLineChars="0"/>
              <w:jc w:val="center"/>
              <w:textAlignment w:val="center"/>
              <w:rPr>
                <w:rFonts w:hint="eastAsia" w:ascii="宋体" w:hAnsi="宋体" w:eastAsia="宋体" w:cs="宋体"/>
                <w:color w:val="000000"/>
                <w:kern w:val="0"/>
                <w:sz w:val="22"/>
                <w:szCs w:val="22"/>
                <w:lang w:eastAsia="zh-CN" w:bidi="ar"/>
              </w:rPr>
            </w:pPr>
          </w:p>
        </w:tc>
        <w:tc>
          <w:tcPr>
            <w:tcW w:w="446" w:type="pct"/>
            <w:tcBorders>
              <w:top w:val="single" w:color="auto" w:sz="4" w:space="0"/>
              <w:left w:val="single" w:color="auto" w:sz="4" w:space="0"/>
              <w:bottom w:val="single" w:color="auto" w:sz="4" w:space="0"/>
              <w:right w:val="single" w:color="auto" w:sz="4" w:space="0"/>
            </w:tcBorders>
            <w:vAlign w:val="center"/>
          </w:tcPr>
          <w:p w14:paraId="3A7A5541">
            <w:pPr>
              <w:widowControl/>
              <w:spacing w:line="240" w:lineRule="auto"/>
              <w:ind w:firstLine="0" w:firstLineChars="0"/>
              <w:jc w:val="center"/>
              <w:textAlignment w:val="center"/>
              <w:rPr>
                <w:rFonts w:hint="eastAsia" w:ascii="宋体" w:hAnsi="宋体" w:eastAsia="宋体" w:cs="宋体"/>
                <w:color w:val="000000"/>
                <w:kern w:val="0"/>
                <w:sz w:val="22"/>
                <w:szCs w:val="22"/>
                <w:lang w:eastAsia="zh-CN" w:bidi="ar"/>
              </w:rPr>
            </w:pPr>
          </w:p>
        </w:tc>
      </w:tr>
      <w:tr w14:paraId="1ED897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3416" w:type="pct"/>
            <w:gridSpan w:val="5"/>
            <w:tcBorders>
              <w:top w:val="single" w:color="auto" w:sz="4" w:space="0"/>
              <w:left w:val="single" w:color="auto" w:sz="4" w:space="0"/>
              <w:bottom w:val="single" w:color="auto" w:sz="4" w:space="0"/>
              <w:right w:val="single" w:color="auto" w:sz="4" w:space="0"/>
            </w:tcBorders>
            <w:vAlign w:val="center"/>
          </w:tcPr>
          <w:p w14:paraId="6D7D9B23">
            <w:pPr>
              <w:widowControl/>
              <w:spacing w:line="240" w:lineRule="auto"/>
              <w:ind w:firstLine="0" w:firstLineChars="0"/>
              <w:jc w:val="center"/>
              <w:textAlignment w:val="center"/>
              <w:rPr>
                <w:rFonts w:hint="eastAsia" w:ascii="宋体" w:hAnsi="宋体" w:eastAsia="宋体" w:cs="宋体"/>
                <w:color w:val="000000"/>
                <w:kern w:val="0"/>
                <w:sz w:val="22"/>
                <w:szCs w:val="22"/>
                <w:lang w:eastAsia="zh-CN" w:bidi="ar"/>
              </w:rPr>
            </w:pPr>
            <w:r>
              <w:rPr>
                <w:rFonts w:hint="eastAsia" w:ascii="宋体" w:hAnsi="宋体" w:eastAsia="宋体" w:cs="宋体"/>
                <w:color w:val="000000"/>
                <w:kern w:val="0"/>
                <w:sz w:val="22"/>
                <w:szCs w:val="22"/>
                <w:lang w:val="en-US" w:eastAsia="zh-CN" w:bidi="ar"/>
              </w:rPr>
              <w:t>合计</w:t>
            </w:r>
            <w:r>
              <w:rPr>
                <w:rFonts w:hint="eastAsia" w:ascii="宋体" w:hAnsi="宋体" w:eastAsia="宋体" w:cs="宋体"/>
                <w:color w:val="000000"/>
                <w:kern w:val="0"/>
                <w:sz w:val="22"/>
                <w:szCs w:val="22"/>
                <w:lang w:eastAsia="zh-CN" w:bidi="ar"/>
              </w:rPr>
              <w:t>（元）</w:t>
            </w:r>
          </w:p>
        </w:tc>
        <w:tc>
          <w:tcPr>
            <w:tcW w:w="655" w:type="pct"/>
            <w:tcBorders>
              <w:top w:val="single" w:color="auto" w:sz="4" w:space="0"/>
              <w:left w:val="single" w:color="auto" w:sz="4" w:space="0"/>
              <w:bottom w:val="single" w:color="auto" w:sz="4" w:space="0"/>
              <w:right w:val="single" w:color="auto" w:sz="4" w:space="0"/>
            </w:tcBorders>
            <w:vAlign w:val="center"/>
          </w:tcPr>
          <w:p w14:paraId="2539DC21">
            <w:pPr>
              <w:widowControl/>
              <w:spacing w:line="240" w:lineRule="auto"/>
              <w:ind w:firstLine="0" w:firstLineChars="0"/>
              <w:jc w:val="center"/>
              <w:textAlignment w:val="center"/>
              <w:rPr>
                <w:rFonts w:hint="eastAsia" w:ascii="宋体" w:hAnsi="宋体" w:eastAsia="宋体" w:cs="宋体"/>
                <w:color w:val="000000"/>
                <w:kern w:val="0"/>
                <w:sz w:val="22"/>
                <w:szCs w:val="22"/>
                <w:lang w:eastAsia="zh-CN" w:bidi="ar"/>
              </w:rPr>
            </w:pPr>
          </w:p>
        </w:tc>
        <w:tc>
          <w:tcPr>
            <w:tcW w:w="481" w:type="pct"/>
            <w:tcBorders>
              <w:top w:val="single" w:color="auto" w:sz="4" w:space="0"/>
              <w:left w:val="single" w:color="auto" w:sz="4" w:space="0"/>
              <w:bottom w:val="single" w:color="auto" w:sz="4" w:space="0"/>
              <w:right w:val="single" w:color="auto" w:sz="4" w:space="0"/>
            </w:tcBorders>
            <w:vAlign w:val="center"/>
          </w:tcPr>
          <w:p w14:paraId="424965EA">
            <w:pPr>
              <w:widowControl/>
              <w:spacing w:line="240" w:lineRule="auto"/>
              <w:ind w:firstLine="0" w:firstLineChars="0"/>
              <w:jc w:val="center"/>
              <w:textAlignment w:val="center"/>
              <w:rPr>
                <w:rFonts w:hint="default" w:ascii="宋体" w:hAnsi="宋体" w:eastAsia="宋体" w:cs="宋体"/>
                <w:color w:val="000000"/>
                <w:kern w:val="0"/>
                <w:sz w:val="22"/>
                <w:szCs w:val="22"/>
                <w:lang w:val="en-US" w:eastAsia="zh-CN" w:bidi="ar"/>
              </w:rPr>
            </w:pPr>
            <w:r>
              <w:rPr>
                <w:rFonts w:hint="eastAsia" w:ascii="宋体" w:hAnsi="宋体" w:eastAsia="宋体" w:cs="宋体"/>
                <w:color w:val="000000"/>
                <w:kern w:val="0"/>
                <w:sz w:val="22"/>
                <w:szCs w:val="22"/>
                <w:lang w:val="en-US" w:eastAsia="zh-CN" w:bidi="ar"/>
              </w:rPr>
              <w:t>/</w:t>
            </w:r>
          </w:p>
        </w:tc>
        <w:tc>
          <w:tcPr>
            <w:tcW w:w="446" w:type="pct"/>
            <w:tcBorders>
              <w:top w:val="single" w:color="auto" w:sz="4" w:space="0"/>
              <w:left w:val="single" w:color="auto" w:sz="4" w:space="0"/>
              <w:bottom w:val="single" w:color="auto" w:sz="4" w:space="0"/>
              <w:right w:val="single" w:color="auto" w:sz="4" w:space="0"/>
            </w:tcBorders>
            <w:vAlign w:val="center"/>
          </w:tcPr>
          <w:p w14:paraId="290FA79E">
            <w:pPr>
              <w:widowControl/>
              <w:spacing w:line="240" w:lineRule="auto"/>
              <w:ind w:firstLine="0" w:firstLineChars="0"/>
              <w:jc w:val="center"/>
              <w:textAlignment w:val="center"/>
              <w:rPr>
                <w:rFonts w:hint="default" w:ascii="宋体" w:hAnsi="宋体" w:eastAsia="宋体" w:cs="宋体"/>
                <w:color w:val="000000"/>
                <w:kern w:val="0"/>
                <w:sz w:val="22"/>
                <w:szCs w:val="22"/>
                <w:lang w:val="en-US" w:eastAsia="zh-CN" w:bidi="ar"/>
              </w:rPr>
            </w:pPr>
          </w:p>
        </w:tc>
      </w:tr>
      <w:tr w14:paraId="28F32D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5000" w:type="pct"/>
            <w:gridSpan w:val="8"/>
            <w:tcBorders>
              <w:top w:val="single" w:color="auto" w:sz="4" w:space="0"/>
              <w:left w:val="single" w:color="auto" w:sz="4" w:space="0"/>
              <w:bottom w:val="single" w:color="auto" w:sz="4" w:space="0"/>
              <w:right w:val="single" w:color="auto" w:sz="4" w:space="0"/>
            </w:tcBorders>
            <w:vAlign w:val="center"/>
          </w:tcPr>
          <w:p w14:paraId="2BAB1FFC">
            <w:pPr>
              <w:widowControl/>
              <w:spacing w:line="240" w:lineRule="auto"/>
              <w:ind w:firstLine="0" w:firstLineChars="0"/>
              <w:jc w:val="center"/>
              <w:textAlignment w:val="center"/>
              <w:rPr>
                <w:rFonts w:hint="eastAsia" w:ascii="宋体" w:hAnsi="宋体" w:eastAsia="宋体" w:cs="宋体"/>
                <w:color w:val="000000"/>
                <w:kern w:val="0"/>
                <w:sz w:val="22"/>
                <w:szCs w:val="22"/>
                <w:lang w:val="en-US" w:eastAsia="zh-CN" w:bidi="ar"/>
              </w:rPr>
            </w:pPr>
            <w:r>
              <w:rPr>
                <w:rFonts w:hint="eastAsia" w:ascii="宋体" w:hAnsi="宋体" w:eastAsia="宋体" w:cs="宋体"/>
                <w:color w:val="000000"/>
                <w:kern w:val="0"/>
                <w:sz w:val="22"/>
                <w:szCs w:val="22"/>
                <w:lang w:val="en-US" w:eastAsia="zh-CN" w:bidi="ar"/>
              </w:rPr>
              <w:t>注：采购数量为暂定，具体数量以实际使用数量为准，据实结算。</w:t>
            </w:r>
          </w:p>
        </w:tc>
      </w:tr>
    </w:tbl>
    <w:p w14:paraId="65D24BC7">
      <w:pPr>
        <w:widowControl w:val="0"/>
        <w:numPr>
          <w:ilvl w:val="0"/>
          <w:numId w:val="0"/>
        </w:numPr>
        <w:jc w:val="both"/>
        <w:rPr>
          <w:rFonts w:hint="eastAsia"/>
        </w:rPr>
      </w:pPr>
    </w:p>
    <w:p w14:paraId="505820B5">
      <w:pPr>
        <w:pStyle w:val="5"/>
        <w:jc w:val="center"/>
        <w:rPr>
          <w:rFonts w:hint="eastAsia" w:ascii="Times New Roman" w:hAnsi="Times New Roman" w:cs="Times New Roman"/>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78"/>
    <w:bookmarkEnd w:id="279"/>
    <w:bookmarkEnd w:id="280"/>
    <w:bookmarkEnd w:id="281"/>
    <w:bookmarkEnd w:id="282"/>
    <w:bookmarkEnd w:id="283"/>
    <w:p w14:paraId="577D3DDA">
      <w:pPr>
        <w:pStyle w:val="5"/>
        <w:jc w:val="center"/>
        <w:rPr>
          <w:rFonts w:hint="eastAsia"/>
        </w:rPr>
      </w:pPr>
      <w:bookmarkStart w:id="284" w:name="_Toc247514288"/>
      <w:bookmarkStart w:id="285" w:name="_Toc152042585"/>
      <w:bookmarkStart w:id="286" w:name="_Toc300835221"/>
      <w:bookmarkStart w:id="287" w:name="_Toc144974864"/>
      <w:bookmarkStart w:id="288" w:name="_Toc152045796"/>
      <w:bookmarkStart w:id="289" w:name="_Toc247527836"/>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14:paraId="0BFC76BB">
      <w:pPr>
        <w:spacing w:before="53"/>
        <w:jc w:val="center"/>
        <w:rPr>
          <w:rFonts w:hint="eastAsia"/>
          <w:b/>
          <w:bCs/>
          <w:color w:val="FF0000"/>
          <w:lang w:val="en-US" w:eastAsia="zh-CN"/>
        </w:rPr>
      </w:pPr>
      <w:bookmarkStart w:id="291" w:name="_Toc247085891"/>
      <w:bookmarkStart w:id="292" w:name="_Toc179632828"/>
      <w:bookmarkStart w:id="293" w:name="_Toc296602618"/>
      <w:bookmarkStart w:id="294" w:name="_Toc246996373"/>
      <w:bookmarkStart w:id="295" w:name="_Toc246997116"/>
      <w:r>
        <w:rPr>
          <w:rFonts w:hint="eastAsia"/>
          <w:b/>
          <w:bCs/>
          <w:color w:val="FF0000"/>
          <w:lang w:val="en-US" w:eastAsia="zh-CN"/>
        </w:rPr>
        <w:t>（注：供应商根据询比公告/邀请书要求按需填写，如无要求，可不填写。）</w:t>
      </w:r>
    </w:p>
    <w:p w14:paraId="3DAB7550">
      <w:pPr>
        <w:pStyle w:val="6"/>
        <w:jc w:val="both"/>
        <w:rPr>
          <w:rFonts w:hint="eastAsia"/>
        </w:rPr>
      </w:pPr>
      <w:r>
        <w:t>（一）</w:t>
      </w:r>
      <w:r>
        <w:rPr>
          <w:rFonts w:hint="eastAsia"/>
          <w:lang w:eastAsia="zh-CN"/>
        </w:rPr>
        <w:t>供应商</w:t>
      </w:r>
      <w:r>
        <w:t>基本情况表</w:t>
      </w:r>
      <w:bookmarkEnd w:id="291"/>
      <w:bookmarkEnd w:id="292"/>
      <w:bookmarkEnd w:id="293"/>
      <w:bookmarkEnd w:id="294"/>
      <w:bookmarkEnd w:id="295"/>
    </w:p>
    <w:tbl>
      <w:tblPr>
        <w:tblStyle w:val="17"/>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6"/>
        <w:jc w:val="both"/>
      </w:pPr>
      <w:bookmarkStart w:id="296" w:name="_Toc246997113"/>
      <w:bookmarkStart w:id="297" w:name="_Toc246996370"/>
      <w:bookmarkStart w:id="298" w:name="_Toc296602615"/>
      <w:bookmarkStart w:id="299" w:name="_Toc247085888"/>
      <w:bookmarkStart w:id="300" w:name="_Toc152045810"/>
      <w:bookmarkStart w:id="301" w:name="_Toc247514302"/>
      <w:bookmarkStart w:id="302" w:name="_Toc300835226"/>
      <w:bookmarkStart w:id="303" w:name="_Toc247527850"/>
      <w:bookmarkStart w:id="304" w:name="_Toc152042599"/>
      <w:bookmarkStart w:id="305" w:name="_Toc144974878"/>
      <w:r>
        <w:t>（</w:t>
      </w:r>
      <w:r>
        <w:rPr>
          <w:rFonts w:hint="eastAsia"/>
          <w:lang w:val="en-US" w:eastAsia="zh-CN"/>
        </w:rPr>
        <w:t>二</w:t>
      </w:r>
      <w:r>
        <w:t>）项目管理机构组成表</w:t>
      </w:r>
      <w:bookmarkEnd w:id="296"/>
      <w:bookmarkEnd w:id="297"/>
      <w:bookmarkEnd w:id="298"/>
      <w:bookmarkEnd w:id="299"/>
    </w:p>
    <w:p w14:paraId="69188AE7">
      <w:pPr>
        <w:spacing w:line="440" w:lineRule="exact"/>
        <w:jc w:val="center"/>
        <w:rPr>
          <w:rFonts w:eastAsia="黑体"/>
          <w:sz w:val="23"/>
          <w:szCs w:val="23"/>
        </w:rPr>
      </w:pP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6"/>
        <w:jc w:val="both"/>
        <w:rPr>
          <w:rFonts w:eastAsia="黑体"/>
          <w:sz w:val="23"/>
          <w:szCs w:val="23"/>
        </w:rPr>
      </w:pPr>
      <w:bookmarkStart w:id="306" w:name="_Toc246997114"/>
      <w:bookmarkStart w:id="307" w:name="_Toc247085889"/>
      <w:bookmarkStart w:id="308" w:name="_Toc296602616"/>
      <w:bookmarkStart w:id="309" w:name="_Toc246996371"/>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6"/>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tbl>
      <w:tblPr>
        <w:tblStyle w:val="1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10" w:name="_Toc152042600"/>
      <w:bookmarkStart w:id="311" w:name="_Toc247527851"/>
      <w:bookmarkStart w:id="312" w:name="_Toc152045811"/>
      <w:bookmarkStart w:id="313" w:name="_Toc247514303"/>
      <w:bookmarkStart w:id="314" w:name="_Toc144974879"/>
    </w:p>
    <w:p w14:paraId="7C055E10">
      <w:pPr>
        <w:spacing w:line="440" w:lineRule="exact"/>
        <w:rPr>
          <w:rFonts w:hint="default" w:ascii="Times New Roman" w:hAnsi="Times New Roman" w:cs="Times New Roman"/>
        </w:rPr>
      </w:pPr>
    </w:p>
    <w:bookmarkEnd w:id="310"/>
    <w:bookmarkEnd w:id="311"/>
    <w:bookmarkEnd w:id="312"/>
    <w:bookmarkEnd w:id="313"/>
    <w:bookmarkEnd w:id="314"/>
    <w:p w14:paraId="337CCC8B">
      <w:pPr>
        <w:pStyle w:val="6"/>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4D932E03">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ascii="Times New Roman" w:hAnsi="Times New Roman"/>
          <w:b/>
          <w:bCs/>
          <w:color w:val="FF0000"/>
        </w:rPr>
        <w:t>注：</w:t>
      </w:r>
      <w:r>
        <w:rPr>
          <w:rFonts w:hint="eastAsia" w:ascii="Times New Roman" w:hAnsi="Times New Roman"/>
          <w:b/>
          <w:bCs/>
          <w:color w:val="FF0000"/>
          <w:lang w:val="en-US" w:eastAsia="zh-CN"/>
        </w:rPr>
        <w:t>如有，按询比公告要求提供</w:t>
      </w:r>
      <w:r>
        <w:rPr>
          <w:rFonts w:hint="eastAsia" w:ascii="Times New Roman" w:hAnsi="Times New Roman"/>
          <w:lang w:val="en-US" w:eastAsia="zh-CN"/>
        </w:rPr>
        <w:t>。</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290"/>
    <w:p w14:paraId="433781BC">
      <w:pPr>
        <w:pStyle w:val="6"/>
        <w:numPr>
          <w:ilvl w:val="0"/>
          <w:numId w:val="1"/>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 xml:space="preserve">响应方案 </w:t>
      </w:r>
    </w:p>
    <w:p w14:paraId="01554959">
      <w:pPr>
        <w:numPr>
          <w:ilvl w:val="0"/>
          <w:numId w:val="0"/>
        </w:numPr>
        <w:jc w:val="center"/>
        <w:rPr>
          <w:rFonts w:hint="default"/>
          <w:lang w:val="en-US" w:eastAsia="zh-CN"/>
        </w:rPr>
      </w:pPr>
      <w:r>
        <w:rPr>
          <w:rFonts w:hint="eastAsia"/>
          <w:b/>
          <w:bCs/>
          <w:color w:val="FF0000"/>
          <w:lang w:val="en-US" w:eastAsia="zh-CN"/>
        </w:rPr>
        <w:t>（注：供应商根据询比公告/邀请书要求按需填写，如无要求，可不填写。）</w:t>
      </w:r>
    </w:p>
    <w:p w14:paraId="75526744">
      <w:pPr>
        <w:spacing w:line="440" w:lineRule="exact"/>
        <w:rPr>
          <w:rFonts w:hint="default" w:ascii="Times New Roman" w:hAnsi="Times New Roman" w:cs="Times New Roman"/>
        </w:rPr>
      </w:pPr>
      <w:r>
        <w:rPr>
          <w:rFonts w:hint="default" w:ascii="Times New Roman" w:hAnsi="Times New Roman" w:cs="Times New Roman"/>
        </w:rPr>
        <w:br w:type="page"/>
      </w:r>
      <w:bookmarkStart w:id="315" w:name="_Toc247530162"/>
      <w:bookmarkStart w:id="316" w:name="_Toc247527853"/>
      <w:bookmarkStart w:id="317" w:name="_Toc247514305"/>
      <w:bookmarkStart w:id="318" w:name="_Toc152042602"/>
      <w:bookmarkStart w:id="319" w:name="_Toc144974881"/>
      <w:bookmarkStart w:id="320" w:name="_Toc152045813"/>
    </w:p>
    <w:bookmarkEnd w:id="315"/>
    <w:bookmarkEnd w:id="316"/>
    <w:bookmarkEnd w:id="317"/>
    <w:bookmarkEnd w:id="318"/>
    <w:bookmarkEnd w:id="319"/>
    <w:bookmarkEnd w:id="320"/>
    <w:p w14:paraId="1E5B7EEB">
      <w:pPr>
        <w:pStyle w:val="5"/>
        <w:jc w:val="center"/>
        <w:rPr>
          <w:rFonts w:hint="default" w:ascii="Times New Roman" w:hAnsi="Times New Roman" w:cs="Times New Roman"/>
        </w:rPr>
      </w:pPr>
      <w:bookmarkStart w:id="321" w:name="_Toc300835233"/>
      <w:bookmarkStart w:id="322" w:name="_Toc271821942"/>
      <w:r>
        <w:rPr>
          <w:rFonts w:hint="eastAsia" w:ascii="Times New Roman" w:hAnsi="Times New Roman" w:cs="Times New Roman"/>
          <w:lang w:val="en-US" w:eastAsia="zh-CN"/>
        </w:rPr>
        <w:t>十</w:t>
      </w:r>
      <w:r>
        <w:rPr>
          <w:rFonts w:hint="default" w:ascii="Times New Roman" w:hAnsi="Times New Roman" w:cs="Times New Roman"/>
        </w:rPr>
        <w:t>、其他资料</w:t>
      </w:r>
      <w:bookmarkEnd w:id="321"/>
      <w:bookmarkEnd w:id="322"/>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0"/>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E3B24D40-10E1-4EBB-A863-B4BA2E4E8CF4}"/>
  </w:font>
  <w:font w:name="Arial">
    <w:panose1 w:val="020B0604020202020204"/>
    <w:charset w:val="01"/>
    <w:family w:val="swiss"/>
    <w:pitch w:val="default"/>
    <w:sig w:usb0="E0002EFF" w:usb1="C000785B" w:usb2="00000009" w:usb3="00000000" w:csb0="400001FF" w:csb1="FFFF0000"/>
    <w:embedRegular r:id="rId2" w:fontKey="{69FF7139-BA22-4A27-A049-ACDDD2C90545}"/>
  </w:font>
  <w:font w:name="黑体">
    <w:panose1 w:val="02010609060101010101"/>
    <w:charset w:val="86"/>
    <w:family w:val="auto"/>
    <w:pitch w:val="default"/>
    <w:sig w:usb0="800002BF" w:usb1="38CF7CFA" w:usb2="00000016" w:usb3="00000000" w:csb0="00040001" w:csb1="00000000"/>
    <w:embedRegular r:id="rId3" w:fontKey="{3A9DD684-55C1-474C-BEEB-DAFBB1928E7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57F92679-6421-43ED-8A43-0BE46BD2F3C4}"/>
  </w:font>
  <w:font w:name="仿宋_GB2312">
    <w:panose1 w:val="02010609030101010101"/>
    <w:charset w:val="86"/>
    <w:family w:val="modern"/>
    <w:pitch w:val="default"/>
    <w:sig w:usb0="00000001" w:usb1="080E0000" w:usb2="00000000" w:usb3="00000000" w:csb0="00040000" w:csb1="00000000"/>
    <w:embedRegular r:id="rId5" w:fontKey="{7B02C2A6-ABFA-4EC2-8B11-210AF8BF5CF2}"/>
  </w:font>
  <w:font w:name="方正小标宋简体">
    <w:panose1 w:val="02000000000000000000"/>
    <w:charset w:val="86"/>
    <w:family w:val="auto"/>
    <w:pitch w:val="default"/>
    <w:sig w:usb0="00000001" w:usb1="08000000" w:usb2="00000000" w:usb3="00000000" w:csb0="00040000" w:csb1="00000000"/>
    <w:embedRegular r:id="rId6" w:fontKey="{EF53D4B4-86AA-4722-A047-E3C1F2D5757C}"/>
  </w:font>
  <w:font w:name="楷体">
    <w:panose1 w:val="02010609060101010101"/>
    <w:charset w:val="86"/>
    <w:family w:val="auto"/>
    <w:pitch w:val="default"/>
    <w:sig w:usb0="800002BF" w:usb1="38CF7CFA" w:usb2="00000016" w:usb3="00000000" w:csb0="00040001" w:csb1="00000000"/>
    <w:embedRegular r:id="rId7" w:fontKey="{A034E27A-2A65-4629-8F95-F293EB75EFDE}"/>
  </w:font>
  <w:font w:name="Wingdings 2">
    <w:panose1 w:val="05020102010507070707"/>
    <w:charset w:val="00"/>
    <w:family w:val="auto"/>
    <w:pitch w:val="default"/>
    <w:sig w:usb0="00000000" w:usb1="00000000" w:usb2="00000000" w:usb3="00000000" w:csb0="80000000" w:csb1="00000000"/>
    <w:embedRegular r:id="rId8" w:fontKey="{1293BE58-CF57-4215-8D61-9856B05D5F7F}"/>
  </w:font>
  <w:font w:name="方正仿宋_GB2312">
    <w:panose1 w:val="02000000000000000000"/>
    <w:charset w:val="86"/>
    <w:family w:val="auto"/>
    <w:pitch w:val="default"/>
    <w:sig w:usb0="A00002BF" w:usb1="184F6CFA" w:usb2="00000012" w:usb3="00000000" w:csb0="00040001" w:csb1="00000000"/>
    <w:embedRegular r:id="rId9" w:fontKey="{C4848D5B-D697-4325-9AB8-CD87C21185E8}"/>
  </w:font>
  <w:font w:name="仿宋">
    <w:panose1 w:val="02010609060101010101"/>
    <w:charset w:val="86"/>
    <w:family w:val="modern"/>
    <w:pitch w:val="default"/>
    <w:sig w:usb0="800002BF" w:usb1="38CF7CFA" w:usb2="00000016" w:usb3="00000000" w:csb0="00040001" w:csb1="00000000"/>
    <w:embedRegular r:id="rId10" w:fontKey="{47731103-BBBE-4F07-AB95-4B42349CCA7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1"/>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A2FC53"/>
    <w:multiLevelType w:val="singleLevel"/>
    <w:tmpl w:val="3DA2FC53"/>
    <w:lvl w:ilvl="0" w:tentative="0">
      <w:start w:val="9"/>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12623"/>
    <w:rsid w:val="0D0271E7"/>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3043C7"/>
    <w:rsid w:val="174F6F43"/>
    <w:rsid w:val="17591B70"/>
    <w:rsid w:val="17600C81"/>
    <w:rsid w:val="176115DC"/>
    <w:rsid w:val="176D752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F251D3"/>
    <w:rsid w:val="1CFF3217"/>
    <w:rsid w:val="1D01483C"/>
    <w:rsid w:val="1D0460DA"/>
    <w:rsid w:val="1D0C3E62"/>
    <w:rsid w:val="1D1D0D81"/>
    <w:rsid w:val="1D234DF0"/>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780A15"/>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3E73"/>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3565C7"/>
    <w:rsid w:val="2F3E191F"/>
    <w:rsid w:val="2F436846"/>
    <w:rsid w:val="2F4556CE"/>
    <w:rsid w:val="2F5A53CE"/>
    <w:rsid w:val="2F6F3C93"/>
    <w:rsid w:val="2F754A27"/>
    <w:rsid w:val="2F8135BA"/>
    <w:rsid w:val="2FB1448A"/>
    <w:rsid w:val="2FC802AE"/>
    <w:rsid w:val="2FCC29AF"/>
    <w:rsid w:val="2FCC2A87"/>
    <w:rsid w:val="30030473"/>
    <w:rsid w:val="301C41BF"/>
    <w:rsid w:val="301C5CA4"/>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245377"/>
    <w:rsid w:val="453F207E"/>
    <w:rsid w:val="454276A8"/>
    <w:rsid w:val="454513E5"/>
    <w:rsid w:val="45465AD9"/>
    <w:rsid w:val="45552589"/>
    <w:rsid w:val="457C4AF8"/>
    <w:rsid w:val="458759CA"/>
    <w:rsid w:val="45A100BA"/>
    <w:rsid w:val="45A31600"/>
    <w:rsid w:val="45A51959"/>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7066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BD57DA"/>
    <w:rsid w:val="4CD46FC7"/>
    <w:rsid w:val="4CDE4416"/>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EB5979"/>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01569"/>
    <w:rsid w:val="54A243B8"/>
    <w:rsid w:val="54A81CB5"/>
    <w:rsid w:val="54C41B11"/>
    <w:rsid w:val="54C92123"/>
    <w:rsid w:val="54D45DB6"/>
    <w:rsid w:val="55094F55"/>
    <w:rsid w:val="550E49C6"/>
    <w:rsid w:val="55124B31"/>
    <w:rsid w:val="55160C9A"/>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B831D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A70BC"/>
    <w:rsid w:val="618D5E50"/>
    <w:rsid w:val="61963F6D"/>
    <w:rsid w:val="619D39D4"/>
    <w:rsid w:val="61B03707"/>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C04F0B"/>
    <w:rsid w:val="6AD00976"/>
    <w:rsid w:val="6AD34458"/>
    <w:rsid w:val="6AD77F57"/>
    <w:rsid w:val="6ADC4801"/>
    <w:rsid w:val="6ADF25FC"/>
    <w:rsid w:val="6AEF704E"/>
    <w:rsid w:val="6AF01018"/>
    <w:rsid w:val="6AF97ECD"/>
    <w:rsid w:val="6B020CD0"/>
    <w:rsid w:val="6B095B3F"/>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F37DF1"/>
    <w:rsid w:val="6BF863D7"/>
    <w:rsid w:val="6C2076DB"/>
    <w:rsid w:val="6C272818"/>
    <w:rsid w:val="6C3065F4"/>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797894"/>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B87C85"/>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819EF"/>
    <w:rsid w:val="75A16A9F"/>
    <w:rsid w:val="75A35605"/>
    <w:rsid w:val="75BC6CCF"/>
    <w:rsid w:val="75C630A2"/>
    <w:rsid w:val="75E27D4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keepNext/>
      <w:keepLines/>
      <w:spacing w:before="340" w:after="330" w:line="578" w:lineRule="auto"/>
      <w:outlineLvl w:val="0"/>
    </w:pPr>
    <w:rPr>
      <w:b/>
      <w:bCs/>
      <w:kern w:val="44"/>
      <w:sz w:val="44"/>
      <w:szCs w:val="44"/>
    </w:rPr>
  </w:style>
  <w:style w:type="paragraph" w:styleId="5">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6">
    <w:name w:val="heading 3"/>
    <w:basedOn w:val="1"/>
    <w:next w:val="1"/>
    <w:qFormat/>
    <w:uiPriority w:val="0"/>
    <w:pPr>
      <w:keepNext/>
      <w:keepLines/>
      <w:spacing w:before="260" w:after="260" w:line="416" w:lineRule="auto"/>
      <w:outlineLvl w:val="2"/>
    </w:pPr>
    <w:rPr>
      <w:b/>
      <w:bCs/>
      <w:sz w:val="32"/>
      <w:szCs w:val="32"/>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ind w:firstLine="420"/>
    </w:pPr>
    <w:rPr>
      <w:rFonts w:eastAsia="宋体"/>
      <w:sz w:val="24"/>
    </w:rPr>
  </w:style>
  <w:style w:type="paragraph" w:styleId="3">
    <w:name w:val="Body Text Indent"/>
    <w:basedOn w:val="1"/>
    <w:qFormat/>
    <w:uiPriority w:val="0"/>
    <w:pPr>
      <w:spacing w:after="120" w:afterLines="0"/>
      <w:ind w:left="420" w:leftChars="200"/>
    </w:pPr>
  </w:style>
  <w:style w:type="paragraph" w:styleId="7">
    <w:name w:val="annotation text"/>
    <w:basedOn w:val="1"/>
    <w:qFormat/>
    <w:uiPriority w:val="0"/>
    <w:pPr>
      <w:jc w:val="left"/>
    </w:pPr>
    <w:rPr>
      <w:rFonts w:eastAsia="宋体"/>
      <w:kern w:val="2"/>
      <w:sz w:val="21"/>
      <w:szCs w:val="24"/>
      <w:lang w:val="en-US" w:eastAsia="zh-CN" w:bidi="ar-SA"/>
    </w:rPr>
  </w:style>
  <w:style w:type="paragraph" w:styleId="8">
    <w:name w:val="Body Text 3"/>
    <w:basedOn w:val="1"/>
    <w:qFormat/>
    <w:uiPriority w:val="0"/>
    <w:rPr>
      <w:rFonts w:ascii="宋体"/>
      <w:sz w:val="24"/>
      <w:szCs w:val="20"/>
    </w:rPr>
  </w:style>
  <w:style w:type="paragraph" w:styleId="9">
    <w:name w:val="Body Text"/>
    <w:basedOn w:val="1"/>
    <w:qFormat/>
    <w:uiPriority w:val="0"/>
    <w:pPr>
      <w:spacing w:after="120"/>
    </w:p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HTML Preformatted"/>
    <w:basedOn w:val="1"/>
    <w:qFormat/>
    <w:uiPriority w:val="0"/>
    <w:pPr>
      <w:jc w:val="left"/>
    </w:pPr>
    <w:rPr>
      <w:rFonts w:hint="eastAsia" w:ascii="宋体" w:hAnsi="宋体"/>
      <w:kern w:val="0"/>
      <w:sz w:val="24"/>
    </w:rPr>
  </w:style>
  <w:style w:type="paragraph" w:styleId="1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6">
    <w:name w:val="Body Text First Indent"/>
    <w:basedOn w:val="9"/>
    <w:qFormat/>
    <w:uiPriority w:val="0"/>
    <w:pPr>
      <w:ind w:firstLine="420" w:firstLineChars="100"/>
    </w:p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qFormat/>
    <w:uiPriority w:val="0"/>
  </w:style>
  <w:style w:type="paragraph" w:customStyle="1" w:styleId="21">
    <w:name w:val="样式 标题 2 + Times New Roman 四号 非加粗 段前: 5 磅 段后: 0 磅 行距: 固定值 20..."/>
    <w:basedOn w:val="5"/>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6"/>
    <w:qFormat/>
    <w:uiPriority w:val="0"/>
    <w:pPr>
      <w:spacing w:before="0" w:after="0" w:line="400" w:lineRule="exact"/>
    </w:pPr>
    <w:rPr>
      <w:rFonts w:eastAsia="黑体" w:cs="宋体"/>
      <w:b w:val="0"/>
      <w:bCs w:val="0"/>
      <w:sz w:val="24"/>
      <w:szCs w:val="20"/>
    </w:rPr>
  </w:style>
  <w:style w:type="paragraph" w:customStyle="1" w:styleId="23">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4">
    <w:name w:val="列出段落1"/>
    <w:basedOn w:val="1"/>
    <w:qFormat/>
    <w:uiPriority w:val="34"/>
    <w:pPr>
      <w:ind w:firstLine="420" w:firstLineChars="200"/>
    </w:pPr>
  </w:style>
  <w:style w:type="character" w:customStyle="1" w:styleId="25">
    <w:name w:val="font11"/>
    <w:basedOn w:val="19"/>
    <w:qFormat/>
    <w:uiPriority w:val="0"/>
    <w:rPr>
      <w:rFonts w:ascii="Calibri" w:hAnsi="Calibri" w:cs="Calibri"/>
      <w:color w:val="000000"/>
      <w:sz w:val="21"/>
      <w:szCs w:val="21"/>
      <w:u w:val="none"/>
    </w:rPr>
  </w:style>
  <w:style w:type="character" w:customStyle="1" w:styleId="26">
    <w:name w:val="font21"/>
    <w:basedOn w:val="19"/>
    <w:qFormat/>
    <w:uiPriority w:val="0"/>
    <w:rPr>
      <w:rFonts w:hint="eastAsia" w:ascii="宋体" w:hAnsi="宋体" w:eastAsia="宋体" w:cs="宋体"/>
      <w:color w:val="000000"/>
      <w:sz w:val="21"/>
      <w:szCs w:val="21"/>
      <w:u w:val="none"/>
    </w:rPr>
  </w:style>
  <w:style w:type="character" w:customStyle="1" w:styleId="27">
    <w:name w:val="font01"/>
    <w:basedOn w:val="19"/>
    <w:qFormat/>
    <w:uiPriority w:val="0"/>
    <w:rPr>
      <w:rFonts w:ascii="Calibri" w:hAnsi="Calibri" w:cs="Calibri"/>
      <w:color w:val="000000"/>
      <w:sz w:val="21"/>
      <w:szCs w:val="21"/>
      <w:u w:val="none"/>
    </w:rPr>
  </w:style>
  <w:style w:type="character" w:customStyle="1" w:styleId="28">
    <w:name w:val="font31"/>
    <w:basedOn w:val="19"/>
    <w:qFormat/>
    <w:uiPriority w:val="0"/>
    <w:rPr>
      <w:rFonts w:hint="default" w:ascii="Calibri" w:hAnsi="Calibri" w:cs="Calibri"/>
      <w:color w:val="000000"/>
      <w:sz w:val="21"/>
      <w:szCs w:val="21"/>
      <w:u w:val="none"/>
    </w:rPr>
  </w:style>
  <w:style w:type="paragraph" w:customStyle="1" w:styleId="29">
    <w:name w:val="Table Paragraph"/>
    <w:basedOn w:val="1"/>
    <w:qFormat/>
    <w:uiPriority w:val="1"/>
    <w:rPr>
      <w:rFonts w:ascii="宋体" w:hAnsi="宋体" w:eastAsia="宋体" w:cs="宋体"/>
    </w:rPr>
  </w:style>
  <w:style w:type="paragraph" w:customStyle="1" w:styleId="30">
    <w:name w:val="Table Text"/>
    <w:basedOn w:val="1"/>
    <w:semiHidden/>
    <w:qFormat/>
    <w:uiPriority w:val="0"/>
    <w:rPr>
      <w:rFonts w:ascii="宋体" w:hAnsi="宋体" w:eastAsia="宋体" w:cs="宋体"/>
      <w:sz w:val="21"/>
      <w:szCs w:val="21"/>
      <w:lang w:val="en-US" w:eastAsia="en-US" w:bidi="ar-SA"/>
    </w:rPr>
  </w:style>
  <w:style w:type="table" w:customStyle="1" w:styleId="31">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42</Pages>
  <Words>6301</Words>
  <Characters>7057</Characters>
  <Lines>0</Lines>
  <Paragraphs>0</Paragraphs>
  <TotalTime>7</TotalTime>
  <ScaleCrop>false</ScaleCrop>
  <LinksUpToDate>false</LinksUpToDate>
  <CharactersWithSpaces>7192</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夜</cp:lastModifiedBy>
  <cp:lastPrinted>2025-05-15T00:24:00Z</cp:lastPrinted>
  <dcterms:modified xsi:type="dcterms:W3CDTF">2025-05-23T06:58:46Z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3DC1C1C5EC6741F69426F536341F9981</vt:lpwstr>
  </property>
  <property fmtid="{D5CDD505-2E9C-101B-9397-08002B2CF9AE}" pid="4" name="KSOTemplateDocerSaveRecord">
    <vt:lpwstr>eyJoZGlkIjoiM2Y2YWQwZmQwYTk0YzMxZDE0NDM4NTZjN2RkMjdlYzYiLCJ1c2VySWQiOiIzMTAwODg2NjAifQ==</vt:lpwstr>
  </property>
</Properties>
</file>