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安徽通康建设工程有限公司车辆保险服务采购（二次）</w:t>
      </w:r>
    </w:p>
    <w:permEnd w:id="0"/>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33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安徽通康建设工程有限公司车辆保险服务采购（二次）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5519"/>
      <w:bookmarkStart w:id="2" w:name="_Toc246996166"/>
      <w:bookmarkStart w:id="3" w:name="_Toc247085680"/>
      <w:bookmarkStart w:id="4" w:name="_Toc152042295"/>
      <w:bookmarkStart w:id="5" w:name="_Toc296602410"/>
      <w:bookmarkStart w:id="6" w:name="_Toc179632536"/>
      <w:bookmarkStart w:id="7" w:name="_Toc144974487"/>
      <w:r>
        <w:rPr>
          <w:rFonts w:hint="eastAsia" w:ascii="宋体" w:hAnsi="宋体" w:eastAsia="宋体" w:cs="宋体"/>
          <w:sz w:val="28"/>
          <w:szCs w:val="28"/>
          <w:highlight w:val="none"/>
          <w:u w:val="single"/>
          <w:lang w:val="en-US" w:eastAsia="zh-CN"/>
        </w:rPr>
        <w:t>安徽通康建设工程有限公司车辆保险服务采购（二次）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bookmarkStart w:id="8" w:name="_Toc246996910"/>
      <w:bookmarkStart w:id="9" w:name="_Toc179632537"/>
      <w:bookmarkStart w:id="10" w:name="_Toc296602411"/>
      <w:bookmarkStart w:id="11" w:name="_Toc246996167"/>
      <w:bookmarkStart w:id="12" w:name="_Toc152045520"/>
      <w:bookmarkStart w:id="13" w:name="_Toc152042296"/>
      <w:bookmarkStart w:id="14" w:name="_Toc144974488"/>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安徽通康建设工程有限公司车辆保险服务采购</w:t>
      </w:r>
      <w:r>
        <w:rPr>
          <w:rFonts w:hint="eastAsia" w:asciiTheme="minorEastAsia" w:hAnsiTheme="minorEastAsia" w:cstheme="minorEastAsia"/>
          <w:sz w:val="28"/>
          <w:szCs w:val="28"/>
          <w:highlight w:val="none"/>
          <w:lang w:val="en-US" w:eastAsia="zh-CN"/>
        </w:rPr>
        <w:t>（二次）</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AHTKJS-2025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33</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（含税：6%）</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约8万元</w:t>
      </w:r>
      <w:r>
        <w:rPr>
          <w:rFonts w:hint="eastAsia" w:asciiTheme="minorEastAsia" w:hAnsiTheme="minorEastAsia" w:cstheme="minorEastAsia"/>
          <w:color w:val="auto"/>
          <w:sz w:val="28"/>
          <w:szCs w:val="28"/>
          <w:highlight w:val="none"/>
          <w:lang w:val="en-US" w:eastAsia="zh-CN"/>
        </w:rPr>
        <w:t>/年</w:t>
      </w:r>
      <w:r>
        <w:rPr>
          <w:rFonts w:hint="eastAsia" w:asciiTheme="minorEastAsia" w:hAnsiTheme="minorEastAsia" w:eastAsiaTheme="minorEastAsia" w:cstheme="minorEastAsia"/>
          <w:sz w:val="28"/>
          <w:szCs w:val="28"/>
          <w:highlight w:val="none"/>
          <w:lang w:val="en-US" w:eastAsia="zh-CN"/>
        </w:rPr>
        <w:t>，报价分为商业险和交强险（含车船税）两部分。①商业险部分由</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按自主定价系数报价，最高限价系数为</w:t>
      </w:r>
      <w:r>
        <w:rPr>
          <w:rFonts w:hint="eastAsia" w:asciiTheme="minorEastAsia" w:hAnsiTheme="minorEastAsia" w:eastAsiaTheme="minorEastAsia" w:cstheme="minorEastAsia"/>
          <w:color w:val="FF0000"/>
          <w:sz w:val="28"/>
          <w:szCs w:val="28"/>
          <w:highlight w:val="none"/>
          <w:lang w:val="en-US" w:eastAsia="zh-CN"/>
        </w:rPr>
        <w:t>0.9</w:t>
      </w:r>
      <w:r>
        <w:rPr>
          <w:rFonts w:hint="eastAsia" w:asciiTheme="minorEastAsia" w:hAnsiTheme="minorEastAsia" w:eastAsiaTheme="minorEastAsia" w:cstheme="minorEastAsia"/>
          <w:sz w:val="28"/>
          <w:szCs w:val="28"/>
          <w:highlight w:val="none"/>
          <w:lang w:val="en-US" w:eastAsia="zh-CN"/>
        </w:rPr>
        <w:t>；②交强险、车船税部分执行国家有关规定，供应商应在国家政策允许范围内给予采购人最大优惠。报价需符合国家银保监会有关规定，否则按无效响应处理。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widowControl/>
        <w:suppressLineNumbers w:val="0"/>
        <w:spacing w:beforeAutospacing="0" w:afterAutospacing="0" w:line="520" w:lineRule="exact"/>
        <w:ind w:left="0" w:firstLine="560" w:firstLineChars="200"/>
        <w:jc w:val="left"/>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：本次采购范围为</w:t>
      </w:r>
      <w:r>
        <w:rPr>
          <w:rFonts w:hint="eastAsia" w:asciiTheme="minorEastAsia" w:hAnsiTheme="minorEastAsia" w:eastAsiaTheme="minorEastAsia" w:cstheme="minorEastAsia"/>
          <w:sz w:val="28"/>
          <w:szCs w:val="28"/>
          <w:highlight w:val="none"/>
          <w:lang w:val="en-US" w:eastAsia="en-US"/>
        </w:rPr>
        <w:t>公司 20辆机动车辆</w:t>
      </w:r>
      <w:r>
        <w:rPr>
          <w:rFonts w:hint="eastAsia" w:asciiTheme="minorEastAsia" w:hAnsiTheme="minorEastAsia" w:eastAsiaTheme="minorEastAsia" w:cstheme="minorEastAsia"/>
          <w:sz w:val="28"/>
          <w:szCs w:val="28"/>
          <w:highlight w:val="none"/>
          <w:lang w:val="en-US" w:eastAsia="zh-CN"/>
        </w:rPr>
        <w:t>保险（商业险、交强险、车船税）</w:t>
      </w:r>
      <w:r>
        <w:rPr>
          <w:rFonts w:hint="eastAsia" w:asciiTheme="minorEastAsia" w:hAnsiTheme="minorEastAsia" w:eastAsiaTheme="minorEastAsia" w:cstheme="minorEastAsia"/>
          <w:sz w:val="28"/>
          <w:szCs w:val="28"/>
          <w:highlight w:val="none"/>
          <w:lang w:val="en-US" w:eastAsia="en-US"/>
        </w:rPr>
        <w:t>，</w:t>
      </w:r>
      <w:r>
        <w:rPr>
          <w:rFonts w:hint="eastAsia" w:asciiTheme="minorEastAsia" w:hAnsiTheme="minorEastAsia" w:cstheme="minorEastAsia"/>
          <w:sz w:val="28"/>
          <w:szCs w:val="28"/>
          <w:highlight w:val="none"/>
          <w:lang w:val="en-US" w:eastAsia="zh-CN"/>
        </w:rPr>
        <w:t>其中</w:t>
      </w:r>
      <w:r>
        <w:rPr>
          <w:rFonts w:hint="eastAsia" w:asciiTheme="minorEastAsia" w:hAnsiTheme="minorEastAsia" w:eastAsiaTheme="minorEastAsia" w:cstheme="minorEastAsia"/>
          <w:sz w:val="28"/>
          <w:szCs w:val="28"/>
          <w:highlight w:val="none"/>
          <w:lang w:val="en-US" w:eastAsia="en-US"/>
        </w:rPr>
        <w:t>包含</w:t>
      </w:r>
      <w:r>
        <w:rPr>
          <w:rFonts w:hint="eastAsia" w:asciiTheme="minorEastAsia" w:hAnsiTheme="minorEastAsia" w:eastAsiaTheme="minorEastAsia" w:cstheme="minorEastAsia"/>
          <w:sz w:val="28"/>
          <w:szCs w:val="28"/>
          <w:highlight w:val="none"/>
          <w:lang w:val="en-US" w:eastAsia="zh-CN"/>
        </w:rPr>
        <w:t>14辆轻型作业车</w:t>
      </w:r>
      <w:r>
        <w:rPr>
          <w:rFonts w:hint="eastAsia" w:asciiTheme="minorEastAsia" w:hAnsiTheme="minorEastAsia" w:eastAsiaTheme="minorEastAsia" w:cstheme="minorEastAsia"/>
          <w:sz w:val="28"/>
          <w:szCs w:val="28"/>
          <w:highlight w:val="none"/>
          <w:lang w:val="en-US" w:eastAsia="en-US"/>
        </w:rPr>
        <w:t>、</w:t>
      </w: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lang w:val="en-US" w:eastAsia="en-US"/>
        </w:rPr>
        <w:t>辆普通小型车、</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en-US"/>
        </w:rPr>
        <w:t xml:space="preserve"> 辆特种作业车</w:t>
      </w:r>
      <w:r>
        <w:rPr>
          <w:rFonts w:hint="eastAsia" w:asciiTheme="minorEastAsia" w:hAnsiTheme="minorEastAsia" w:eastAsiaTheme="minorEastAsia" w:cstheme="minorEastAsia"/>
          <w:sz w:val="28"/>
          <w:szCs w:val="28"/>
          <w:highlight w:val="none"/>
          <w:lang w:val="en-US" w:eastAsia="zh-CN"/>
        </w:rPr>
        <w:t>，具体采购内容详见附件。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：自合同签订之日起2年</w:t>
      </w:r>
      <w:r>
        <w:rPr>
          <w:rFonts w:hint="eastAsia" w:asciiTheme="minorEastAsia" w:hAnsiTheme="minorEastAsia" w:cstheme="minorEastAsia"/>
          <w:sz w:val="28"/>
          <w:szCs w:val="28"/>
          <w:highlight w:val="none"/>
          <w:lang w:val="en-US" w:eastAsia="zh-CN"/>
        </w:rPr>
        <w:t>（一年一签）</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通康公司位于亳州汽车南站西侧办公楼。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符合国家、地方、行业现行相关规范合格标准。</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具有独立承担民事责任的能力，保险公司可委托其分公司参加询比，但同一保险公司仅能委托一个分公司参加询比；</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（二）资质要求：具有由保险监督管理机构颁发的有效的《中华人民共和国经营保险业务许可证》；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w:t>
      </w:r>
      <w:r>
        <w:rPr>
          <w:rFonts w:hint="eastAsia" w:asciiTheme="minorEastAsia" w:hAnsiTheme="minorEastAsia" w:cstheme="minorEastAsia"/>
          <w:sz w:val="28"/>
          <w:szCs w:val="28"/>
          <w:highlight w:val="none"/>
          <w:lang w:val="en-US" w:eastAsia="zh-CN"/>
        </w:rPr>
        <w:t>供资质证书等相关资料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0" w:edGrp="everyone"/>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2025 年</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29</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2"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eastAsiaTheme="minorEastAsia" w:cstheme="minorEastAsia"/>
          <w:sz w:val="28"/>
          <w:szCs w:val="28"/>
          <w:highlight w:val="none"/>
          <w:u w:val="single"/>
          <w:lang w:val="en-US" w:eastAsia="zh-CN"/>
        </w:rPr>
        <w:t>亳州市谯城区药都大道1289号</w:t>
      </w:r>
      <w:r>
        <w:rPr>
          <w:rFonts w:hint="eastAsia" w:asciiTheme="minorEastAsia" w:hAnsiTheme="minorEastAsia" w:cstheme="minorEastAsia"/>
          <w:sz w:val="28"/>
          <w:szCs w:val="28"/>
          <w:highlight w:val="none"/>
          <w:u w:val="single"/>
          <w:lang w:val="en-US" w:eastAsia="zh-CN"/>
        </w:rPr>
        <w:t>（亳州交控集团15楼）；联系人：李工；联系电话：18305681505。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不需要递交响应担保</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Theme="minorEastAsia" w:hAnsiTheme="minorEastAsia" w:cstheme="minorEastAsia"/>
          <w:sz w:val="28"/>
          <w:szCs w:val="28"/>
          <w:highlight w:val="none"/>
          <w:lang w:val="en-US" w:eastAsia="zh-CN"/>
        </w:rPr>
        <w:t>安徽通康建设工程有限公司</w:t>
      </w:r>
    </w:p>
    <w:permEnd w:id="14"/>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r>
        <w:rPr>
          <w:rFonts w:hint="eastAsia" w:asciiTheme="minorEastAsia" w:hAnsiTheme="minorEastAsia" w:cstheme="minorEastAsia"/>
          <w:sz w:val="28"/>
          <w:szCs w:val="28"/>
          <w:highlight w:val="none"/>
          <w:lang w:val="en-US" w:eastAsia="zh-CN"/>
        </w:rPr>
        <w:t>董经理</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18160892345</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6"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ermEnd w:id="1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9"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29</w:t>
            </w:r>
            <w:r>
              <w:rPr>
                <w:rFonts w:hint="eastAsia" w:ascii="Times New Roman" w:hAnsi="Times New Roman" w:cs="Times New Roman"/>
                <w:szCs w:val="21"/>
                <w:highlight w:val="none"/>
                <w:u w:val="none"/>
                <w:lang w:val="en-US" w:eastAsia="zh-CN"/>
              </w:rPr>
              <w:t>日前</w:t>
            </w:r>
            <w:permEnd w:id="1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w:t>
            </w:r>
            <w:bookmarkStart w:id="340" w:name="_GoBack"/>
            <w:bookmarkEnd w:id="340"/>
            <w:r>
              <w:rPr>
                <w:rFonts w:hint="eastAsia" w:ascii="Times New Roman" w:hAnsi="Times New Roman" w:cs="Times New Roman"/>
                <w:szCs w:val="21"/>
                <w:highlight w:val="none"/>
                <w:u w:val="none"/>
                <w:lang w:val="en-US" w:eastAsia="zh-CN"/>
              </w:rPr>
              <w:t>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eastAsia="仿宋_GB2312" w:cs="Times New Roman"/>
                <w:sz w:val="24"/>
                <w:szCs w:val="24"/>
                <w:lang w:val="en-US" w:eastAsia="zh-CN"/>
              </w:rPr>
            </w:pPr>
            <w:permStart w:id="22" w:edGrp="everyone"/>
            <w:r>
              <w:rPr>
                <w:rFonts w:hint="eastAsia" w:hAnsi="宋体"/>
                <w:color w:val="FF0000"/>
                <w:szCs w:val="21"/>
              </w:rPr>
              <w:t>不需要</w:t>
            </w:r>
            <w:r>
              <w:rPr>
                <w:rFonts w:hint="eastAsia" w:hAnsi="宋体"/>
                <w:color w:val="FF0000"/>
                <w:szCs w:val="21"/>
              </w:rPr>
              <w:sym w:font="Wingdings" w:char="00FE"/>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2" w:char="00A3"/>
            </w:r>
            <w:r>
              <w:rPr>
                <w:rFonts w:hint="eastAsia" w:hAnsi="宋体"/>
                <w:color w:val="FF0000"/>
                <w:szCs w:val="21"/>
                <w:lang w:val="en-US" w:eastAsia="zh-CN"/>
              </w:rPr>
              <w:t xml:space="preserve">   </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3" w:edGrp="everyone"/>
            <w:r>
              <w:rPr>
                <w:rFonts w:hint="eastAsia" w:ascii="Times New Roman" w:hAnsi="Times New Roman" w:cs="Times New Roman"/>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亳州交通投资控股集团有限公司15楼会议室（药都大道与希夷大道交叉口东北角15楼）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安徽通康建设工程有限公司车辆保险服务采购（二次）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项目编号：AHTKJS-2025-33号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420" w:firstLineChars="200"/>
              <w:jc w:val="left"/>
              <w:rPr>
                <w:rFonts w:hint="default"/>
                <w:lang w:val="en-US" w:eastAsia="zh-CN"/>
              </w:rPr>
            </w:pPr>
            <w:r>
              <w:rPr>
                <w:rFonts w:hint="eastAsia"/>
                <w:lang w:val="en-US" w:eastAsia="zh-CN"/>
              </w:rPr>
              <w:t xml:space="preserve">  </w:t>
            </w:r>
            <w:r>
              <w:rPr>
                <w:rFonts w:hint="eastAsia" w:ascii="Times New Roman" w:hAnsi="Times New Roman" w:cs="Times New Roman"/>
                <w:szCs w:val="21"/>
                <w:highlight w:val="yellow"/>
                <w:lang w:val="en-US" w:eastAsia="zh-CN"/>
              </w:rPr>
              <w:sym w:font="Wingdings" w:char="00FE"/>
            </w:r>
            <w:r>
              <w:rPr>
                <w:rFonts w:hint="eastAsia" w:ascii="Times New Roman" w:hAnsi="Times New Roman" w:cs="Times New Roman"/>
                <w:szCs w:val="21"/>
                <w:highlight w:val="yellow"/>
                <w:lang w:val="en-US" w:eastAsia="zh-CN"/>
              </w:rPr>
              <w:t xml:space="preserve">不转换   </w:t>
            </w:r>
            <w:r>
              <w:rPr>
                <w:rFonts w:hint="eastAsia" w:ascii="Times New Roman" w:hAnsi="Times New Roman" w:cs="Times New Roman"/>
                <w:szCs w:val="21"/>
                <w:highlight w:val="yellow"/>
                <w:lang w:val="en-US" w:eastAsia="zh-CN"/>
              </w:rPr>
              <w:sym w:font="Wingdings" w:char="00A8"/>
            </w:r>
            <w:r>
              <w:rPr>
                <w:rFonts w:hint="eastAsia" w:ascii="Times New Roman" w:hAnsi="Times New Roman" w:cs="Times New Roman"/>
                <w:szCs w:val="21"/>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是否授权询比小组确定成交供应商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亳州市谯城区汽车南站西侧办公楼法务部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要求</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179632549"/>
      <w:bookmarkStart w:id="18" w:name="_Toc296602423"/>
      <w:bookmarkStart w:id="19" w:name="_Toc144974500"/>
      <w:bookmarkStart w:id="20" w:name="_Toc152042308"/>
      <w:bookmarkStart w:id="21" w:name="_Toc152045532"/>
      <w:bookmarkStart w:id="22" w:name="_Toc247085692"/>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46996181"/>
      <w:bookmarkStart w:id="26" w:name="_Toc296602426"/>
      <w:bookmarkStart w:id="27" w:name="_Toc179632553"/>
      <w:bookmarkStart w:id="28" w:name="_Toc152042312"/>
      <w:bookmarkStart w:id="29" w:name="_Toc247085695"/>
      <w:bookmarkStart w:id="30" w:name="_Toc246996924"/>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52045537"/>
      <w:bookmarkStart w:id="35" w:name="_Toc296602427"/>
      <w:bookmarkStart w:id="36" w:name="_Toc179632554"/>
      <w:bookmarkStart w:id="37" w:name="_Toc246996182"/>
      <w:bookmarkStart w:id="38" w:name="_Toc152042313"/>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926"/>
      <w:bookmarkStart w:id="42" w:name="_Toc144974506"/>
      <w:bookmarkStart w:id="43" w:name="_Toc247085697"/>
      <w:bookmarkStart w:id="44" w:name="_Toc179632555"/>
      <w:bookmarkStart w:id="45" w:name="_Toc246996183"/>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0"/>
      <w:bookmarkStart w:id="48" w:name="_Toc247085701"/>
      <w:bookmarkStart w:id="49" w:name="_Toc152045542"/>
      <w:bookmarkStart w:id="50" w:name="_Toc296602432"/>
      <w:bookmarkStart w:id="51" w:name="_Toc246996187"/>
      <w:bookmarkStart w:id="52" w:name="_Toc246996930"/>
      <w:bookmarkStart w:id="53" w:name="_Toc179632560"/>
      <w:bookmarkStart w:id="54" w:name="_Toc152042318"/>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188"/>
      <w:bookmarkStart w:id="56" w:name="_Toc247085702"/>
      <w:bookmarkStart w:id="57" w:name="_Toc246996931"/>
      <w:bookmarkStart w:id="58" w:name="_Toc144974511"/>
      <w:bookmarkStart w:id="59" w:name="_Toc152042319"/>
      <w:bookmarkStart w:id="60" w:name="_Toc296602433"/>
      <w:bookmarkStart w:id="61" w:name="_Toc152045543"/>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52042320"/>
      <w:bookmarkStart w:id="65" w:name="_Toc246996189"/>
      <w:bookmarkStart w:id="66" w:name="_Toc144974512"/>
      <w:bookmarkStart w:id="67" w:name="_Toc246996932"/>
      <w:bookmarkStart w:id="68" w:name="_Toc247085703"/>
      <w:bookmarkStart w:id="69" w:name="_Toc179632562"/>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44974513"/>
      <w:bookmarkStart w:id="73" w:name="_Toc246996933"/>
      <w:bookmarkStart w:id="74" w:name="_Toc247085704"/>
      <w:bookmarkStart w:id="75" w:name="_Toc179632563"/>
      <w:bookmarkStart w:id="76" w:name="_Toc152042321"/>
      <w:bookmarkStart w:id="77" w:name="_Toc152045545"/>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79" w:name="_Toc296602436"/>
      <w:bookmarkStart w:id="80" w:name="_Toc144974514"/>
      <w:bookmarkStart w:id="81" w:name="_Toc246996934"/>
      <w:bookmarkStart w:id="82" w:name="_Toc246996191"/>
      <w:bookmarkStart w:id="83" w:name="_Toc152042322"/>
      <w:bookmarkStart w:id="84" w:name="_Toc179632564"/>
      <w:bookmarkStart w:id="85" w:name="_Toc247085705"/>
      <w:bookmarkStart w:id="86" w:name="_Toc152045546"/>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pPr>
        <w:pStyle w:val="8"/>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296602437"/>
      <w:bookmarkStart w:id="89" w:name="_Toc247085706"/>
      <w:bookmarkStart w:id="90" w:name="_Toc246996935"/>
      <w:bookmarkStart w:id="91" w:name="_Toc152045547"/>
      <w:bookmarkStart w:id="92" w:name="_Toc246996192"/>
      <w:bookmarkStart w:id="93" w:name="_Toc144974515"/>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bookmarkStart w:id="95" w:name="_Toc179632566"/>
      <w:bookmarkStart w:id="96" w:name="_Toc144974516"/>
      <w:bookmarkStart w:id="97" w:name="_Toc152042324"/>
      <w:bookmarkStart w:id="98" w:name="_Toc246996936"/>
      <w:bookmarkStart w:id="99" w:name="_Toc296602438"/>
      <w:bookmarkStart w:id="100" w:name="_Toc246996193"/>
      <w:bookmarkStart w:id="101" w:name="_Toc247085707"/>
      <w:bookmarkStart w:id="102" w:name="_Toc152045548"/>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2325"/>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152042331"/>
      <w:bookmarkStart w:id="113" w:name="_Toc247085713"/>
      <w:bookmarkStart w:id="114" w:name="_Toc246996942"/>
      <w:bookmarkStart w:id="115" w:name="_Toc152045555"/>
      <w:bookmarkStart w:id="116" w:name="_Toc179632573"/>
      <w:bookmarkStart w:id="117" w:name="_Toc246996199"/>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24"/>
      <w:bookmarkStart w:id="120" w:name="_Toc246996943"/>
      <w:bookmarkStart w:id="121" w:name="_Toc247085714"/>
      <w:bookmarkStart w:id="122" w:name="_Toc179632574"/>
      <w:bookmarkStart w:id="123" w:name="_Toc152042332"/>
      <w:bookmarkStart w:id="124" w:name="_Toc296602444"/>
      <w:bookmarkStart w:id="125" w:name="_Toc246996200"/>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152042333"/>
      <w:bookmarkStart w:id="129" w:name="_Toc247085715"/>
      <w:bookmarkStart w:id="130" w:name="_Toc152045557"/>
      <w:bookmarkStart w:id="131" w:name="_Toc246996944"/>
      <w:bookmarkStart w:id="132" w:name="_Toc179632575"/>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6"/>
      <w:bookmarkStart w:id="135" w:name="_Toc152042334"/>
      <w:bookmarkStart w:id="136" w:name="_Toc296602446"/>
      <w:bookmarkStart w:id="137" w:name="_Toc144974526"/>
      <w:bookmarkStart w:id="138" w:name="_Toc152045558"/>
      <w:bookmarkStart w:id="139" w:name="_Toc246996945"/>
      <w:bookmarkStart w:id="140" w:name="_Toc179632576"/>
      <w:bookmarkStart w:id="141" w:name="_Toc246996202"/>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203"/>
      <w:bookmarkStart w:id="143" w:name="_Toc152042335"/>
      <w:bookmarkStart w:id="144" w:name="_Toc247085717"/>
      <w:bookmarkStart w:id="145" w:name="_Toc152045559"/>
      <w:bookmarkStart w:id="146" w:name="_Toc246996946"/>
      <w:bookmarkStart w:id="147" w:name="_Toc179632577"/>
      <w:bookmarkStart w:id="148" w:name="_Toc296602447"/>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296602448"/>
      <w:bookmarkStart w:id="152" w:name="_Toc179632578"/>
      <w:bookmarkStart w:id="153" w:name="_Toc247085718"/>
      <w:bookmarkStart w:id="154" w:name="_Toc246996204"/>
      <w:bookmarkStart w:id="155" w:name="_Toc152045560"/>
      <w:bookmarkStart w:id="156" w:name="_Toc152042336"/>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46996205"/>
      <w:bookmarkStart w:id="160" w:name="_Toc179632579"/>
      <w:bookmarkStart w:id="161" w:name="_Toc152042337"/>
      <w:bookmarkStart w:id="162" w:name="_Toc247085719"/>
      <w:bookmarkStart w:id="163" w:name="_Toc296602449"/>
      <w:bookmarkStart w:id="164" w:name="_Toc246996948"/>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246996207"/>
      <w:bookmarkStart w:id="168" w:name="_Toc152045563"/>
      <w:bookmarkStart w:id="169" w:name="_Toc152042339"/>
      <w:bookmarkStart w:id="170" w:name="_Toc179632581"/>
      <w:bookmarkStart w:id="171" w:name="_Toc144974531"/>
      <w:bookmarkStart w:id="172" w:name="_Toc296602452"/>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296602455"/>
      <w:bookmarkStart w:id="176" w:name="_Toc144974534"/>
      <w:bookmarkStart w:id="177" w:name="_Toc246996210"/>
      <w:bookmarkStart w:id="178" w:name="_Toc152042342"/>
      <w:bookmarkStart w:id="179" w:name="_Toc179632584"/>
      <w:bookmarkStart w:id="180" w:name="_Toc247085724"/>
      <w:bookmarkStart w:id="181" w:name="_Toc152045566"/>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5567"/>
      <w:bookmarkStart w:id="184" w:name="_Toc246996954"/>
      <w:bookmarkStart w:id="185" w:name="_Toc144974535"/>
      <w:bookmarkStart w:id="186" w:name="_Toc247085725"/>
      <w:bookmarkStart w:id="187" w:name="_Toc152042343"/>
      <w:bookmarkStart w:id="188" w:name="_Toc296602456"/>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2344"/>
      <w:bookmarkStart w:id="192" w:name="_Toc246996955"/>
      <w:bookmarkStart w:id="193" w:name="_Toc247085726"/>
      <w:bookmarkStart w:id="194" w:name="_Toc296602458"/>
      <w:bookmarkStart w:id="195" w:name="_Toc144974536"/>
      <w:bookmarkStart w:id="196" w:name="_Toc246996212"/>
      <w:bookmarkStart w:id="197" w:name="_Toc179632586"/>
      <w:bookmarkStart w:id="198" w:name="_Toc15204556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144974537"/>
      <w:bookmarkStart w:id="201" w:name="_Toc179632587"/>
      <w:bookmarkStart w:id="202" w:name="_Toc246996956"/>
      <w:bookmarkStart w:id="203" w:name="_Toc296602459"/>
      <w:bookmarkStart w:id="204" w:name="_Toc246996213"/>
      <w:bookmarkStart w:id="205" w:name="_Toc152042345"/>
      <w:bookmarkStart w:id="206" w:name="_Toc15204556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144974543"/>
      <w:bookmarkStart w:id="210" w:name="_Toc296602462"/>
      <w:bookmarkStart w:id="211" w:name="_Toc152042351"/>
      <w:bookmarkStart w:id="212" w:name="_Toc246996962"/>
      <w:bookmarkStart w:id="213" w:name="_Toc247085733"/>
      <w:bookmarkStart w:id="214" w:name="_Toc179632593"/>
      <w:bookmarkStart w:id="215" w:name="_Toc296590983"/>
      <w:bookmarkStart w:id="216" w:name="_Toc246996219"/>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7"/>
        <w:bidi w:val="0"/>
        <w:rPr>
          <w:rFonts w:hint="eastAsia" w:eastAsia="黑体"/>
          <w:lang w:eastAsia="zh-CN"/>
        </w:rPr>
      </w:pPr>
      <w:bookmarkStart w:id="217" w:name="_Toc144974544"/>
      <w:bookmarkStart w:id="218" w:name="_Toc152042352"/>
      <w:bookmarkStart w:id="219" w:name="_Toc179632594"/>
      <w:bookmarkStart w:id="220" w:name="_Toc246996220"/>
      <w:bookmarkStart w:id="221" w:name="_Toc296602463"/>
      <w:bookmarkStart w:id="222" w:name="_Toc152045576"/>
      <w:bookmarkStart w:id="223" w:name="_Toc246996963"/>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246996221"/>
      <w:bookmarkStart w:id="227" w:name="_Toc152045577"/>
      <w:bookmarkStart w:id="228" w:name="_Toc296602464"/>
      <w:bookmarkStart w:id="229" w:name="_Toc246996964"/>
      <w:bookmarkStart w:id="230" w:name="_Toc152042353"/>
      <w:bookmarkStart w:id="231" w:name="_Toc144974545"/>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7" w:edGrp="everyone"/>
      <w:r>
        <w:rPr>
          <w:rFonts w:hint="eastAsia" w:ascii="宋体" w:hAnsi="宋体"/>
          <w:color w:val="FF0000"/>
          <w:sz w:val="24"/>
          <w:lang w:val="en-US" w:eastAsia="zh-CN"/>
        </w:rPr>
        <w:t>最低评审价法</w:t>
      </w:r>
      <w:permEnd w:id="2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79632607"/>
            <w:bookmarkStart w:id="234" w:name="_Toc144974556"/>
            <w:bookmarkStart w:id="235" w:name="_Toc152042366"/>
            <w:bookmarkStart w:id="236" w:name="_Toc247085747"/>
            <w:bookmarkStart w:id="237" w:name="_Toc246996975"/>
            <w:bookmarkStart w:id="238" w:name="_Toc296602477"/>
            <w:bookmarkStart w:id="239" w:name="_Toc246996232"/>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kern w:val="0"/>
                <w:sz w:val="24"/>
                <w:szCs w:val="24"/>
                <w:highlight w:val="none"/>
                <w:lang w:eastAsia="zh-CN"/>
              </w:rPr>
              <w:t>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pStyle w:val="11"/>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28" w:edGrp="everyone" w:colFirst="0" w:colLast="0"/>
            <w:permStart w:id="29" w:edGrp="everyone" w:colFirst="1" w:colLast="1"/>
            <w:permStart w:id="30"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28"/>
      <w:permEnd w:id="29"/>
      <w:permEnd w:id="30"/>
    </w:tbl>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152042370"/>
      <w:bookmarkStart w:id="242" w:name="_Toc246996236"/>
      <w:bookmarkStart w:id="243" w:name="_Toc179632611"/>
      <w:bookmarkStart w:id="244" w:name="_Toc152045593"/>
      <w:bookmarkStart w:id="245" w:name="_Toc247085751"/>
      <w:bookmarkStart w:id="246" w:name="_Toc144974560"/>
      <w:bookmarkStart w:id="247" w:name="_Toc246996979"/>
      <w:bookmarkStart w:id="248" w:name="_Toc296602481"/>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79632614"/>
      <w:bookmarkStart w:id="252" w:name="_Toc152042373"/>
      <w:bookmarkStart w:id="253" w:name="_Toc247085754"/>
      <w:bookmarkStart w:id="254" w:name="_Toc246996982"/>
      <w:bookmarkStart w:id="255" w:name="_Toc152045596"/>
      <w:bookmarkStart w:id="256"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一车一保，成交人测算保费送达采购人，采购人根据车辆的具体使用情况进行拨付实际价款后，成交人出具相应车辆的保单和增值税发票(一车一票)并及时送至采购人处。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合同主要条款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保险服务期限为二年，合同采取一年一签的方式。成交人在上一年度服务考核合格的前提下，可续签次年合同；若考核不合格，合同自动终止，不再续签。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u w:val="none"/>
          <w:lang w:val="en-US" w:eastAsia="en-US"/>
        </w:rPr>
      </w:pPr>
      <w:permStart w:id="32" w:edGrp="everyone"/>
      <w:r>
        <w:rPr>
          <w:rFonts w:hint="eastAsia" w:asciiTheme="minorEastAsia" w:hAnsiTheme="minorEastAsia" w:cstheme="minorEastAsia"/>
          <w:color w:val="auto"/>
          <w:sz w:val="28"/>
          <w:szCs w:val="28"/>
          <w:highlight w:val="none"/>
          <w:u w:val="none"/>
          <w:lang w:val="en-US" w:eastAsia="zh-CN"/>
        </w:rPr>
        <w:t>1、</w:t>
      </w:r>
      <w:r>
        <w:rPr>
          <w:rFonts w:hint="eastAsia" w:asciiTheme="minorEastAsia" w:hAnsiTheme="minorEastAsia" w:eastAsiaTheme="minorEastAsia" w:cstheme="minorEastAsia"/>
          <w:color w:val="auto"/>
          <w:sz w:val="28"/>
          <w:szCs w:val="28"/>
          <w:highlight w:val="none"/>
          <w:u w:val="none"/>
          <w:lang w:val="en-US" w:eastAsia="en-US"/>
        </w:rPr>
        <w:t>本项目投保车辆信息详见附件；投保车辆数量、险种及保额见下表：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1575"/>
        <w:gridCol w:w="1318"/>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pct"/>
            <w:vAlign w:val="center"/>
          </w:tcPr>
          <w:p>
            <w:pPr>
              <w:widowControl w:val="0"/>
              <w:wordWrap w:val="0"/>
              <w:spacing w:line="44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采购人</w:t>
            </w: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车辆类型</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车辆数量</w:t>
            </w:r>
          </w:p>
        </w:tc>
        <w:tc>
          <w:tcPr>
            <w:tcW w:w="247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投保险种及保额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826" w:type="pct"/>
            <w:vMerge w:val="restart"/>
            <w:vAlign w:val="center"/>
          </w:tcPr>
          <w:p>
            <w:pPr>
              <w:widowControl w:val="0"/>
              <w:wordWrap w:val="0"/>
              <w:spacing w:line="44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安徽通康建设工程</w:t>
            </w:r>
            <w:r>
              <w:rPr>
                <w:rFonts w:hint="eastAsia" w:ascii="仿宋_GB2312" w:hAnsi="仿宋_GB2312" w:eastAsia="仿宋_GB2312" w:cs="仿宋_GB2312"/>
                <w:sz w:val="32"/>
                <w:szCs w:val="32"/>
              </w:rPr>
              <w:t>有限公司</w:t>
            </w: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轻型作业</w:t>
            </w:r>
            <w:r>
              <w:rPr>
                <w:rFonts w:hint="eastAsia" w:ascii="仿宋_GB2312" w:hAnsi="仿宋_GB2312" w:eastAsia="仿宋_GB2312" w:cs="仿宋_GB2312"/>
                <w:sz w:val="32"/>
                <w:szCs w:val="32"/>
              </w:rPr>
              <w:t>车辆</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辆</w:t>
            </w:r>
          </w:p>
        </w:tc>
        <w:tc>
          <w:tcPr>
            <w:tcW w:w="2474" w:type="pct"/>
            <w:vMerge w:val="restart"/>
            <w:vAlign w:val="center"/>
          </w:tcPr>
          <w:p>
            <w:r>
              <w:rPr>
                <w:rFonts w:hint="eastAsia" w:ascii="仿宋_GB2312" w:hAnsi="仿宋_GB2312" w:eastAsia="仿宋_GB2312" w:cs="仿宋_GB2312"/>
                <w:sz w:val="32"/>
                <w:szCs w:val="32"/>
              </w:rPr>
              <w:t>交强险、第三者责任险（保额</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车损险（含不计免赔）、车上人员责任险（保额10万元每座）、车船税</w:t>
            </w:r>
          </w:p>
          <w:p>
            <w:pPr>
              <w:widowControl w:val="0"/>
              <w:wordWrap w:val="0"/>
              <w:spacing w:line="440" w:lineRule="exact"/>
              <w:ind w:firstLine="0" w:firstLineChars="0"/>
              <w:jc w:val="both"/>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826" w:type="pct"/>
            <w:vMerge w:val="continue"/>
            <w:vAlign w:val="center"/>
          </w:tcPr>
          <w:p>
            <w:pPr>
              <w:widowControl w:val="0"/>
              <w:wordWrap w:val="0"/>
              <w:spacing w:line="440" w:lineRule="exact"/>
              <w:jc w:val="both"/>
              <w:rPr>
                <w:rFonts w:hint="eastAsia" w:ascii="仿宋_GB2312" w:hAnsi="仿宋_GB2312" w:eastAsia="仿宋_GB2312" w:cs="仿宋_GB2312"/>
                <w:sz w:val="32"/>
                <w:szCs w:val="32"/>
              </w:rPr>
            </w:pP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普通小型</w:t>
            </w:r>
            <w:r>
              <w:rPr>
                <w:rFonts w:hint="eastAsia" w:ascii="仿宋_GB2312" w:hAnsi="仿宋_GB2312" w:eastAsia="仿宋_GB2312" w:cs="仿宋_GB2312"/>
                <w:sz w:val="32"/>
                <w:szCs w:val="32"/>
              </w:rPr>
              <w:t>车辆</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辆</w:t>
            </w:r>
          </w:p>
        </w:tc>
        <w:tc>
          <w:tcPr>
            <w:tcW w:w="2474" w:type="pct"/>
            <w:vMerge w:val="continue"/>
            <w:vAlign w:val="center"/>
          </w:tcPr>
          <w:p>
            <w:pPr>
              <w:widowControl w:val="0"/>
              <w:wordWrap w:val="0"/>
              <w:spacing w:line="440" w:lineRule="exact"/>
              <w:jc w:val="both"/>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26" w:type="pct"/>
            <w:vMerge w:val="continue"/>
            <w:vAlign w:val="center"/>
          </w:tcPr>
          <w:p>
            <w:pPr>
              <w:widowControl w:val="0"/>
              <w:wordWrap w:val="0"/>
              <w:spacing w:line="440" w:lineRule="exact"/>
              <w:jc w:val="center"/>
              <w:rPr>
                <w:rFonts w:hint="eastAsia" w:ascii="仿宋_GB2312" w:hAnsi="仿宋_GB2312" w:eastAsia="仿宋_GB2312" w:cs="仿宋_GB2312"/>
                <w:sz w:val="32"/>
                <w:szCs w:val="32"/>
              </w:rPr>
            </w:pP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特种作业车</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2辆</w:t>
            </w:r>
          </w:p>
        </w:tc>
        <w:tc>
          <w:tcPr>
            <w:tcW w:w="2474" w:type="pct"/>
            <w:vAlign w:val="center"/>
          </w:tcPr>
          <w:p>
            <w:pPr>
              <w:widowControl w:val="0"/>
              <w:wordWrap w:val="0"/>
              <w:spacing w:line="44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交强险、车船税</w:t>
            </w:r>
          </w:p>
        </w:tc>
      </w:tr>
      <w:permEnd w:id="32"/>
    </w:tbl>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5"/>
        <w:gridCol w:w="863"/>
        <w:gridCol w:w="1375"/>
        <w:gridCol w:w="1477"/>
        <w:gridCol w:w="1579"/>
        <w:gridCol w:w="1034"/>
        <w:gridCol w:w="898"/>
        <w:gridCol w:w="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Theme="minorEastAsia" w:hAnsiTheme="minorEastAsia" w:eastAsiaTheme="minorEastAsia" w:cstheme="minorEastAsia"/>
                <w:color w:val="auto"/>
                <w:sz w:val="28"/>
                <w:szCs w:val="28"/>
                <w:highlight w:val="none"/>
                <w:u w:val="none"/>
                <w:lang w:val="en-US" w:eastAsia="zh-CN"/>
              </w:rPr>
              <w:t>2、安徽通康建设工程有限公司车辆信息明细表（一）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车辆牌照</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车辆识别代码</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车辆品牌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车辆型号</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发动机号</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注册登记时间</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皖SR2E60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LSGUA83L1PG010416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别克GL8  2.0T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223582243</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2023.04.07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皖SDB0850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LLV5CVB27N0006572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力帆枫叶纯电</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N7FH1100S</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2022.11.01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皖SD80260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LLV5CVB24N0006576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力帆枫叶纯电</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N7CH1104F</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2022.11.01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皖SA7R89</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LJ166A356K2240520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江淮牌瑞风M5  2.0T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K3008152</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2019.5.30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皖SFA3626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LS62H33J0RG800284</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长安</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R9FAA002159</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2024.08.28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混动皮卡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皖SFA5696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LS62H33J5RG800216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长安</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R9FAA001435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2024.08.28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混动皮卡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皖SH3378</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LEFYEDK53PHN57390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常奇牌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77339742</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2024.12.04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皖S2Z182</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LGAX2A125R9019700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靖马牌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93355649</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2024.11.19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皖SCE889</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LWLEMCZH8PL090822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靖马牌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6A018008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2024.11.19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皖SPG311</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LJ11PBBD4R8604141</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Q240804838D</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皖SX6U38</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LJ11PBBD6R8604142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Q240803897D</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皖SK8M33</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LJ11KBBD2R1912965</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BHPT0017294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皖SUP215</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LEFYEDG25NHN41848</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N4031408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2022.05.19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皖SEW506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LEFAFDG29MHNB2216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MA127850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2021.11.11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皖SZU090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LEFAFDG20MHNB2217</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MA127848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2021.11.11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皖SQF632</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LGWCBF1A5PM044197</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长城牌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231B1030791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2023.07.17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皖STH830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LEFYFCG22MHND5295</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专力牌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MCD83164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2022.09.07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皖SN7F90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LEFYFCG29NHN50432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楚飞牌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N7D38618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2022.09.07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备注：以上18台车辆需购买第三者责任险（保额200万元）、车损险（含不计免赔）、车上人员责任险（保额10万元每座）、交强险、车船税。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32"/>
                <w:szCs w:val="32"/>
                <w:u w:val="none"/>
              </w:rPr>
            </w:pPr>
            <w:r>
              <w:rPr>
                <w:rFonts w:hint="eastAsia" w:asciiTheme="minorEastAsia" w:hAnsiTheme="minorEastAsia" w:cstheme="minorEastAsia"/>
                <w:color w:val="auto"/>
                <w:sz w:val="28"/>
                <w:szCs w:val="28"/>
                <w:highlight w:val="none"/>
                <w:u w:val="none"/>
                <w:lang w:val="en-US" w:eastAsia="zh-CN"/>
              </w:rPr>
              <w:t>3</w:t>
            </w:r>
            <w:r>
              <w:rPr>
                <w:rFonts w:hint="eastAsia" w:asciiTheme="minorEastAsia" w:hAnsiTheme="minorEastAsia" w:eastAsiaTheme="minorEastAsia" w:cstheme="minorEastAsia"/>
                <w:color w:val="auto"/>
                <w:sz w:val="28"/>
                <w:szCs w:val="28"/>
                <w:highlight w:val="none"/>
                <w:u w:val="none"/>
                <w:lang w:val="en-US" w:eastAsia="zh-CN"/>
              </w:rPr>
              <w:t>、安徽通康建设工程有限公司车辆信息明细表（二）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车牌号</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车架号</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车辆品牌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车辆型号</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发动机号</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注册登记时间</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皖SG7581</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LGDCWA1L4NH114750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圣工牌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中型载货专项作业车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YV30D1N05211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2022.12.27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皖SG5643</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LZGCL2R45MX114149</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圣工牌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重型载货专项作业车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6421F048581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2022.12.27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备注：以上2台车辆需购买交强险、车船税。</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permStart w:id="33" w:edGrp="everyone"/>
      <w:r>
        <w:rPr>
          <w:rFonts w:hint="eastAsia" w:ascii="Times New Roman" w:hAnsi="Times New Roman" w:eastAsia="黑体" w:cs="Times New Roman"/>
          <w:kern w:val="0"/>
          <w:sz w:val="32"/>
          <w:szCs w:val="32"/>
          <w:highlight w:val="none"/>
          <w:u w:val="single"/>
          <w:shd w:val="clear" w:color="auto" w:fill="auto"/>
          <w:lang w:eastAsia="zh-CN"/>
        </w:rPr>
        <w:t>安徽通康建设工程有限公司车辆保险服务采购（</w:t>
      </w:r>
      <w:r>
        <w:rPr>
          <w:rFonts w:hint="eastAsia" w:ascii="Times New Roman" w:hAnsi="Times New Roman" w:eastAsia="黑体" w:cs="Times New Roman"/>
          <w:kern w:val="0"/>
          <w:sz w:val="32"/>
          <w:szCs w:val="32"/>
          <w:highlight w:val="none"/>
          <w:u w:val="single"/>
          <w:shd w:val="clear" w:color="auto" w:fill="auto"/>
          <w:lang w:val="en-US" w:eastAsia="zh-CN"/>
        </w:rPr>
        <w:t>二次）</w:t>
      </w:r>
      <w:permEnd w:id="33"/>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AHTKJS-2025-33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257" w:name="_Toc247527827"/>
      <w:bookmarkStart w:id="258" w:name="_Toc247514246"/>
      <w:bookmarkStart w:id="259" w:name="_Toc300835209"/>
      <w:bookmarkStart w:id="260" w:name="_Toc152045787"/>
      <w:bookmarkStart w:id="261" w:name="_Toc144974856"/>
      <w:bookmarkStart w:id="262" w:name="_Toc152042576"/>
    </w:p>
    <w:p>
      <w:pPr>
        <w:pStyle w:val="7"/>
        <w:jc w:val="center"/>
        <w:rPr>
          <w:rFonts w:hint="default" w:ascii="Times New Roman" w:hAnsi="Times New Roman" w:cs="Times New Roman"/>
        </w:rPr>
      </w:pPr>
      <w:r>
        <w:rPr>
          <w:rFonts w:hint="default" w:ascii="Times New Roman" w:hAnsi="Times New Roman" w:cs="Times New Roman"/>
        </w:rPr>
        <w:t>目    录</w:t>
      </w:r>
      <w:bookmarkEnd w:id="257"/>
      <w:bookmarkEnd w:id="258"/>
      <w:bookmarkEnd w:id="259"/>
      <w:bookmarkEnd w:id="260"/>
      <w:bookmarkEnd w:id="261"/>
      <w:bookmarkEnd w:id="262"/>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eastAsia="黑体" w:cs="Times New Roman"/>
          <w:sz w:val="20"/>
          <w:szCs w:val="20"/>
        </w:rPr>
      </w:pPr>
      <w:bookmarkStart w:id="263" w:name="_Toc152045788"/>
      <w:bookmarkStart w:id="264" w:name="_Toc152042577"/>
      <w:bookmarkStart w:id="265" w:name="_Toc247527828"/>
      <w:bookmarkStart w:id="266" w:name="_Toc144974857"/>
      <w:bookmarkStart w:id="267" w:name="_Toc247514247"/>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pPr>
        <w:spacing w:line="440" w:lineRule="exact"/>
        <w:rPr>
          <w:rFonts w:hint="default" w:ascii="Times New Roman" w:hAnsi="Times New Roman" w:cs="Times New Roman"/>
          <w:szCs w:val="21"/>
        </w:rPr>
      </w:pPr>
      <w:bookmarkStart w:id="269" w:name="_Toc247527830"/>
      <w:bookmarkStart w:id="270" w:name="_Toc300835212"/>
      <w:bookmarkStart w:id="271" w:name="_Toc152042579"/>
      <w:bookmarkStart w:id="272" w:name="_Toc152045790"/>
      <w:bookmarkStart w:id="273" w:name="_Toc144974859"/>
      <w:bookmarkStart w:id="274" w:name="_Toc247514249"/>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52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安徽通康建设工程有限公司车辆保险服务采购（二次）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AHTKJS-2025-33</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4" w:edGrp="everyone"/>
      <w:r>
        <w:rPr>
          <w:rFonts w:hint="default" w:ascii="Times New Roman" w:hAnsi="Times New Roman" w:cs="Times New Roman"/>
          <w:szCs w:val="21"/>
          <w:lang w:val="en-US" w:eastAsia="zh-CN"/>
        </w:rPr>
        <w:t>①</w:t>
      </w:r>
      <w:r>
        <w:rPr>
          <w:rFonts w:hint="eastAsia" w:ascii="Times New Roman" w:hAnsi="Times New Roman" w:cs="Times New Roman"/>
          <w:szCs w:val="21"/>
          <w:lang w:val="en-US" w:eastAsia="zh-CN"/>
        </w:rPr>
        <w:t>商业险部分自主定价系数</w:t>
      </w:r>
      <w:r>
        <w:rPr>
          <w:rFonts w:hint="default" w:ascii="Times New Roman" w:hAnsi="Times New Roman" w:cs="Times New Roman"/>
          <w:color w:val="auto"/>
          <w:szCs w:val="21"/>
          <w:u w:val="none"/>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的响应报价；</w:t>
      </w:r>
      <w:r>
        <w:rPr>
          <w:rFonts w:hint="default" w:ascii="Times New Roman" w:hAnsi="Times New Roman" w:cs="Times New Roman"/>
          <w:szCs w:val="21"/>
          <w:u w:val="none"/>
          <w:lang w:val="en-US" w:eastAsia="zh-CN"/>
        </w:rPr>
        <w:t>②</w:t>
      </w:r>
      <w:r>
        <w:rPr>
          <w:rFonts w:hint="eastAsia" w:ascii="Times New Roman" w:hAnsi="Times New Roman" w:cs="Times New Roman"/>
          <w:szCs w:val="21"/>
          <w:u w:val="none"/>
          <w:lang w:val="en-US" w:eastAsia="zh-CN"/>
        </w:rPr>
        <w:t>交强险、车船税部分执行国家有关规定，在国家政策允许范围内给予采购人最大优惠。服务期限：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w:t>
      </w:r>
      <w:permEnd w:id="34"/>
      <w:r>
        <w:rPr>
          <w:rFonts w:hint="eastAsia" w:ascii="Times New Roman" w:hAnsi="Times New Roman" w:cs="Times New Roman"/>
          <w:szCs w:val="21"/>
          <w:u w:val="none"/>
          <w:lang w:val="en-US" w:eastAsia="zh-CN"/>
        </w:rPr>
        <w:t>，按合同约定完成本项目全部服务工作。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pPr>
        <w:pStyle w:val="7"/>
        <w:jc w:val="center"/>
        <w:rPr>
          <w:rFonts w:hint="default" w:ascii="Times New Roman" w:hAnsi="Times New Roman" w:cs="Times New Roman"/>
        </w:rPr>
      </w:pPr>
      <w:bookmarkStart w:id="275" w:name="_Toc247514283"/>
      <w:bookmarkStart w:id="276" w:name="_Toc247527831"/>
      <w:bookmarkStart w:id="277" w:name="_Toc300835213"/>
      <w:bookmarkStart w:id="278" w:name="_Toc152045791"/>
      <w:bookmarkStart w:id="279" w:name="_Toc152042580"/>
      <w:bookmarkStart w:id="280" w:name="_Toc144974860"/>
      <w:r>
        <w:rPr>
          <w:rFonts w:hint="default" w:ascii="Times New Roman" w:hAnsi="Times New Roman" w:cs="Times New Roman"/>
        </w:rPr>
        <w:t>二、法定代表人身份证明</w:t>
      </w:r>
      <w:bookmarkEnd w:id="275"/>
      <w:bookmarkEnd w:id="276"/>
      <w:bookmarkEnd w:id="277"/>
      <w:bookmarkEnd w:id="278"/>
      <w:bookmarkEnd w:id="279"/>
      <w:bookmarkEnd w:id="28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247514284"/>
      <w:bookmarkStart w:id="283" w:name="_Toc152042581"/>
      <w:bookmarkStart w:id="284" w:name="_Toc300835214"/>
      <w:bookmarkStart w:id="285" w:name="_Toc152045792"/>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b/>
          <w:bCs/>
          <w:color w:val="FF0000"/>
          <w:szCs w:val="21"/>
        </w:rPr>
      </w:pPr>
      <w:r>
        <w:rPr>
          <w:rFonts w:hint="default" w:ascii="Times New Roman" w:hAnsi="Times New Roman" w:cs="Times New Roman"/>
          <w:b/>
          <w:bCs/>
          <w:color w:val="FF0000"/>
          <w:szCs w:val="21"/>
        </w:rPr>
        <w:t>（适用于有委托代理人的情况）</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bookmarkStart w:id="287" w:name="OLE_LINK1"/>
      <w:bookmarkStart w:id="288" w:name="_Toc300835216"/>
      <w:bookmarkStart w:id="289" w:name="_Toc152045794"/>
      <w:bookmarkStart w:id="290" w:name="_Toc152042583"/>
      <w:bookmarkStart w:id="291" w:name="_Toc144974862"/>
      <w:bookmarkStart w:id="292" w:name="_Toc247514286"/>
      <w:bookmarkStart w:id="293" w:name="_Toc247527834"/>
      <w:r>
        <w:rPr>
          <w:rFonts w:hint="eastAsia" w:ascii="Times New Roman" w:hAnsi="Times New Roman" w:cs="Times New Roman"/>
          <w:b/>
          <w:bCs/>
          <w:color w:val="FF0000"/>
          <w:szCs w:val="21"/>
          <w:lang w:val="en-US" w:eastAsia="zh-CN"/>
        </w:rPr>
        <w:t>（适用于供应商组成联合体的情况）</w:t>
      </w:r>
    </w:p>
    <w:bookmarkEnd w:id="287"/>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7"/>
        <w:pageBreakBefore w:val="0"/>
        <w:widowControl w:val="0"/>
        <w:numPr>
          <w:ilvl w:val="0"/>
          <w:numId w:val="1"/>
        </w:numPr>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r>
        <w:rPr>
          <w:rFonts w:hint="eastAsia" w:ascii="Times New Roman" w:hAnsi="Times New Roman" w:cs="Times New Roman"/>
          <w:b/>
          <w:bCs/>
          <w:color w:val="FF0000"/>
          <w:szCs w:val="21"/>
          <w:lang w:val="en-US" w:eastAsia="zh-CN"/>
        </w:rPr>
        <w:t>（本项目不需要）</w:t>
      </w:r>
    </w:p>
    <w:p>
      <w:pPr>
        <w:numPr>
          <w:ilvl w:val="-1"/>
          <w:numId w:val="0"/>
        </w:numPr>
        <w:rPr>
          <w:rFonts w:hint="eastAsia"/>
          <w:lang w:eastAsia="zh-CN"/>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94"/>
    <w:p>
      <w:pPr>
        <w:rPr>
          <w:rFonts w:hint="default" w:ascii="Times New Roman" w:hAnsi="Times New Roman" w:cs="Times New Roman"/>
        </w:rPr>
      </w:pPr>
      <w:bookmarkStart w:id="295" w:name="_Toc144974863"/>
      <w:bookmarkStart w:id="296" w:name="_Toc247514287"/>
      <w:bookmarkStart w:id="297" w:name="_Toc300835218"/>
      <w:bookmarkStart w:id="298" w:name="_Toc152042584"/>
      <w:bookmarkStart w:id="299" w:name="_Toc152045795"/>
      <w:bookmarkStart w:id="300" w:name="_Toc247527835"/>
      <w:r>
        <w:rPr>
          <w:rFonts w:hint="default" w:ascii="Times New Roman" w:hAnsi="Times New Roman" w:cs="Times New Roman"/>
        </w:rPr>
        <w:br w:type="page"/>
      </w:r>
    </w:p>
    <w:p>
      <w:pPr>
        <w:numPr>
          <w:ilvl w:val="0"/>
          <w:numId w:val="2"/>
        </w:numPr>
        <w:spacing w:before="114" w:line="221" w:lineRule="auto"/>
        <w:ind w:left="2764"/>
        <w:rPr>
          <w:rFonts w:ascii="黑体" w:hAnsi="黑体" w:eastAsia="黑体" w:cs="黑体"/>
          <w:b/>
          <w:bCs/>
          <w:spacing w:val="-2"/>
          <w:sz w:val="35"/>
          <w:szCs w:val="35"/>
        </w:rPr>
      </w:pPr>
      <w:r>
        <w:rPr>
          <w:rFonts w:ascii="黑体" w:hAnsi="黑体" w:eastAsia="黑体" w:cs="黑体"/>
          <w:b/>
          <w:bCs/>
          <w:spacing w:val="-2"/>
          <w:sz w:val="35"/>
          <w:szCs w:val="35"/>
        </w:rPr>
        <w:t>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11"/>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7"/>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5"/>
      <w:bookmarkEnd w:id="296"/>
      <w:bookmarkEnd w:id="297"/>
      <w:bookmarkEnd w:id="298"/>
      <w:bookmarkEnd w:id="299"/>
      <w:bookmarkEnd w:id="300"/>
      <w:r>
        <w:rPr>
          <w:rFonts w:hint="eastAsia" w:ascii="Times New Roman" w:hAnsi="Times New Roman" w:cs="Times New Roman"/>
          <w:lang w:val="en-US" w:eastAsia="zh-CN"/>
        </w:rPr>
        <w:t>报价表</w:t>
      </w:r>
    </w:p>
    <w:p>
      <w:pPr>
        <w:spacing w:before="53"/>
        <w:jc w:val="center"/>
        <w:rPr>
          <w:rFonts w:hint="default" w:eastAsiaTheme="minorEastAsia"/>
          <w:lang w:val="en-US" w:eastAsia="zh-CN"/>
        </w:rPr>
      </w:pPr>
      <w:bookmarkStart w:id="301" w:name="_Toc247527836"/>
      <w:bookmarkStart w:id="302" w:name="_Toc144974864"/>
      <w:bookmarkStart w:id="303" w:name="_Toc152042585"/>
      <w:bookmarkStart w:id="304" w:name="_Toc247514288"/>
      <w:bookmarkStart w:id="305" w:name="_Toc300835221"/>
      <w:bookmarkStart w:id="306" w:name="_Toc152045796"/>
      <w:r>
        <w:rPr>
          <w:rFonts w:hint="eastAsia"/>
          <w:b/>
          <w:bCs/>
          <w:color w:val="FF0000"/>
          <w:lang w:val="en-US" w:eastAsia="zh-CN"/>
        </w:rPr>
        <w:t>（注：供应商根据询比公告/邀请书要求按需填写，如无要求，可不填写。）</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301"/>
    <w:bookmarkEnd w:id="302"/>
    <w:bookmarkEnd w:id="303"/>
    <w:bookmarkEnd w:id="304"/>
    <w:bookmarkEnd w:id="305"/>
    <w:bookmarkEnd w:id="306"/>
    <w:p>
      <w:pPr>
        <w:pStyle w:val="7"/>
        <w:numPr>
          <w:ilvl w:val="0"/>
          <w:numId w:val="3"/>
        </w:numPr>
        <w:jc w:val="center"/>
      </w:pPr>
      <w:bookmarkStart w:id="307" w:name="_Toc300835223"/>
      <w:r>
        <w:t>资格审查资料</w:t>
      </w:r>
    </w:p>
    <w:p>
      <w:pPr>
        <w:spacing w:before="53"/>
        <w:jc w:val="center"/>
        <w:rPr>
          <w:rFonts w:hint="eastAsia"/>
          <w:lang w:eastAsia="zh-CN"/>
        </w:rPr>
      </w:pPr>
      <w:r>
        <w:rPr>
          <w:rFonts w:hint="eastAsia"/>
          <w:b/>
          <w:bCs/>
          <w:color w:val="FF0000"/>
          <w:lang w:val="en-US" w:eastAsia="zh-CN"/>
        </w:rPr>
        <w:t>（注：供应商根据询比公告/邀请书要求按需填写，如无要求，可不填写。）</w:t>
      </w:r>
    </w:p>
    <w:p>
      <w:pPr>
        <w:pStyle w:val="8"/>
        <w:jc w:val="both"/>
        <w:rPr>
          <w:rFonts w:hint="eastAsia"/>
        </w:rPr>
      </w:pPr>
      <w:bookmarkStart w:id="308" w:name="_Toc179632828"/>
      <w:bookmarkStart w:id="309" w:name="_Toc246996373"/>
      <w:bookmarkStart w:id="310" w:name="_Toc246997116"/>
      <w:bookmarkStart w:id="311" w:name="_Toc296602618"/>
      <w:bookmarkStart w:id="312" w:name="_Toc247085891"/>
      <w:r>
        <w:t>（一）</w:t>
      </w:r>
      <w:r>
        <w:rPr>
          <w:rFonts w:hint="eastAsia"/>
          <w:lang w:eastAsia="zh-CN"/>
        </w:rPr>
        <w:t>供应商</w:t>
      </w:r>
      <w:r>
        <w:t>基本情况表</w:t>
      </w:r>
      <w:bookmarkEnd w:id="308"/>
      <w:bookmarkEnd w:id="309"/>
      <w:bookmarkEnd w:id="310"/>
      <w:bookmarkEnd w:id="311"/>
      <w:bookmarkEnd w:id="312"/>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8"/>
        <w:jc w:val="both"/>
      </w:pPr>
      <w:bookmarkStart w:id="313" w:name="_Toc247085888"/>
      <w:bookmarkStart w:id="314" w:name="_Toc246996370"/>
      <w:bookmarkStart w:id="315" w:name="_Toc246997113"/>
      <w:bookmarkStart w:id="316" w:name="_Toc296602615"/>
      <w:bookmarkStart w:id="317" w:name="_Toc144974878"/>
      <w:bookmarkStart w:id="318" w:name="_Toc152042599"/>
      <w:bookmarkStart w:id="319" w:name="_Toc300835226"/>
      <w:bookmarkStart w:id="320" w:name="_Toc152045810"/>
      <w:bookmarkStart w:id="321" w:name="_Toc247527850"/>
      <w:bookmarkStart w:id="322" w:name="_Toc247514302"/>
      <w:r>
        <w:t>（</w:t>
      </w:r>
      <w:r>
        <w:rPr>
          <w:rFonts w:hint="eastAsia"/>
          <w:lang w:val="en-US" w:eastAsia="zh-CN"/>
        </w:rPr>
        <w:t>二</w:t>
      </w:r>
      <w:r>
        <w:t>）项目管理机构组成表</w:t>
      </w:r>
      <w:bookmarkEnd w:id="313"/>
      <w:bookmarkEnd w:id="314"/>
      <w:bookmarkEnd w:id="315"/>
      <w:bookmarkEnd w:id="316"/>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rPr>
          <w:rFonts w:eastAsia="黑体"/>
          <w:sz w:val="23"/>
          <w:szCs w:val="23"/>
        </w:rPr>
      </w:pPr>
      <w:bookmarkStart w:id="323" w:name="_Toc296602616"/>
      <w:bookmarkStart w:id="324" w:name="_Toc246997114"/>
      <w:bookmarkStart w:id="325" w:name="_Toc247085889"/>
      <w:bookmarkStart w:id="326" w:name="_Toc246996371"/>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27" w:name="_Toc247527851"/>
      <w:bookmarkStart w:id="328" w:name="_Toc144974879"/>
      <w:bookmarkStart w:id="329" w:name="_Toc152045811"/>
      <w:bookmarkStart w:id="330" w:name="_Toc152042600"/>
      <w:bookmarkStart w:id="331" w:name="_Toc247514303"/>
    </w:p>
    <w:p>
      <w:pPr>
        <w:spacing w:line="440" w:lineRule="exact"/>
        <w:rPr>
          <w:rFonts w:hint="default" w:ascii="Times New Roman" w:hAnsi="Times New Roman" w:cs="Times New Roman"/>
        </w:rPr>
      </w:pPr>
    </w:p>
    <w:bookmarkEnd w:id="327"/>
    <w:bookmarkEnd w:id="328"/>
    <w:bookmarkEnd w:id="329"/>
    <w:bookmarkEnd w:id="330"/>
    <w:bookmarkEnd w:id="331"/>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b/>
          <w:bCs/>
          <w:color w:val="FF0000"/>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307"/>
    <w:p>
      <w:pPr>
        <w:pStyle w:val="8"/>
        <w:numPr>
          <w:ilvl w:val="0"/>
          <w:numId w:val="4"/>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32" w:name="_Toc152045813"/>
      <w:bookmarkStart w:id="333" w:name="_Toc144974881"/>
      <w:bookmarkStart w:id="334" w:name="_Toc247527853"/>
      <w:bookmarkStart w:id="335" w:name="_Toc152042602"/>
      <w:bookmarkStart w:id="336" w:name="_Toc247530162"/>
      <w:bookmarkStart w:id="337" w:name="_Toc247514305"/>
    </w:p>
    <w:bookmarkEnd w:id="332"/>
    <w:bookmarkEnd w:id="333"/>
    <w:bookmarkEnd w:id="334"/>
    <w:bookmarkEnd w:id="335"/>
    <w:bookmarkEnd w:id="336"/>
    <w:bookmarkEnd w:id="337"/>
    <w:p>
      <w:pPr>
        <w:pStyle w:val="7"/>
        <w:jc w:val="center"/>
        <w:rPr>
          <w:rFonts w:hint="default" w:ascii="Times New Roman" w:hAnsi="Times New Roman" w:cs="Times New Roman"/>
        </w:rPr>
      </w:pPr>
      <w:bookmarkStart w:id="338" w:name="_Toc271821942"/>
      <w:bookmarkStart w:id="33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38"/>
      <w:bookmarkEnd w:id="339"/>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F36D36B-06CD-4AA4-9F79-0023A3934022}"/>
  </w:font>
  <w:font w:name="Arial">
    <w:panose1 w:val="020B0604020202020204"/>
    <w:charset w:val="01"/>
    <w:family w:val="swiss"/>
    <w:pitch w:val="default"/>
    <w:sig w:usb0="E0002EFF" w:usb1="C000785B" w:usb2="00000009" w:usb3="00000000" w:csb0="400001FF" w:csb1="FFFF0000"/>
    <w:embedRegular r:id="rId2" w:fontKey="{7F1A08F4-A7F4-4EE0-8AA4-A69CC8A00D9D}"/>
  </w:font>
  <w:font w:name="黑体">
    <w:panose1 w:val="02010609060101010101"/>
    <w:charset w:val="86"/>
    <w:family w:val="auto"/>
    <w:pitch w:val="default"/>
    <w:sig w:usb0="800002BF" w:usb1="38CF7CFA" w:usb2="00000016" w:usb3="00000000" w:csb0="00040001" w:csb1="00000000"/>
    <w:embedRegular r:id="rId3" w:fontKey="{47575FE7-300B-450A-A3C6-3967305E02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A2EB932-38F0-4DBD-A815-33068F97C91C}"/>
  </w:font>
  <w:font w:name="仿宋_GB2312">
    <w:panose1 w:val="02010609030101010101"/>
    <w:charset w:val="86"/>
    <w:family w:val="modern"/>
    <w:pitch w:val="default"/>
    <w:sig w:usb0="00000001" w:usb1="080E0000" w:usb2="00000000" w:usb3="00000000" w:csb0="00040000" w:csb1="00000000"/>
    <w:embedRegular r:id="rId5" w:fontKey="{8A9FDA85-A9CA-456B-939E-9D22E8D8E0B1}"/>
  </w:font>
  <w:font w:name="方正小标宋简体">
    <w:altName w:val="仿宋_GB2312"/>
    <w:panose1 w:val="02010600010101010101"/>
    <w:charset w:val="86"/>
    <w:family w:val="auto"/>
    <w:pitch w:val="default"/>
    <w:sig w:usb0="00000000" w:usb1="00000000" w:usb2="00000000" w:usb3="00000000" w:csb0="00040000" w:csb1="00000000"/>
    <w:embedRegular r:id="rId6" w:fontKey="{4BC83FAC-D844-458C-885A-ED637DD46224}"/>
  </w:font>
  <w:font w:name="楷体">
    <w:panose1 w:val="02010609060101010101"/>
    <w:charset w:val="86"/>
    <w:family w:val="auto"/>
    <w:pitch w:val="default"/>
    <w:sig w:usb0="800002BF" w:usb1="38CF7CFA" w:usb2="00000016" w:usb3="00000000" w:csb0="00040001" w:csb1="00000000"/>
    <w:embedRegular r:id="rId7" w:fontKey="{98ACCE9D-7628-466D-94A3-2952CFF7E083}"/>
  </w:font>
  <w:font w:name="Wingdings 2">
    <w:panose1 w:val="05020102010507070707"/>
    <w:charset w:val="00"/>
    <w:family w:val="auto"/>
    <w:pitch w:val="default"/>
    <w:sig w:usb0="00000000" w:usb1="00000000" w:usb2="00000000" w:usb3="00000000" w:csb0="80000000" w:csb1="00000000"/>
    <w:embedRegular r:id="rId8" w:fontKey="{30FCCFEB-21DD-4F6F-962F-AF2FFE4603A4}"/>
  </w:font>
  <w:font w:name="方正仿宋_GB2312">
    <w:altName w:val="仿宋"/>
    <w:panose1 w:val="02000000000000000000"/>
    <w:charset w:val="86"/>
    <w:family w:val="auto"/>
    <w:pitch w:val="default"/>
    <w:sig w:usb0="00000000" w:usb1="00000000" w:usb2="00000012" w:usb3="00000000" w:csb0="00040001" w:csb1="00000000"/>
    <w:embedRegular r:id="rId9" w:fontKey="{C3C79357-EB47-4902-BCB0-CECEEFC7DCCE}"/>
  </w:font>
  <w:font w:name="仿宋">
    <w:panose1 w:val="02010609060101010101"/>
    <w:charset w:val="86"/>
    <w:family w:val="auto"/>
    <w:pitch w:val="default"/>
    <w:sig w:usb0="800002BF" w:usb1="38CF7CFA" w:usb2="00000016" w:usb3="00000000" w:csb0="00040001" w:csb1="00000000"/>
    <w:embedRegular r:id="rId10" w:fontKey="{AFC61D8B-BE5B-4CA9-BBC2-C58EE784271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7E9EF7"/>
    <w:multiLevelType w:val="singleLevel"/>
    <w:tmpl w:val="C37E9EF7"/>
    <w:lvl w:ilvl="0" w:tentative="0">
      <w:start w:val="9"/>
      <w:numFmt w:val="chineseCounting"/>
      <w:suff w:val="nothing"/>
      <w:lvlText w:val="%1、"/>
      <w:lvlJc w:val="left"/>
      <w:rPr>
        <w:rFonts w:hint="eastAsia"/>
      </w:rPr>
    </w:lvl>
  </w:abstractNum>
  <w:abstractNum w:abstractNumId="1">
    <w:nsid w:val="DDFDD802"/>
    <w:multiLevelType w:val="singleLevel"/>
    <w:tmpl w:val="DDFDD802"/>
    <w:lvl w:ilvl="0" w:tentative="0">
      <w:start w:val="8"/>
      <w:numFmt w:val="chineseCounting"/>
      <w:suff w:val="nothing"/>
      <w:lvlText w:val="%1、"/>
      <w:lvlJc w:val="left"/>
      <w:rPr>
        <w:rFonts w:hint="eastAsia"/>
      </w:rPr>
    </w:lvl>
  </w:abstractNum>
  <w:abstractNum w:abstractNumId="2">
    <w:nsid w:val="EEA743A2"/>
    <w:multiLevelType w:val="singleLevel"/>
    <w:tmpl w:val="EEA743A2"/>
    <w:lvl w:ilvl="0" w:tentative="0">
      <w:start w:val="5"/>
      <w:numFmt w:val="chineseCounting"/>
      <w:suff w:val="nothing"/>
      <w:lvlText w:val="%1、"/>
      <w:lvlJc w:val="left"/>
      <w:rPr>
        <w:rFonts w:hint="eastAsia"/>
      </w:rPr>
    </w:lvl>
  </w:abstractNum>
  <w:abstractNum w:abstractNumId="3">
    <w:nsid w:val="190117E8"/>
    <w:multiLevelType w:val="singleLevel"/>
    <w:tmpl w:val="190117E8"/>
    <w:lvl w:ilvl="0" w:tentative="0">
      <w:start w:val="4"/>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881DC7"/>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9250C"/>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264C8"/>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12B3B"/>
    <w:rsid w:val="072F6604"/>
    <w:rsid w:val="073836D3"/>
    <w:rsid w:val="073A0ECF"/>
    <w:rsid w:val="074267A8"/>
    <w:rsid w:val="07462294"/>
    <w:rsid w:val="074A7C93"/>
    <w:rsid w:val="074F1149"/>
    <w:rsid w:val="07632E46"/>
    <w:rsid w:val="07666E00"/>
    <w:rsid w:val="07723470"/>
    <w:rsid w:val="07762B7A"/>
    <w:rsid w:val="077965A7"/>
    <w:rsid w:val="07832BA1"/>
    <w:rsid w:val="07972327"/>
    <w:rsid w:val="079E5C2C"/>
    <w:rsid w:val="07A85930"/>
    <w:rsid w:val="07B408D7"/>
    <w:rsid w:val="07D63653"/>
    <w:rsid w:val="07EE56D8"/>
    <w:rsid w:val="07F65A68"/>
    <w:rsid w:val="081608A9"/>
    <w:rsid w:val="082D0DDC"/>
    <w:rsid w:val="08346591"/>
    <w:rsid w:val="083726B7"/>
    <w:rsid w:val="084A40EA"/>
    <w:rsid w:val="08554A0D"/>
    <w:rsid w:val="08563EE1"/>
    <w:rsid w:val="08634780"/>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6B1B3E"/>
    <w:rsid w:val="098350DA"/>
    <w:rsid w:val="098F4C8F"/>
    <w:rsid w:val="099948FD"/>
    <w:rsid w:val="09A71C3D"/>
    <w:rsid w:val="09A92667"/>
    <w:rsid w:val="09AF2C22"/>
    <w:rsid w:val="09B32D8C"/>
    <w:rsid w:val="09B94F9F"/>
    <w:rsid w:val="09BB6AB2"/>
    <w:rsid w:val="09C37FE6"/>
    <w:rsid w:val="09C6146A"/>
    <w:rsid w:val="09D236A1"/>
    <w:rsid w:val="09D26061"/>
    <w:rsid w:val="09DB25D9"/>
    <w:rsid w:val="09DF226A"/>
    <w:rsid w:val="09E87633"/>
    <w:rsid w:val="09EC69D2"/>
    <w:rsid w:val="09F31262"/>
    <w:rsid w:val="09FD66D9"/>
    <w:rsid w:val="0A074254"/>
    <w:rsid w:val="0A0B0C4F"/>
    <w:rsid w:val="0A0D7099"/>
    <w:rsid w:val="0A264CE3"/>
    <w:rsid w:val="0A2F0DBE"/>
    <w:rsid w:val="0A3B332D"/>
    <w:rsid w:val="0A3E36F7"/>
    <w:rsid w:val="0A466107"/>
    <w:rsid w:val="0A500304"/>
    <w:rsid w:val="0A5234C1"/>
    <w:rsid w:val="0A704DEE"/>
    <w:rsid w:val="0A801619"/>
    <w:rsid w:val="0A8729A8"/>
    <w:rsid w:val="0A8B5261"/>
    <w:rsid w:val="0A8E5075"/>
    <w:rsid w:val="0A9462D3"/>
    <w:rsid w:val="0AA51080"/>
    <w:rsid w:val="0AA913FB"/>
    <w:rsid w:val="0AAE6B76"/>
    <w:rsid w:val="0AB37F43"/>
    <w:rsid w:val="0AB779C9"/>
    <w:rsid w:val="0AB930A2"/>
    <w:rsid w:val="0ADD0DF0"/>
    <w:rsid w:val="0AEB40E8"/>
    <w:rsid w:val="0AF0197B"/>
    <w:rsid w:val="0AF12519"/>
    <w:rsid w:val="0AFF69E2"/>
    <w:rsid w:val="0B040E20"/>
    <w:rsid w:val="0B0A404A"/>
    <w:rsid w:val="0B0E131B"/>
    <w:rsid w:val="0B224DC6"/>
    <w:rsid w:val="0B416906"/>
    <w:rsid w:val="0B5767B5"/>
    <w:rsid w:val="0B5D1C2A"/>
    <w:rsid w:val="0B685C3C"/>
    <w:rsid w:val="0B7202E7"/>
    <w:rsid w:val="0B7C0033"/>
    <w:rsid w:val="0B923CFA"/>
    <w:rsid w:val="0B991D46"/>
    <w:rsid w:val="0B9F686D"/>
    <w:rsid w:val="0BDC31C7"/>
    <w:rsid w:val="0BDE31B0"/>
    <w:rsid w:val="0C110CA2"/>
    <w:rsid w:val="0C165556"/>
    <w:rsid w:val="0C581CC5"/>
    <w:rsid w:val="0C773477"/>
    <w:rsid w:val="0C774C9E"/>
    <w:rsid w:val="0C873133"/>
    <w:rsid w:val="0C9F113B"/>
    <w:rsid w:val="0CAF7C91"/>
    <w:rsid w:val="0CD3448B"/>
    <w:rsid w:val="0CF072F3"/>
    <w:rsid w:val="0D0271E7"/>
    <w:rsid w:val="0D1336AF"/>
    <w:rsid w:val="0D136775"/>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E08EE"/>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944A3"/>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55BBA"/>
    <w:rsid w:val="134A448A"/>
    <w:rsid w:val="134F427F"/>
    <w:rsid w:val="134F7EA7"/>
    <w:rsid w:val="135107A8"/>
    <w:rsid w:val="136066CF"/>
    <w:rsid w:val="13657E31"/>
    <w:rsid w:val="136C3340"/>
    <w:rsid w:val="13734411"/>
    <w:rsid w:val="1387094F"/>
    <w:rsid w:val="138D7D05"/>
    <w:rsid w:val="139C08EB"/>
    <w:rsid w:val="13A141BB"/>
    <w:rsid w:val="13D35238"/>
    <w:rsid w:val="13D81B1F"/>
    <w:rsid w:val="14061B66"/>
    <w:rsid w:val="14143273"/>
    <w:rsid w:val="14165942"/>
    <w:rsid w:val="14215C1B"/>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338E"/>
    <w:rsid w:val="155362A8"/>
    <w:rsid w:val="155A7AD3"/>
    <w:rsid w:val="15735CFA"/>
    <w:rsid w:val="158374C1"/>
    <w:rsid w:val="15A62ECC"/>
    <w:rsid w:val="15B14179"/>
    <w:rsid w:val="15C516BD"/>
    <w:rsid w:val="15CC3B64"/>
    <w:rsid w:val="15CF6FE1"/>
    <w:rsid w:val="15D469C1"/>
    <w:rsid w:val="15F555B1"/>
    <w:rsid w:val="160055BA"/>
    <w:rsid w:val="160475A2"/>
    <w:rsid w:val="160C7A52"/>
    <w:rsid w:val="160F71A0"/>
    <w:rsid w:val="162304BC"/>
    <w:rsid w:val="16260CA4"/>
    <w:rsid w:val="164D0F49"/>
    <w:rsid w:val="166266B1"/>
    <w:rsid w:val="166718DF"/>
    <w:rsid w:val="16932BF5"/>
    <w:rsid w:val="169528F0"/>
    <w:rsid w:val="16C724D4"/>
    <w:rsid w:val="16D411E7"/>
    <w:rsid w:val="16ED0036"/>
    <w:rsid w:val="16F47617"/>
    <w:rsid w:val="170756D4"/>
    <w:rsid w:val="170F4587"/>
    <w:rsid w:val="17103D25"/>
    <w:rsid w:val="173043C7"/>
    <w:rsid w:val="173E6AE4"/>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25DD8"/>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EC6857"/>
    <w:rsid w:val="1AF80851"/>
    <w:rsid w:val="1B0361BC"/>
    <w:rsid w:val="1B097409"/>
    <w:rsid w:val="1B116412"/>
    <w:rsid w:val="1B220946"/>
    <w:rsid w:val="1B262D26"/>
    <w:rsid w:val="1B2670F4"/>
    <w:rsid w:val="1B2862C1"/>
    <w:rsid w:val="1B2D1E19"/>
    <w:rsid w:val="1B2D7FD6"/>
    <w:rsid w:val="1B3165F8"/>
    <w:rsid w:val="1B3A5220"/>
    <w:rsid w:val="1B3B258E"/>
    <w:rsid w:val="1B652C95"/>
    <w:rsid w:val="1B70155F"/>
    <w:rsid w:val="1B723039"/>
    <w:rsid w:val="1B7700FA"/>
    <w:rsid w:val="1B894EBC"/>
    <w:rsid w:val="1B8C1172"/>
    <w:rsid w:val="1B8D445B"/>
    <w:rsid w:val="1B9269B7"/>
    <w:rsid w:val="1BA0156C"/>
    <w:rsid w:val="1BB12BB2"/>
    <w:rsid w:val="1BB50563"/>
    <w:rsid w:val="1BBD091F"/>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9F0025"/>
    <w:rsid w:val="1CB07DF9"/>
    <w:rsid w:val="1CB612AF"/>
    <w:rsid w:val="1CBF5FD1"/>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CA6AB6"/>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780791"/>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B83463"/>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7196D"/>
    <w:rsid w:val="21BC5E24"/>
    <w:rsid w:val="21C13A32"/>
    <w:rsid w:val="21CA7725"/>
    <w:rsid w:val="21CB5418"/>
    <w:rsid w:val="21E23A88"/>
    <w:rsid w:val="21EA7F94"/>
    <w:rsid w:val="2205196D"/>
    <w:rsid w:val="22270787"/>
    <w:rsid w:val="2230171F"/>
    <w:rsid w:val="224D73DD"/>
    <w:rsid w:val="22592601"/>
    <w:rsid w:val="2259286B"/>
    <w:rsid w:val="22603DB2"/>
    <w:rsid w:val="226D7B83"/>
    <w:rsid w:val="2293123C"/>
    <w:rsid w:val="229E633A"/>
    <w:rsid w:val="22A570EC"/>
    <w:rsid w:val="22D569A0"/>
    <w:rsid w:val="23024E6A"/>
    <w:rsid w:val="230F1167"/>
    <w:rsid w:val="232E56FD"/>
    <w:rsid w:val="233F5F96"/>
    <w:rsid w:val="235A4CA6"/>
    <w:rsid w:val="235F4D23"/>
    <w:rsid w:val="236D2FF8"/>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940BF"/>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481571"/>
    <w:rsid w:val="28523AB6"/>
    <w:rsid w:val="285F5293"/>
    <w:rsid w:val="285F68BA"/>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63E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139BA"/>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D022C0"/>
    <w:rsid w:val="2EFA0191"/>
    <w:rsid w:val="2F3565C7"/>
    <w:rsid w:val="2F3E191F"/>
    <w:rsid w:val="2F436846"/>
    <w:rsid w:val="2F4556CE"/>
    <w:rsid w:val="2F6F3C93"/>
    <w:rsid w:val="2F754A27"/>
    <w:rsid w:val="2F8135BA"/>
    <w:rsid w:val="2FB1448A"/>
    <w:rsid w:val="2FC802AE"/>
    <w:rsid w:val="2FCC29AF"/>
    <w:rsid w:val="2FCC2A87"/>
    <w:rsid w:val="2FF40230"/>
    <w:rsid w:val="30030473"/>
    <w:rsid w:val="301C41BF"/>
    <w:rsid w:val="301D7D6A"/>
    <w:rsid w:val="302369A0"/>
    <w:rsid w:val="303474C0"/>
    <w:rsid w:val="3040577F"/>
    <w:rsid w:val="305C41A9"/>
    <w:rsid w:val="30766E97"/>
    <w:rsid w:val="307C26FF"/>
    <w:rsid w:val="30820205"/>
    <w:rsid w:val="308E41B5"/>
    <w:rsid w:val="30952C59"/>
    <w:rsid w:val="30B5176D"/>
    <w:rsid w:val="30D05D96"/>
    <w:rsid w:val="30FF4D69"/>
    <w:rsid w:val="310E5321"/>
    <w:rsid w:val="3113559B"/>
    <w:rsid w:val="311978DB"/>
    <w:rsid w:val="312421F6"/>
    <w:rsid w:val="3127420C"/>
    <w:rsid w:val="31375948"/>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612B9"/>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AE56A1"/>
    <w:rsid w:val="33B71CA0"/>
    <w:rsid w:val="33B7637D"/>
    <w:rsid w:val="33CF2056"/>
    <w:rsid w:val="33D4661F"/>
    <w:rsid w:val="33ED39C2"/>
    <w:rsid w:val="34012F1B"/>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A47D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B7DF1"/>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679C3"/>
    <w:rsid w:val="3C2E50FB"/>
    <w:rsid w:val="3C300842"/>
    <w:rsid w:val="3C37637A"/>
    <w:rsid w:val="3C4A12AD"/>
    <w:rsid w:val="3C5125FC"/>
    <w:rsid w:val="3C5A59E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07A5A"/>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B7664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86DA2"/>
    <w:rsid w:val="431B31A4"/>
    <w:rsid w:val="43325808"/>
    <w:rsid w:val="433E1CAF"/>
    <w:rsid w:val="43412297"/>
    <w:rsid w:val="43413ED4"/>
    <w:rsid w:val="434C1AB7"/>
    <w:rsid w:val="4351587E"/>
    <w:rsid w:val="43560B8E"/>
    <w:rsid w:val="43594499"/>
    <w:rsid w:val="435E7A42"/>
    <w:rsid w:val="43636C3F"/>
    <w:rsid w:val="436E5353"/>
    <w:rsid w:val="438073DF"/>
    <w:rsid w:val="43972F54"/>
    <w:rsid w:val="439D6340"/>
    <w:rsid w:val="43A90F98"/>
    <w:rsid w:val="43AB7C4E"/>
    <w:rsid w:val="43B753A5"/>
    <w:rsid w:val="43F403A7"/>
    <w:rsid w:val="43FB7987"/>
    <w:rsid w:val="43FD7280"/>
    <w:rsid w:val="44033DFF"/>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2210E"/>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6F4261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3F63E5"/>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4E592A"/>
    <w:rsid w:val="49553696"/>
    <w:rsid w:val="4968127C"/>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67718"/>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776B0"/>
    <w:rsid w:val="4B810772"/>
    <w:rsid w:val="4B8464B4"/>
    <w:rsid w:val="4B895879"/>
    <w:rsid w:val="4B8E3DC5"/>
    <w:rsid w:val="4BB21AF4"/>
    <w:rsid w:val="4BB54107"/>
    <w:rsid w:val="4BB67EEE"/>
    <w:rsid w:val="4BBE2AEB"/>
    <w:rsid w:val="4BD17814"/>
    <w:rsid w:val="4BDC5109"/>
    <w:rsid w:val="4BE84FA7"/>
    <w:rsid w:val="4BF70C92"/>
    <w:rsid w:val="4BFB5105"/>
    <w:rsid w:val="4BFD0513"/>
    <w:rsid w:val="4BFE1DC3"/>
    <w:rsid w:val="4C005E77"/>
    <w:rsid w:val="4C194E4E"/>
    <w:rsid w:val="4C1A02C6"/>
    <w:rsid w:val="4C2B76C1"/>
    <w:rsid w:val="4C2C2DD4"/>
    <w:rsid w:val="4C5419A1"/>
    <w:rsid w:val="4C5429A3"/>
    <w:rsid w:val="4C645A11"/>
    <w:rsid w:val="4C845B43"/>
    <w:rsid w:val="4C87254B"/>
    <w:rsid w:val="4CBC0529"/>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516BA"/>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A5003"/>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76A8F"/>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456FC2"/>
    <w:rsid w:val="595D3E12"/>
    <w:rsid w:val="598D4177"/>
    <w:rsid w:val="59946D7E"/>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6C2A10"/>
    <w:rsid w:val="5A70211C"/>
    <w:rsid w:val="5A9164F8"/>
    <w:rsid w:val="5AA47FD9"/>
    <w:rsid w:val="5AAB2A29"/>
    <w:rsid w:val="5AAB3211"/>
    <w:rsid w:val="5AAC7307"/>
    <w:rsid w:val="5AB86388"/>
    <w:rsid w:val="5ABF41C0"/>
    <w:rsid w:val="5ACA577B"/>
    <w:rsid w:val="5ACE5056"/>
    <w:rsid w:val="5AD07CB2"/>
    <w:rsid w:val="5AD14B46"/>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CF77F7"/>
    <w:rsid w:val="5CDC5386"/>
    <w:rsid w:val="5CE60816"/>
    <w:rsid w:val="5CED3EB9"/>
    <w:rsid w:val="5CEE378D"/>
    <w:rsid w:val="5CEE7B85"/>
    <w:rsid w:val="5CF07506"/>
    <w:rsid w:val="5CF73D69"/>
    <w:rsid w:val="5CFF1E3E"/>
    <w:rsid w:val="5D202057"/>
    <w:rsid w:val="5D2E37A2"/>
    <w:rsid w:val="5D4700C2"/>
    <w:rsid w:val="5D512849"/>
    <w:rsid w:val="5D577585"/>
    <w:rsid w:val="5D6C4615"/>
    <w:rsid w:val="5D7C5A81"/>
    <w:rsid w:val="5D9A391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42270"/>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DB2A06"/>
    <w:rsid w:val="62EF200D"/>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E3D19"/>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5C0F47"/>
    <w:rsid w:val="656A4332"/>
    <w:rsid w:val="65733372"/>
    <w:rsid w:val="65744876"/>
    <w:rsid w:val="65772C72"/>
    <w:rsid w:val="657845AE"/>
    <w:rsid w:val="6579224B"/>
    <w:rsid w:val="657C58B7"/>
    <w:rsid w:val="65991D3E"/>
    <w:rsid w:val="659E280B"/>
    <w:rsid w:val="65B74A52"/>
    <w:rsid w:val="65BD55BD"/>
    <w:rsid w:val="65C53449"/>
    <w:rsid w:val="65F27286"/>
    <w:rsid w:val="65F938CF"/>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2321C"/>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82960"/>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70B4C"/>
    <w:rsid w:val="6BBD5024"/>
    <w:rsid w:val="6BF37DF1"/>
    <w:rsid w:val="6BF863D7"/>
    <w:rsid w:val="6C1D408F"/>
    <w:rsid w:val="6C2076DB"/>
    <w:rsid w:val="6C272818"/>
    <w:rsid w:val="6C343972"/>
    <w:rsid w:val="6C532986"/>
    <w:rsid w:val="6C5555D7"/>
    <w:rsid w:val="6C630CE9"/>
    <w:rsid w:val="6C6D2921"/>
    <w:rsid w:val="6C727F37"/>
    <w:rsid w:val="6C914CAA"/>
    <w:rsid w:val="6C9A6715"/>
    <w:rsid w:val="6CB46277"/>
    <w:rsid w:val="6CB56076"/>
    <w:rsid w:val="6CB57E24"/>
    <w:rsid w:val="6CCC3665"/>
    <w:rsid w:val="6CD34AAD"/>
    <w:rsid w:val="6CEC0F34"/>
    <w:rsid w:val="6CF73CA4"/>
    <w:rsid w:val="6D005FF7"/>
    <w:rsid w:val="6D021C57"/>
    <w:rsid w:val="6D05105B"/>
    <w:rsid w:val="6D1234C8"/>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04CD2"/>
    <w:rsid w:val="6DC237AE"/>
    <w:rsid w:val="6DD218A4"/>
    <w:rsid w:val="6DE07298"/>
    <w:rsid w:val="6DF1132F"/>
    <w:rsid w:val="6DF91502"/>
    <w:rsid w:val="6E011BB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6D4D19"/>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932BA"/>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208DF"/>
    <w:rsid w:val="72B50E3B"/>
    <w:rsid w:val="72CD2240"/>
    <w:rsid w:val="72DC19E2"/>
    <w:rsid w:val="72E871A5"/>
    <w:rsid w:val="72EC4E12"/>
    <w:rsid w:val="72F6484A"/>
    <w:rsid w:val="732B7092"/>
    <w:rsid w:val="73373DED"/>
    <w:rsid w:val="733817AF"/>
    <w:rsid w:val="73391B68"/>
    <w:rsid w:val="733F7A24"/>
    <w:rsid w:val="73420B47"/>
    <w:rsid w:val="735C44F0"/>
    <w:rsid w:val="736A01CD"/>
    <w:rsid w:val="736B4D35"/>
    <w:rsid w:val="73727E21"/>
    <w:rsid w:val="73741988"/>
    <w:rsid w:val="73814929"/>
    <w:rsid w:val="73841CD2"/>
    <w:rsid w:val="7393399F"/>
    <w:rsid w:val="73984022"/>
    <w:rsid w:val="73A00CA7"/>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99627D"/>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40D13"/>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65FE8"/>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45605"/>
    <w:rsid w:val="7CA33449"/>
    <w:rsid w:val="7CB93F8B"/>
    <w:rsid w:val="7CBF7B20"/>
    <w:rsid w:val="7CC876FF"/>
    <w:rsid w:val="7CCE4D69"/>
    <w:rsid w:val="7D050953"/>
    <w:rsid w:val="7D0A0BA4"/>
    <w:rsid w:val="7D107AF3"/>
    <w:rsid w:val="7D22044E"/>
    <w:rsid w:val="7D24527D"/>
    <w:rsid w:val="7D2E4CDC"/>
    <w:rsid w:val="7D3E3E65"/>
    <w:rsid w:val="7D4253C7"/>
    <w:rsid w:val="7D492008"/>
    <w:rsid w:val="7D4C5341"/>
    <w:rsid w:val="7D4E5EE6"/>
    <w:rsid w:val="7D5A0C9F"/>
    <w:rsid w:val="7D5F62B6"/>
    <w:rsid w:val="7D87580C"/>
    <w:rsid w:val="7D8901AD"/>
    <w:rsid w:val="7D8E577D"/>
    <w:rsid w:val="7D9A426A"/>
    <w:rsid w:val="7DD00A7F"/>
    <w:rsid w:val="7DE467BB"/>
    <w:rsid w:val="7DED3C92"/>
    <w:rsid w:val="7E006F08"/>
    <w:rsid w:val="7E01736D"/>
    <w:rsid w:val="7E333E03"/>
    <w:rsid w:val="7E391FE6"/>
    <w:rsid w:val="7E4436FD"/>
    <w:rsid w:val="7E916762"/>
    <w:rsid w:val="7E926217"/>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0"/>
    <w:pPr>
      <w:snapToGrid w:val="0"/>
    </w:pPr>
    <w:rPr>
      <w:rFonts w:ascii="Arial" w:hAnsi="Arial"/>
    </w:rPr>
  </w:style>
  <w:style w:type="paragraph" w:styleId="5">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next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11"/>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15622</Words>
  <Characters>17316</Characters>
  <Lines>0</Lines>
  <Paragraphs>0</Paragraphs>
  <TotalTime>96</TotalTime>
  <ScaleCrop>false</ScaleCrop>
  <LinksUpToDate>false</LinksUpToDate>
  <CharactersWithSpaces>18510</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2025-05-21T02:01:00Z</cp:lastPrinted>
  <dcterms:modified xsi:type="dcterms:W3CDTF">2025-05-22T07:38:57Z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31411DFEA63B4E30A315CE0638B2718F_13</vt:lpwstr>
  </property>
  <property fmtid="{D5CDD505-2E9C-101B-9397-08002B2CF9AE}" pid="4" name="KSOTemplateDocerSaveRecord">
    <vt:lpwstr>eyJoZGlkIjoiM2YyMzIzODYyOGIxNTlmZjEyNzg4MDliNWIzNWViYTciLCJ1c2VySWQiOiI1NTMyMjQzNDEifQ==</vt:lpwstr>
  </property>
</Properties>
</file>