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钢筋网片采购项目</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BZJKTL-2025-</w:t>
      </w:r>
      <w:r>
        <w:rPr>
          <w:rFonts w:hint="eastAsia" w:ascii="Times New Roman" w:hAnsi="Times New Roman" w:eastAsia="楷体" w:cs="Times New Roman"/>
          <w:kern w:val="0"/>
          <w:sz w:val="28"/>
          <w:szCs w:val="28"/>
          <w:highlight w:val="none"/>
          <w:u w:val="single"/>
          <w:shd w:val="clear" w:color="auto" w:fill="auto"/>
          <w:lang w:val="en-US" w:eastAsia="zh-CN"/>
        </w:rPr>
        <w:t>02</w:t>
      </w:r>
      <w:r>
        <w:rPr>
          <w:rFonts w:hint="eastAsia" w:ascii="Times New Roman" w:hAnsi="Times New Roman" w:eastAsia="楷体" w:cs="Times New Roman"/>
          <w:kern w:val="0"/>
          <w:sz w:val="28"/>
          <w:szCs w:val="28"/>
          <w:highlight w:val="none"/>
          <w:shd w:val="clear" w:color="auto" w:fill="auto"/>
          <w:lang w:val="en-US" w:eastAsia="zh-CN"/>
        </w:rPr>
        <w:t>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eastAsia" w:ascii="Times New Roman" w:hAnsi="Times New Roman" w:eastAsia="楷体" w:cs="Times New Roman"/>
          <w:kern w:val="0"/>
          <w:sz w:val="32"/>
          <w:szCs w:val="32"/>
          <w:highlight w:val="none"/>
          <w:shd w:val="clear" w:color="auto" w:fill="auto"/>
          <w:lang w:val="en-US" w:eastAsia="zh-CN"/>
        </w:rPr>
        <w:t xml:space="preserve">亳州交控通路交通设施有限公司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2025年5</w:t>
      </w:r>
      <w:r>
        <w:rPr>
          <w:rFonts w:hint="eastAsia" w:ascii="Times New Roman" w:hAnsi="Times New Roman" w:eastAsia="楷体" w:cs="Times New Roman"/>
          <w:kern w:val="0"/>
          <w:sz w:val="32"/>
          <w:szCs w:val="32"/>
          <w:highlight w:val="none"/>
          <w:u w:val="none"/>
          <w:shd w:val="clear" w:color="auto" w:fill="auto"/>
          <w:lang w:val="en-US" w:eastAsia="zh-CN"/>
        </w:rPr>
        <w:t>月15日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钢筋网片采购项目</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钢筋网片采购项目</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BZJKTL-2025-02号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亳州交控通路交通设施有限公司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（含税：13%）</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648820元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8" w:edGrp="everyone"/>
      <w:r>
        <w:rPr>
          <w:rFonts w:hint="eastAsia" w:asciiTheme="minorEastAsia" w:hAnsiTheme="minorEastAsia" w:cstheme="minorEastAsia"/>
          <w:color w:val="FF0000"/>
          <w:sz w:val="28"/>
          <w:szCs w:val="28"/>
          <w:highlight w:val="none"/>
          <w:u w:val="single"/>
          <w:lang w:val="en-US" w:eastAsia="zh-CN"/>
        </w:rPr>
        <w:t>固定单价</w:t>
      </w:r>
      <w:permEnd w:id="8"/>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kern w:val="2"/>
          <w:sz w:val="28"/>
          <w:szCs w:val="28"/>
          <w:highlight w:val="none"/>
          <w:lang w:val="en-US" w:eastAsia="zh-CN"/>
        </w:rPr>
        <w:t>本次采购的范围是钢筋网片，采购数量为暂定数量，具体使用数量以实际使用为准，据实结算，主要使用范围为亳州区域（不含三县）工程在建项目，以含税固定单价报价</w:t>
      </w:r>
      <w:r>
        <w:rPr>
          <w:rFonts w:hint="eastAsia" w:asciiTheme="minorEastAsia" w:hAnsiTheme="minorEastAsia" w:eastAsiaTheme="minorEastAsia" w:cstheme="minorEastAsia"/>
          <w:sz w:val="28"/>
          <w:szCs w:val="28"/>
          <w:highlight w:val="none"/>
          <w:lang w:val="en-US" w:eastAsia="zh-CN"/>
        </w:rPr>
        <w:t>。</w:t>
      </w:r>
    </w:p>
    <w:permEnd w:id="9"/>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（二）交货期</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自合同签订之日起365日历天</w:t>
      </w:r>
      <w:r>
        <w:rPr>
          <w:rFonts w:hint="eastAsia" w:asciiTheme="minorEastAsia" w:hAnsiTheme="minorEastAsia" w:cstheme="minorEastAsia"/>
          <w:sz w:val="28"/>
          <w:szCs w:val="28"/>
          <w:highlight w:val="none"/>
          <w:lang w:val="en-US" w:eastAsia="zh-CN"/>
        </w:rPr>
        <w:t>。</w:t>
      </w:r>
      <w:permEnd w:id="10"/>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（三）交货地点</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1"/>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2"/>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3" w:edGrp="everyone"/>
      <w:r>
        <w:rPr>
          <w:rFonts w:hint="eastAsia" w:asciiTheme="minorEastAsia" w:hAnsiTheme="minorEastAsia" w:eastAsiaTheme="minorEastAsia" w:cstheme="minorEastAsia"/>
          <w:sz w:val="28"/>
          <w:szCs w:val="28"/>
          <w:highlight w:val="none"/>
          <w:lang w:val="en-US" w:eastAsia="zh-CN"/>
        </w:rPr>
        <w:t>独立法人资格</w:t>
      </w:r>
      <w:permEnd w:id="13"/>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eastAsia" w:asciiTheme="minorEastAsia" w:hAnsiTheme="minorEastAsia" w:eastAsiaTheme="minorEastAsia" w:cstheme="minorEastAsia"/>
          <w:sz w:val="28"/>
          <w:szCs w:val="28"/>
          <w:highlight w:val="none"/>
          <w:lang w:val="en-US" w:eastAsia="zh-CN"/>
        </w:rPr>
        <w:t>的能力；</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业绩要求：提供</w:t>
      </w:r>
      <w:permStart w:id="14" w:edGrp="everyone"/>
      <w:r>
        <w:rPr>
          <w:rFonts w:hint="eastAsia" w:asciiTheme="minorEastAsia" w:hAnsiTheme="minorEastAsia" w:eastAsiaTheme="minorEastAsia" w:cstheme="minorEastAsia"/>
          <w:kern w:val="2"/>
          <w:sz w:val="28"/>
          <w:szCs w:val="28"/>
          <w:highlight w:val="none"/>
          <w:u w:val="single"/>
          <w:lang w:val="en-US" w:eastAsia="zh-CN"/>
        </w:rPr>
        <w:t xml:space="preserve">   202</w:t>
      </w:r>
      <w:r>
        <w:rPr>
          <w:rFonts w:hint="eastAsia" w:asciiTheme="minorEastAsia" w:hAnsiTheme="minorEastAsia" w:cstheme="minorEastAsia"/>
          <w:kern w:val="2"/>
          <w:sz w:val="28"/>
          <w:szCs w:val="28"/>
          <w:highlight w:val="none"/>
          <w:u w:val="single"/>
          <w:lang w:val="en-US" w:eastAsia="zh-CN"/>
        </w:rPr>
        <w:t>2</w:t>
      </w:r>
      <w:r>
        <w:rPr>
          <w:rFonts w:hint="eastAsia" w:asciiTheme="minorEastAsia" w:hAnsiTheme="minorEastAsia" w:eastAsiaTheme="minorEastAsia" w:cstheme="minorEastAsia"/>
          <w:kern w:val="2"/>
          <w:sz w:val="28"/>
          <w:szCs w:val="28"/>
          <w:highlight w:val="none"/>
          <w:u w:val="single"/>
          <w:lang w:val="en-US" w:eastAsia="zh-CN"/>
        </w:rPr>
        <w:t xml:space="preserve">   </w:t>
      </w:r>
      <w:permEnd w:id="14"/>
      <w:r>
        <w:rPr>
          <w:rFonts w:hint="eastAsia" w:asciiTheme="minorEastAsia" w:hAnsiTheme="minorEastAsia" w:eastAsiaTheme="minorEastAsia" w:cstheme="minorEastAsia"/>
          <w:kern w:val="2"/>
          <w:sz w:val="28"/>
          <w:szCs w:val="28"/>
          <w:highlight w:val="none"/>
          <w:lang w:val="en-US" w:eastAsia="zh-CN"/>
        </w:rPr>
        <w:t>年至今企业类似项目业绩</w:t>
      </w:r>
      <w:permStart w:id="15" w:edGrp="everyone"/>
      <w:r>
        <w:rPr>
          <w:rFonts w:hint="eastAsia" w:asciiTheme="minorEastAsia" w:hAnsiTheme="minorEastAsia" w:eastAsiaTheme="minorEastAsia" w:cstheme="minorEastAsia"/>
          <w:kern w:val="2"/>
          <w:sz w:val="28"/>
          <w:szCs w:val="28"/>
          <w:highlight w:val="none"/>
          <w:u w:val="single"/>
          <w:lang w:val="en-US" w:eastAsia="zh-CN"/>
        </w:rPr>
        <w:t xml:space="preserve">   1   </w:t>
      </w:r>
      <w:permEnd w:id="15"/>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6" w:edGrp="everyone"/>
      <w:r>
        <w:rPr>
          <w:rFonts w:hint="eastAsia" w:asciiTheme="minorEastAsia" w:hAnsiTheme="minorEastAsia" w:eastAsiaTheme="minorEastAsia" w:cstheme="minorEastAsia"/>
          <w:kern w:val="2"/>
          <w:sz w:val="28"/>
          <w:szCs w:val="28"/>
          <w:highlight w:val="none"/>
          <w:lang w:val="en-US" w:eastAsia="zh-CN"/>
        </w:rPr>
        <w:t>合同签订时间</w:t>
      </w:r>
      <w:permEnd w:id="16"/>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7" w:edGrp="everyone"/>
      <w:r>
        <w:rPr>
          <w:rFonts w:hint="eastAsia" w:asciiTheme="minorEastAsia" w:hAnsiTheme="minorEastAsia" w:eastAsiaTheme="minorEastAsia" w:cstheme="minorEastAsia"/>
          <w:kern w:val="2"/>
          <w:sz w:val="28"/>
          <w:szCs w:val="28"/>
          <w:highlight w:val="none"/>
          <w:u w:val="single"/>
          <w:lang w:val="en-US" w:eastAsia="zh-CN"/>
        </w:rPr>
        <w:t>单项合同金额不低于</w:t>
      </w:r>
      <w:r>
        <w:rPr>
          <w:rFonts w:hint="eastAsia" w:asciiTheme="minorEastAsia" w:hAnsiTheme="minorEastAsia" w:cstheme="minorEastAsia"/>
          <w:kern w:val="2"/>
          <w:sz w:val="28"/>
          <w:szCs w:val="28"/>
          <w:highlight w:val="none"/>
          <w:u w:val="single"/>
          <w:lang w:val="en-US" w:eastAsia="zh-CN"/>
        </w:rPr>
        <w:t>2</w:t>
      </w:r>
      <w:r>
        <w:rPr>
          <w:rFonts w:hint="eastAsia" w:asciiTheme="minorEastAsia" w:hAnsiTheme="minorEastAsia" w:eastAsiaTheme="minorEastAsia" w:cstheme="minorEastAsia"/>
          <w:kern w:val="2"/>
          <w:sz w:val="28"/>
          <w:szCs w:val="28"/>
          <w:highlight w:val="none"/>
          <w:u w:val="single"/>
          <w:lang w:val="en-US" w:eastAsia="zh-CN"/>
        </w:rPr>
        <w:t>0万元的钢筋网片供货业绩</w:t>
      </w:r>
      <w:permEnd w:id="17"/>
      <w:r>
        <w:rPr>
          <w:rFonts w:hint="eastAsia" w:asciiTheme="minorEastAsia" w:hAnsiTheme="minorEastAsia" w:eastAsiaTheme="minorEastAsia" w:cstheme="minorEastAsia"/>
          <w:sz w:val="28"/>
          <w:szCs w:val="28"/>
          <w:highlight w:val="none"/>
          <w:lang w:val="en-US" w:eastAsia="zh-CN"/>
        </w:rPr>
        <w:t>；</w:t>
      </w:r>
    </w:p>
    <w:p w14:paraId="1BDE42E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8" w:edGrp="everyone"/>
      <w:r>
        <w:rPr>
          <w:rFonts w:hint="default" w:asciiTheme="minorEastAsia" w:hAnsiTheme="minorEastAsia" w:eastAsiaTheme="minorEastAsia" w:cstheme="minorEastAsia"/>
          <w:kern w:val="2"/>
          <w:sz w:val="28"/>
          <w:szCs w:val="28"/>
          <w:highlight w:val="none"/>
          <w:lang w:val="en-US" w:eastAsia="zh-CN"/>
        </w:rPr>
        <w:t>提供业绩合同</w:t>
      </w:r>
      <w:r>
        <w:rPr>
          <w:rFonts w:hint="eastAsia" w:asciiTheme="minorEastAsia" w:hAnsiTheme="minorEastAsia" w:eastAsiaTheme="minorEastAsia" w:cstheme="minorEastAsia"/>
          <w:kern w:val="2"/>
          <w:sz w:val="28"/>
          <w:szCs w:val="28"/>
          <w:highlight w:val="none"/>
          <w:lang w:val="en-US" w:eastAsia="zh-CN"/>
        </w:rPr>
        <w:t>等相关资料</w:t>
      </w:r>
      <w:r>
        <w:rPr>
          <w:rFonts w:hint="default" w:asciiTheme="minorEastAsia" w:hAnsiTheme="minorEastAsia" w:eastAsiaTheme="minorEastAsia" w:cstheme="minorEastAsia"/>
          <w:kern w:val="2"/>
          <w:sz w:val="28"/>
          <w:szCs w:val="28"/>
          <w:highlight w:val="none"/>
          <w:lang w:val="en-US" w:eastAsia="zh-CN"/>
        </w:rPr>
        <w:t>复印件或扫描件装订入</w:t>
      </w:r>
      <w:r>
        <w:rPr>
          <w:rFonts w:hint="eastAsia" w:asciiTheme="minorEastAsia" w:hAnsiTheme="minorEastAsia" w:eastAsiaTheme="minorEastAsia" w:cstheme="minorEastAsia"/>
          <w:kern w:val="2"/>
          <w:sz w:val="28"/>
          <w:szCs w:val="28"/>
          <w:highlight w:val="none"/>
          <w:lang w:val="en-US" w:eastAsia="zh-CN"/>
        </w:rPr>
        <w:t>响应文件</w:t>
      </w:r>
      <w:r>
        <w:rPr>
          <w:rFonts w:hint="default" w:asciiTheme="minorEastAsia" w:hAnsiTheme="minorEastAsia" w:eastAsiaTheme="minorEastAsia" w:cstheme="minorEastAsia"/>
          <w:kern w:val="2"/>
          <w:sz w:val="28"/>
          <w:szCs w:val="28"/>
          <w:highlight w:val="none"/>
          <w:lang w:val="en-US" w:eastAsia="zh-CN"/>
        </w:rPr>
        <w:t>中</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8"/>
      <w:r>
        <w:rPr>
          <w:rFonts w:hint="eastAsia" w:asciiTheme="minorEastAsia" w:hAnsiTheme="minorEastAsia" w:cstheme="minorEastAsia"/>
          <w:sz w:val="28"/>
          <w:szCs w:val="28"/>
          <w:highlight w:val="none"/>
          <w:lang w:val="en-US" w:eastAsia="zh-CN"/>
        </w:rPr>
        <w:t>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348B10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CC972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18465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9"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9"/>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0"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16</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1"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ermEnd w:id="21"/>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997573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2"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14:paraId="7C03A37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b/>
          <w:bCs/>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邮寄地址：亳州市谯城区药都大道1289号(亳州交控集团1楼传达室);联系人：李工;联系电话：18906343943</w:t>
      </w:r>
      <w:r>
        <w:rPr>
          <w:rFonts w:hint="eastAsia" w:asciiTheme="minorEastAsia" w:hAnsiTheme="minorEastAsia" w:cstheme="minorEastAsia"/>
          <w:b/>
          <w:bCs/>
          <w:color w:val="FF0000"/>
          <w:sz w:val="28"/>
          <w:szCs w:val="28"/>
          <w:highlight w:val="none"/>
          <w:lang w:val="en-US" w:eastAsia="zh-CN"/>
        </w:rPr>
        <w:t>；</w:t>
      </w:r>
    </w:p>
    <w:p w14:paraId="321CF4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22"/>
    </w:p>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3" w:edGrp="everyone"/>
      <w:r>
        <w:rPr>
          <w:rFonts w:hint="eastAsia" w:asciiTheme="minorEastAsia" w:hAnsiTheme="minorEastAsia" w:cstheme="minorEastAsia"/>
          <w:sz w:val="28"/>
          <w:szCs w:val="28"/>
          <w:highlight w:val="none"/>
          <w:u w:val="single"/>
          <w:lang w:val="en-US" w:eastAsia="zh-CN"/>
        </w:rPr>
        <w:t>12000元</w:t>
      </w:r>
      <w:r>
        <w:rPr>
          <w:rFonts w:hint="default" w:asciiTheme="minorEastAsia" w:hAnsiTheme="minorEastAsia" w:eastAsiaTheme="minorEastAsia" w:cstheme="minorEastAsia"/>
          <w:sz w:val="28"/>
          <w:szCs w:val="28"/>
          <w:highlight w:val="non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4"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亳州交控通路交通设施有限公司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4"/>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 xml:space="preserve">马经理 </w:t>
      </w:r>
      <w:permEnd w:id="25"/>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：15656885650</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CADF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w:t>
      </w:r>
      <w:r>
        <w:rPr>
          <w:rFonts w:hint="eastAsia" w:asciiTheme="minorEastAsia" w:hAnsiTheme="minorEastAsia" w:cstheme="minorEastAsia"/>
          <w:sz w:val="28"/>
          <w:szCs w:val="28"/>
          <w:highlight w:val="none"/>
          <w:lang w:val="en-US" w:eastAsia="zh-CN"/>
        </w:rPr>
        <w:t>亳州交控通路交通设施有限公司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DD8DBB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cstheme="minorEastAsia"/>
          <w:color w:val="FF0000"/>
          <w:sz w:val="28"/>
          <w:szCs w:val="28"/>
          <w:highlight w:val="none"/>
          <w:lang w:val="en-US" w:eastAsia="zh-CN"/>
        </w:rPr>
        <w:t>亳州交控通路交通设施有限公司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5</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日</w:t>
      </w:r>
    </w:p>
    <w:permEnd w:id="26"/>
    <w:p w14:paraId="012F76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92449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9"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5</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19</w:t>
            </w:r>
            <w:r>
              <w:rPr>
                <w:rFonts w:hint="eastAsia" w:ascii="Times New Roman" w:hAnsi="Times New Roman" w:cs="Times New Roman"/>
                <w:b/>
                <w:bCs/>
                <w:color w:val="FF0000"/>
                <w:szCs w:val="21"/>
                <w:highlight w:val="none"/>
                <w:u w:val="none"/>
                <w:lang w:val="en-US" w:eastAsia="zh-CN"/>
              </w:rPr>
              <w:t>日前</w:t>
            </w:r>
            <w:permEnd w:id="2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2"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2"/>
            <w:r>
              <w:rPr>
                <w:rFonts w:hint="default" w:ascii="Times New Roman" w:hAnsi="Times New Roman" w:cs="Times New Roman"/>
                <w:szCs w:val="21"/>
                <w:highlight w:val="none"/>
              </w:rPr>
              <w:t>的形式：</w:t>
            </w:r>
            <w:permStart w:id="33" w:edGrp="everyone"/>
            <w:r>
              <w:rPr>
                <w:rFonts w:hint="default" w:ascii="Times New Roman" w:hAnsi="Times New Roman" w:cs="Times New Roman"/>
                <w:b/>
                <w:bCs/>
                <w:color w:val="FF0000"/>
                <w:szCs w:val="21"/>
                <w:highlight w:val="none"/>
              </w:rPr>
              <w:t>银行汇款或转账</w:t>
            </w:r>
            <w:permEnd w:id="33"/>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4" w:edGrp="everyone"/>
            <w:r>
              <w:rPr>
                <w:rFonts w:hint="eastAsia" w:ascii="Times New Roman" w:hAnsi="Times New Roman" w:cs="Times New Roman"/>
                <w:b/>
                <w:bCs/>
                <w:color w:val="FF0000"/>
                <w:szCs w:val="21"/>
                <w:highlight w:val="none"/>
                <w:u w:val="single"/>
                <w:lang w:val="en-US" w:eastAsia="zh-CN"/>
              </w:rPr>
              <w:t xml:space="preserve"> 12000元  </w:t>
            </w:r>
            <w:permEnd w:id="34"/>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eastAsia="zh-CN"/>
              </w:rPr>
              <w:t>亳州交控通路交通设施有限公司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开户银行：</w:t>
            </w:r>
            <w:r>
              <w:rPr>
                <w:rFonts w:hint="eastAsia" w:ascii="Times New Roman" w:hAnsi="Times New Roman" w:cs="Times New Roman"/>
                <w:szCs w:val="21"/>
                <w:highlight w:val="none"/>
                <w:lang w:eastAsia="zh-CN"/>
              </w:rPr>
              <w:t>亳州药都农村商业银行股份有限公司</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w:t>
            </w:r>
            <w:r>
              <w:rPr>
                <w:rFonts w:hint="eastAsia" w:ascii="Times New Roman" w:hAnsi="Times New Roman" w:cs="Times New Roman"/>
                <w:szCs w:val="21"/>
                <w:highlight w:val="none"/>
                <w:lang w:eastAsia="zh-CN"/>
              </w:rPr>
              <w:t>20010144152866600000014</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b/>
                <w:bCs/>
                <w:color w:val="FF0000"/>
                <w:szCs w:val="21"/>
                <w:highlight w:val="none"/>
                <w:lang w:val="en-US" w:eastAsia="zh-CN"/>
              </w:rPr>
              <w:t>BZJKTL-2025-02号保证金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6"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6"/>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亳州交通投资控股集团有限公司15楼开标室（药都大道与希夷大道交叉口东北角15楼）</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采购人：亳州交控通路交通设施有限公司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钢筋网片采购项目</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项目编号：BZJKTL-2025-02号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5</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16</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7"/>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亳州交控通路交通设施有限公司法务部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8"/>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9"/>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0"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0"/>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开户名称：亳州交控通路交通设施有限公司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开户银行：亳州药都农村商业银行股份有限公司</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银行账号：20010144152866600000014</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1"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或开具银行保函</w:t>
            </w:r>
            <w:r>
              <w:rPr>
                <w:rFonts w:hint="default" w:ascii="Times New Roman" w:hAnsi="Times New Roman" w:cs="Times New Roman"/>
                <w:color w:val="FF0000"/>
                <w:szCs w:val="21"/>
                <w:highlight w:val="none"/>
              </w:rPr>
              <w:t>。</w:t>
            </w:r>
          </w:p>
          <w:permEnd w:id="41"/>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2"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42"/>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3"/>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96602423"/>
      <w:bookmarkStart w:id="1" w:name="_Toc179632549"/>
      <w:bookmarkStart w:id="2" w:name="_Toc246996178"/>
      <w:bookmarkStart w:id="3" w:name="_Toc246996921"/>
      <w:bookmarkStart w:id="4" w:name="_Toc152042308"/>
      <w:bookmarkStart w:id="5" w:name="_Toc152045532"/>
      <w:bookmarkStart w:id="6" w:name="_Toc247085692"/>
      <w:bookmarkStart w:id="7" w:name="_Toc144974500"/>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7085695"/>
      <w:bookmarkStart w:id="9" w:name="_Toc246996181"/>
      <w:bookmarkStart w:id="10" w:name="_Toc144974504"/>
      <w:bookmarkStart w:id="11" w:name="_Toc152042312"/>
      <w:bookmarkStart w:id="12" w:name="_Toc152045536"/>
      <w:bookmarkStart w:id="13" w:name="_Toc179632553"/>
      <w:bookmarkStart w:id="14" w:name="_Toc246996924"/>
      <w:bookmarkStart w:id="15" w:name="_Toc296602426"/>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182"/>
      <w:bookmarkStart w:id="18" w:name="_Toc179632554"/>
      <w:bookmarkStart w:id="19" w:name="_Toc152045537"/>
      <w:bookmarkStart w:id="20" w:name="_Toc247085696"/>
      <w:bookmarkStart w:id="21" w:name="_Toc152042313"/>
      <w:bookmarkStart w:id="22" w:name="_Toc246996925"/>
      <w:bookmarkStart w:id="23" w:name="_Toc29660242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6996926"/>
      <w:bookmarkStart w:id="25" w:name="_Toc246996183"/>
      <w:bookmarkStart w:id="26" w:name="_Toc152045538"/>
      <w:bookmarkStart w:id="27" w:name="_Toc247085697"/>
      <w:bookmarkStart w:id="28" w:name="_Toc152042314"/>
      <w:bookmarkStart w:id="29" w:name="_Toc144974506"/>
      <w:bookmarkStart w:id="30"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930"/>
      <w:bookmarkStart w:id="32" w:name="_Toc152042318"/>
      <w:bookmarkStart w:id="33" w:name="_Toc144974510"/>
      <w:bookmarkStart w:id="34" w:name="_Toc296602432"/>
      <w:bookmarkStart w:id="35" w:name="_Toc247085701"/>
      <w:bookmarkStart w:id="36" w:name="_Toc179632560"/>
      <w:bookmarkStart w:id="37" w:name="_Toc246996187"/>
      <w:bookmarkStart w:id="38" w:name="_Toc15204554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2319"/>
      <w:bookmarkStart w:id="40" w:name="_Toc246996931"/>
      <w:bookmarkStart w:id="41" w:name="_Toc296602433"/>
      <w:bookmarkStart w:id="42" w:name="_Toc246996188"/>
      <w:bookmarkStart w:id="43" w:name="_Toc179632561"/>
      <w:bookmarkStart w:id="44" w:name="_Toc144974511"/>
      <w:bookmarkStart w:id="45" w:name="_Toc152045543"/>
      <w:bookmarkStart w:id="46" w:name="_Toc247085702"/>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44974512"/>
      <w:bookmarkStart w:id="48" w:name="_Toc152045544"/>
      <w:bookmarkStart w:id="49" w:name="_Toc246996189"/>
      <w:bookmarkStart w:id="50" w:name="_Toc152042320"/>
      <w:bookmarkStart w:id="51" w:name="_Toc179632562"/>
      <w:bookmarkStart w:id="52" w:name="_Toc246996932"/>
      <w:bookmarkStart w:id="53" w:name="_Toc296602434"/>
      <w:bookmarkStart w:id="54" w:name="_Toc247085703"/>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44974513"/>
      <w:bookmarkStart w:id="56" w:name="_Toc296602435"/>
      <w:bookmarkStart w:id="57" w:name="_Toc246996190"/>
      <w:bookmarkStart w:id="58" w:name="_Toc152045545"/>
      <w:bookmarkStart w:id="59" w:name="_Toc179632563"/>
      <w:bookmarkStart w:id="60" w:name="_Toc152042321"/>
      <w:bookmarkStart w:id="61" w:name="_Toc246996933"/>
      <w:bookmarkStart w:id="62" w:name="_Toc247085704"/>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7085705"/>
      <w:bookmarkStart w:id="64" w:name="_Toc246996934"/>
      <w:bookmarkStart w:id="65" w:name="_Toc179632564"/>
      <w:bookmarkStart w:id="66" w:name="_Toc246996191"/>
      <w:bookmarkStart w:id="67" w:name="_Toc296602436"/>
      <w:bookmarkStart w:id="68" w:name="_Toc144974514"/>
      <w:bookmarkStart w:id="69" w:name="_Toc152045546"/>
      <w:bookmarkStart w:id="70" w:name="_Toc152042322"/>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2323"/>
      <w:bookmarkStart w:id="72" w:name="_Toc152045547"/>
      <w:bookmarkStart w:id="73" w:name="_Toc246996192"/>
      <w:bookmarkStart w:id="74" w:name="_Toc246996935"/>
      <w:bookmarkStart w:id="75" w:name="_Toc144974515"/>
      <w:bookmarkStart w:id="76" w:name="_Toc296602437"/>
      <w:bookmarkStart w:id="77" w:name="_Toc247085706"/>
      <w:bookmarkStart w:id="78"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936"/>
      <w:bookmarkStart w:id="80" w:name="_Toc179632566"/>
      <w:bookmarkStart w:id="81" w:name="_Toc152042324"/>
      <w:bookmarkStart w:id="82" w:name="_Toc247085707"/>
      <w:bookmarkStart w:id="83" w:name="_Toc144974516"/>
      <w:bookmarkStart w:id="84" w:name="_Toc152045548"/>
      <w:bookmarkStart w:id="85" w:name="_Toc296602438"/>
      <w:bookmarkStart w:id="86" w:name="_Toc246996193"/>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2325"/>
      <w:bookmarkStart w:id="89" w:name="_Toc152045549"/>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6996937"/>
      <w:bookmarkStart w:id="93" w:name="_Toc246996194"/>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085713"/>
      <w:bookmarkStart w:id="96" w:name="_Toc152045555"/>
      <w:bookmarkStart w:id="97" w:name="_Toc179632573"/>
      <w:bookmarkStart w:id="98" w:name="_Toc246996942"/>
      <w:bookmarkStart w:id="99" w:name="_Toc296602443"/>
      <w:bookmarkStart w:id="100" w:name="_Toc144974523"/>
      <w:bookmarkStart w:id="101" w:name="_Toc246996199"/>
      <w:bookmarkStart w:id="102" w:name="_Toc152042331"/>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7085714"/>
      <w:bookmarkStart w:id="104" w:name="_Toc246996943"/>
      <w:bookmarkStart w:id="105" w:name="_Toc296602444"/>
      <w:bookmarkStart w:id="106" w:name="_Toc246996200"/>
      <w:bookmarkStart w:id="107" w:name="_Toc179632574"/>
      <w:bookmarkStart w:id="108" w:name="_Toc144974524"/>
      <w:bookmarkStart w:id="109" w:name="_Toc152042332"/>
      <w:bookmarkStart w:id="110" w:name="_Toc152045556"/>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44974525"/>
      <w:bookmarkStart w:id="112" w:name="_Toc246996201"/>
      <w:bookmarkStart w:id="113" w:name="_Toc152042333"/>
      <w:bookmarkStart w:id="114" w:name="_Toc152045557"/>
      <w:bookmarkStart w:id="115" w:name="_Toc179632575"/>
      <w:bookmarkStart w:id="116" w:name="_Toc246996944"/>
      <w:bookmarkStart w:id="117"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5558"/>
      <w:bookmarkStart w:id="119" w:name="_Toc179632576"/>
      <w:bookmarkStart w:id="120" w:name="_Toc247085716"/>
      <w:bookmarkStart w:id="121" w:name="_Toc246996945"/>
      <w:bookmarkStart w:id="122" w:name="_Toc246996202"/>
      <w:bookmarkStart w:id="123" w:name="_Toc152042334"/>
      <w:bookmarkStart w:id="124" w:name="_Toc296602446"/>
      <w:bookmarkStart w:id="125" w:name="_Toc14497452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203"/>
      <w:bookmarkStart w:id="127" w:name="_Toc152042335"/>
      <w:bookmarkStart w:id="128" w:name="_Toc247085717"/>
      <w:bookmarkStart w:id="129" w:name="_Toc152045559"/>
      <w:bookmarkStart w:id="130" w:name="_Toc179632577"/>
      <w:bookmarkStart w:id="131" w:name="_Toc144974527"/>
      <w:bookmarkStart w:id="132" w:name="_Toc246996946"/>
      <w:bookmarkStart w:id="133" w:name="_Toc29660244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5560"/>
      <w:bookmarkStart w:id="135" w:name="_Toc296602448"/>
      <w:bookmarkStart w:id="136" w:name="_Toc246996204"/>
      <w:bookmarkStart w:id="137" w:name="_Toc247085718"/>
      <w:bookmarkStart w:id="138" w:name="_Toc179632578"/>
      <w:bookmarkStart w:id="139" w:name="_Toc152042336"/>
      <w:bookmarkStart w:id="140" w:name="_Toc144974528"/>
      <w:bookmarkStart w:id="141"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205"/>
      <w:bookmarkStart w:id="143" w:name="_Toc144974529"/>
      <w:bookmarkStart w:id="144" w:name="_Toc152045561"/>
      <w:bookmarkStart w:id="145" w:name="_Toc152042337"/>
      <w:bookmarkStart w:id="146" w:name="_Toc246996948"/>
      <w:bookmarkStart w:id="147" w:name="_Toc179632579"/>
      <w:bookmarkStart w:id="148" w:name="_Toc247085719"/>
      <w:bookmarkStart w:id="149" w:name="_Toc29660244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79632581"/>
      <w:bookmarkStart w:id="151" w:name="_Toc246996950"/>
      <w:bookmarkStart w:id="152" w:name="_Toc144974531"/>
      <w:bookmarkStart w:id="153" w:name="_Toc296602452"/>
      <w:bookmarkStart w:id="154" w:name="_Toc247085721"/>
      <w:bookmarkStart w:id="155" w:name="_Toc246996207"/>
      <w:bookmarkStart w:id="156" w:name="_Toc152042339"/>
      <w:bookmarkStart w:id="157" w:name="_Toc152045563"/>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7085724"/>
      <w:bookmarkStart w:id="159" w:name="_Toc296602455"/>
      <w:bookmarkStart w:id="160" w:name="_Toc144974534"/>
      <w:bookmarkStart w:id="161" w:name="_Toc246996210"/>
      <w:bookmarkStart w:id="162" w:name="_Toc152045566"/>
      <w:bookmarkStart w:id="163" w:name="_Toc246996953"/>
      <w:bookmarkStart w:id="164" w:name="_Toc179632584"/>
      <w:bookmarkStart w:id="165" w:name="_Toc152042342"/>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211"/>
      <w:bookmarkStart w:id="167" w:name="_Toc144974535"/>
      <w:bookmarkStart w:id="168" w:name="_Toc246996954"/>
      <w:bookmarkStart w:id="169" w:name="_Toc179632585"/>
      <w:bookmarkStart w:id="170" w:name="_Toc296602456"/>
      <w:bookmarkStart w:id="171" w:name="_Toc247085725"/>
      <w:bookmarkStart w:id="172" w:name="_Toc152045567"/>
      <w:bookmarkStart w:id="173" w:name="_Toc152042343"/>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96602458"/>
      <w:bookmarkStart w:id="176" w:name="_Toc246996955"/>
      <w:bookmarkStart w:id="177" w:name="_Toc247085726"/>
      <w:bookmarkStart w:id="178" w:name="_Toc152045568"/>
      <w:bookmarkStart w:id="179" w:name="_Toc152042344"/>
      <w:bookmarkStart w:id="180" w:name="_Toc246996212"/>
      <w:bookmarkStart w:id="181" w:name="_Toc144974536"/>
      <w:bookmarkStart w:id="182" w:name="_Toc17963258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213"/>
      <w:bookmarkStart w:id="184" w:name="_Toc247085727"/>
      <w:bookmarkStart w:id="185" w:name="_Toc246996956"/>
      <w:bookmarkStart w:id="186" w:name="_Toc179632587"/>
      <w:bookmarkStart w:id="187" w:name="_Toc152045569"/>
      <w:bookmarkStart w:id="188" w:name="_Toc144974537"/>
      <w:bookmarkStart w:id="189" w:name="_Toc296602459"/>
      <w:bookmarkStart w:id="190" w:name="_Toc152042345"/>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6996219"/>
      <w:bookmarkStart w:id="193" w:name="_Toc296602462"/>
      <w:bookmarkStart w:id="194" w:name="_Toc246996962"/>
      <w:bookmarkStart w:id="195" w:name="_Toc296590983"/>
      <w:bookmarkStart w:id="196" w:name="_Toc144974543"/>
      <w:bookmarkStart w:id="197" w:name="_Toc179632593"/>
      <w:bookmarkStart w:id="198" w:name="_Toc152042351"/>
      <w:bookmarkStart w:id="199" w:name="_Toc247085733"/>
      <w:bookmarkStart w:id="200" w:name="_Toc152045575"/>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79632594"/>
      <w:bookmarkStart w:id="202" w:name="_Toc152042352"/>
      <w:bookmarkStart w:id="203" w:name="_Toc144974544"/>
      <w:bookmarkStart w:id="204" w:name="_Toc246996963"/>
      <w:bookmarkStart w:id="205" w:name="_Toc246996220"/>
      <w:bookmarkStart w:id="206" w:name="_Toc247085734"/>
      <w:bookmarkStart w:id="207" w:name="_Toc296602463"/>
      <w:bookmarkStart w:id="208" w:name="_Toc152045576"/>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221"/>
      <w:bookmarkStart w:id="210" w:name="_Toc152045577"/>
      <w:bookmarkStart w:id="211" w:name="_Toc246996964"/>
      <w:bookmarkStart w:id="212" w:name="_Toc152042353"/>
      <w:bookmarkStart w:id="213" w:name="_Toc296602464"/>
      <w:bookmarkStart w:id="214" w:name="_Toc144974545"/>
      <w:bookmarkStart w:id="215" w:name="_Toc247085735"/>
      <w:bookmarkStart w:id="216" w:name="_Toc17963259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4" w:edGrp="everyone"/>
      <w:r>
        <w:rPr>
          <w:rFonts w:hint="eastAsia" w:ascii="宋体" w:hAnsi="宋体"/>
          <w:color w:val="FF0000"/>
          <w:sz w:val="24"/>
          <w:lang w:val="en-US" w:eastAsia="zh-CN"/>
        </w:rPr>
        <w:t>最低评审价法</w:t>
      </w:r>
      <w:permEnd w:id="44"/>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44974556"/>
            <w:bookmarkStart w:id="218" w:name="_Toc246996232"/>
            <w:bookmarkStart w:id="219" w:name="_Toc247085747"/>
            <w:bookmarkStart w:id="220" w:name="_Toc152045589"/>
            <w:bookmarkStart w:id="221" w:name="_Toc179632607"/>
            <w:bookmarkStart w:id="222" w:name="_Toc152042366"/>
            <w:bookmarkStart w:id="223" w:name="_Toc246996975"/>
            <w:bookmarkStart w:id="224" w:name="_Toc29660247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79632611"/>
      <w:bookmarkStart w:id="226" w:name="_Toc246996236"/>
      <w:bookmarkStart w:id="227" w:name="_Toc144974560"/>
      <w:bookmarkStart w:id="228" w:name="_Toc247085751"/>
      <w:bookmarkStart w:id="229" w:name="_Toc152042370"/>
      <w:bookmarkStart w:id="230" w:name="_Toc152045593"/>
      <w:bookmarkStart w:id="231" w:name="_Toc296602481"/>
      <w:bookmarkStart w:id="232" w:name="_Toc246996979"/>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46996239"/>
      <w:bookmarkStart w:id="235" w:name="_Toc152045596"/>
      <w:bookmarkStart w:id="236" w:name="_Toc247085754"/>
      <w:bookmarkStart w:id="237" w:name="_Toc246996982"/>
      <w:bookmarkStart w:id="238" w:name="_Toc296602484"/>
      <w:bookmarkStart w:id="239" w:name="_Toc179632614"/>
      <w:bookmarkStart w:id="240"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5"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亳州交控通路交通设施有限公司  </w:t>
            </w:r>
            <w:permEnd w:id="45"/>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分项目独立结算，无预付款，根据工程形象进度，次月支付上月经采购人验收合格货物价款的80%，供货完成并经验收后30个工作日内，付至实际完成合同价款的100%。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EB77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0D88F7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272A26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14:paraId="25D39E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1、采购人提前三天将供货计划告知成交人，成交人得到计划后应在采购人通知后两天内完成供货。</w:t>
            </w:r>
          </w:p>
          <w:p w14:paraId="05A6EA6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2、由成交人负责货物的装车运输，并运至采购人指定地点:到工地后由成交人负责卸货。货物到达采购人指定地点后，由采购人派专人对货物的数量及质量等进行验收，并在送货单据上签字确认。</w:t>
            </w:r>
          </w:p>
          <w:p w14:paraId="5AEB4F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3、成交人需提供供货联络员一名。</w:t>
            </w:r>
          </w:p>
        </w:tc>
      </w:tr>
    </w:tbl>
    <w:p w14:paraId="5F9D321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0E576638">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15614241">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1、采用冷轧钢筋焊网，符合国家标准《钢筋混凝土用钢 第3部分：钢筋焊接网》（GB/T1499.3-2022），满足国家相关执行标准，符合项目设计标准需求。且进场前需提供检测合格证明等相关材料，材料需运至项目现场，并卸至项目部指定位置。</w:t>
      </w:r>
    </w:p>
    <w:p w14:paraId="7B544885">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2、成交人运至现场的产品，需确保符合国家标准及设计标准要求，如因产品不符合国家标准及设计标准要求造成材料退场的，每次罚款1000元；</w:t>
      </w:r>
    </w:p>
    <w:p w14:paraId="76A05FBE">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采购人一般提前三天通知成交人供货，如因成交人原因未能按期供货，造成项目工期延误，采购人有权按照1000元/天对成交人进行处罚（特殊加工定制的材料除外），并承担采购人因此所受的损失费用。逾期超过5天，采购人有权解除合同，并有权要求成交人承担逾期交货部分货款15%的违约金。</w:t>
      </w:r>
    </w:p>
    <w:p w14:paraId="0419BA20">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4、合同期间，若发现成交人存在以下行为的，采购人有权单方面解除合同，并没收其履约保证金:</w:t>
      </w:r>
    </w:p>
    <w:p w14:paraId="6C1BF46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(1)出现供货产品质量不合格的;</w:t>
      </w:r>
    </w:p>
    <w:p w14:paraId="147DB1BC">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(2)3次及以上供货时间严重超出合同约定或订单通知时限要求的;</w:t>
      </w:r>
    </w:p>
    <w:p w14:paraId="4497D6F5">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(3)3次及以上虚报供货产品数量或价格的;</w:t>
      </w:r>
    </w:p>
    <w:p w14:paraId="6AA36AD9">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(4)其他严重损害采购人利益的行为。</w:t>
      </w:r>
    </w:p>
    <w:p w14:paraId="379DD2A0">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如因成交人原因，造成供货产品质量不合格、未按合同约定或规范标准供货的，采购人有权予以拒收，成交人应对质量不合格的产品实行包退、包换，因此延期交货造成的一切损失和法律责任应由成交人承担。</w:t>
      </w:r>
    </w:p>
    <w:p w14:paraId="0B4B30D5">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6、采购人对供货产品拥有自主选择权，实际供货产品的数量、规格、型号等均以采购人订单通知为准。</w:t>
      </w:r>
    </w:p>
    <w:p w14:paraId="2677A5FE">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7、如因成交人延期交货，给采购人造成损失的，成交人应据实承担所有经济赔偿和法律责任。</w:t>
      </w:r>
    </w:p>
    <w:p w14:paraId="6807EEE4">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8、对于采购人以书面或电话形式提出的质量、服务等问题，成交人应于24 小时内予以答复响应。</w:t>
      </w:r>
    </w:p>
    <w:p w14:paraId="3EF66E1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9、成交人如有违反质量承诺的，采购人有权没收其履约保证金，给采购人造成损失的同时应承担赔偿责任。</w:t>
      </w:r>
    </w:p>
    <w:p w14:paraId="04BBB9A1">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成交人对供应产品应以国家或行业标准配送，不得以次充好，不得偷工减料，对质量不合格的产品应实行包退、包换;若因成交人供应产品质量问题或以次充好或偷工减料造成的工程安全事故，成交人应承担所有经济赔偿和法律责任。</w:t>
      </w:r>
    </w:p>
    <w:p w14:paraId="6458A057">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11、合同期间，若发现成交人存在虚报供应产品数量或价格的，采购人有权扣除履约保证金的10%每次作为违约金。</w:t>
      </w:r>
    </w:p>
    <w:p w14:paraId="762DFFCD">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12、成交人人员在采购人施工现场造成本人或者第三人人身、财产损失:成交人应自行承担责任，若因此导致采购人担责，采购人有权对成交人追偿。</w:t>
      </w: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钢筋网片采购项目</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BZJKTL-2025-</w:t>
      </w:r>
      <w:r>
        <w:rPr>
          <w:rFonts w:hint="eastAsia" w:ascii="Times New Roman" w:hAnsi="Times New Roman" w:eastAsia="楷体" w:cs="Times New Roman"/>
          <w:kern w:val="0"/>
          <w:sz w:val="28"/>
          <w:szCs w:val="28"/>
          <w:highlight w:val="none"/>
          <w:u w:val="single"/>
          <w:shd w:val="clear" w:color="auto" w:fill="auto"/>
          <w:lang w:val="en-US" w:eastAsia="zh-CN"/>
        </w:rPr>
        <w:t>02</w:t>
      </w:r>
      <w:r>
        <w:rPr>
          <w:rFonts w:hint="eastAsia" w:ascii="Times New Roman" w:hAnsi="Times New Roman" w:eastAsia="楷体" w:cs="Times New Roman"/>
          <w:kern w:val="0"/>
          <w:sz w:val="28"/>
          <w:szCs w:val="28"/>
          <w:highlight w:val="none"/>
          <w:shd w:val="clear" w:color="auto" w:fill="auto"/>
          <w:lang w:val="en-US" w:eastAsia="zh-CN"/>
        </w:rPr>
        <w:t>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w:t>
      </w:r>
      <w:bookmarkStart w:id="323" w:name="_GoBack"/>
      <w:bookmarkEnd w:id="323"/>
      <w:r>
        <w:rPr>
          <w:rFonts w:hint="default" w:ascii="Times New Roman" w:hAnsi="Times New Roman" w:eastAsia="楷体" w:cs="Times New Roman"/>
          <w:kern w:val="0"/>
          <w:sz w:val="32"/>
          <w:szCs w:val="32"/>
          <w:highlight w:val="none"/>
          <w:u w:val="none"/>
          <w:shd w:val="clear" w:color="auto" w:fill="auto"/>
          <w:lang w:val="en-US" w:eastAsia="zh-CN"/>
        </w:rPr>
        <w:t>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247527827"/>
      <w:bookmarkStart w:id="242" w:name="_Toc300835209"/>
      <w:bookmarkStart w:id="243" w:name="_Toc152045787"/>
      <w:bookmarkStart w:id="244" w:name="_Toc247514246"/>
      <w:bookmarkStart w:id="245" w:name="_Toc152042576"/>
      <w:bookmarkStart w:id="246" w:name="_Toc14497485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52042577"/>
      <w:bookmarkStart w:id="248" w:name="_Toc152045788"/>
      <w:bookmarkStart w:id="249" w:name="_Toc247527828"/>
      <w:bookmarkStart w:id="250" w:name="_Toc300835210"/>
      <w:bookmarkStart w:id="251" w:name="_Toc247514247"/>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5790"/>
      <w:bookmarkStart w:id="254" w:name="_Toc247514249"/>
      <w:bookmarkStart w:id="255" w:name="_Toc247527830"/>
      <w:bookmarkStart w:id="256" w:name="_Toc152042579"/>
      <w:bookmarkStart w:id="257" w:name="_Toc144974859"/>
      <w:bookmarkStart w:id="258" w:name="_Toc300835212"/>
      <w:r>
        <w:rPr>
          <w:rFonts w:hint="eastAsia" w:ascii="Times New Roman" w:hAnsi="Times New Roman" w:cs="Times New Roman"/>
          <w:szCs w:val="21"/>
          <w:u w:val="single"/>
          <w:lang w:val="en-US" w:eastAsia="zh-CN"/>
        </w:rPr>
        <w:t>亳州交控通路交通设施有限公司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lang w:val="en-US" w:eastAsia="zh-CN"/>
        </w:rPr>
        <w:t xml:space="preserve">  </w:t>
      </w:r>
      <w:r>
        <w:rPr>
          <w:rFonts w:hint="eastAsia" w:ascii="Times New Roman" w:hAnsi="Times New Roman" w:cs="Times New Roman"/>
          <w:szCs w:val="21"/>
          <w:u w:val="single"/>
          <w:lang w:val="en-US" w:eastAsia="zh-CN"/>
        </w:rPr>
        <w:t xml:space="preserve">钢筋网片采购项目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6"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 xml:space="preserve">BZJKTL-2025-02号  </w:t>
      </w:r>
      <w:permEnd w:id="46"/>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7"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7"/>
      <w:r>
        <w:rPr>
          <w:rFonts w:hint="eastAsia" w:ascii="Times New Roman" w:hAnsi="Times New Roman" w:cs="Times New Roman"/>
          <w:szCs w:val="21"/>
          <w:lang w:val="en-US" w:eastAsia="zh-CN"/>
        </w:rPr>
        <w:t>，交货期：自合同签订之日起365日历天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247514283"/>
      <w:bookmarkStart w:id="260" w:name="_Toc144974860"/>
      <w:bookmarkStart w:id="261" w:name="_Toc247527831"/>
      <w:bookmarkStart w:id="262" w:name="_Toc152045791"/>
      <w:bookmarkStart w:id="263" w:name="_Toc152042580"/>
      <w:bookmarkStart w:id="264" w:name="_Toc30083521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2581"/>
      <w:bookmarkStart w:id="266" w:name="_Toc300835214"/>
      <w:bookmarkStart w:id="267" w:name="_Toc152045792"/>
      <w:bookmarkStart w:id="268" w:name="_Toc144974861"/>
      <w:bookmarkStart w:id="269" w:name="_Toc247514284"/>
      <w:bookmarkStart w:id="270"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27834"/>
      <w:bookmarkStart w:id="272" w:name="_Toc152042583"/>
      <w:bookmarkStart w:id="273" w:name="_Toc152045794"/>
      <w:bookmarkStart w:id="274" w:name="_Toc144974862"/>
      <w:bookmarkStart w:id="275" w:name="_Toc247514286"/>
      <w:bookmarkStart w:id="276" w:name="_Toc30083521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2584"/>
      <w:bookmarkStart w:id="279" w:name="_Toc144974863"/>
      <w:bookmarkStart w:id="280" w:name="_Toc300835218"/>
      <w:bookmarkStart w:id="281" w:name="_Toc247527835"/>
      <w:bookmarkStart w:id="282" w:name="_Toc152045795"/>
      <w:bookmarkStart w:id="283" w:name="_Toc247514287"/>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14:paraId="32820820">
      <w:pPr>
        <w:widowControl w:val="0"/>
        <w:numPr>
          <w:ilvl w:val="0"/>
          <w:numId w:val="0"/>
        </w:numPr>
        <w:jc w:val="both"/>
        <w:rPr>
          <w:rFonts w:hint="eastAsia"/>
        </w:rPr>
      </w:pPr>
    </w:p>
    <w:tbl>
      <w:tblPr>
        <w:tblStyle w:val="16"/>
        <w:tblW w:w="102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1096"/>
        <w:gridCol w:w="1260"/>
        <w:gridCol w:w="1290"/>
        <w:gridCol w:w="1919"/>
        <w:gridCol w:w="732"/>
        <w:gridCol w:w="1262"/>
        <w:gridCol w:w="1058"/>
        <w:gridCol w:w="1059"/>
      </w:tblGrid>
      <w:tr w14:paraId="2D5D2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585" w:type="dxa"/>
            <w:tcBorders>
              <w:top w:val="single" w:color="auto" w:sz="4" w:space="0"/>
              <w:left w:val="single" w:color="auto" w:sz="4" w:space="0"/>
              <w:right w:val="single" w:color="auto" w:sz="4" w:space="0"/>
            </w:tcBorders>
            <w:vAlign w:val="center"/>
          </w:tcPr>
          <w:p w14:paraId="5445FB43">
            <w:pPr>
              <w:widowControl/>
              <w:spacing w:line="240" w:lineRule="auto"/>
              <w:ind w:firstLine="0" w:firstLineChars="0"/>
              <w:jc w:val="center"/>
              <w:textAlignment w:val="center"/>
              <w:rPr>
                <w:rFonts w:ascii="Calibri" w:hAnsi="Calibri" w:eastAsia="宋体" w:cs="Times New Roman"/>
                <w:color w:val="000000" w:themeColor="text1"/>
                <w:kern w:val="2"/>
                <w:sz w:val="21"/>
                <w:szCs w:val="21"/>
                <w:lang w:eastAsia="zh-CN"/>
                <w14:textFill>
                  <w14:solidFill>
                    <w14:schemeClr w14:val="tx1"/>
                  </w14:solidFill>
                </w14:textFill>
              </w:rPr>
            </w:pPr>
            <w:r>
              <w:rPr>
                <w:rFonts w:hint="eastAsia" w:ascii="黑体" w:hAnsi="宋体" w:eastAsia="黑体" w:cs="黑体"/>
                <w:color w:val="000000"/>
                <w:kern w:val="0"/>
                <w:sz w:val="20"/>
                <w:szCs w:val="20"/>
                <w:lang w:eastAsia="zh-CN" w:bidi="ar"/>
              </w:rPr>
              <w:t>编号</w:t>
            </w:r>
          </w:p>
        </w:tc>
        <w:tc>
          <w:tcPr>
            <w:tcW w:w="1096" w:type="dxa"/>
            <w:tcBorders>
              <w:top w:val="single" w:color="auto" w:sz="4" w:space="0"/>
              <w:left w:val="single" w:color="auto" w:sz="4" w:space="0"/>
              <w:right w:val="single" w:color="auto" w:sz="4" w:space="0"/>
            </w:tcBorders>
            <w:vAlign w:val="center"/>
          </w:tcPr>
          <w:p w14:paraId="79772AEB">
            <w:pPr>
              <w:widowControl/>
              <w:spacing w:line="240" w:lineRule="auto"/>
              <w:ind w:firstLine="0" w:firstLineChars="0"/>
              <w:jc w:val="center"/>
              <w:textAlignment w:val="center"/>
              <w:rPr>
                <w:rFonts w:ascii="Calibri" w:hAnsi="Calibri" w:eastAsia="宋体" w:cs="Times New Roman"/>
                <w:color w:val="000000" w:themeColor="text1"/>
                <w:kern w:val="2"/>
                <w:sz w:val="21"/>
                <w:szCs w:val="21"/>
                <w:lang w:eastAsia="zh-CN"/>
                <w14:textFill>
                  <w14:solidFill>
                    <w14:schemeClr w14:val="tx1"/>
                  </w14:solidFill>
                </w14:textFill>
              </w:rPr>
            </w:pPr>
            <w:r>
              <w:rPr>
                <w:rFonts w:hint="eastAsia" w:ascii="黑体" w:hAnsi="宋体" w:eastAsia="黑体" w:cs="黑体"/>
                <w:color w:val="000000"/>
                <w:kern w:val="0"/>
                <w:sz w:val="20"/>
                <w:szCs w:val="20"/>
                <w:lang w:eastAsia="zh-CN" w:bidi="ar"/>
              </w:rPr>
              <w:t>材料名称</w:t>
            </w:r>
          </w:p>
        </w:tc>
        <w:tc>
          <w:tcPr>
            <w:tcW w:w="1260" w:type="dxa"/>
            <w:tcBorders>
              <w:top w:val="single" w:color="auto" w:sz="4" w:space="0"/>
              <w:left w:val="single" w:color="auto" w:sz="4" w:space="0"/>
              <w:right w:val="single" w:color="auto" w:sz="4" w:space="0"/>
            </w:tcBorders>
            <w:vAlign w:val="center"/>
          </w:tcPr>
          <w:p w14:paraId="56C466BE">
            <w:pPr>
              <w:widowControl/>
              <w:spacing w:line="240" w:lineRule="auto"/>
              <w:ind w:firstLine="0" w:firstLineChars="0"/>
              <w:jc w:val="center"/>
              <w:textAlignment w:val="center"/>
              <w:rPr>
                <w:rFonts w:ascii="Calibri" w:hAnsi="Calibri" w:eastAsia="宋体" w:cs="Times New Roman"/>
                <w:color w:val="000000" w:themeColor="text1"/>
                <w:kern w:val="2"/>
                <w:sz w:val="21"/>
                <w:szCs w:val="21"/>
                <w:lang w:eastAsia="zh-CN"/>
                <w14:textFill>
                  <w14:solidFill>
                    <w14:schemeClr w14:val="tx1"/>
                  </w14:solidFill>
                </w14:textFill>
              </w:rPr>
            </w:pPr>
            <w:r>
              <w:rPr>
                <w:rFonts w:hint="eastAsia" w:ascii="黑体" w:hAnsi="宋体" w:eastAsia="黑体" w:cs="黑体"/>
                <w:color w:val="000000"/>
                <w:kern w:val="0"/>
                <w:sz w:val="20"/>
                <w:szCs w:val="20"/>
                <w:lang w:eastAsia="zh-CN" w:bidi="ar"/>
              </w:rPr>
              <w:t>规格型号</w:t>
            </w:r>
          </w:p>
        </w:tc>
        <w:tc>
          <w:tcPr>
            <w:tcW w:w="1290" w:type="dxa"/>
            <w:tcBorders>
              <w:top w:val="single" w:color="auto" w:sz="4" w:space="0"/>
              <w:left w:val="single" w:color="auto" w:sz="4" w:space="0"/>
              <w:right w:val="single" w:color="auto" w:sz="4" w:space="0"/>
            </w:tcBorders>
            <w:vAlign w:val="center"/>
          </w:tcPr>
          <w:p w14:paraId="71340E43">
            <w:pPr>
              <w:widowControl/>
              <w:spacing w:line="240" w:lineRule="auto"/>
              <w:ind w:firstLine="0" w:firstLineChars="0"/>
              <w:jc w:val="center"/>
              <w:textAlignment w:val="center"/>
              <w:rPr>
                <w:rFonts w:hint="eastAsia" w:ascii="黑体" w:hAnsi="宋体" w:eastAsia="黑体" w:cs="黑体"/>
                <w:color w:val="000000"/>
                <w:kern w:val="0"/>
                <w:sz w:val="20"/>
                <w:szCs w:val="20"/>
                <w:lang w:val="en-US" w:eastAsia="zh-CN" w:bidi="ar"/>
              </w:rPr>
            </w:pPr>
            <w:r>
              <w:rPr>
                <w:rFonts w:hint="eastAsia" w:ascii="黑体" w:hAnsi="宋体" w:eastAsia="黑体" w:cs="黑体"/>
                <w:color w:val="000000"/>
                <w:kern w:val="0"/>
                <w:sz w:val="20"/>
                <w:szCs w:val="20"/>
                <w:lang w:val="en-US" w:eastAsia="zh-CN" w:bidi="ar"/>
              </w:rPr>
              <w:t>工程量</w:t>
            </w:r>
          </w:p>
          <w:p w14:paraId="76BEEA71">
            <w:pPr>
              <w:widowControl/>
              <w:spacing w:line="240" w:lineRule="auto"/>
              <w:ind w:firstLine="0" w:firstLineChars="0"/>
              <w:jc w:val="center"/>
              <w:textAlignment w:val="center"/>
              <w:rPr>
                <w:rFonts w:ascii="Calibri" w:hAnsi="Calibri" w:eastAsia="宋体" w:cs="Times New Roman"/>
                <w:color w:val="000000" w:themeColor="text1"/>
                <w:kern w:val="2"/>
                <w:sz w:val="21"/>
                <w:szCs w:val="21"/>
                <w:lang w:eastAsia="zh-CN"/>
                <w14:textFill>
                  <w14:solidFill>
                    <w14:schemeClr w14:val="tx1"/>
                  </w14:solidFill>
                </w14:textFill>
              </w:rPr>
            </w:pPr>
            <w:r>
              <w:rPr>
                <w:rFonts w:hint="eastAsia" w:ascii="黑体" w:hAnsi="宋体" w:eastAsia="黑体" w:cs="黑体"/>
                <w:color w:val="000000"/>
                <w:kern w:val="0"/>
                <w:sz w:val="20"/>
                <w:szCs w:val="20"/>
                <w:lang w:val="en-US" w:eastAsia="zh-CN" w:bidi="ar"/>
              </w:rPr>
              <w:t>（</w:t>
            </w:r>
            <w:r>
              <w:rPr>
                <w:rFonts w:hint="eastAsia" w:ascii="宋体" w:hAnsi="宋体" w:eastAsia="宋体" w:cs="宋体"/>
                <w:color w:val="000000"/>
                <w:kern w:val="0"/>
                <w:sz w:val="22"/>
                <w:szCs w:val="22"/>
                <w:lang w:eastAsia="zh-CN" w:bidi="ar"/>
              </w:rPr>
              <w:t>㎡</w:t>
            </w:r>
            <w:r>
              <w:rPr>
                <w:rFonts w:hint="eastAsia" w:ascii="黑体" w:hAnsi="宋体" w:eastAsia="黑体" w:cs="黑体"/>
                <w:color w:val="000000"/>
                <w:kern w:val="0"/>
                <w:sz w:val="20"/>
                <w:szCs w:val="20"/>
                <w:lang w:val="en-US" w:eastAsia="zh-CN" w:bidi="ar"/>
              </w:rPr>
              <w:t>）</w:t>
            </w:r>
          </w:p>
        </w:tc>
        <w:tc>
          <w:tcPr>
            <w:tcW w:w="1919" w:type="dxa"/>
            <w:tcBorders>
              <w:top w:val="single" w:color="auto" w:sz="4" w:space="0"/>
              <w:left w:val="single" w:color="auto" w:sz="4" w:space="0"/>
              <w:right w:val="single" w:color="auto" w:sz="4" w:space="0"/>
            </w:tcBorders>
            <w:vAlign w:val="center"/>
          </w:tcPr>
          <w:p w14:paraId="108304D2">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val="en-US" w:eastAsia="zh-CN" w:bidi="ar"/>
              </w:rPr>
              <w:t>单项</w:t>
            </w:r>
            <w:r>
              <w:rPr>
                <w:rFonts w:hint="eastAsia" w:ascii="黑体" w:hAnsi="宋体" w:eastAsia="黑体" w:cs="黑体"/>
                <w:color w:val="000000"/>
                <w:kern w:val="0"/>
                <w:sz w:val="20"/>
                <w:szCs w:val="20"/>
                <w:lang w:eastAsia="zh-CN" w:bidi="ar"/>
              </w:rPr>
              <w:t>控制价</w:t>
            </w:r>
          </w:p>
          <w:p w14:paraId="55670118">
            <w:pPr>
              <w:widowControl/>
              <w:spacing w:line="240" w:lineRule="auto"/>
              <w:ind w:firstLine="0" w:firstLineChars="0"/>
              <w:jc w:val="center"/>
              <w:textAlignment w:val="center"/>
              <w:rPr>
                <w:rFonts w:ascii="Calibri" w:hAnsi="Calibri" w:eastAsia="宋体" w:cs="Times New Roman"/>
                <w:color w:val="000000" w:themeColor="text1"/>
                <w:kern w:val="2"/>
                <w:sz w:val="21"/>
                <w:szCs w:val="21"/>
                <w:lang w:eastAsia="zh-CN"/>
                <w14:textFill>
                  <w14:solidFill>
                    <w14:schemeClr w14:val="tx1"/>
                  </w14:solidFill>
                </w14:textFill>
              </w:rPr>
            </w:pPr>
            <w:r>
              <w:rPr>
                <w:rFonts w:hint="eastAsia" w:ascii="黑体" w:hAnsi="宋体" w:eastAsia="黑体" w:cs="黑体"/>
                <w:color w:val="000000"/>
                <w:kern w:val="0"/>
                <w:sz w:val="20"/>
                <w:szCs w:val="20"/>
                <w:lang w:eastAsia="zh-CN" w:bidi="ar"/>
              </w:rPr>
              <w:t>（</w:t>
            </w:r>
            <w:r>
              <w:rPr>
                <w:rFonts w:hint="eastAsia" w:ascii="黑体" w:hAnsi="宋体" w:eastAsia="黑体" w:cs="黑体"/>
                <w:color w:val="000000"/>
                <w:kern w:val="0"/>
                <w:sz w:val="20"/>
                <w:szCs w:val="20"/>
                <w:lang w:val="en-US" w:eastAsia="zh-CN" w:bidi="ar"/>
              </w:rPr>
              <w:t>含增值税</w:t>
            </w:r>
            <w:r>
              <w:rPr>
                <w:rFonts w:hint="eastAsia" w:ascii="黑体" w:hAnsi="宋体" w:eastAsia="黑体" w:cs="黑体"/>
                <w:color w:val="000000"/>
                <w:kern w:val="0"/>
                <w:sz w:val="20"/>
                <w:szCs w:val="20"/>
                <w:lang w:eastAsia="zh-CN" w:bidi="ar"/>
              </w:rPr>
              <w:t>13%）</w:t>
            </w:r>
            <w:r>
              <w:rPr>
                <w:rFonts w:hint="eastAsia" w:ascii="黑体" w:hAnsi="宋体" w:eastAsia="黑体" w:cs="黑体"/>
                <w:color w:val="000000"/>
                <w:kern w:val="0"/>
                <w:sz w:val="20"/>
                <w:szCs w:val="20"/>
                <w:lang w:eastAsia="zh-CN" w:bidi="ar"/>
              </w:rPr>
              <w:br w:type="textWrapping"/>
            </w:r>
            <w:r>
              <w:rPr>
                <w:rFonts w:hint="eastAsia" w:ascii="黑体" w:hAnsi="宋体" w:eastAsia="黑体" w:cs="黑体"/>
                <w:color w:val="000000"/>
                <w:kern w:val="0"/>
                <w:sz w:val="20"/>
                <w:szCs w:val="20"/>
                <w:lang w:eastAsia="zh-CN" w:bidi="ar"/>
              </w:rPr>
              <w:t>（元/</w:t>
            </w:r>
            <w:r>
              <w:rPr>
                <w:rFonts w:hint="eastAsia" w:ascii="宋体" w:hAnsi="宋体" w:eastAsia="宋体" w:cs="宋体"/>
                <w:color w:val="000000"/>
                <w:kern w:val="0"/>
                <w:sz w:val="22"/>
                <w:szCs w:val="22"/>
                <w:lang w:eastAsia="zh-CN" w:bidi="ar"/>
              </w:rPr>
              <w:t>㎡</w:t>
            </w:r>
            <w:r>
              <w:rPr>
                <w:rFonts w:hint="eastAsia" w:ascii="黑体" w:hAnsi="宋体" w:eastAsia="黑体" w:cs="黑体"/>
                <w:color w:val="000000"/>
                <w:kern w:val="0"/>
                <w:sz w:val="20"/>
                <w:szCs w:val="20"/>
                <w:lang w:eastAsia="zh-CN" w:bidi="ar"/>
              </w:rPr>
              <w:t>）</w:t>
            </w:r>
          </w:p>
        </w:tc>
        <w:tc>
          <w:tcPr>
            <w:tcW w:w="732" w:type="dxa"/>
            <w:tcBorders>
              <w:top w:val="single" w:color="auto" w:sz="4" w:space="0"/>
              <w:left w:val="single" w:color="auto" w:sz="4" w:space="0"/>
              <w:right w:val="single" w:color="auto" w:sz="4" w:space="0"/>
            </w:tcBorders>
            <w:vAlign w:val="center"/>
          </w:tcPr>
          <w:p w14:paraId="0C185249">
            <w:pPr>
              <w:widowControl/>
              <w:spacing w:line="240" w:lineRule="auto"/>
              <w:ind w:firstLine="0" w:firstLineChars="0"/>
              <w:jc w:val="center"/>
              <w:textAlignment w:val="center"/>
              <w:rPr>
                <w:rFonts w:hint="default" w:ascii="黑体" w:hAnsi="宋体" w:eastAsia="黑体" w:cs="黑体"/>
                <w:color w:val="000000"/>
                <w:kern w:val="0"/>
                <w:sz w:val="20"/>
                <w:szCs w:val="20"/>
                <w:lang w:val="en-US" w:eastAsia="zh-CN" w:bidi="ar"/>
              </w:rPr>
            </w:pPr>
            <w:r>
              <w:rPr>
                <w:rFonts w:hint="eastAsia" w:ascii="黑体" w:hAnsi="宋体" w:eastAsia="黑体" w:cs="黑体"/>
                <w:color w:val="000000"/>
                <w:kern w:val="0"/>
                <w:sz w:val="20"/>
                <w:szCs w:val="20"/>
                <w:lang w:val="en-US" w:eastAsia="zh-CN" w:bidi="ar"/>
              </w:rPr>
              <w:t>增值税税率</w:t>
            </w:r>
          </w:p>
        </w:tc>
        <w:tc>
          <w:tcPr>
            <w:tcW w:w="1262" w:type="dxa"/>
            <w:tcBorders>
              <w:top w:val="single" w:color="auto" w:sz="4" w:space="0"/>
              <w:left w:val="single" w:color="auto" w:sz="4" w:space="0"/>
              <w:right w:val="single" w:color="auto" w:sz="4" w:space="0"/>
            </w:tcBorders>
            <w:vAlign w:val="center"/>
          </w:tcPr>
          <w:p w14:paraId="26810CD0">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eastAsia="zh-CN" w:bidi="ar"/>
              </w:rPr>
              <w:t>含税</w:t>
            </w:r>
            <w:r>
              <w:rPr>
                <w:rFonts w:hint="eastAsia" w:ascii="黑体" w:hAnsi="宋体" w:eastAsia="黑体" w:cs="黑体"/>
                <w:color w:val="000000"/>
                <w:kern w:val="0"/>
                <w:sz w:val="20"/>
                <w:szCs w:val="20"/>
                <w:lang w:val="en-US" w:eastAsia="zh-CN" w:bidi="ar"/>
              </w:rPr>
              <w:t>单价</w:t>
            </w:r>
          </w:p>
          <w:p w14:paraId="4A36DEC4">
            <w:pPr>
              <w:widowControl/>
              <w:spacing w:line="240" w:lineRule="auto"/>
              <w:ind w:firstLine="0" w:firstLineChars="0"/>
              <w:jc w:val="center"/>
              <w:textAlignment w:val="center"/>
              <w:rPr>
                <w:rFonts w:ascii="Calibri" w:hAnsi="Calibri" w:eastAsia="宋体" w:cs="Times New Roman"/>
                <w:color w:val="000000" w:themeColor="text1"/>
                <w:kern w:val="2"/>
                <w:sz w:val="21"/>
                <w:szCs w:val="21"/>
                <w:lang w:eastAsia="zh-CN"/>
                <w14:textFill>
                  <w14:solidFill>
                    <w14:schemeClr w14:val="tx1"/>
                  </w14:solidFill>
                </w14:textFill>
              </w:rPr>
            </w:pPr>
            <w:r>
              <w:rPr>
                <w:rFonts w:hint="eastAsia" w:ascii="黑体" w:hAnsi="宋体" w:eastAsia="黑体" w:cs="黑体"/>
                <w:color w:val="000000"/>
                <w:kern w:val="0"/>
                <w:sz w:val="20"/>
                <w:szCs w:val="20"/>
                <w:lang w:eastAsia="zh-CN" w:bidi="ar"/>
              </w:rPr>
              <w:t>（元/</w:t>
            </w:r>
            <w:r>
              <w:rPr>
                <w:rFonts w:hint="eastAsia" w:ascii="宋体" w:hAnsi="宋体" w:eastAsia="宋体" w:cs="宋体"/>
                <w:color w:val="000000"/>
                <w:kern w:val="0"/>
                <w:sz w:val="22"/>
                <w:szCs w:val="22"/>
                <w:lang w:eastAsia="zh-CN" w:bidi="ar"/>
              </w:rPr>
              <w:t>㎡</w:t>
            </w:r>
            <w:r>
              <w:rPr>
                <w:rFonts w:hint="eastAsia" w:ascii="黑体" w:hAnsi="宋体" w:eastAsia="黑体" w:cs="黑体"/>
                <w:color w:val="000000"/>
                <w:kern w:val="0"/>
                <w:sz w:val="20"/>
                <w:szCs w:val="20"/>
                <w:lang w:eastAsia="zh-CN" w:bidi="ar"/>
              </w:rPr>
              <w:t>）</w:t>
            </w:r>
          </w:p>
        </w:tc>
        <w:tc>
          <w:tcPr>
            <w:tcW w:w="1058" w:type="dxa"/>
            <w:tcBorders>
              <w:top w:val="single" w:color="auto" w:sz="4" w:space="0"/>
              <w:left w:val="single" w:color="auto" w:sz="4" w:space="0"/>
              <w:right w:val="single" w:color="auto" w:sz="4" w:space="0"/>
            </w:tcBorders>
            <w:vAlign w:val="center"/>
          </w:tcPr>
          <w:p w14:paraId="3FB6C1FF">
            <w:pPr>
              <w:widowControl/>
              <w:spacing w:line="240" w:lineRule="auto"/>
              <w:ind w:firstLine="0" w:firstLineChars="0"/>
              <w:jc w:val="center"/>
              <w:textAlignment w:val="center"/>
              <w:rPr>
                <w:rFonts w:hint="default" w:ascii="黑体" w:hAnsi="宋体" w:eastAsia="黑体" w:cs="黑体"/>
                <w:color w:val="000000"/>
                <w:kern w:val="0"/>
                <w:sz w:val="20"/>
                <w:szCs w:val="20"/>
                <w:lang w:val="en-US" w:eastAsia="zh-CN" w:bidi="ar"/>
              </w:rPr>
            </w:pPr>
            <w:r>
              <w:rPr>
                <w:rFonts w:hint="eastAsia" w:ascii="黑体" w:hAnsi="宋体" w:eastAsia="黑体" w:cs="黑体"/>
                <w:color w:val="000000"/>
                <w:kern w:val="0"/>
                <w:sz w:val="20"/>
                <w:szCs w:val="20"/>
                <w:lang w:val="en-US" w:eastAsia="zh-CN" w:bidi="ar"/>
              </w:rPr>
              <w:t>含税合价（元）</w:t>
            </w:r>
          </w:p>
        </w:tc>
        <w:tc>
          <w:tcPr>
            <w:tcW w:w="1059" w:type="dxa"/>
            <w:tcBorders>
              <w:top w:val="single" w:color="auto" w:sz="4" w:space="0"/>
              <w:left w:val="single" w:color="auto" w:sz="4" w:space="0"/>
              <w:right w:val="single" w:color="auto" w:sz="4" w:space="0"/>
            </w:tcBorders>
            <w:vAlign w:val="center"/>
          </w:tcPr>
          <w:p w14:paraId="5868BB67">
            <w:pPr>
              <w:widowControl/>
              <w:spacing w:line="240" w:lineRule="auto"/>
              <w:ind w:firstLine="0" w:firstLineChars="0"/>
              <w:jc w:val="center"/>
              <w:textAlignment w:val="center"/>
              <w:rPr>
                <w:rFonts w:hint="default" w:ascii="黑体" w:hAnsi="宋体" w:eastAsia="黑体" w:cs="黑体"/>
                <w:color w:val="000000"/>
                <w:kern w:val="0"/>
                <w:sz w:val="20"/>
                <w:szCs w:val="20"/>
                <w:lang w:val="en-US" w:eastAsia="zh-CN" w:bidi="ar"/>
              </w:rPr>
            </w:pPr>
            <w:r>
              <w:rPr>
                <w:rFonts w:hint="eastAsia" w:ascii="黑体" w:hAnsi="宋体" w:eastAsia="黑体" w:cs="黑体"/>
                <w:color w:val="000000"/>
                <w:kern w:val="0"/>
                <w:sz w:val="20"/>
                <w:szCs w:val="20"/>
                <w:lang w:val="en-US" w:eastAsia="zh-CN" w:bidi="ar"/>
              </w:rPr>
              <w:t>备注</w:t>
            </w:r>
          </w:p>
        </w:tc>
      </w:tr>
      <w:tr w14:paraId="5D26C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585" w:type="dxa"/>
            <w:tcBorders>
              <w:top w:val="single" w:color="auto" w:sz="4" w:space="0"/>
              <w:left w:val="single" w:color="auto" w:sz="4" w:space="0"/>
              <w:right w:val="single" w:color="auto" w:sz="4" w:space="0"/>
            </w:tcBorders>
            <w:vAlign w:val="center"/>
          </w:tcPr>
          <w:p w14:paraId="0414B831">
            <w:pPr>
              <w:widowControl/>
              <w:spacing w:line="240" w:lineRule="auto"/>
              <w:ind w:firstLine="0" w:firstLineChars="0"/>
              <w:jc w:val="center"/>
              <w:textAlignment w:val="center"/>
              <w:rPr>
                <w:rFonts w:ascii="Calibri" w:hAnsi="Calibri" w:eastAsia="宋体" w:cs="Times New Roman"/>
                <w:color w:val="000000" w:themeColor="text1"/>
                <w:kern w:val="2"/>
                <w:sz w:val="21"/>
                <w:szCs w:val="21"/>
                <w:lang w:eastAsia="zh-CN"/>
                <w14:textFill>
                  <w14:solidFill>
                    <w14:schemeClr w14:val="tx1"/>
                  </w14:solidFill>
                </w14:textFill>
              </w:rPr>
            </w:pPr>
            <w:r>
              <w:rPr>
                <w:rFonts w:hint="eastAsia" w:ascii="黑体" w:hAnsi="宋体" w:eastAsia="黑体" w:cs="黑体"/>
                <w:color w:val="000000"/>
                <w:kern w:val="0"/>
                <w:sz w:val="20"/>
                <w:szCs w:val="20"/>
                <w:lang w:eastAsia="zh-CN" w:bidi="ar"/>
              </w:rPr>
              <w:t>1</w:t>
            </w:r>
          </w:p>
        </w:tc>
        <w:tc>
          <w:tcPr>
            <w:tcW w:w="1096" w:type="dxa"/>
            <w:vMerge w:val="restart"/>
            <w:tcBorders>
              <w:top w:val="single" w:color="auto" w:sz="4" w:space="0"/>
              <w:left w:val="single" w:color="auto" w:sz="4" w:space="0"/>
              <w:right w:val="single" w:color="auto" w:sz="4" w:space="0"/>
            </w:tcBorders>
            <w:vAlign w:val="center"/>
          </w:tcPr>
          <w:p w14:paraId="248D5F1B">
            <w:pPr>
              <w:widowControl/>
              <w:spacing w:line="240" w:lineRule="auto"/>
              <w:ind w:firstLine="0" w:firstLineChars="0"/>
              <w:jc w:val="center"/>
              <w:textAlignment w:val="center"/>
              <w:rPr>
                <w:rFonts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钢筋网片</w:t>
            </w:r>
          </w:p>
        </w:tc>
        <w:tc>
          <w:tcPr>
            <w:tcW w:w="1260" w:type="dxa"/>
            <w:tcBorders>
              <w:top w:val="single" w:color="auto" w:sz="4" w:space="0"/>
              <w:left w:val="single" w:color="auto" w:sz="4" w:space="0"/>
              <w:right w:val="single" w:color="auto" w:sz="4" w:space="0"/>
            </w:tcBorders>
            <w:vAlign w:val="center"/>
          </w:tcPr>
          <w:p w14:paraId="44571D23">
            <w:pPr>
              <w:widowControl/>
              <w:spacing w:line="240" w:lineRule="auto"/>
              <w:ind w:firstLine="0" w:firstLineChars="0"/>
              <w:jc w:val="center"/>
              <w:textAlignment w:val="center"/>
              <w:rPr>
                <w:rFonts w:ascii="宋体" w:hAnsi="宋体" w:eastAsia="宋体" w:cs="宋体"/>
                <w:color w:val="000000"/>
                <w:kern w:val="0"/>
                <w:sz w:val="22"/>
                <w:szCs w:val="22"/>
                <w:lang w:eastAsia="zh-CN" w:bidi="ar"/>
              </w:rPr>
            </w:pPr>
            <w:r>
              <w:rPr>
                <w:rFonts w:ascii="Calibri" w:hAnsi="Calibri" w:eastAsia="宋体" w:cs="Times New Roman"/>
                <w:kern w:val="2"/>
                <w:sz w:val="21"/>
                <w:szCs w:val="24"/>
                <w:lang w:eastAsia="zh-CN"/>
              </w:rPr>
              <w:fldChar w:fldCharType="begin"/>
            </w:r>
            <w:r>
              <w:rPr>
                <w:rFonts w:ascii="Calibri" w:hAnsi="Calibri" w:eastAsia="宋体" w:cs="Times New Roman"/>
                <w:kern w:val="2"/>
                <w:sz w:val="21"/>
                <w:szCs w:val="24"/>
                <w:lang w:eastAsia="zh-CN"/>
              </w:rPr>
              <w:instrText xml:space="preserve"> HYPERLINK "mailto:4@100" \o "mailto:4@100" </w:instrText>
            </w:r>
            <w:r>
              <w:rPr>
                <w:rFonts w:ascii="Calibri" w:hAnsi="Calibri" w:eastAsia="宋体" w:cs="Times New Roman"/>
                <w:kern w:val="2"/>
                <w:sz w:val="21"/>
                <w:szCs w:val="24"/>
                <w:lang w:eastAsia="zh-CN"/>
              </w:rPr>
              <w:fldChar w:fldCharType="separate"/>
            </w:r>
            <w:r>
              <w:rPr>
                <w:rFonts w:hint="eastAsia" w:ascii="宋体" w:hAnsi="宋体" w:eastAsia="宋体" w:cs="宋体"/>
                <w:color w:val="000000"/>
                <w:kern w:val="0"/>
                <w:sz w:val="22"/>
                <w:szCs w:val="22"/>
                <w:lang w:eastAsia="zh-CN" w:bidi="ar"/>
              </w:rPr>
              <w:t>Φ4@100</w:t>
            </w:r>
            <w:r>
              <w:rPr>
                <w:rFonts w:hint="eastAsia" w:ascii="宋体" w:hAnsi="宋体" w:eastAsia="宋体" w:cs="宋体"/>
                <w:color w:val="000000"/>
                <w:kern w:val="0"/>
                <w:sz w:val="22"/>
                <w:szCs w:val="22"/>
                <w:lang w:eastAsia="zh-CN" w:bidi="ar"/>
              </w:rPr>
              <w:fldChar w:fldCharType="end"/>
            </w:r>
          </w:p>
        </w:tc>
        <w:tc>
          <w:tcPr>
            <w:tcW w:w="1290" w:type="dxa"/>
            <w:tcBorders>
              <w:top w:val="single" w:color="auto" w:sz="4" w:space="0"/>
              <w:left w:val="single" w:color="auto" w:sz="4" w:space="0"/>
              <w:right w:val="single" w:color="auto" w:sz="4" w:space="0"/>
            </w:tcBorders>
            <w:vAlign w:val="center"/>
          </w:tcPr>
          <w:p w14:paraId="35D89146">
            <w:pPr>
              <w:widowControl/>
              <w:spacing w:line="240" w:lineRule="auto"/>
              <w:ind w:firstLine="0" w:firstLineChars="0"/>
              <w:jc w:val="center"/>
              <w:textAlignment w:val="center"/>
              <w:rPr>
                <w:rFonts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4500</w:t>
            </w:r>
          </w:p>
        </w:tc>
        <w:tc>
          <w:tcPr>
            <w:tcW w:w="1919" w:type="dxa"/>
            <w:tcBorders>
              <w:top w:val="single" w:color="auto" w:sz="4" w:space="0"/>
              <w:left w:val="single" w:color="auto" w:sz="4" w:space="0"/>
              <w:right w:val="single" w:color="auto" w:sz="4" w:space="0"/>
            </w:tcBorders>
            <w:vAlign w:val="center"/>
          </w:tcPr>
          <w:p w14:paraId="0C36A29A">
            <w:pPr>
              <w:widowControl/>
              <w:spacing w:line="240" w:lineRule="auto"/>
              <w:ind w:firstLine="0" w:firstLineChars="0"/>
              <w:jc w:val="center"/>
              <w:textAlignment w:val="center"/>
              <w:rPr>
                <w:rFonts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8.40</w:t>
            </w:r>
          </w:p>
        </w:tc>
        <w:tc>
          <w:tcPr>
            <w:tcW w:w="732" w:type="dxa"/>
            <w:tcBorders>
              <w:top w:val="single" w:color="auto" w:sz="4" w:space="0"/>
              <w:left w:val="single" w:color="auto" w:sz="4" w:space="0"/>
              <w:right w:val="single" w:color="auto" w:sz="4" w:space="0"/>
            </w:tcBorders>
            <w:vAlign w:val="center"/>
          </w:tcPr>
          <w:p w14:paraId="7F226806">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val="en-US" w:eastAsia="zh-CN" w:bidi="ar"/>
              </w:rPr>
              <w:t>13%</w:t>
            </w:r>
          </w:p>
        </w:tc>
        <w:tc>
          <w:tcPr>
            <w:tcW w:w="1262" w:type="dxa"/>
            <w:tcBorders>
              <w:top w:val="single" w:color="auto" w:sz="4" w:space="0"/>
              <w:left w:val="single" w:color="auto" w:sz="4" w:space="0"/>
              <w:right w:val="single" w:color="auto" w:sz="4" w:space="0"/>
            </w:tcBorders>
            <w:vAlign w:val="center"/>
          </w:tcPr>
          <w:p w14:paraId="6C9E48D5">
            <w:pPr>
              <w:widowControl/>
              <w:spacing w:line="240" w:lineRule="auto"/>
              <w:ind w:firstLine="0" w:firstLineChars="0"/>
              <w:jc w:val="center"/>
              <w:textAlignment w:val="center"/>
              <w:rPr>
                <w:rFonts w:ascii="宋体" w:hAnsi="宋体" w:eastAsia="宋体" w:cs="宋体"/>
                <w:color w:val="000000"/>
                <w:kern w:val="0"/>
                <w:sz w:val="22"/>
                <w:szCs w:val="22"/>
                <w:lang w:eastAsia="zh-CN" w:bidi="ar"/>
              </w:rPr>
            </w:pPr>
          </w:p>
        </w:tc>
        <w:tc>
          <w:tcPr>
            <w:tcW w:w="1058" w:type="dxa"/>
            <w:tcBorders>
              <w:top w:val="single" w:color="auto" w:sz="4" w:space="0"/>
              <w:left w:val="single" w:color="auto" w:sz="4" w:space="0"/>
              <w:right w:val="single" w:color="auto" w:sz="4" w:space="0"/>
            </w:tcBorders>
            <w:vAlign w:val="center"/>
          </w:tcPr>
          <w:p w14:paraId="361B0768">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p>
        </w:tc>
        <w:tc>
          <w:tcPr>
            <w:tcW w:w="1059" w:type="dxa"/>
            <w:tcBorders>
              <w:top w:val="single" w:color="auto" w:sz="4" w:space="0"/>
              <w:left w:val="single" w:color="auto" w:sz="4" w:space="0"/>
              <w:right w:val="single" w:color="auto" w:sz="4" w:space="0"/>
            </w:tcBorders>
            <w:vAlign w:val="center"/>
          </w:tcPr>
          <w:p w14:paraId="7FC7C30A">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p>
        </w:tc>
      </w:tr>
      <w:tr w14:paraId="27592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14:paraId="0412FD91">
            <w:pPr>
              <w:widowControl/>
              <w:spacing w:line="240" w:lineRule="auto"/>
              <w:ind w:firstLine="0" w:firstLineChars="0"/>
              <w:jc w:val="center"/>
              <w:textAlignment w:val="center"/>
              <w:rPr>
                <w:rFonts w:ascii="Calibri" w:hAnsi="Calibri" w:eastAsia="宋体" w:cs="Times New Roman"/>
                <w:color w:val="000000" w:themeColor="text1"/>
                <w:kern w:val="2"/>
                <w:sz w:val="21"/>
                <w:szCs w:val="21"/>
                <w:lang w:eastAsia="zh-CN"/>
                <w14:textFill>
                  <w14:solidFill>
                    <w14:schemeClr w14:val="tx1"/>
                  </w14:solidFill>
                </w14:textFill>
              </w:rPr>
            </w:pPr>
            <w:r>
              <w:rPr>
                <w:rFonts w:hint="eastAsia" w:ascii="黑体" w:hAnsi="宋体" w:eastAsia="黑体" w:cs="黑体"/>
                <w:color w:val="000000"/>
                <w:kern w:val="0"/>
                <w:sz w:val="20"/>
                <w:szCs w:val="20"/>
                <w:lang w:eastAsia="zh-CN" w:bidi="ar"/>
              </w:rPr>
              <w:t>2</w:t>
            </w:r>
          </w:p>
        </w:tc>
        <w:tc>
          <w:tcPr>
            <w:tcW w:w="109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D2BBF11">
            <w:pPr>
              <w:widowControl/>
              <w:spacing w:line="240" w:lineRule="auto"/>
              <w:ind w:firstLine="0" w:firstLineChars="0"/>
              <w:jc w:val="center"/>
              <w:textAlignment w:val="center"/>
              <w:rPr>
                <w:rFonts w:ascii="宋体" w:hAnsi="宋体" w:eastAsia="宋体" w:cs="宋体"/>
                <w:color w:val="000000"/>
                <w:kern w:val="0"/>
                <w:sz w:val="22"/>
                <w:szCs w:val="22"/>
                <w:lang w:eastAsia="zh-CN" w:bidi="ar"/>
              </w:rPr>
            </w:pPr>
          </w:p>
        </w:tc>
        <w:tc>
          <w:tcPr>
            <w:tcW w:w="1260" w:type="dxa"/>
            <w:tcBorders>
              <w:top w:val="single" w:color="auto" w:sz="4" w:space="0"/>
              <w:left w:val="single" w:color="auto" w:sz="4" w:space="0"/>
              <w:bottom w:val="single" w:color="auto" w:sz="4" w:space="0"/>
              <w:right w:val="single" w:color="auto" w:sz="4" w:space="0"/>
            </w:tcBorders>
            <w:shd w:val="clear" w:color="auto" w:fill="auto"/>
            <w:vAlign w:val="center"/>
          </w:tcPr>
          <w:p w14:paraId="258B2393">
            <w:pPr>
              <w:widowControl/>
              <w:spacing w:line="240" w:lineRule="auto"/>
              <w:ind w:firstLine="0" w:firstLineChars="0"/>
              <w:jc w:val="center"/>
              <w:textAlignment w:val="center"/>
              <w:rPr>
                <w:rFonts w:ascii="宋体" w:hAnsi="宋体" w:eastAsia="宋体" w:cs="宋体"/>
                <w:color w:val="000000"/>
                <w:kern w:val="0"/>
                <w:sz w:val="22"/>
                <w:szCs w:val="22"/>
                <w:lang w:eastAsia="zh-CN" w:bidi="ar"/>
              </w:rPr>
            </w:pPr>
            <w:r>
              <w:rPr>
                <w:rFonts w:ascii="Calibri" w:hAnsi="Calibri" w:eastAsia="宋体" w:cs="Times New Roman"/>
                <w:kern w:val="2"/>
                <w:sz w:val="21"/>
                <w:szCs w:val="24"/>
                <w:lang w:eastAsia="zh-CN"/>
              </w:rPr>
              <w:fldChar w:fldCharType="begin"/>
            </w:r>
            <w:r>
              <w:rPr>
                <w:rFonts w:ascii="Calibri" w:hAnsi="Calibri" w:eastAsia="宋体" w:cs="Times New Roman"/>
                <w:kern w:val="2"/>
                <w:sz w:val="21"/>
                <w:szCs w:val="24"/>
                <w:lang w:eastAsia="zh-CN"/>
              </w:rPr>
              <w:instrText xml:space="preserve"> HYPERLINK "mailto:4@150" </w:instrText>
            </w:r>
            <w:r>
              <w:rPr>
                <w:rFonts w:ascii="Calibri" w:hAnsi="Calibri" w:eastAsia="宋体" w:cs="Times New Roman"/>
                <w:kern w:val="2"/>
                <w:sz w:val="21"/>
                <w:szCs w:val="24"/>
                <w:lang w:eastAsia="zh-CN"/>
              </w:rPr>
              <w:fldChar w:fldCharType="separate"/>
            </w:r>
            <w:r>
              <w:rPr>
                <w:rFonts w:hint="eastAsia" w:ascii="宋体" w:hAnsi="宋体" w:eastAsia="宋体" w:cs="宋体"/>
                <w:color w:val="000000"/>
                <w:kern w:val="0"/>
                <w:sz w:val="22"/>
                <w:szCs w:val="22"/>
                <w:lang w:eastAsia="zh-CN" w:bidi="ar"/>
              </w:rPr>
              <w:t>Φ4@150</w:t>
            </w:r>
            <w:r>
              <w:rPr>
                <w:rFonts w:hint="eastAsia" w:ascii="宋体" w:hAnsi="宋体" w:eastAsia="宋体" w:cs="宋体"/>
                <w:color w:val="000000"/>
                <w:kern w:val="0"/>
                <w:sz w:val="22"/>
                <w:szCs w:val="22"/>
                <w:lang w:eastAsia="zh-CN" w:bidi="ar"/>
              </w:rPr>
              <w:fldChar w:fldCharType="end"/>
            </w:r>
          </w:p>
        </w:tc>
        <w:tc>
          <w:tcPr>
            <w:tcW w:w="1290" w:type="dxa"/>
            <w:tcBorders>
              <w:top w:val="single" w:color="auto" w:sz="4" w:space="0"/>
              <w:left w:val="single" w:color="auto" w:sz="4" w:space="0"/>
              <w:bottom w:val="single" w:color="auto" w:sz="4" w:space="0"/>
              <w:right w:val="single" w:color="auto" w:sz="4" w:space="0"/>
            </w:tcBorders>
            <w:shd w:val="clear" w:color="auto" w:fill="auto"/>
            <w:vAlign w:val="center"/>
          </w:tcPr>
          <w:p w14:paraId="0E01A67D">
            <w:pPr>
              <w:widowControl/>
              <w:spacing w:line="240" w:lineRule="auto"/>
              <w:ind w:firstLine="0" w:firstLineChars="0"/>
              <w:jc w:val="center"/>
              <w:textAlignment w:val="center"/>
              <w:rPr>
                <w:rFonts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2100</w:t>
            </w:r>
          </w:p>
        </w:tc>
        <w:tc>
          <w:tcPr>
            <w:tcW w:w="1919" w:type="dxa"/>
            <w:tcBorders>
              <w:top w:val="single" w:color="auto" w:sz="4" w:space="0"/>
              <w:left w:val="single" w:color="auto" w:sz="4" w:space="0"/>
              <w:bottom w:val="single" w:color="auto" w:sz="4" w:space="0"/>
              <w:right w:val="single" w:color="auto" w:sz="4" w:space="0"/>
            </w:tcBorders>
            <w:vAlign w:val="center"/>
          </w:tcPr>
          <w:p w14:paraId="13F50581">
            <w:pPr>
              <w:widowControl/>
              <w:spacing w:line="240" w:lineRule="auto"/>
              <w:ind w:firstLine="0" w:firstLineChars="0"/>
              <w:jc w:val="center"/>
              <w:textAlignment w:val="center"/>
              <w:rPr>
                <w:rFonts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6.20</w:t>
            </w:r>
          </w:p>
        </w:tc>
        <w:tc>
          <w:tcPr>
            <w:tcW w:w="732" w:type="dxa"/>
            <w:tcBorders>
              <w:top w:val="single" w:color="auto" w:sz="4" w:space="0"/>
              <w:left w:val="single" w:color="auto" w:sz="4" w:space="0"/>
              <w:bottom w:val="single" w:color="auto" w:sz="4" w:space="0"/>
              <w:right w:val="single" w:color="auto" w:sz="4" w:space="0"/>
            </w:tcBorders>
            <w:vAlign w:val="center"/>
          </w:tcPr>
          <w:p w14:paraId="1BC14660">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val="en-US" w:eastAsia="zh-CN" w:bidi="ar"/>
              </w:rPr>
              <w:t>13%</w:t>
            </w:r>
          </w:p>
        </w:tc>
        <w:tc>
          <w:tcPr>
            <w:tcW w:w="1262" w:type="dxa"/>
            <w:tcBorders>
              <w:top w:val="single" w:color="auto" w:sz="4" w:space="0"/>
              <w:left w:val="single" w:color="auto" w:sz="4" w:space="0"/>
              <w:bottom w:val="single" w:color="auto" w:sz="4" w:space="0"/>
              <w:right w:val="single" w:color="auto" w:sz="4" w:space="0"/>
            </w:tcBorders>
            <w:vAlign w:val="center"/>
          </w:tcPr>
          <w:p w14:paraId="04643386">
            <w:pPr>
              <w:widowControl/>
              <w:spacing w:line="240" w:lineRule="auto"/>
              <w:ind w:firstLine="0" w:firstLineChars="0"/>
              <w:jc w:val="center"/>
              <w:textAlignment w:val="center"/>
              <w:rPr>
                <w:rFonts w:ascii="宋体" w:hAnsi="宋体" w:eastAsia="宋体" w:cs="宋体"/>
                <w:color w:val="000000"/>
                <w:kern w:val="0"/>
                <w:sz w:val="22"/>
                <w:szCs w:val="22"/>
                <w:lang w:eastAsia="zh-CN" w:bidi="ar"/>
              </w:rPr>
            </w:pPr>
          </w:p>
        </w:tc>
        <w:tc>
          <w:tcPr>
            <w:tcW w:w="1058" w:type="dxa"/>
            <w:tcBorders>
              <w:top w:val="single" w:color="auto" w:sz="4" w:space="0"/>
              <w:left w:val="single" w:color="auto" w:sz="4" w:space="0"/>
              <w:bottom w:val="single" w:color="auto" w:sz="4" w:space="0"/>
              <w:right w:val="single" w:color="auto" w:sz="4" w:space="0"/>
            </w:tcBorders>
            <w:vAlign w:val="center"/>
          </w:tcPr>
          <w:p w14:paraId="0F19CCF3">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p>
        </w:tc>
        <w:tc>
          <w:tcPr>
            <w:tcW w:w="1059" w:type="dxa"/>
            <w:tcBorders>
              <w:top w:val="single" w:color="auto" w:sz="4" w:space="0"/>
              <w:left w:val="single" w:color="auto" w:sz="4" w:space="0"/>
              <w:bottom w:val="single" w:color="auto" w:sz="4" w:space="0"/>
              <w:right w:val="single" w:color="auto" w:sz="4" w:space="0"/>
            </w:tcBorders>
            <w:vAlign w:val="center"/>
          </w:tcPr>
          <w:p w14:paraId="41FBA6EB">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p>
        </w:tc>
      </w:tr>
      <w:tr w14:paraId="5CD57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14:paraId="7A9AA3BB">
            <w:pPr>
              <w:widowControl/>
              <w:spacing w:line="240" w:lineRule="auto"/>
              <w:ind w:firstLine="0" w:firstLineChars="0"/>
              <w:jc w:val="center"/>
              <w:textAlignment w:val="center"/>
              <w:rPr>
                <w:rFonts w:ascii="Calibri" w:hAnsi="Calibri" w:eastAsia="宋体" w:cs="Times New Roman"/>
                <w:color w:val="000000" w:themeColor="text1"/>
                <w:kern w:val="2"/>
                <w:sz w:val="21"/>
                <w:szCs w:val="21"/>
                <w:lang w:eastAsia="zh-CN"/>
                <w14:textFill>
                  <w14:solidFill>
                    <w14:schemeClr w14:val="tx1"/>
                  </w14:solidFill>
                </w14:textFill>
              </w:rPr>
            </w:pPr>
            <w:r>
              <w:rPr>
                <w:rFonts w:hint="eastAsia" w:ascii="黑体" w:hAnsi="宋体" w:eastAsia="黑体" w:cs="黑体"/>
                <w:color w:val="000000"/>
                <w:kern w:val="0"/>
                <w:sz w:val="20"/>
                <w:szCs w:val="20"/>
                <w:lang w:eastAsia="zh-CN" w:bidi="ar"/>
              </w:rPr>
              <w:t>3</w:t>
            </w:r>
          </w:p>
        </w:tc>
        <w:tc>
          <w:tcPr>
            <w:tcW w:w="1096" w:type="dxa"/>
            <w:vMerge w:val="continue"/>
            <w:tcBorders>
              <w:top w:val="single" w:color="auto" w:sz="4" w:space="0"/>
              <w:left w:val="single" w:color="auto" w:sz="4" w:space="0"/>
              <w:bottom w:val="single" w:color="auto" w:sz="4" w:space="0"/>
              <w:right w:val="single" w:color="auto" w:sz="4" w:space="0"/>
            </w:tcBorders>
            <w:vAlign w:val="center"/>
          </w:tcPr>
          <w:p w14:paraId="548F3679">
            <w:pPr>
              <w:widowControl/>
              <w:spacing w:line="240" w:lineRule="auto"/>
              <w:ind w:firstLine="0" w:firstLineChars="0"/>
              <w:jc w:val="center"/>
              <w:textAlignment w:val="center"/>
              <w:rPr>
                <w:rFonts w:ascii="宋体" w:hAnsi="宋体" w:eastAsia="宋体" w:cs="宋体"/>
                <w:color w:val="000000"/>
                <w:kern w:val="0"/>
                <w:sz w:val="22"/>
                <w:szCs w:val="22"/>
                <w:lang w:eastAsia="zh-CN" w:bidi="ar"/>
              </w:rPr>
            </w:pPr>
          </w:p>
        </w:tc>
        <w:tc>
          <w:tcPr>
            <w:tcW w:w="1260" w:type="dxa"/>
            <w:tcBorders>
              <w:top w:val="single" w:color="auto" w:sz="4" w:space="0"/>
              <w:left w:val="single" w:color="auto" w:sz="4" w:space="0"/>
              <w:bottom w:val="single" w:color="auto" w:sz="4" w:space="0"/>
              <w:right w:val="single" w:color="auto" w:sz="4" w:space="0"/>
            </w:tcBorders>
            <w:shd w:val="clear" w:color="auto" w:fill="auto"/>
            <w:vAlign w:val="center"/>
          </w:tcPr>
          <w:p w14:paraId="2B7E4DFF">
            <w:pPr>
              <w:widowControl/>
              <w:spacing w:line="240" w:lineRule="auto"/>
              <w:ind w:firstLine="0" w:firstLineChars="0"/>
              <w:jc w:val="center"/>
              <w:textAlignment w:val="center"/>
              <w:rPr>
                <w:rFonts w:ascii="宋体" w:hAnsi="宋体" w:eastAsia="宋体" w:cs="宋体"/>
                <w:color w:val="000000"/>
                <w:kern w:val="0"/>
                <w:sz w:val="22"/>
                <w:szCs w:val="22"/>
                <w:lang w:eastAsia="zh-CN" w:bidi="ar"/>
              </w:rPr>
            </w:pPr>
            <w:r>
              <w:rPr>
                <w:rFonts w:ascii="Calibri" w:hAnsi="Calibri" w:eastAsia="宋体" w:cs="Times New Roman"/>
                <w:kern w:val="2"/>
                <w:sz w:val="21"/>
                <w:szCs w:val="24"/>
                <w:lang w:eastAsia="zh-CN"/>
              </w:rPr>
              <w:fldChar w:fldCharType="begin"/>
            </w:r>
            <w:r>
              <w:rPr>
                <w:rFonts w:ascii="Calibri" w:hAnsi="Calibri" w:eastAsia="宋体" w:cs="Times New Roman"/>
                <w:kern w:val="2"/>
                <w:sz w:val="21"/>
                <w:szCs w:val="24"/>
                <w:lang w:eastAsia="zh-CN"/>
              </w:rPr>
              <w:instrText xml:space="preserve"> HYPERLINK "mailto:4@200" \o "mailto:4@200" </w:instrText>
            </w:r>
            <w:r>
              <w:rPr>
                <w:rFonts w:ascii="Calibri" w:hAnsi="Calibri" w:eastAsia="宋体" w:cs="Times New Roman"/>
                <w:kern w:val="2"/>
                <w:sz w:val="21"/>
                <w:szCs w:val="24"/>
                <w:lang w:eastAsia="zh-CN"/>
              </w:rPr>
              <w:fldChar w:fldCharType="separate"/>
            </w:r>
            <w:r>
              <w:rPr>
                <w:rFonts w:hint="eastAsia" w:ascii="宋体" w:hAnsi="宋体" w:eastAsia="宋体" w:cs="宋体"/>
                <w:color w:val="000000"/>
                <w:kern w:val="0"/>
                <w:sz w:val="22"/>
                <w:szCs w:val="22"/>
                <w:lang w:eastAsia="zh-CN" w:bidi="ar"/>
              </w:rPr>
              <w:t>Φ4@200</w:t>
            </w:r>
            <w:r>
              <w:rPr>
                <w:rFonts w:hint="eastAsia" w:ascii="宋体" w:hAnsi="宋体" w:eastAsia="宋体" w:cs="宋体"/>
                <w:color w:val="000000"/>
                <w:kern w:val="0"/>
                <w:sz w:val="22"/>
                <w:szCs w:val="22"/>
                <w:lang w:eastAsia="zh-CN" w:bidi="ar"/>
              </w:rPr>
              <w:fldChar w:fldCharType="end"/>
            </w:r>
          </w:p>
        </w:tc>
        <w:tc>
          <w:tcPr>
            <w:tcW w:w="1290" w:type="dxa"/>
            <w:tcBorders>
              <w:top w:val="single" w:color="auto" w:sz="4" w:space="0"/>
              <w:left w:val="single" w:color="auto" w:sz="4" w:space="0"/>
              <w:bottom w:val="single" w:color="auto" w:sz="4" w:space="0"/>
              <w:right w:val="single" w:color="auto" w:sz="4" w:space="0"/>
            </w:tcBorders>
            <w:shd w:val="clear" w:color="auto" w:fill="auto"/>
            <w:vAlign w:val="center"/>
          </w:tcPr>
          <w:p w14:paraId="290BB1D2">
            <w:pPr>
              <w:widowControl/>
              <w:spacing w:line="240" w:lineRule="auto"/>
              <w:ind w:firstLine="0" w:firstLineChars="0"/>
              <w:jc w:val="center"/>
              <w:textAlignment w:val="center"/>
              <w:rPr>
                <w:rFonts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val="en-US" w:eastAsia="zh-CN" w:bidi="ar"/>
              </w:rPr>
              <w:t>11</w:t>
            </w:r>
            <w:r>
              <w:rPr>
                <w:rFonts w:hint="eastAsia" w:ascii="宋体" w:hAnsi="宋体" w:eastAsia="宋体" w:cs="宋体"/>
                <w:color w:val="000000"/>
                <w:kern w:val="0"/>
                <w:sz w:val="22"/>
                <w:szCs w:val="22"/>
                <w:lang w:eastAsia="zh-CN" w:bidi="ar"/>
              </w:rPr>
              <w:t>5000</w:t>
            </w:r>
          </w:p>
        </w:tc>
        <w:tc>
          <w:tcPr>
            <w:tcW w:w="1919" w:type="dxa"/>
            <w:tcBorders>
              <w:top w:val="single" w:color="auto" w:sz="4" w:space="0"/>
              <w:left w:val="single" w:color="auto" w:sz="4" w:space="0"/>
              <w:bottom w:val="single" w:color="auto" w:sz="4" w:space="0"/>
              <w:right w:val="single" w:color="auto" w:sz="4" w:space="0"/>
            </w:tcBorders>
            <w:vAlign w:val="center"/>
          </w:tcPr>
          <w:p w14:paraId="1AF4D960">
            <w:pPr>
              <w:widowControl/>
              <w:spacing w:line="240" w:lineRule="auto"/>
              <w:ind w:firstLine="0" w:firstLineChars="0"/>
              <w:jc w:val="center"/>
              <w:textAlignment w:val="center"/>
              <w:rPr>
                <w:rFonts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5.20</w:t>
            </w:r>
          </w:p>
        </w:tc>
        <w:tc>
          <w:tcPr>
            <w:tcW w:w="732" w:type="dxa"/>
            <w:tcBorders>
              <w:top w:val="single" w:color="auto" w:sz="4" w:space="0"/>
              <w:left w:val="single" w:color="auto" w:sz="4" w:space="0"/>
              <w:bottom w:val="single" w:color="auto" w:sz="4" w:space="0"/>
              <w:right w:val="single" w:color="auto" w:sz="4" w:space="0"/>
            </w:tcBorders>
            <w:vAlign w:val="center"/>
          </w:tcPr>
          <w:p w14:paraId="35695586">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val="en-US" w:eastAsia="zh-CN" w:bidi="ar"/>
              </w:rPr>
              <w:t>13%</w:t>
            </w:r>
          </w:p>
        </w:tc>
        <w:tc>
          <w:tcPr>
            <w:tcW w:w="1262" w:type="dxa"/>
            <w:tcBorders>
              <w:top w:val="single" w:color="auto" w:sz="4" w:space="0"/>
              <w:left w:val="single" w:color="auto" w:sz="4" w:space="0"/>
              <w:bottom w:val="single" w:color="auto" w:sz="4" w:space="0"/>
              <w:right w:val="single" w:color="auto" w:sz="4" w:space="0"/>
            </w:tcBorders>
            <w:vAlign w:val="center"/>
          </w:tcPr>
          <w:p w14:paraId="75768586">
            <w:pPr>
              <w:widowControl/>
              <w:spacing w:line="240" w:lineRule="auto"/>
              <w:ind w:firstLine="0" w:firstLineChars="0"/>
              <w:jc w:val="center"/>
              <w:textAlignment w:val="center"/>
              <w:rPr>
                <w:rFonts w:ascii="宋体" w:hAnsi="宋体" w:eastAsia="宋体" w:cs="宋体"/>
                <w:color w:val="000000"/>
                <w:kern w:val="0"/>
                <w:sz w:val="22"/>
                <w:szCs w:val="22"/>
                <w:lang w:eastAsia="zh-CN" w:bidi="ar"/>
              </w:rPr>
            </w:pPr>
          </w:p>
        </w:tc>
        <w:tc>
          <w:tcPr>
            <w:tcW w:w="1058" w:type="dxa"/>
            <w:tcBorders>
              <w:top w:val="single" w:color="auto" w:sz="4" w:space="0"/>
              <w:left w:val="single" w:color="auto" w:sz="4" w:space="0"/>
              <w:bottom w:val="single" w:color="auto" w:sz="4" w:space="0"/>
              <w:right w:val="single" w:color="auto" w:sz="4" w:space="0"/>
            </w:tcBorders>
            <w:vAlign w:val="center"/>
          </w:tcPr>
          <w:p w14:paraId="47257465">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p>
        </w:tc>
        <w:tc>
          <w:tcPr>
            <w:tcW w:w="1059" w:type="dxa"/>
            <w:tcBorders>
              <w:top w:val="single" w:color="auto" w:sz="4" w:space="0"/>
              <w:left w:val="single" w:color="auto" w:sz="4" w:space="0"/>
              <w:bottom w:val="single" w:color="auto" w:sz="4" w:space="0"/>
              <w:right w:val="single" w:color="auto" w:sz="4" w:space="0"/>
            </w:tcBorders>
            <w:vAlign w:val="center"/>
          </w:tcPr>
          <w:p w14:paraId="66FE6470">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p>
        </w:tc>
      </w:tr>
      <w:tr w14:paraId="001BF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14:paraId="74B54F15">
            <w:pPr>
              <w:widowControl/>
              <w:spacing w:line="240" w:lineRule="auto"/>
              <w:ind w:firstLine="0" w:firstLineChars="0"/>
              <w:jc w:val="center"/>
              <w:textAlignment w:val="center"/>
              <w:rPr>
                <w:rFonts w:ascii="黑体" w:hAnsi="宋体" w:eastAsia="黑体" w:cs="黑体"/>
                <w:color w:val="000000"/>
                <w:kern w:val="0"/>
                <w:sz w:val="20"/>
                <w:szCs w:val="20"/>
                <w:lang w:eastAsia="zh-CN" w:bidi="ar"/>
              </w:rPr>
            </w:pPr>
            <w:r>
              <w:rPr>
                <w:rFonts w:hint="eastAsia" w:ascii="宋体" w:hAnsi="宋体" w:eastAsia="宋体" w:cs="宋体"/>
                <w:b/>
                <w:bCs/>
                <w:color w:val="000000"/>
                <w:kern w:val="0"/>
                <w:sz w:val="20"/>
                <w:szCs w:val="20"/>
                <w:lang w:eastAsia="zh-CN" w:bidi="ar"/>
              </w:rPr>
              <w:t>4</w:t>
            </w:r>
          </w:p>
        </w:tc>
        <w:tc>
          <w:tcPr>
            <w:tcW w:w="7559" w:type="dxa"/>
            <w:gridSpan w:val="6"/>
            <w:tcBorders>
              <w:top w:val="single" w:color="auto" w:sz="4" w:space="0"/>
              <w:left w:val="single" w:color="auto" w:sz="4" w:space="0"/>
              <w:bottom w:val="single" w:color="auto" w:sz="4" w:space="0"/>
              <w:right w:val="single" w:color="auto" w:sz="4" w:space="0"/>
            </w:tcBorders>
            <w:vAlign w:val="center"/>
          </w:tcPr>
          <w:p w14:paraId="73E4B7A2">
            <w:pPr>
              <w:widowControl/>
              <w:spacing w:line="240" w:lineRule="auto"/>
              <w:ind w:firstLine="0" w:firstLineChars="0"/>
              <w:jc w:val="center"/>
              <w:textAlignment w:val="center"/>
              <w:rPr>
                <w:rFonts w:ascii="宋体" w:hAnsi="宋体" w:eastAsia="宋体" w:cs="宋体"/>
                <w:color w:val="000000"/>
                <w:kern w:val="0"/>
                <w:sz w:val="22"/>
                <w:szCs w:val="22"/>
                <w:lang w:eastAsia="zh-CN" w:bidi="ar"/>
              </w:rPr>
            </w:pPr>
            <w:r>
              <w:rPr>
                <w:rFonts w:hint="eastAsia" w:ascii="宋体" w:hAnsi="宋体" w:eastAsia="宋体" w:cs="宋体"/>
                <w:b/>
                <w:bCs/>
                <w:color w:val="000000"/>
                <w:kern w:val="0"/>
                <w:sz w:val="20"/>
                <w:szCs w:val="20"/>
                <w:lang w:eastAsia="zh-CN" w:bidi="ar"/>
              </w:rPr>
              <w:t>合计</w:t>
            </w:r>
          </w:p>
        </w:tc>
        <w:tc>
          <w:tcPr>
            <w:tcW w:w="1058" w:type="dxa"/>
            <w:tcBorders>
              <w:top w:val="single" w:color="auto" w:sz="4" w:space="0"/>
              <w:left w:val="single" w:color="auto" w:sz="4" w:space="0"/>
              <w:bottom w:val="single" w:color="auto" w:sz="4" w:space="0"/>
              <w:right w:val="single" w:color="auto" w:sz="4" w:space="0"/>
            </w:tcBorders>
            <w:vAlign w:val="center"/>
          </w:tcPr>
          <w:p w14:paraId="387383BB">
            <w:pPr>
              <w:widowControl/>
              <w:spacing w:line="240" w:lineRule="auto"/>
              <w:ind w:firstLine="0" w:firstLineChars="0"/>
              <w:jc w:val="center"/>
              <w:textAlignment w:val="center"/>
              <w:rPr>
                <w:rFonts w:ascii="宋体" w:hAnsi="宋体" w:eastAsia="宋体" w:cs="宋体"/>
                <w:color w:val="000000"/>
                <w:kern w:val="0"/>
                <w:sz w:val="22"/>
                <w:szCs w:val="22"/>
                <w:lang w:eastAsia="zh-CN" w:bidi="ar"/>
              </w:rPr>
            </w:pPr>
          </w:p>
        </w:tc>
        <w:tc>
          <w:tcPr>
            <w:tcW w:w="1059" w:type="dxa"/>
            <w:tcBorders>
              <w:top w:val="single" w:color="auto" w:sz="4" w:space="0"/>
              <w:left w:val="single" w:color="auto" w:sz="4" w:space="0"/>
              <w:bottom w:val="single" w:color="auto" w:sz="4" w:space="0"/>
              <w:right w:val="single" w:color="auto" w:sz="4" w:space="0"/>
            </w:tcBorders>
            <w:vAlign w:val="center"/>
          </w:tcPr>
          <w:p w14:paraId="40F5BA18">
            <w:pPr>
              <w:widowControl/>
              <w:spacing w:line="240" w:lineRule="auto"/>
              <w:ind w:firstLine="0" w:firstLineChars="0"/>
              <w:jc w:val="center"/>
              <w:textAlignment w:val="center"/>
              <w:rPr>
                <w:rFonts w:ascii="宋体" w:hAnsi="宋体" w:eastAsia="宋体" w:cs="宋体"/>
                <w:color w:val="000000"/>
                <w:kern w:val="0"/>
                <w:sz w:val="22"/>
                <w:szCs w:val="22"/>
                <w:lang w:eastAsia="zh-CN" w:bidi="ar"/>
              </w:rPr>
            </w:pPr>
          </w:p>
        </w:tc>
      </w:tr>
    </w:tbl>
    <w:p w14:paraId="505820B5">
      <w:pPr>
        <w:pStyle w:val="3"/>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247514288"/>
      <w:bookmarkStart w:id="285" w:name="_Toc300835221"/>
      <w:bookmarkStart w:id="286" w:name="_Toc144974864"/>
      <w:bookmarkStart w:id="287" w:name="_Toc247527836"/>
      <w:bookmarkStart w:id="288" w:name="_Toc152045796"/>
      <w:bookmarkStart w:id="289" w:name="_Toc152042585"/>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7085891"/>
      <w:bookmarkStart w:id="292" w:name="_Toc246997116"/>
      <w:bookmarkStart w:id="293" w:name="_Toc246996373"/>
      <w:bookmarkStart w:id="294" w:name="_Toc179632828"/>
      <w:bookmarkStart w:id="295" w:name="_Toc296602618"/>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7113"/>
      <w:bookmarkStart w:id="297" w:name="_Toc296602615"/>
      <w:bookmarkStart w:id="298" w:name="_Toc247085888"/>
      <w:bookmarkStart w:id="299" w:name="_Toc246996370"/>
      <w:bookmarkStart w:id="300" w:name="_Toc144974878"/>
      <w:bookmarkStart w:id="301" w:name="_Toc152042599"/>
      <w:bookmarkStart w:id="302" w:name="_Toc247514302"/>
      <w:bookmarkStart w:id="303" w:name="_Toc152045810"/>
      <w:bookmarkStart w:id="304" w:name="_Toc300835226"/>
      <w:bookmarkStart w:id="305" w:name="_Toc24752785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96602616"/>
      <w:bookmarkStart w:id="307" w:name="_Toc247085889"/>
      <w:bookmarkStart w:id="308" w:name="_Toc246997114"/>
      <w:bookmarkStart w:id="309" w:name="_Toc246996371"/>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2600"/>
      <w:bookmarkStart w:id="311" w:name="_Toc247514303"/>
      <w:bookmarkStart w:id="312" w:name="_Toc144974879"/>
      <w:bookmarkStart w:id="313" w:name="_Toc152045811"/>
      <w:bookmarkStart w:id="314" w:name="_Toc24752785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27853"/>
      <w:bookmarkStart w:id="316" w:name="_Toc247514305"/>
      <w:bookmarkStart w:id="317" w:name="_Toc152042602"/>
      <w:bookmarkStart w:id="318" w:name="_Toc144974881"/>
      <w:bookmarkStart w:id="319" w:name="_Toc247530162"/>
      <w:bookmarkStart w:id="320" w:name="_Toc152045813"/>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622B6EB-BB2D-437D-B445-7B7040485F9A}"/>
  </w:font>
  <w:font w:name="Arial">
    <w:panose1 w:val="020B0604020202020204"/>
    <w:charset w:val="01"/>
    <w:family w:val="swiss"/>
    <w:pitch w:val="default"/>
    <w:sig w:usb0="E0002EFF" w:usb1="C000785B" w:usb2="00000009" w:usb3="00000000" w:csb0="400001FF" w:csb1="FFFF0000"/>
    <w:embedRegular r:id="rId2" w:fontKey="{CA439C2A-CFB6-4C98-BA97-729DCA297537}"/>
  </w:font>
  <w:font w:name="黑体">
    <w:panose1 w:val="02010609060101010101"/>
    <w:charset w:val="86"/>
    <w:family w:val="auto"/>
    <w:pitch w:val="default"/>
    <w:sig w:usb0="800002BF" w:usb1="38CF7CFA" w:usb2="00000016" w:usb3="00000000" w:csb0="00040001" w:csb1="00000000"/>
    <w:embedRegular r:id="rId3" w:fontKey="{6131397E-AC03-4314-A9A6-918D6228569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C829307E-863F-4609-8F05-4BCC0DA9F2D9}"/>
  </w:font>
  <w:font w:name="仿宋_GB2312">
    <w:panose1 w:val="02010609030101010101"/>
    <w:charset w:val="86"/>
    <w:family w:val="modern"/>
    <w:pitch w:val="default"/>
    <w:sig w:usb0="00000001" w:usb1="080E0000" w:usb2="00000000" w:usb3="00000000" w:csb0="00040000" w:csb1="00000000"/>
    <w:embedRegular r:id="rId5" w:fontKey="{F893ED89-301F-4781-B922-43B6D7E5DD2D}"/>
  </w:font>
  <w:font w:name="方正小标宋简体">
    <w:panose1 w:val="02000000000000000000"/>
    <w:charset w:val="86"/>
    <w:family w:val="auto"/>
    <w:pitch w:val="default"/>
    <w:sig w:usb0="00000001" w:usb1="08000000" w:usb2="00000000" w:usb3="00000000" w:csb0="00040000" w:csb1="00000000"/>
    <w:embedRegular r:id="rId6" w:fontKey="{91090617-5D92-4ECE-BD4E-3ECDEB585C9F}"/>
  </w:font>
  <w:font w:name="楷体">
    <w:panose1 w:val="02010609060101010101"/>
    <w:charset w:val="86"/>
    <w:family w:val="auto"/>
    <w:pitch w:val="default"/>
    <w:sig w:usb0="800002BF" w:usb1="38CF7CFA" w:usb2="00000016" w:usb3="00000000" w:csb0="00040001" w:csb1="00000000"/>
    <w:embedRegular r:id="rId7" w:fontKey="{506E236D-0743-4442-852E-8CD2D06D9022}"/>
  </w:font>
  <w:font w:name="Wingdings 2">
    <w:panose1 w:val="05020102010507070707"/>
    <w:charset w:val="00"/>
    <w:family w:val="auto"/>
    <w:pitch w:val="default"/>
    <w:sig w:usb0="00000000" w:usb1="00000000" w:usb2="00000000" w:usb3="00000000" w:csb0="80000000" w:csb1="00000000"/>
    <w:embedRegular r:id="rId8" w:fontKey="{AB0F85B9-0D15-422D-BC5A-3DCC9B1AF14F}"/>
  </w:font>
  <w:font w:name="方正仿宋_GB2312">
    <w:panose1 w:val="02000000000000000000"/>
    <w:charset w:val="86"/>
    <w:family w:val="auto"/>
    <w:pitch w:val="default"/>
    <w:sig w:usb0="A00002BF" w:usb1="184F6CFA" w:usb2="00000012" w:usb3="00000000" w:csb0="00040001" w:csb1="00000000"/>
    <w:embedRegular r:id="rId9" w:fontKey="{2F1ED00B-E803-443C-A517-C35370D12053}"/>
  </w:font>
  <w:font w:name="仿宋">
    <w:panose1 w:val="02010609060101010101"/>
    <w:charset w:val="86"/>
    <w:family w:val="modern"/>
    <w:pitch w:val="default"/>
    <w:sig w:usb0="800002BF" w:usb1="38CF7CFA" w:usb2="00000016" w:usb3="00000000" w:csb0="00040001" w:csb1="00000000"/>
    <w:embedRegular r:id="rId10" w:fontKey="{03D6ADF1-C95D-4541-9676-B825849D39B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C5CA4"/>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7066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01569"/>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065F4"/>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B87C85"/>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11135</Words>
  <Characters>12053</Characters>
  <Lines>0</Lines>
  <Paragraphs>0</Paragraphs>
  <TotalTime>1</TotalTime>
  <ScaleCrop>false</ScaleCrop>
  <LinksUpToDate>false</LinksUpToDate>
  <CharactersWithSpaces>12205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2025-05-15T00:24:00Z</cp:lastPrinted>
  <dcterms:modified xsi:type="dcterms:W3CDTF">2025-05-15T08:06:29Z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3DC1C1C5EC6741F69426F536341F9981</vt:lpwstr>
  </property>
  <property fmtid="{D5CDD505-2E9C-101B-9397-08002B2CF9AE}" pid="4" name="KSOTemplateDocerSaveRecord">
    <vt:lpwstr>eyJoZGlkIjoiOTc3M2Y5NzIzMDFlZjAyY2Q4Njk5ODkyYjFjNzBiNTQiLCJ1c2VySWQiOiIzMTAwODg2NjAifQ==</vt:lpwstr>
  </property>
</Properties>
</file>