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亳州高铁南站金融商务中心1#、2#楼纱窗采购安装</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002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亳州通惠房地产开发有限公司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2025年4</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（最低评审价法）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 xml:space="preserve"> 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534FD59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亳州高铁南站金融商务中心1#、2#楼纱窗采购安装</w:t>
      </w:r>
      <w:r>
        <w:rPr>
          <w:rFonts w:hint="eastAsia" w:ascii="Times New Roman" w:hAnsi="Times New Roman" w:eastAsia="黑体" w:cs="Times New Roman"/>
          <w:sz w:val="28"/>
          <w:szCs w:val="28"/>
          <w:highlight w:val="none"/>
          <w:u w:val="none"/>
          <w:lang w:val="en-US" w:eastAsia="zh-CN"/>
        </w:rPr>
        <w:t>（项目名称）</w:t>
      </w: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2295"/>
      <w:bookmarkStart w:id="2" w:name="_Toc246996909"/>
      <w:bookmarkStart w:id="3" w:name="_Toc179632536"/>
      <w:bookmarkStart w:id="4" w:name="_Toc296602410"/>
      <w:bookmarkStart w:id="5" w:name="_Toc144974487"/>
      <w:bookmarkStart w:id="6" w:name="_Toc246996166"/>
      <w:bookmarkStart w:id="7" w:name="_Toc152045519"/>
      <w:bookmarkStart w:id="349" w:name="_GoBack"/>
      <w:r>
        <w:rPr>
          <w:rFonts w:hint="eastAsia" w:ascii="宋体" w:hAnsi="宋体" w:eastAsia="宋体" w:cs="宋体"/>
          <w:sz w:val="28"/>
          <w:szCs w:val="28"/>
          <w:highlight w:val="none"/>
          <w:u w:val="single"/>
          <w:lang w:val="en-US" w:eastAsia="zh-CN"/>
        </w:rPr>
        <w:t>亳州高铁南站金融商务中心1#、2#楼纱窗采购安装</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86B75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52042296"/>
      <w:bookmarkStart w:id="9" w:name="_Toc246996910"/>
      <w:bookmarkStart w:id="10" w:name="_Toc152045520"/>
      <w:bookmarkStart w:id="11" w:name="_Toc296602411"/>
      <w:bookmarkStart w:id="12" w:name="_Toc144974488"/>
      <w:bookmarkStart w:id="13" w:name="_Toc247085681"/>
      <w:bookmarkStart w:id="14" w:name="_Toc246996167"/>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亳州高铁南站金融商务中心1#、2#楼纱窗采购安装</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BZZC-2025- </w:t>
      </w:r>
      <w:r>
        <w:rPr>
          <w:rFonts w:hint="eastAsia" w:asciiTheme="minorEastAsia" w:hAnsiTheme="minorEastAsia" w:cstheme="minorEastAsia"/>
          <w:sz w:val="28"/>
          <w:szCs w:val="28"/>
          <w:highlight w:val="none"/>
          <w:lang w:val="en-US" w:eastAsia="zh-CN"/>
        </w:rPr>
        <w:t>002</w:t>
      </w:r>
      <w:r>
        <w:rPr>
          <w:rFonts w:hint="eastAsia" w:asciiTheme="minorEastAsia" w:hAnsiTheme="minorEastAsia" w:eastAsiaTheme="minorEastAsia" w:cstheme="minorEastAsia"/>
          <w:sz w:val="28"/>
          <w:szCs w:val="28"/>
          <w:highlight w:val="none"/>
          <w:lang w:val="en-US" w:eastAsia="zh-CN"/>
        </w:rPr>
        <w:t xml:space="preserve">  号  </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lang w:val="en-US" w:eastAsia="zh-CN"/>
        </w:rPr>
        <w:t xml:space="preserve"> 亳州通惠房地产开发有限公司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已落实</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u w:val="single"/>
          <w:lang w:val="en-US" w:eastAsia="zh-CN"/>
        </w:rPr>
        <w:t>（含税</w:t>
      </w:r>
      <w:r>
        <w:rPr>
          <w:rFonts w:hint="eastAsia" w:asciiTheme="minorEastAsia" w:hAnsiTheme="minorEastAsia" w:cstheme="minorEastAsia"/>
          <w:color w:val="FF0000"/>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color w:val="FF0000"/>
          <w:sz w:val="28"/>
          <w:szCs w:val="28"/>
          <w:highlight w:val="none"/>
          <w:u w:val="single"/>
          <w:lang w:val="en-US" w:eastAsia="zh-CN"/>
        </w:rPr>
        <w:t xml:space="preserve">127000元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固定单价</w:t>
      </w:r>
      <w:permEnd w:id="12"/>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亳州高铁南站金融商务中心项目2#楼1</w:t>
      </w:r>
      <w:r>
        <w:rPr>
          <w:rFonts w:hint="eastAsia" w:asciiTheme="minorEastAsia" w:hAnsiTheme="minorEastAsia" w:cstheme="minorEastAsia"/>
          <w:sz w:val="28"/>
          <w:szCs w:val="28"/>
          <w:highlight w:val="none"/>
          <w:lang w:val="en-US" w:eastAsia="zh-CN"/>
        </w:rPr>
        <w:t>层、3</w:t>
      </w:r>
      <w:r>
        <w:rPr>
          <w:rFonts w:hint="eastAsia" w:asciiTheme="minorEastAsia" w:hAnsiTheme="minorEastAsia" w:eastAsiaTheme="minorEastAsia" w:cstheme="minorEastAsia"/>
          <w:sz w:val="28"/>
          <w:szCs w:val="28"/>
          <w:highlight w:val="none"/>
          <w:lang w:val="en-US" w:eastAsia="zh-CN"/>
        </w:rPr>
        <w:t>-6层、1#楼1-2层食堂窗户纱窗包括不限于采购、运输、装卸、人工、税费等，纱窗面积约</w:t>
      </w:r>
      <w:r>
        <w:rPr>
          <w:rFonts w:hint="eastAsia" w:asciiTheme="minorEastAsia" w:hAnsiTheme="minorEastAsia" w:cstheme="minorEastAsia"/>
          <w:sz w:val="28"/>
          <w:szCs w:val="28"/>
          <w:highlight w:val="none"/>
          <w:lang w:val="en-US" w:eastAsia="zh-CN"/>
        </w:rPr>
        <w:t>97</w:t>
      </w:r>
      <w:r>
        <w:rPr>
          <w:rFonts w:hint="eastAsia" w:asciiTheme="minorEastAsia" w:hAnsiTheme="minorEastAsia" w:eastAsiaTheme="minorEastAsia" w:cstheme="minorEastAsia"/>
          <w:sz w:val="28"/>
          <w:szCs w:val="28"/>
          <w:highlight w:val="none"/>
          <w:lang w:val="en-US" w:eastAsia="zh-CN"/>
        </w:rPr>
        <w:t>0平方，灰色纱窗，型材规格不低于14mm*25mm*1.2mm,纱网采用304不锈钢，网密度18目，网眼平整均匀，密码平锁(一字锁)，金属护角，折弯压网，最终以实际安装面积为准进行结算。</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自合同签订日起7个日历</w:t>
      </w:r>
      <w:r>
        <w:rPr>
          <w:rFonts w:hint="eastAsia" w:asciiTheme="minorEastAsia" w:hAnsiTheme="minorEastAsia" w:cstheme="minorEastAsia"/>
          <w:sz w:val="28"/>
          <w:szCs w:val="28"/>
          <w:highlight w:val="none"/>
          <w:lang w:val="en-US" w:eastAsia="zh-CN"/>
        </w:rPr>
        <w:t>天。</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亳州市高新区酒城大道以北、神农大道以西亳州高铁南站金融商务中心</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符合国家、地方、行业现行相关规范合格标准及采购人要求。</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亳州市高新区酒城大道以北、神农大道以西亳州高铁南站金融商务中心2号楼6楼西侧开标室</w:t>
      </w:r>
      <w:r>
        <w:rPr>
          <w:rFonts w:hint="eastAsia" w:asciiTheme="minorEastAsia" w:hAnsiTheme="minorEastAsia" w:cstheme="minorEastAsia"/>
          <w:i w:val="0"/>
          <w:iCs w:val="0"/>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7AAF4E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1"/>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亳州通惠房地产开发有限公司</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亳州市高新区酒城大道以北、神农大道以西亳州高铁南站金融商务中心</w:t>
      </w:r>
      <w:r>
        <w:rPr>
          <w:rFonts w:hint="eastAsia" w:asciiTheme="minorEastAsia" w:hAnsiTheme="minorEastAsia" w:cstheme="minorEastAsia"/>
          <w:sz w:val="28"/>
          <w:szCs w:val="28"/>
          <w:highlight w:val="none"/>
          <w:lang w:val="en-US" w:eastAsia="zh-CN"/>
        </w:rPr>
        <w:t xml:space="preserve"> </w:t>
      </w:r>
      <w:permEnd w:id="24"/>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  秦工  </w:t>
      </w:r>
      <w:permEnd w:id="25"/>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highlight w:val="none"/>
          <w:lang w:val="en-US" w:eastAsia="zh-CN"/>
        </w:rPr>
        <w:t xml:space="preserve"> 15205679165  </w:t>
      </w:r>
      <w:permEnd w:id="26"/>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75D831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（工作日8:00-12:00，14:30-17:30）</w:t>
      </w: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亳州通惠房地产开发有限公司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 xml:space="preserve"> 29 </w:t>
      </w:r>
      <w:r>
        <w:rPr>
          <w:rFonts w:hint="eastAsia" w:asciiTheme="minorEastAsia" w:hAnsiTheme="minorEastAsia" w:eastAsiaTheme="minorEastAsia" w:cstheme="minorEastAsia"/>
          <w:color w:val="FF0000"/>
          <w:sz w:val="28"/>
          <w:szCs w:val="28"/>
          <w:highlight w:val="none"/>
          <w:lang w:val="en-US" w:eastAsia="zh-CN"/>
        </w:rPr>
        <w:t>日</w:t>
      </w:r>
      <w:permEnd w:id="27"/>
      <w:bookmarkEnd w:id="349"/>
      <w:r>
        <w:rPr>
          <w:rFonts w:hint="default" w:ascii="Times New Roman" w:hAnsi="Times New Roman" w:eastAsia="仿宋_GB2312" w:cs="Times New Roman"/>
          <w:kern w:val="0"/>
          <w:sz w:val="32"/>
          <w:szCs w:val="32"/>
          <w:highlight w:val="none"/>
          <w:lang w:val="en-US" w:eastAsia="zh-CN"/>
        </w:rPr>
        <w:br w:type="page"/>
      </w: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5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7 </w:t>
            </w:r>
            <w:r>
              <w:rPr>
                <w:rFonts w:hint="eastAsia" w:ascii="Times New Roman" w:hAnsi="Times New Roman" w:cs="Times New Roman"/>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5" w:edGrp="everyone"/>
            <w:r>
              <w:rPr>
                <w:rFonts w:hint="eastAsia" w:ascii="Times New Roman" w:hAnsi="Times New Roman" w:cs="Times New Roman"/>
                <w:color w:val="auto"/>
                <w:szCs w:val="21"/>
                <w:highlight w:val="none"/>
                <w:u w:val="single"/>
                <w:lang w:val="en-US" w:eastAsia="zh-CN"/>
              </w:rPr>
              <w:t xml:space="preserve">  1000元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297D2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开户名称：亳州通惠房地产开发有限公司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开户银行：亳州药都农村商业银行股份有限公司</w:t>
            </w:r>
          </w:p>
          <w:p w14:paraId="33F89F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银行账号：20010186460466600000011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BZZC-2025-   002号保证金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开启地址：亳州市高新区酒城大道以北、神农大道以西亳州高铁南站金融商务中心2号楼6楼西侧开标室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采购人：亳州通惠房地产开发有限公司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亳州高铁南站金融商务中心1#、2#楼纱窗采购安装项目响应文件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002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5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8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亳州资产公司  李工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亳州市高新区金融商务中心</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EA48B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开户名称：亳州通惠房地产开发有限公司</w:t>
            </w:r>
          </w:p>
          <w:p w14:paraId="091103B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2D8EEE4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银行账号：20010186460466600000011</w:t>
            </w:r>
          </w:p>
          <w:p w14:paraId="3316FC45">
            <w:pPr>
              <w:pStyle w:val="2"/>
              <w:rPr>
                <w:rFonts w:hint="default"/>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2"/>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b/>
                <w:bCs/>
                <w:color w:val="FF0000"/>
                <w:szCs w:val="21"/>
                <w:highlight w:val="none"/>
                <w:lang w:val="en-US" w:eastAsia="zh-CN"/>
              </w:rPr>
              <w:t xml:space="preserve"> 3000元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44974500"/>
      <w:bookmarkStart w:id="17" w:name="_Toc246996178"/>
      <w:bookmarkStart w:id="18" w:name="_Toc152042308"/>
      <w:bookmarkStart w:id="19" w:name="_Toc246996921"/>
      <w:bookmarkStart w:id="20" w:name="_Toc179632549"/>
      <w:bookmarkStart w:id="21" w:name="_Toc247085692"/>
      <w:bookmarkStart w:id="22" w:name="_Toc296602423"/>
      <w:bookmarkStart w:id="23" w:name="_Toc15204553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152045536"/>
      <w:bookmarkStart w:id="26" w:name="_Toc246996181"/>
      <w:bookmarkStart w:id="27" w:name="_Toc247085695"/>
      <w:bookmarkStart w:id="28" w:name="_Toc296602426"/>
      <w:bookmarkStart w:id="29" w:name="_Toc179632553"/>
      <w:bookmarkStart w:id="30" w:name="_Toc152042312"/>
      <w:bookmarkStart w:id="31" w:name="_Toc24699692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182"/>
      <w:bookmarkStart w:id="34" w:name="_Toc247085696"/>
      <w:bookmarkStart w:id="35" w:name="_Toc152042313"/>
      <w:bookmarkStart w:id="36" w:name="_Toc296602427"/>
      <w:bookmarkStart w:id="37" w:name="_Toc246996925"/>
      <w:bookmarkStart w:id="38" w:name="_Toc15204553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6996926"/>
      <w:bookmarkStart w:id="42" w:name="_Toc247085697"/>
      <w:bookmarkStart w:id="43" w:name="_Toc152042314"/>
      <w:bookmarkStart w:id="44" w:name="_Toc152045538"/>
      <w:bookmarkStart w:id="45" w:name="_Toc246996183"/>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0"/>
      <w:bookmarkStart w:id="48" w:name="_Toc246996930"/>
      <w:bookmarkStart w:id="49" w:name="_Toc246996187"/>
      <w:bookmarkStart w:id="50" w:name="_Toc247085701"/>
      <w:bookmarkStart w:id="51" w:name="_Toc152045542"/>
      <w:bookmarkStart w:id="52" w:name="_Toc144974510"/>
      <w:bookmarkStart w:id="53" w:name="_Toc296602432"/>
      <w:bookmarkStart w:id="54" w:name="_Toc152042318"/>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247085702"/>
      <w:bookmarkStart w:id="57" w:name="_Toc246996931"/>
      <w:bookmarkStart w:id="58" w:name="_Toc152045543"/>
      <w:bookmarkStart w:id="59" w:name="_Toc152042319"/>
      <w:bookmarkStart w:id="60" w:name="_Toc296602433"/>
      <w:bookmarkStart w:id="61" w:name="_Toc144974511"/>
      <w:bookmarkStart w:id="62" w:name="_Toc246996188"/>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247085703"/>
      <w:bookmarkStart w:id="65" w:name="_Toc144974512"/>
      <w:bookmarkStart w:id="66" w:name="_Toc179632562"/>
      <w:bookmarkStart w:id="67" w:name="_Toc246996189"/>
      <w:bookmarkStart w:id="68" w:name="_Toc296602434"/>
      <w:bookmarkStart w:id="69" w:name="_Toc152042320"/>
      <w:bookmarkStart w:id="70" w:name="_Toc24699693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152045545"/>
      <w:bookmarkStart w:id="73" w:name="_Toc246996933"/>
      <w:bookmarkStart w:id="74" w:name="_Toc152042321"/>
      <w:bookmarkStart w:id="75" w:name="_Toc296602435"/>
      <w:bookmarkStart w:id="76" w:name="_Toc179632563"/>
      <w:bookmarkStart w:id="77" w:name="_Toc247085704"/>
      <w:bookmarkStart w:id="78" w:name="_Toc14497451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5546"/>
      <w:bookmarkStart w:id="80" w:name="_Toc296602436"/>
      <w:bookmarkStart w:id="81" w:name="_Toc144974514"/>
      <w:bookmarkStart w:id="82" w:name="_Toc179632564"/>
      <w:bookmarkStart w:id="83" w:name="_Toc247085705"/>
      <w:bookmarkStart w:id="84" w:name="_Toc246996191"/>
      <w:bookmarkStart w:id="85" w:name="_Toc246996934"/>
      <w:bookmarkStart w:id="86" w:name="_Toc152042322"/>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6996192"/>
      <w:bookmarkStart w:id="89" w:name="_Toc179632565"/>
      <w:bookmarkStart w:id="90" w:name="_Toc152042323"/>
      <w:bookmarkStart w:id="91" w:name="_Toc296602437"/>
      <w:bookmarkStart w:id="92" w:name="_Toc247085706"/>
      <w:bookmarkStart w:id="93" w:name="_Toc144974515"/>
      <w:bookmarkStart w:id="94"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193"/>
      <w:bookmarkStart w:id="96" w:name="_Toc152042324"/>
      <w:bookmarkStart w:id="97" w:name="_Toc152045548"/>
      <w:bookmarkStart w:id="98" w:name="_Toc296602438"/>
      <w:bookmarkStart w:id="99" w:name="_Toc144974516"/>
      <w:bookmarkStart w:id="100" w:name="_Toc246996936"/>
      <w:bookmarkStart w:id="101" w:name="_Toc247085707"/>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79632567"/>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194"/>
      <w:bookmarkStart w:id="109" w:name="_Toc296602439"/>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42"/>
      <w:bookmarkStart w:id="112" w:name="_Toc179632573"/>
      <w:bookmarkStart w:id="113" w:name="_Toc152042331"/>
      <w:bookmarkStart w:id="114" w:name="_Toc247085713"/>
      <w:bookmarkStart w:id="115" w:name="_Toc144974523"/>
      <w:bookmarkStart w:id="116" w:name="_Toc296602443"/>
      <w:bookmarkStart w:id="117" w:name="_Toc246996199"/>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74"/>
      <w:bookmarkStart w:id="120" w:name="_Toc246996200"/>
      <w:bookmarkStart w:id="121" w:name="_Toc247085714"/>
      <w:bookmarkStart w:id="122" w:name="_Toc144974524"/>
      <w:bookmarkStart w:id="123" w:name="_Toc152045556"/>
      <w:bookmarkStart w:id="124" w:name="_Toc296602444"/>
      <w:bookmarkStart w:id="125" w:name="_Toc152042332"/>
      <w:bookmarkStart w:id="126" w:name="_Toc246996943"/>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7"/>
      <w:bookmarkStart w:id="128" w:name="_Toc152042333"/>
      <w:bookmarkStart w:id="129" w:name="_Toc247085715"/>
      <w:bookmarkStart w:id="130" w:name="_Toc246996201"/>
      <w:bookmarkStart w:id="131" w:name="_Toc144974525"/>
      <w:bookmarkStart w:id="132" w:name="_Toc179632575"/>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2"/>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152042334"/>
      <w:bookmarkStart w:id="136" w:name="_Toc246996945"/>
      <w:bookmarkStart w:id="137" w:name="_Toc247085716"/>
      <w:bookmarkStart w:id="138" w:name="_Toc152045558"/>
      <w:bookmarkStart w:id="139" w:name="_Toc246996202"/>
      <w:bookmarkStart w:id="140" w:name="_Toc179632576"/>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203"/>
      <w:bookmarkStart w:id="143" w:name="_Toc247085717"/>
      <w:bookmarkStart w:id="144" w:name="_Toc296602447"/>
      <w:bookmarkStart w:id="145" w:name="_Toc246996946"/>
      <w:bookmarkStart w:id="146" w:name="_Toc152042335"/>
      <w:bookmarkStart w:id="147" w:name="_Toc179632577"/>
      <w:bookmarkStart w:id="148" w:name="_Toc144974527"/>
      <w:bookmarkStart w:id="149" w:name="_Toc152045559"/>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78"/>
      <w:bookmarkStart w:id="151" w:name="_Toc246996947"/>
      <w:bookmarkStart w:id="152" w:name="_Toc247085718"/>
      <w:bookmarkStart w:id="153" w:name="_Toc246996204"/>
      <w:bookmarkStart w:id="154" w:name="_Toc152042336"/>
      <w:bookmarkStart w:id="155" w:name="_Toc152045560"/>
      <w:bookmarkStart w:id="156" w:name="_Toc144974528"/>
      <w:bookmarkStart w:id="157"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8"/>
      <w:bookmarkStart w:id="159" w:name="_Toc179632579"/>
      <w:bookmarkStart w:id="160" w:name="_Toc152045561"/>
      <w:bookmarkStart w:id="161" w:name="_Toc152042337"/>
      <w:bookmarkStart w:id="162" w:name="_Toc246996205"/>
      <w:bookmarkStart w:id="163" w:name="_Toc296602449"/>
      <w:bookmarkStart w:id="164" w:name="_Toc144974529"/>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179632581"/>
      <w:bookmarkStart w:id="168" w:name="_Toc296602452"/>
      <w:bookmarkStart w:id="169" w:name="_Toc152045563"/>
      <w:bookmarkStart w:id="170" w:name="_Toc144974531"/>
      <w:bookmarkStart w:id="171" w:name="_Toc247085721"/>
      <w:bookmarkStart w:id="172" w:name="_Toc246996950"/>
      <w:bookmarkStart w:id="173" w:name="_Toc246996207"/>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246996210"/>
      <w:bookmarkStart w:id="176" w:name="_Toc152045566"/>
      <w:bookmarkStart w:id="177" w:name="_Toc247085724"/>
      <w:bookmarkStart w:id="178" w:name="_Toc152042342"/>
      <w:bookmarkStart w:id="179" w:name="_Toc179632584"/>
      <w:bookmarkStart w:id="180" w:name="_Toc144974534"/>
      <w:bookmarkStart w:id="181" w:name="_Toc296602455"/>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179632585"/>
      <w:bookmarkStart w:id="184" w:name="_Toc247085725"/>
      <w:bookmarkStart w:id="185" w:name="_Toc152042343"/>
      <w:bookmarkStart w:id="186" w:name="_Toc152045567"/>
      <w:bookmarkStart w:id="187" w:name="_Toc296602456"/>
      <w:bookmarkStart w:id="188" w:name="_Toc144974535"/>
      <w:bookmarkStart w:id="189" w:name="_Toc246996211"/>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2344"/>
      <w:bookmarkStart w:id="192" w:name="_Toc179632586"/>
      <w:bookmarkStart w:id="193" w:name="_Toc246996212"/>
      <w:bookmarkStart w:id="194" w:name="_Toc296602458"/>
      <w:bookmarkStart w:id="195" w:name="_Toc144974536"/>
      <w:bookmarkStart w:id="196" w:name="_Toc246996955"/>
      <w:bookmarkStart w:id="197" w:name="_Toc247085726"/>
      <w:bookmarkStart w:id="198" w:name="_Toc15204556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246996956"/>
      <w:bookmarkStart w:id="201" w:name="_Toc152042345"/>
      <w:bookmarkStart w:id="202" w:name="_Toc152045569"/>
      <w:bookmarkStart w:id="203" w:name="_Toc296602459"/>
      <w:bookmarkStart w:id="204" w:name="_Toc247085727"/>
      <w:bookmarkStart w:id="205" w:name="_Toc246996213"/>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246996219"/>
      <w:bookmarkStart w:id="210" w:name="_Toc152042351"/>
      <w:bookmarkStart w:id="211" w:name="_Toc179632593"/>
      <w:bookmarkStart w:id="212" w:name="_Toc296602462"/>
      <w:bookmarkStart w:id="213" w:name="_Toc152045575"/>
      <w:bookmarkStart w:id="214" w:name="_Toc144974543"/>
      <w:bookmarkStart w:id="215" w:name="_Toc247085733"/>
      <w:bookmarkStart w:id="216" w:name="_Toc2469969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17" w:name="_Toc246996963"/>
      <w:bookmarkStart w:id="218" w:name="_Toc179632594"/>
      <w:bookmarkStart w:id="219" w:name="_Toc144974544"/>
      <w:bookmarkStart w:id="220" w:name="_Toc152045576"/>
      <w:bookmarkStart w:id="221" w:name="_Toc246996220"/>
      <w:bookmarkStart w:id="222" w:name="_Toc152042352"/>
      <w:bookmarkStart w:id="223" w:name="_Toc247085734"/>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246996221"/>
      <w:bookmarkStart w:id="227" w:name="_Toc152045577"/>
      <w:bookmarkStart w:id="228" w:name="_Toc179632595"/>
      <w:bookmarkStart w:id="229" w:name="_Toc144974545"/>
      <w:bookmarkStart w:id="230" w:name="_Toc152042353"/>
      <w:bookmarkStart w:id="231" w:name="_Toc247085735"/>
      <w:bookmarkStart w:id="232" w:name="_Toc2966024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52045589"/>
      <w:bookmarkStart w:id="234" w:name="_Toc246996975"/>
      <w:bookmarkStart w:id="235" w:name="_Toc247085747"/>
      <w:bookmarkStart w:id="236" w:name="_Toc296602477"/>
      <w:bookmarkStart w:id="237" w:name="_Toc152042366"/>
      <w:bookmarkStart w:id="238" w:name="_Toc179632607"/>
      <w:bookmarkStart w:id="239" w:name="_Toc246996232"/>
      <w:bookmarkStart w:id="240" w:name="_Toc144974556"/>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10C1BAD7">
      <w:pPr>
        <w:rPr>
          <w:rFonts w:hint="default" w:ascii="Times New Roman" w:hAnsi="Times New Roman" w:cs="Times New Roman" w:eastAsiaTheme="minorEastAsia"/>
          <w:b/>
          <w:bCs/>
          <w:kern w:val="0"/>
          <w:sz w:val="28"/>
          <w:szCs w:val="28"/>
          <w:highlight w:val="none"/>
          <w:lang w:val="en-US" w:eastAsia="zh-CN"/>
        </w:rPr>
      </w:pPr>
    </w:p>
    <w:p w14:paraId="76AF663E">
      <w:pPr>
        <w:rPr>
          <w:rFonts w:hint="default" w:ascii="Times New Roman" w:hAnsi="Times New Roman" w:cs="Times New Roman" w:eastAsiaTheme="minorEastAsia"/>
          <w:b/>
          <w:bCs/>
          <w:kern w:val="0"/>
          <w:sz w:val="28"/>
          <w:szCs w:val="28"/>
          <w:highlight w:val="none"/>
          <w:lang w:val="en-US" w:eastAsia="zh-CN"/>
        </w:rPr>
      </w:pPr>
      <w:bookmarkStart w:id="241" w:name="_Toc152042370"/>
      <w:bookmarkStart w:id="242" w:name="_Toc246996979"/>
      <w:bookmarkStart w:id="243" w:name="_Toc246996236"/>
      <w:bookmarkStart w:id="244" w:name="_Toc152045593"/>
      <w:bookmarkStart w:id="245" w:name="_Toc247085751"/>
      <w:bookmarkStart w:id="246" w:name="_Toc179632611"/>
      <w:bookmarkStart w:id="247" w:name="_Toc144974560"/>
      <w:bookmarkStart w:id="248" w:name="_Toc29660248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5596"/>
      <w:bookmarkStart w:id="251" w:name="_Toc246996239"/>
      <w:bookmarkStart w:id="252" w:name="_Toc246996982"/>
      <w:bookmarkStart w:id="253" w:name="_Toc296602484"/>
      <w:bookmarkStart w:id="254" w:name="_Toc247085754"/>
      <w:bookmarkStart w:id="255" w:name="_Toc179632614"/>
      <w:bookmarkStart w:id="256"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亳州通惠房地产开发有限公司    </w:t>
            </w:r>
            <w:permEnd w:id="4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47"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确认验收合格后付至合同总价款的97%，剩余3%部分作为质量保证金，质保期半年，到期后无质量问题，无息退还质量保证金。 </w:t>
            </w:r>
            <w:permEnd w:id="4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8" w:edGrp="everyone"/>
            <w:r>
              <w:rPr>
                <w:rFonts w:hint="eastAsia" w:ascii="Times New Roman" w:hAnsi="Times New Roman" w:cs="Times New Roman"/>
                <w:kern w:val="0"/>
                <w:sz w:val="24"/>
                <w:szCs w:val="24"/>
                <w:highlight w:val="none"/>
                <w:shd w:val="clear" w:color="auto" w:fill="auto"/>
                <w:vertAlign w:val="baseline"/>
                <w:lang w:val="en-US" w:eastAsia="zh-CN"/>
              </w:rPr>
              <w:t>在</w:t>
            </w:r>
            <w:r>
              <w:rPr>
                <w:rFonts w:hint="default" w:ascii="Times New Roman" w:hAnsi="Times New Roman" w:cs="Times New Roman"/>
                <w:kern w:val="0"/>
                <w:sz w:val="24"/>
                <w:szCs w:val="24"/>
                <w:highlight w:val="none"/>
                <w:shd w:val="clear" w:color="auto" w:fill="auto"/>
                <w:vertAlign w:val="baseline"/>
                <w:lang w:val="en-US" w:eastAsia="zh-CN"/>
              </w:rPr>
              <w:t>质保期内货物发生问题，中标人必须负责提供维修服务；所提供的货物必须是全新的合格产品，质保期内负责上门维修、负责更换零部件等均不再收取任何费用</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4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0AA1DA1A">
      <w:pPr>
        <w:jc w:val="cente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r>
        <w:rPr>
          <w:rFonts w:hint="eastAsia" w:asciiTheme="majorEastAsia" w:hAnsiTheme="majorEastAsia" w:eastAsiaTheme="majorEastAsia" w:cstheme="majorEastAsia"/>
          <w:b/>
          <w:bCs/>
          <w:sz w:val="32"/>
          <w:szCs w:val="32"/>
          <w:highlight w:val="none"/>
          <w:lang w:val="en-US" w:eastAsia="zh-CN"/>
        </w:rPr>
        <w:t>亳州高铁南站金融商务中心1#、2#楼纱窗</w:t>
      </w:r>
    </w:p>
    <w:p w14:paraId="260DD83B">
      <w:pPr>
        <w:jc w:val="cente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采购安装合同</w:t>
      </w:r>
    </w:p>
    <w:p w14:paraId="4C185EDB">
      <w:pPr>
        <w:rPr>
          <w:rFonts w:hint="eastAsia" w:asciiTheme="majorEastAsia" w:hAnsiTheme="majorEastAsia" w:eastAsiaTheme="majorEastAsia" w:cstheme="majorEastAsia"/>
          <w:b/>
          <w:bCs/>
          <w:sz w:val="32"/>
          <w:szCs w:val="32"/>
          <w:highlight w:val="none"/>
          <w:lang w:val="en-US" w:eastAsia="zh-CN"/>
        </w:rPr>
      </w:pPr>
    </w:p>
    <w:p w14:paraId="1D719A71">
      <w:pPr>
        <w:rPr>
          <w:rFonts w:hint="eastAsia" w:asciiTheme="majorEastAsia" w:hAnsiTheme="majorEastAsia" w:eastAsiaTheme="majorEastAsia" w:cstheme="majorEastAsia"/>
          <w:b/>
          <w:bCs/>
          <w:sz w:val="32"/>
          <w:szCs w:val="32"/>
          <w:highlight w:val="none"/>
          <w:lang w:val="en-US" w:eastAsia="zh-CN"/>
        </w:rPr>
      </w:pPr>
    </w:p>
    <w:p w14:paraId="3F61A8CB">
      <w:pPr>
        <w:rPr>
          <w:rFonts w:hint="eastAsia" w:asciiTheme="majorEastAsia" w:hAnsiTheme="majorEastAsia" w:eastAsiaTheme="majorEastAsia" w:cstheme="majorEastAsia"/>
          <w:b/>
          <w:bCs/>
          <w:sz w:val="32"/>
          <w:szCs w:val="32"/>
          <w:highlight w:val="none"/>
          <w:lang w:val="en-US" w:eastAsia="zh-CN"/>
        </w:rPr>
      </w:pPr>
    </w:p>
    <w:p w14:paraId="10FAA138">
      <w:pPr>
        <w:rPr>
          <w:rFonts w:hint="eastAsia" w:asciiTheme="majorEastAsia" w:hAnsiTheme="majorEastAsia" w:eastAsiaTheme="majorEastAsia" w:cstheme="majorEastAsia"/>
          <w:b/>
          <w:bCs/>
          <w:sz w:val="32"/>
          <w:szCs w:val="32"/>
          <w:highlight w:val="none"/>
          <w:lang w:val="en-US" w:eastAsia="zh-CN"/>
        </w:rPr>
      </w:pPr>
    </w:p>
    <w:p w14:paraId="3F8FC58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项目名称：</w:t>
      </w:r>
      <w:r>
        <w:rPr>
          <w:rFonts w:hint="eastAsia" w:asciiTheme="majorEastAsia" w:hAnsiTheme="majorEastAsia" w:eastAsiaTheme="majorEastAsia" w:cstheme="majorEastAsia"/>
          <w:b/>
          <w:bCs/>
          <w:sz w:val="32"/>
          <w:szCs w:val="32"/>
          <w:highlight w:val="none"/>
          <w:u w:val="single"/>
          <w:lang w:val="en-US" w:eastAsia="zh-CN"/>
        </w:rPr>
        <w:t xml:space="preserve">                            </w:t>
      </w:r>
    </w:p>
    <w:p w14:paraId="5A9B98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甲    方：</w:t>
      </w:r>
      <w:r>
        <w:rPr>
          <w:rFonts w:hint="eastAsia" w:asciiTheme="majorEastAsia" w:hAnsiTheme="majorEastAsia" w:eastAsiaTheme="majorEastAsia" w:cstheme="majorEastAsia"/>
          <w:b/>
          <w:bCs/>
          <w:sz w:val="32"/>
          <w:szCs w:val="32"/>
          <w:highlight w:val="none"/>
          <w:u w:val="single"/>
          <w:lang w:val="en-US" w:eastAsia="zh-CN"/>
        </w:rPr>
        <w:t xml:space="preserve">                            </w:t>
      </w:r>
      <w:r>
        <w:rPr>
          <w:rFonts w:hint="eastAsia" w:asciiTheme="majorEastAsia" w:hAnsiTheme="majorEastAsia" w:eastAsiaTheme="majorEastAsia" w:cstheme="majorEastAsia"/>
          <w:b/>
          <w:bCs/>
          <w:sz w:val="32"/>
          <w:szCs w:val="32"/>
          <w:highlight w:val="none"/>
          <w:lang w:val="en-US" w:eastAsia="zh-CN"/>
        </w:rPr>
        <w:t xml:space="preserve">                            </w:t>
      </w:r>
    </w:p>
    <w:p w14:paraId="0DB89C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乙    方：</w:t>
      </w:r>
      <w:r>
        <w:rPr>
          <w:rFonts w:hint="eastAsia" w:asciiTheme="majorEastAsia" w:hAnsiTheme="majorEastAsia" w:eastAsiaTheme="majorEastAsia" w:cstheme="majorEastAsia"/>
          <w:b/>
          <w:bCs/>
          <w:sz w:val="32"/>
          <w:szCs w:val="32"/>
          <w:highlight w:val="none"/>
          <w:u w:val="single"/>
          <w:lang w:val="en-US" w:eastAsia="zh-CN"/>
        </w:rPr>
        <w:t xml:space="preserve">                            </w:t>
      </w:r>
      <w:r>
        <w:rPr>
          <w:rFonts w:hint="eastAsia" w:asciiTheme="majorEastAsia" w:hAnsiTheme="majorEastAsia" w:eastAsiaTheme="majorEastAsia" w:cstheme="majorEastAsia"/>
          <w:b/>
          <w:bCs/>
          <w:sz w:val="32"/>
          <w:szCs w:val="32"/>
          <w:highlight w:val="none"/>
          <w:lang w:val="en-US" w:eastAsia="zh-CN"/>
        </w:rPr>
        <w:t xml:space="preserve">                            </w:t>
      </w:r>
    </w:p>
    <w:p w14:paraId="3C6DA3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合同编号：</w:t>
      </w:r>
      <w:r>
        <w:rPr>
          <w:rFonts w:hint="eastAsia" w:asciiTheme="majorEastAsia" w:hAnsiTheme="majorEastAsia" w:eastAsiaTheme="majorEastAsia" w:cstheme="majorEastAsia"/>
          <w:b/>
          <w:bCs/>
          <w:sz w:val="32"/>
          <w:szCs w:val="32"/>
          <w:highlight w:val="none"/>
          <w:u w:val="single"/>
          <w:lang w:val="en-US" w:eastAsia="zh-CN"/>
        </w:rPr>
        <w:t xml:space="preserve">                            </w:t>
      </w:r>
      <w:r>
        <w:rPr>
          <w:rFonts w:hint="eastAsia" w:asciiTheme="majorEastAsia" w:hAnsiTheme="majorEastAsia" w:eastAsiaTheme="majorEastAsia" w:cstheme="majorEastAsia"/>
          <w:b/>
          <w:bCs/>
          <w:sz w:val="32"/>
          <w:szCs w:val="32"/>
          <w:highlight w:val="none"/>
          <w:lang w:val="en-US" w:eastAsia="zh-CN"/>
        </w:rPr>
        <w:t xml:space="preserve">                             </w:t>
      </w:r>
    </w:p>
    <w:p w14:paraId="0A9C051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签订时间：</w:t>
      </w:r>
      <w:r>
        <w:rPr>
          <w:rFonts w:hint="eastAsia" w:asciiTheme="majorEastAsia" w:hAnsiTheme="majorEastAsia" w:eastAsiaTheme="majorEastAsia" w:cstheme="majorEastAsia"/>
          <w:b/>
          <w:bCs/>
          <w:sz w:val="32"/>
          <w:szCs w:val="32"/>
          <w:highlight w:val="none"/>
          <w:u w:val="single"/>
          <w:lang w:val="en-US" w:eastAsia="zh-CN"/>
        </w:rPr>
        <w:t xml:space="preserve">      2025年   月    日    </w:t>
      </w:r>
      <w:r>
        <w:rPr>
          <w:rFonts w:hint="eastAsia" w:asciiTheme="majorEastAsia" w:hAnsiTheme="majorEastAsia" w:eastAsiaTheme="majorEastAsia" w:cstheme="majorEastAsia"/>
          <w:b/>
          <w:bCs/>
          <w:sz w:val="32"/>
          <w:szCs w:val="32"/>
          <w:highlight w:val="none"/>
          <w:lang w:val="en-US" w:eastAsia="zh-CN"/>
        </w:rPr>
        <w:t xml:space="preserve"> </w:t>
      </w:r>
    </w:p>
    <w:p w14:paraId="72E218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签订地点： </w:t>
      </w:r>
      <w:r>
        <w:rPr>
          <w:rFonts w:hint="eastAsia" w:asciiTheme="majorEastAsia" w:hAnsiTheme="majorEastAsia" w:eastAsiaTheme="majorEastAsia" w:cstheme="majorEastAsia"/>
          <w:b/>
          <w:bCs/>
          <w:sz w:val="32"/>
          <w:szCs w:val="32"/>
          <w:highlight w:val="none"/>
          <w:u w:val="single"/>
          <w:lang w:val="en-US" w:eastAsia="zh-CN"/>
        </w:rPr>
        <w:t xml:space="preserve">     安徽省·亳州市        </w:t>
      </w:r>
      <w:r>
        <w:rPr>
          <w:rFonts w:hint="eastAsia" w:asciiTheme="majorEastAsia" w:hAnsiTheme="majorEastAsia" w:eastAsiaTheme="majorEastAsia" w:cstheme="majorEastAsia"/>
          <w:b/>
          <w:bCs/>
          <w:sz w:val="32"/>
          <w:szCs w:val="32"/>
          <w:highlight w:val="none"/>
          <w:lang w:val="en-US" w:eastAsia="zh-CN"/>
        </w:rPr>
        <w:t xml:space="preserve">  </w:t>
      </w:r>
    </w:p>
    <w:p w14:paraId="25C70647">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                           </w:t>
      </w:r>
    </w:p>
    <w:p w14:paraId="4DF3E4CD">
      <w:pPr>
        <w:rPr>
          <w:rFonts w:hint="eastAsia" w:asciiTheme="majorEastAsia" w:hAnsiTheme="majorEastAsia" w:eastAsiaTheme="majorEastAsia" w:cstheme="majorEastAsia"/>
          <w:b/>
          <w:bCs/>
          <w:sz w:val="32"/>
          <w:szCs w:val="32"/>
          <w:highlight w:val="none"/>
          <w:lang w:val="en-US" w:eastAsia="zh-CN"/>
        </w:rPr>
      </w:pPr>
    </w:p>
    <w:p w14:paraId="155EB88E">
      <w:pPr>
        <w:rPr>
          <w:rFonts w:hint="eastAsia" w:asciiTheme="majorEastAsia" w:hAnsiTheme="majorEastAsia" w:eastAsiaTheme="majorEastAsia" w:cstheme="majorEastAsia"/>
          <w:b/>
          <w:bCs/>
          <w:sz w:val="32"/>
          <w:szCs w:val="32"/>
          <w:highlight w:val="none"/>
          <w:lang w:val="en-US" w:eastAsia="zh-CN"/>
        </w:rPr>
      </w:pPr>
    </w:p>
    <w:p w14:paraId="1E198D72">
      <w:pPr>
        <w:rPr>
          <w:rFonts w:hint="eastAsia" w:asciiTheme="majorEastAsia" w:hAnsiTheme="majorEastAsia" w:eastAsiaTheme="majorEastAsia" w:cstheme="majorEastAsia"/>
          <w:b/>
          <w:bCs/>
          <w:sz w:val="32"/>
          <w:szCs w:val="32"/>
          <w:highlight w:val="none"/>
          <w:lang w:val="en-US" w:eastAsia="zh-CN"/>
        </w:rPr>
      </w:pPr>
    </w:p>
    <w:p w14:paraId="077BE42E">
      <w:pPr>
        <w:rPr>
          <w:rFonts w:hint="eastAsia" w:asciiTheme="majorEastAsia" w:hAnsiTheme="majorEastAsia" w:eastAsiaTheme="majorEastAsia" w:cstheme="majorEastAsia"/>
          <w:b/>
          <w:bCs/>
          <w:sz w:val="32"/>
          <w:szCs w:val="32"/>
          <w:highlight w:val="none"/>
          <w:lang w:val="en-US" w:eastAsia="zh-CN"/>
        </w:rPr>
      </w:pPr>
    </w:p>
    <w:p w14:paraId="02CE13F0">
      <w:pPr>
        <w:rPr>
          <w:rFonts w:hint="eastAsia" w:asciiTheme="majorEastAsia" w:hAnsiTheme="majorEastAsia" w:eastAsiaTheme="majorEastAsia" w:cstheme="majorEastAsia"/>
          <w:b/>
          <w:bCs/>
          <w:sz w:val="32"/>
          <w:szCs w:val="32"/>
          <w:highlight w:val="none"/>
          <w:lang w:val="en-US" w:eastAsia="zh-CN"/>
        </w:rPr>
      </w:pPr>
    </w:p>
    <w:p w14:paraId="692DD2CF">
      <w:pPr>
        <w:rPr>
          <w:rFonts w:hint="eastAsia" w:asciiTheme="majorEastAsia" w:hAnsiTheme="majorEastAsia" w:eastAsiaTheme="majorEastAsia" w:cstheme="majorEastAsia"/>
          <w:b/>
          <w:bCs/>
          <w:sz w:val="32"/>
          <w:szCs w:val="32"/>
          <w:highlight w:val="none"/>
          <w:lang w:val="en-US" w:eastAsia="zh-CN"/>
        </w:rPr>
      </w:pPr>
    </w:p>
    <w:p w14:paraId="2F2A9214">
      <w:pPr>
        <w:pStyle w:val="2"/>
        <w:rPr>
          <w:rFonts w:hint="eastAsia" w:asciiTheme="majorEastAsia" w:hAnsiTheme="majorEastAsia" w:eastAsiaTheme="majorEastAsia" w:cstheme="majorEastAsia"/>
          <w:b/>
          <w:bCs/>
          <w:sz w:val="32"/>
          <w:szCs w:val="32"/>
          <w:highlight w:val="none"/>
          <w:lang w:val="en-US" w:eastAsia="zh-CN"/>
        </w:rPr>
      </w:pPr>
    </w:p>
    <w:p w14:paraId="2F25708B">
      <w:pPr>
        <w:pStyle w:val="2"/>
        <w:rPr>
          <w:rFonts w:hint="eastAsia" w:asciiTheme="majorEastAsia" w:hAnsiTheme="majorEastAsia" w:eastAsiaTheme="majorEastAsia" w:cstheme="majorEastAsia"/>
          <w:b/>
          <w:bCs/>
          <w:sz w:val="32"/>
          <w:szCs w:val="32"/>
          <w:highlight w:val="none"/>
          <w:lang w:val="en-US" w:eastAsia="zh-CN"/>
        </w:rPr>
      </w:pPr>
    </w:p>
    <w:p w14:paraId="0B2DEE84">
      <w:pPr>
        <w:pStyle w:val="2"/>
        <w:rPr>
          <w:rFonts w:hint="eastAsia" w:asciiTheme="majorEastAsia" w:hAnsiTheme="majorEastAsia" w:eastAsiaTheme="majorEastAsia" w:cstheme="majorEastAsia"/>
          <w:b/>
          <w:bCs/>
          <w:sz w:val="32"/>
          <w:szCs w:val="32"/>
          <w:highlight w:val="none"/>
          <w:lang w:val="en-US" w:eastAsia="zh-CN"/>
        </w:rPr>
      </w:pPr>
    </w:p>
    <w:p w14:paraId="4D2CDCFE">
      <w:pPr>
        <w:pStyle w:val="2"/>
        <w:rPr>
          <w:rFonts w:hint="eastAsia" w:asciiTheme="majorEastAsia" w:hAnsiTheme="majorEastAsia" w:eastAsiaTheme="majorEastAsia" w:cstheme="majorEastAsia"/>
          <w:b/>
          <w:bCs/>
          <w:sz w:val="32"/>
          <w:szCs w:val="32"/>
          <w:highlight w:val="none"/>
          <w:lang w:val="en-US" w:eastAsia="zh-CN"/>
        </w:rPr>
      </w:pPr>
    </w:p>
    <w:p w14:paraId="46E1259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甲方</w:t>
      </w:r>
      <w:r>
        <w:rPr>
          <w:rFonts w:hint="eastAsia" w:ascii="仿宋_GB2312" w:hAnsi="仿宋_GB2312" w:eastAsia="仿宋_GB2312" w:cs="仿宋_GB2312"/>
          <w:b w:val="0"/>
          <w:bCs w:val="0"/>
          <w:sz w:val="28"/>
          <w:szCs w:val="28"/>
          <w:highlight w:val="none"/>
          <w:lang w:val="en-US" w:eastAsia="zh-CN"/>
        </w:rPr>
        <w:t xml:space="preserve">： </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3487641D">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乙方</w:t>
      </w:r>
      <w:r>
        <w:rPr>
          <w:rFonts w:hint="eastAsia" w:ascii="仿宋_GB2312" w:hAnsi="仿宋_GB2312" w:eastAsia="仿宋_GB2312" w:cs="仿宋_GB2312"/>
          <w:b w:val="0"/>
          <w:bCs w:val="0"/>
          <w:sz w:val="28"/>
          <w:szCs w:val="28"/>
          <w:highlight w:val="none"/>
          <w:lang w:val="en-US" w:eastAsia="zh-CN"/>
        </w:rPr>
        <w:t xml:space="preserve">： </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63A17B3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根据《中华人民共和国民法典》等法律、法规的规定，本着公正、公平、合理、自愿的原则，就甲方委托乙方进行亳州高铁南站金融商务中心1#、2#楼纱窗采购安装等事宜，经过双方友好协商一致，签订本合同，以资信守。</w:t>
      </w:r>
    </w:p>
    <w:p w14:paraId="4CD2EDA3">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第一条 采购要求</w:t>
      </w:r>
    </w:p>
    <w:p w14:paraId="0A17D54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1、纱窗的规格、数量、质量及其他要求：</w:t>
      </w:r>
    </w:p>
    <w:p w14:paraId="53CFA8B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亳州高铁南站金融商务中心项目2#楼1层、3-6层、1#楼1-2层食堂窗户纱窗包括不限于采购、运输、装卸、安装、人工、税费等，纱窗面积约970平方，灰色纱窗，型材规格不低于14mm*25mm*1.2mm,纱网采用304不锈钢，网密度18目，网眼平整均匀，密码平锁(一字锁)，金属护角，折弯压网。</w:t>
      </w:r>
    </w:p>
    <w:p w14:paraId="1442067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2.合同期限内，乙方不得以任何理由要求变更合同单价或拒绝采购招标清单内物资（不可抗力除外），否则甲方有权要求乙方承担因此造成的损失。</w:t>
      </w:r>
    </w:p>
    <w:p w14:paraId="2E2904D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3、本合同为单价合同，按照甲方要求完成相关采购安装项目，合同签订后如需增加或减少项目及服务，需经甲方书面确认，经甲方验收结算时，按实际发生量依据招标清单价格计算发生费用支付给乙方。</w:t>
      </w:r>
    </w:p>
    <w:p w14:paraId="4F4A969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4、交付</w:t>
      </w:r>
    </w:p>
    <w:p w14:paraId="3A91331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4.1乙方须将采购物品运送至甲方指定地点，经甲方验收合格后方可安装。</w:t>
      </w:r>
    </w:p>
    <w:p w14:paraId="1ABF6B5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4.2保质保量地完成安装，并及时通知甲方进行验收。</w:t>
      </w:r>
    </w:p>
    <w:p w14:paraId="4706314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4.3交付时间：合同签订后，收到甲方通知日起，7日历日内，送达甲方指定地址并安装完成，如乙方未能按规定时间完成，乙方应向甲方承担相应的违约责任，供货每逾期一天乙方向甲方支付违约金500元。</w:t>
      </w:r>
    </w:p>
    <w:p w14:paraId="619D40D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4.4乙方应自行负责装车、搬运、拆卸、安装的工作，在甲方最终验收合格之前，有关材料的毁损和灭失风险由乙方承担。</w:t>
      </w:r>
    </w:p>
    <w:p w14:paraId="2BCFBC5E">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第二条 合同价款及支付方式</w:t>
      </w:r>
    </w:p>
    <w:p w14:paraId="3DBE91A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1、本合同总价款为￥：</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元，大写：人民币：</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。其中，不含税价款</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元，增值税税率</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%，增值税税金</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元。本合同履行期间，如遇增值税税率调整，则不含税价款保持不变，增值税税率及税金相应调整。</w:t>
      </w:r>
    </w:p>
    <w:p w14:paraId="28916C1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上述价款已包含设计、采购、材料、劳务、水电、运输、装卸、安装、维修、税金及利润等因乙方因履行本合同所产生的一切费用，且不因材料、人工等市场价格的变化而调整，除该费用之外，甲方无须再承担任何其他费用。</w:t>
      </w:r>
    </w:p>
    <w:p w14:paraId="2E7BD85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3、支付方式</w:t>
      </w:r>
    </w:p>
    <w:p w14:paraId="33C8BBD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确认验收合格后付至合同总价款的97%，剩余3%部分作为质量保证金，质保期半年，到期后无质量问题，无息退还质量保证金。</w:t>
      </w:r>
    </w:p>
    <w:p w14:paraId="77CBF9C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甲方每次付款前，乙方应提供等额合法有效的增值税专用发票，并保证其开具的发票经税务机关交叉稽核比对确属合法有效，否则甲方有权拒绝付款，乙方仍应按本合同约定履行义务。如乙方向甲方开具虚假、伪造或变造的发票，则乙方应自甲方通知之日起七天内向甲方支付该发票票面金额的5%作为违约金，并重新开具合法有效的发票；如乙方支付的违约金不足以弥补甲方因此遭受的损失，甲方有权向乙方继续追偿。如需开具红字增值税专用发票等，双方应提供方便、互相配合。甲方开票信息如下：</w:t>
      </w:r>
    </w:p>
    <w:p w14:paraId="69CFF6C9">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公司名称：</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2686805A">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税务登记证号：</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232475F9">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 xml:space="preserve">地址： </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47729C0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 xml:space="preserve">电话： </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31B0FE1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开户行账号：</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1F09BE24">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开户行全称：</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60459BA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甲方如变更开票信息，应及时书面通知乙方。</w:t>
      </w:r>
    </w:p>
    <w:p w14:paraId="0182D38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5、乙方的收款账户为：                   </w:t>
      </w:r>
    </w:p>
    <w:p w14:paraId="2E05F59A">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户名：</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54CC0655">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账号：</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173F2DCB">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开户行</w:t>
      </w:r>
      <w:r>
        <w:rPr>
          <w:rFonts w:hint="eastAsia" w:ascii="仿宋_GB2312" w:hAnsi="仿宋_GB2312" w:eastAsia="仿宋_GB2312" w:cs="仿宋_GB2312"/>
          <w:b w:val="0"/>
          <w:bCs w:val="0"/>
          <w:sz w:val="28"/>
          <w:szCs w:val="28"/>
          <w:highlight w:val="none"/>
          <w:lang w:val="en-US" w:eastAsia="zh-CN"/>
        </w:rPr>
        <w:t>：</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77B78AE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乙方变更收款账户的，应当提前书面告知甲方并确认甲方已经签收，否则甲方向上述收款账户支付的款项均视为甲方支付本合同约定的费用。</w:t>
      </w:r>
    </w:p>
    <w:p w14:paraId="37003AAC">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第三条 甲方的权利和义务</w:t>
      </w:r>
    </w:p>
    <w:p w14:paraId="491ED07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1、甲方有权对乙方的采购安装工作进行监督检验，对乙方提供的采购安装成果进行验收，对乙方采购的材料不合格及其他不符合要求的情况提出异议，并监督乙方进行整改。</w:t>
      </w:r>
    </w:p>
    <w:p w14:paraId="375A244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2、甲方应按本合同的约定支付款项。</w:t>
      </w:r>
    </w:p>
    <w:p w14:paraId="18910E4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3、为乙方提供物业用品采购和安装工作的便利条件。</w:t>
      </w:r>
    </w:p>
    <w:p w14:paraId="345DEB5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4、甲方指定</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为对接人，代表甲方负责本项目各项事宜的确认、审定、指令、文件接收等。乙方的所有工作成果与反馈通过甲方指定对接人提供给甲方。甲方指定对接人若发生变更，由甲方提前三日以书面形式通知乙方。</w:t>
      </w:r>
    </w:p>
    <w:p w14:paraId="59E8857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5、甲方可根据实际需求进行增加或减少数量，具体以实际发生数量为准。</w:t>
      </w:r>
    </w:p>
    <w:p w14:paraId="24BD8CE7">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第四条 乙方的权利和义务</w:t>
      </w:r>
    </w:p>
    <w:p w14:paraId="57E5CC7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1、乙方应遵守合同的约定，按时、保质、保量地完成采购安装任务。</w:t>
      </w:r>
    </w:p>
    <w:p w14:paraId="1DDF8A4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乙方保证独立完成全部采购安装的工作，未经甲方书面同意，不得将任何部分的工作转交由他人完成。否则，甲方有权解除合同。乙方应退回甲方全部已付价款，并向甲方支付合同价款的5%作为违约金，造成甲方损失的还应承担赔偿责任。</w:t>
      </w:r>
    </w:p>
    <w:p w14:paraId="4FE4FF3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3、在采购安装的期间，乙方有义务接受甲方的监督和检查，对于甲方提出的修改意见，乙方必须执行。</w:t>
      </w:r>
    </w:p>
    <w:p w14:paraId="41E5035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4、乙方在采购安装的过程中造成甲方或第三方财产损失或者人身损害的，均由乙方负责处理并承担所有法律责任。</w:t>
      </w:r>
    </w:p>
    <w:p w14:paraId="7B868AA6">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第五条 违约责任</w:t>
      </w:r>
    </w:p>
    <w:p w14:paraId="2642C29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1、乙方逾期交付的，每逾期一日，按本合同总价款的1%向甲方支付违约金。逾期超过3日的，甲方有权解除本合同，乙方应按本合同总价款的5%向甲方支付违约金。</w:t>
      </w:r>
    </w:p>
    <w:p w14:paraId="5F7B296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2、乙方提供的材料规格、型号等与本合同约定不符的，或乙方采购安装质量未能达到本合同约定的，甲方有权要求乙方无偿更换或修复，由此造成逾期交付的，按照本合同相关约定执行。</w:t>
      </w:r>
    </w:p>
    <w:p w14:paraId="33FE1D5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3、因乙方违反本合同约定的情形的，乙方应赔偿给甲方造成的全部损失（包括但不限于律师费、公证费、调查费、诉讼费、仲裁费、停工停业损失、向第三方支付违约金或赔偿金）。</w:t>
      </w:r>
    </w:p>
    <w:p w14:paraId="63853F9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4、甲方有权直接在应付未付乙方的合同款项中扣除本合同项下乙方应付的违约金及赔偿金，不足部分可向乙方继续追偿。</w:t>
      </w:r>
    </w:p>
    <w:p w14:paraId="2C022501">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第六条 不可抗力</w:t>
      </w:r>
    </w:p>
    <w:p w14:paraId="26243A1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不可抗力指由于不能预见、不能避免和不能克服的自然原因或社会原因，致使本合同不能履行或者不能完全履行的情形，包括战争、暴乱、空中飞行物体坠落及因此或其他非甲、乙双方责任造成的爆炸、火灾，严重的自然灾害，法律规定的其他情形等。</w:t>
      </w:r>
    </w:p>
    <w:p w14:paraId="256AB43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2、遭遇不可抗力的一方，应立即书面通知另一方，并应在不可抗力发生后15天内，向另一方提供不可抗力发生地政府部门出具的证明合同不能履行或需要延期履行、部分履行的有效证明文件。</w:t>
      </w:r>
    </w:p>
    <w:p w14:paraId="64CB17A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3、双方按不可抗力对合同履行的影响程度协商决定是否解除合同、延期履行合同或者部分履行合同。</w:t>
      </w:r>
    </w:p>
    <w:p w14:paraId="4E72545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4、对因不可抗力未能履约给另一方造成的经济损失，该履约方不负赔偿责任，但本合同另有约定的除外。</w:t>
      </w:r>
    </w:p>
    <w:p w14:paraId="0F885543">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第七条 其他事项</w:t>
      </w:r>
    </w:p>
    <w:p w14:paraId="439213B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1、因履行本合同发生争议，双方应协商解决；协商不成的，任何一方均可向甲方住所地人民法院提起诉讼。</w:t>
      </w:r>
    </w:p>
    <w:p w14:paraId="173617F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2、本合同的附件为本合同的有效组成部分，与本合同具有同等法律效力。</w:t>
      </w:r>
    </w:p>
    <w:p w14:paraId="2E2FEFC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3、本合同经双方签字盖章后生效。</w:t>
      </w:r>
    </w:p>
    <w:p w14:paraId="763B956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4、本合同一式捌份，甲方执陆份、乙方执贰份，均具同等法律效力。</w:t>
      </w:r>
    </w:p>
    <w:p w14:paraId="2A70687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p>
    <w:p w14:paraId="5B87311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甲方（盖章）:                   乙方（盖章）：</w:t>
      </w:r>
    </w:p>
    <w:p w14:paraId="3B4F49B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 </w:t>
      </w:r>
    </w:p>
    <w:p w14:paraId="6FD4925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法定代表人或                    法定代表人或  </w:t>
      </w:r>
    </w:p>
    <w:p w14:paraId="7E27887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授权代表（签字）：               授权代表（签字）：</w:t>
      </w:r>
    </w:p>
    <w:p w14:paraId="3D30E0A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p>
    <w:p w14:paraId="2F320DF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签订日期：2025年   月   日       签订地点：亳州市谯城区  </w:t>
      </w:r>
      <w:r>
        <w:rPr>
          <w:rFonts w:hint="eastAsia" w:ascii="仿宋_GB2312" w:hAnsi="仿宋_GB2312" w:eastAsia="仿宋_GB2312" w:cs="仿宋_GB2312"/>
          <w:b/>
          <w:bCs/>
          <w:sz w:val="28"/>
          <w:szCs w:val="28"/>
          <w:highlight w:val="none"/>
          <w:lang w:val="en-US" w:eastAsia="zh-CN"/>
        </w:rPr>
        <w:t xml:space="preserve">  </w:t>
      </w:r>
    </w:p>
    <w:bookmarkEnd w:id="233"/>
    <w:bookmarkEnd w:id="234"/>
    <w:bookmarkEnd w:id="235"/>
    <w:bookmarkEnd w:id="236"/>
    <w:bookmarkEnd w:id="237"/>
    <w:bookmarkEnd w:id="238"/>
    <w:bookmarkEnd w:id="239"/>
    <w:bookmarkEnd w:id="240"/>
    <w:p w14:paraId="6762EA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6CCAF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DF65B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86657E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FAB7A2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7BEEC28">
      <w:pPr>
        <w:keepNext w:val="0"/>
        <w:keepLines w:val="0"/>
        <w:pageBreakBefore w:val="0"/>
        <w:widowControl w:val="0"/>
        <w:kinsoku/>
        <w:wordWrap w:val="0"/>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permStart w:id="49" w:edGrp="everyone"/>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一）采购范围：亳州高铁南站金融商务中心项目2#楼1层、3-6层办公室、1#楼1-2层食堂窗户纱窗包括不限于采购、运输、装卸、人工、税费等，纱窗面积约970平方，灰色纱窗，型材规格不低于14mm*25mm*1.2mm,纱网采用304不锈钢，网密度18目，网眼平整均匀，密码平锁(一字锁)，金属护角，折弯压网，最终以实际安装面积为准进行结算。</w:t>
      </w:r>
    </w:p>
    <w:p w14:paraId="0CD9F685">
      <w:pPr>
        <w:keepNext w:val="0"/>
        <w:keepLines w:val="0"/>
        <w:pageBreakBefore w:val="0"/>
        <w:widowControl w:val="0"/>
        <w:kinsoku/>
        <w:wordWrap w:val="0"/>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（二）服务周期：自合同签订日起7个日历天。</w:t>
      </w:r>
    </w:p>
    <w:p w14:paraId="6F908DB4">
      <w:pPr>
        <w:keepNext w:val="0"/>
        <w:keepLines w:val="0"/>
        <w:pageBreakBefore w:val="0"/>
        <w:widowControl w:val="0"/>
        <w:kinsoku/>
        <w:wordWrap w:val="0"/>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（三）质量标准：符合国家、地方、行业现行相关规范合格标准及采购人要求。</w:t>
      </w:r>
    </w:p>
    <w:p w14:paraId="6A67510D">
      <w:pPr>
        <w:pStyle w:val="2"/>
        <w:keepNext w:val="0"/>
        <w:keepLines w:val="0"/>
        <w:pageBreakBefore w:val="0"/>
        <w:widowControl w:val="0"/>
        <w:kinsoku/>
        <w:overflowPunct/>
        <w:topLinePunct w:val="0"/>
        <w:autoSpaceDE/>
        <w:autoSpaceDN/>
        <w:bidi w:val="0"/>
        <w:adjustRightInd/>
        <w:snapToGrid/>
        <w:spacing w:line="540" w:lineRule="exact"/>
        <w:ind w:firstLine="560" w:firstLineChars="200"/>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（四）在质保期内货物发生问题，中标人必须负责提供维修服务；所提供的货物必须是全新的合格产品，质保期内负责上门维修、负责更换零部件等均不再收取任何费用；</w:t>
      </w:r>
    </w:p>
    <w:permEnd w:id="49"/>
    <w:p w14:paraId="13F3AE76">
      <w:pPr>
        <w:pStyle w:val="2"/>
        <w:keepNext w:val="0"/>
        <w:keepLines w:val="0"/>
        <w:pageBreakBefore w:val="0"/>
        <w:widowControl w:val="0"/>
        <w:kinsoku/>
        <w:overflowPunct/>
        <w:topLinePunct w:val="0"/>
        <w:autoSpaceDE/>
        <w:autoSpaceDN/>
        <w:bidi w:val="0"/>
        <w:adjustRightInd/>
        <w:snapToGrid/>
        <w:spacing w:line="540" w:lineRule="exact"/>
        <w:ind w:firstLine="560" w:firstLineChars="200"/>
        <w:textAlignment w:val="auto"/>
        <w:rPr>
          <w:rFonts w:hint="eastAsia" w:asciiTheme="minorEastAsia" w:hAnsiTheme="minorEastAsia" w:eastAsiaTheme="minorEastAsia" w:cstheme="minorEastAsia"/>
          <w:i w:val="0"/>
          <w:iCs w:val="0"/>
          <w:color w:val="FF0000"/>
          <w:kern w:val="2"/>
          <w:sz w:val="28"/>
          <w:szCs w:val="28"/>
          <w:highlight w:val="none"/>
          <w:u w:val="none"/>
          <w:lang w:val="en-US" w:eastAsia="zh-CN" w:bidi="ar-SA"/>
        </w:rPr>
      </w:pPr>
      <w:r>
        <w:rPr>
          <w:rFonts w:hint="eastAsia" w:asciiTheme="minorEastAsia" w:hAnsiTheme="minorEastAsia" w:eastAsia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五）采购双方非因不可抗力而单方面终止执行合同的，将赔偿因违约给对方造成的经济损失，并向对方支付本合同总额10%的违约金。若因中标人原因在合同规定期限内无法提供服务，采购人有权终止合同，并由中标人向采购人支付10%的违约金；或经采购双方协商同意继续履行合同，采购人视情况每天按合同总额3‰的标准收取违约金。因不可抗拒力所导致的交货及付款延迟等按照《中华人民共和国民法典》有关条文处理。中标人提供的服务质量不符合合同规定的，中标人应向采购人支付合同总价的5%的违约金，并须在15日内完善后续的服务工作，否则，视作中标人不能履约而违约。解决争议的方法：合同履行期间,若双方发生争议，双方本着友好合作的态度，对合同履行过程中发生的违约行为进行及时的协商解决或由有关部门调解解决，如不能协商解决可向合同签约地法院通过法律诉讼解决。</w:t>
      </w:r>
    </w:p>
    <w:p w14:paraId="762DFFCD">
      <w:pPr>
        <w:rPr>
          <w:rFonts w:hint="eastAsia" w:asciiTheme="minorEastAsia" w:hAnsiTheme="minorEastAsia" w:eastAsiaTheme="minorEastAsia" w:cstheme="minorEastAsia"/>
          <w:i w:val="0"/>
          <w:iCs w:val="0"/>
          <w:color w:val="FF0000"/>
          <w:kern w:val="2"/>
          <w:sz w:val="28"/>
          <w:szCs w:val="28"/>
          <w:highlight w:val="none"/>
          <w:u w:val="none"/>
          <w:lang w:val="en-US" w:eastAsia="zh-CN" w:bidi="ar-SA"/>
        </w:rPr>
      </w:pPr>
      <w:r>
        <w:rPr>
          <w:rFonts w:hint="eastAsia" w:asciiTheme="minorEastAsia" w:hAnsiTheme="minorEastAsia" w:eastAsiaTheme="minorEastAsia" w:cstheme="minorEastAsia"/>
          <w:i w:val="0"/>
          <w:iCs w:val="0"/>
          <w:color w:val="FF0000"/>
          <w:kern w:val="2"/>
          <w:sz w:val="28"/>
          <w:szCs w:val="28"/>
          <w:highlight w:val="none"/>
          <w:u w:val="none"/>
          <w:lang w:val="en-US" w:eastAsia="zh-CN" w:bidi="ar-SA"/>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57" w:name="_Toc152042576"/>
      <w:bookmarkStart w:id="258" w:name="_Toc300835209"/>
      <w:bookmarkStart w:id="259" w:name="_Toc247514246"/>
      <w:bookmarkStart w:id="260" w:name="_Toc144974856"/>
      <w:bookmarkStart w:id="261" w:name="_Toc247527827"/>
      <w:bookmarkStart w:id="262" w:name="_Toc15204578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63" w:name="_Toc247514247"/>
      <w:bookmarkStart w:id="264" w:name="_Toc152045788"/>
      <w:bookmarkStart w:id="265" w:name="_Toc247527828"/>
      <w:bookmarkStart w:id="266" w:name="_Toc144974857"/>
      <w:bookmarkStart w:id="267" w:name="_Toc300835210"/>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52042579"/>
      <w:bookmarkStart w:id="270" w:name="_Toc247514249"/>
      <w:bookmarkStart w:id="271" w:name="_Toc300835212"/>
      <w:bookmarkStart w:id="272" w:name="_Toc247527830"/>
      <w:bookmarkStart w:id="273" w:name="_Toc144974859"/>
      <w:bookmarkStart w:id="274"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0"/>
      <w:r>
        <w:rPr>
          <w:rFonts w:hint="eastAsia" w:ascii="Times New Roman" w:hAnsi="Times New Roman" w:cs="Times New Roman"/>
          <w:szCs w:val="21"/>
          <w:lang w:val="en-US" w:eastAsia="zh-CN"/>
        </w:rPr>
        <w:t>，服务期限：</w:t>
      </w:r>
      <w:permStart w:id="51"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51"/>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4"/>
        <w:jc w:val="both"/>
        <w:rPr>
          <w:rFonts w:hint="default" w:ascii="Times New Roman" w:hAnsi="Times New Roman" w:cs="Times New Roman"/>
        </w:rPr>
      </w:pPr>
      <w:bookmarkStart w:id="275" w:name="_Toc152042580"/>
      <w:bookmarkStart w:id="276" w:name="_Toc152045791"/>
      <w:bookmarkStart w:id="277" w:name="_Toc144974860"/>
      <w:bookmarkStart w:id="278" w:name="_Toc300835213"/>
      <w:bookmarkStart w:id="279" w:name="_Toc247514283"/>
      <w:bookmarkStart w:id="280" w:name="_Toc24752783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152042581"/>
      <w:bookmarkStart w:id="283" w:name="_Toc247527832"/>
      <w:bookmarkStart w:id="284" w:name="_Toc144974861"/>
      <w:bookmarkStart w:id="285" w:name="_Toc247514284"/>
      <w:bookmarkStart w:id="286"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2E07687B">
      <w:pPr>
        <w:topLinePunct/>
        <w:spacing w:line="440" w:lineRule="exact"/>
        <w:jc w:val="both"/>
        <w:rPr>
          <w:rFonts w:hint="eastAsia" w:ascii="Times New Roman" w:hAnsi="Times New Roman" w:cs="Times New Roman"/>
          <w:szCs w:val="21"/>
          <w:lang w:val="en-US" w:eastAsia="zh-CN"/>
        </w:rPr>
      </w:pPr>
      <w:bookmarkStart w:id="287" w:name="_Toc300835216"/>
      <w:bookmarkStart w:id="288" w:name="_Toc144974862"/>
      <w:bookmarkStart w:id="289" w:name="_Toc152042583"/>
      <w:bookmarkStart w:id="290" w:name="_Toc247527834"/>
      <w:bookmarkStart w:id="291" w:name="_Toc152045794"/>
      <w:bookmarkStart w:id="292" w:name="_Toc247514286"/>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08C28BE3">
      <w:pPr>
        <w:rPr>
          <w:rFonts w:hint="eastAsia" w:ascii="Times New Roman" w:hAnsi="Times New Roman" w:cs="Times New Roman"/>
          <w:lang w:val="en-US" w:eastAsia="zh-CN"/>
        </w:rPr>
      </w:pPr>
      <w:bookmarkStart w:id="294" w:name="_Toc144974863"/>
      <w:bookmarkStart w:id="295" w:name="_Toc152045795"/>
      <w:bookmarkStart w:id="296" w:name="_Toc152042584"/>
      <w:bookmarkStart w:id="297" w:name="_Toc247514287"/>
      <w:bookmarkStart w:id="298" w:name="_Toc247527835"/>
      <w:bookmarkStart w:id="299" w:name="_Toc300835218"/>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300" w:name="_Toc144974864"/>
      <w:bookmarkStart w:id="301" w:name="_Toc247514288"/>
      <w:bookmarkStart w:id="302" w:name="_Toc152042585"/>
      <w:bookmarkStart w:id="303" w:name="_Toc152045796"/>
      <w:bookmarkStart w:id="304" w:name="_Toc300835221"/>
      <w:bookmarkStart w:id="305" w:name="_Toc247527836"/>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4"/>
        <w:jc w:val="center"/>
        <w:rPr>
          <w:rFonts w:hint="eastAsia"/>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5"/>
        <w:jc w:val="both"/>
        <w:rPr>
          <w:rFonts w:hint="eastAsia"/>
        </w:rPr>
      </w:pPr>
      <w:bookmarkStart w:id="307" w:name="_Toc246996373"/>
      <w:bookmarkStart w:id="308" w:name="_Toc246997116"/>
      <w:bookmarkStart w:id="309" w:name="_Toc179632828"/>
      <w:bookmarkStart w:id="310" w:name="_Toc296602618"/>
      <w:bookmarkStart w:id="311" w:name="_Toc247085891"/>
      <w:r>
        <w:t>（一）</w:t>
      </w:r>
      <w:r>
        <w:rPr>
          <w:rFonts w:hint="eastAsia"/>
          <w:lang w:eastAsia="zh-CN"/>
        </w:rPr>
        <w:t>供应商</w:t>
      </w:r>
      <w: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059BBE22">
      <w:pPr>
        <w:pStyle w:val="5"/>
        <w:jc w:val="both"/>
        <w:rPr>
          <w:rFonts w:eastAsia="黑体"/>
          <w:sz w:val="23"/>
          <w:szCs w:val="23"/>
        </w:rPr>
      </w:pPr>
      <w:bookmarkStart w:id="312" w:name="_Toc246997114"/>
      <w:bookmarkStart w:id="313" w:name="_Toc247085889"/>
      <w:bookmarkStart w:id="314" w:name="_Toc246996371"/>
      <w:bookmarkStart w:id="315" w:name="_Toc296602616"/>
      <w:bookmarkStart w:id="316" w:name="_Toc247527850"/>
      <w:bookmarkStart w:id="317" w:name="_Toc300835226"/>
      <w:bookmarkStart w:id="318" w:name="_Toc247514302"/>
      <w:bookmarkStart w:id="319" w:name="_Toc152042599"/>
      <w:bookmarkStart w:id="320" w:name="_Toc152045810"/>
      <w:bookmarkStart w:id="321" w:name="_Toc144974878"/>
      <w:r>
        <w:t>（</w:t>
      </w:r>
      <w:r>
        <w:rPr>
          <w:rFonts w:hint="eastAsia"/>
          <w:lang w:val="en-US" w:eastAsia="zh-CN"/>
        </w:rPr>
        <w:t>二</w:t>
      </w:r>
      <w:r>
        <w:t>）</w:t>
      </w:r>
      <w:r>
        <w:rPr>
          <w:rFonts w:hint="eastAsia"/>
          <w:lang w:eastAsia="zh-CN"/>
        </w:rPr>
        <w:t>项目负责人</w:t>
      </w:r>
      <w:r>
        <w:t>简历表</w:t>
      </w:r>
      <w:bookmarkEnd w:id="312"/>
      <w:bookmarkEnd w:id="313"/>
      <w:bookmarkEnd w:id="314"/>
      <w:bookmarkEnd w:id="31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bookmarkEnd w:id="316"/>
    <w:bookmarkEnd w:id="317"/>
    <w:bookmarkEnd w:id="318"/>
    <w:bookmarkEnd w:id="319"/>
    <w:bookmarkEnd w:id="320"/>
    <w:bookmarkEnd w:id="321"/>
    <w:p w14:paraId="7C055E10">
      <w:pPr>
        <w:spacing w:line="440" w:lineRule="exact"/>
        <w:rPr>
          <w:rFonts w:hint="default" w:ascii="Times New Roman" w:hAnsi="Times New Roman" w:cs="Times New Roman"/>
        </w:rPr>
      </w:pPr>
      <w:bookmarkStart w:id="322" w:name="_Toc144974879"/>
      <w:bookmarkStart w:id="323" w:name="_Toc152042600"/>
      <w:bookmarkStart w:id="324" w:name="_Toc247514303"/>
      <w:bookmarkStart w:id="325" w:name="_Toc247527851"/>
      <w:bookmarkStart w:id="326" w:name="_Toc152045811"/>
    </w:p>
    <w:bookmarkEnd w:id="322"/>
    <w:bookmarkEnd w:id="323"/>
    <w:bookmarkEnd w:id="324"/>
    <w:bookmarkEnd w:id="325"/>
    <w:bookmarkEnd w:id="326"/>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5"/>
        <w:jc w:val="center"/>
        <w:rPr>
          <w:rFonts w:hint="default" w:ascii="Times New Roman" w:hAnsi="Times New Roman" w:cs="Times New Roman"/>
          <w:lang w:val="en-US" w:eastAsia="zh-CN"/>
        </w:rPr>
      </w:pPr>
      <w:bookmarkStart w:id="327" w:name="_Toc152042597"/>
      <w:bookmarkStart w:id="328" w:name="_Toc246996372"/>
      <w:bookmarkStart w:id="329" w:name="_Toc179632827"/>
      <w:bookmarkStart w:id="330" w:name="_Toc247085890"/>
      <w:bookmarkStart w:id="331" w:name="_Toc152045808"/>
      <w:bookmarkStart w:id="332" w:name="_Toc152042596"/>
      <w:bookmarkStart w:id="333" w:name="_Toc300835224"/>
      <w:bookmarkStart w:id="334" w:name="_Toc247527848"/>
      <w:bookmarkStart w:id="335" w:name="_Toc144974876"/>
      <w:bookmarkStart w:id="336" w:name="_Toc144974875"/>
      <w:bookmarkStart w:id="337" w:name="_Toc247514300"/>
      <w:bookmarkStart w:id="338" w:name="_Toc296602617"/>
      <w:bookmarkStart w:id="339" w:name="_Toc246997115"/>
      <w:bookmarkStart w:id="340" w:name="_Toc152045807"/>
      <w:r>
        <w:rPr>
          <w:rFonts w:hint="eastAsia" w:ascii="Times New Roman" w:hAnsi="Times New Roman" w:cs="Times New Roman"/>
          <w:lang w:val="en-US" w:eastAsia="zh-CN"/>
        </w:rPr>
        <w:t>七、</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41" w:name="_Toc247530162"/>
      <w:bookmarkStart w:id="342" w:name="_Toc152042602"/>
      <w:bookmarkStart w:id="343" w:name="_Toc247514305"/>
      <w:bookmarkStart w:id="344" w:name="_Toc152045813"/>
      <w:bookmarkStart w:id="345" w:name="_Toc144974881"/>
      <w:bookmarkStart w:id="346" w:name="_Toc247527853"/>
    </w:p>
    <w:bookmarkEnd w:id="341"/>
    <w:bookmarkEnd w:id="342"/>
    <w:bookmarkEnd w:id="343"/>
    <w:bookmarkEnd w:id="344"/>
    <w:bookmarkEnd w:id="345"/>
    <w:bookmarkEnd w:id="346"/>
    <w:p w14:paraId="1E5B7EEB">
      <w:pPr>
        <w:pStyle w:val="4"/>
        <w:jc w:val="center"/>
        <w:rPr>
          <w:rFonts w:hint="default" w:ascii="Times New Roman" w:hAnsi="Times New Roman" w:cs="Times New Roman"/>
        </w:rPr>
      </w:pPr>
      <w:bookmarkStart w:id="347" w:name="_Toc300835233"/>
      <w:bookmarkStart w:id="348"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347"/>
      <w:bookmarkEnd w:id="348"/>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349A0FE-0588-4018-A59F-A17C81A754F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7ED3EFDB-C2A8-4ED0-9503-FD1C8D02BF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237EC688-2798-495C-9149-43B6D1FA7E16}"/>
  </w:font>
  <w:font w:name="仿宋_GB2312">
    <w:panose1 w:val="02010609030101010101"/>
    <w:charset w:val="86"/>
    <w:family w:val="modern"/>
    <w:pitch w:val="default"/>
    <w:sig w:usb0="00000001" w:usb1="080E0000" w:usb2="00000000" w:usb3="00000000" w:csb0="00040000" w:csb1="00000000"/>
    <w:embedRegular r:id="rId4" w:fontKey="{A3FAF4CD-2E52-4B7A-A2A7-FF4A6CFB87A1}"/>
  </w:font>
  <w:font w:name="方正小标宋简体">
    <w:panose1 w:val="03000509000000000000"/>
    <w:charset w:val="86"/>
    <w:family w:val="auto"/>
    <w:pitch w:val="default"/>
    <w:sig w:usb0="00000001" w:usb1="080E0000" w:usb2="00000000" w:usb3="00000000" w:csb0="00040000" w:csb1="00000000"/>
    <w:embedRegular r:id="rId5" w:fontKey="{BB12DDCE-BCEA-484C-A0FB-BEC1132E95EF}"/>
  </w:font>
  <w:font w:name="楷体">
    <w:panose1 w:val="02010609060101010101"/>
    <w:charset w:val="86"/>
    <w:family w:val="auto"/>
    <w:pitch w:val="default"/>
    <w:sig w:usb0="800002BF" w:usb1="38CF7CFA" w:usb2="00000016" w:usb3="00000000" w:csb0="00040001" w:csb1="00000000"/>
    <w:embedRegular r:id="rId6" w:fontKey="{15E3BB78-113F-4DAF-B032-376C3F9B2B82}"/>
  </w:font>
  <w:font w:name="Wingdings 2">
    <w:panose1 w:val="05020102010507070707"/>
    <w:charset w:val="00"/>
    <w:family w:val="auto"/>
    <w:pitch w:val="default"/>
    <w:sig w:usb0="00000000" w:usb1="00000000" w:usb2="00000000" w:usb3="00000000" w:csb0="80000000" w:csb1="00000000"/>
    <w:embedRegular r:id="rId7" w:fontKey="{F667C841-0B13-41F9-BA71-167AF98C5C49}"/>
  </w:font>
  <w:font w:name="方正仿宋_GB2312">
    <w:panose1 w:val="02000000000000000000"/>
    <w:charset w:val="86"/>
    <w:family w:val="auto"/>
    <w:pitch w:val="default"/>
    <w:sig w:usb0="A00002BF" w:usb1="184F6CFA" w:usb2="00000012" w:usb3="00000000" w:csb0="00040001" w:csb1="00000000"/>
    <w:embedRegular r:id="rId8" w:fontKey="{F8E0B9DC-36E5-4519-93A3-170B33C62496}"/>
  </w:font>
  <w:font w:name="仿宋">
    <w:panose1 w:val="02010609060101010101"/>
    <w:charset w:val="86"/>
    <w:family w:val="modern"/>
    <w:pitch w:val="default"/>
    <w:sig w:usb0="800002BF" w:usb1="38CF7CFA" w:usb2="00000016" w:usb3="00000000" w:csb0="00040001" w:csb1="00000000"/>
    <w:embedRegular r:id="rId9" w:fontKey="{73E34C56-6F28-48D7-A665-46501B481BB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8C3FFA">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88C3FFA">
                    <w:pPr>
                      <w:pStyle w:val="11"/>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55632"/>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4118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C4BB0"/>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871BB3"/>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93BD7"/>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04E8E"/>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16F38"/>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DB5E61"/>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02B15"/>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023A"/>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302C9"/>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7445BE"/>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5F76A1D"/>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848AE"/>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5F7C0B"/>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3B751D"/>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A83959"/>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jc w:val="left"/>
    </w:pPr>
    <w:rPr>
      <w:rFonts w:hint="eastAsia" w:ascii="宋体" w:hAnsi="宋体"/>
      <w:kern w:val="0"/>
      <w:sz w:val="2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2315</Words>
  <Characters>2834</Characters>
  <Lines>0</Lines>
  <Paragraphs>0</Paragraphs>
  <TotalTime>78</TotalTime>
  <ScaleCrop>false</ScaleCrop>
  <LinksUpToDate>false</LinksUpToDate>
  <CharactersWithSpaces>2956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鹿碧波</cp:lastModifiedBy>
  <cp:lastPrinted>2025-04-29T04:41:00Z</cp:lastPrinted>
  <dcterms:modified xsi:type="dcterms:W3CDTF">2025-04-29T12:56:39Z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F7A4F53FC4644899BD9B6CF780B83FFC_13</vt:lpwstr>
  </property>
  <property fmtid="{D5CDD505-2E9C-101B-9397-08002B2CF9AE}" pid="4" name="KSOTemplateDocerSaveRecord">
    <vt:lpwstr>eyJoZGlkIjoiMDNjZWFmOTI0OWU0M2E3ZjRhODE1MDBhNDIyZDU3OWMiLCJ1c2VySWQiOiIxMjE1Mzg1NDE2In0=</vt:lpwstr>
  </property>
</Properties>
</file>