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水安凤栖上院34号地块工程项目钢梯采购及安装工程询价公告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152045520"/>
      <w:bookmarkStart w:id="2" w:name="_Toc246996167"/>
      <w:bookmarkStart w:id="3" w:name="_Toc152042296"/>
      <w:bookmarkStart w:id="4" w:name="_Toc247085681"/>
      <w:bookmarkStart w:id="5" w:name="_Toc246996910"/>
      <w:bookmarkStart w:id="6" w:name="_Toc179632537"/>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水安凤栖上院34号地块工程项目钢梯采购及安装工程</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AHTKJS-2025-09号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（二）采购范围：按照设计图纸要求，钢梯、集水井盖板、排水沟盖板采购及安装施工。具体详见图纸及清单。</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计划工期：自招标人下达开工指令之日起60日历天。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249850.00元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单项合同金额不低于20万元的钢梯供货及安装业绩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6"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5000.00元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AHTKJS-2025-09号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供货期满且无质量问题</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0FDA61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无预付款，货到现场经相关检测验收合格，且安装完成后， 每月20日前进行工程价款结算，且建设单位工程款到账后次月月底前支付前期结算价款的80%;竣工验收合格后，支付至合同价款的97%；余款3%作为质保金，待两年质保期满后无息退还。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2E8C5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成交人需提供项目负责人1名</w:t>
            </w:r>
            <w:r>
              <w:rPr>
                <w:rFonts w:hint="eastAsia" w:asciiTheme="minorEastAsia" w:hAnsiTheme="minorEastAsia" w:cstheme="minorEastAsia"/>
                <w:kern w:val="0"/>
                <w:sz w:val="28"/>
                <w:szCs w:val="28"/>
                <w:highlight w:val="none"/>
                <w:shd w:val="clear" w:color="auto" w:fill="auto"/>
                <w:vertAlign w:val="baseli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19155250522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10</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23C98"/>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3B63CC"/>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EA7E78"/>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937</Words>
  <Characters>1021</Characters>
  <Lines>0</Lines>
  <Paragraphs>0</Paragraphs>
  <TotalTime>4</TotalTime>
  <ScaleCrop>false</ScaleCrop>
  <LinksUpToDate>false</LinksUpToDate>
  <CharactersWithSpaces>1035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2024-10-28T08:40:00Z</cp:lastPrinted>
  <dcterms:modified xsi:type="dcterms:W3CDTF">2025-03-10T07:18:38Z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E6202C753CAC43ED8781835D11D1D81D_13</vt:lpwstr>
  </property>
  <property fmtid="{D5CDD505-2E9C-101B-9397-08002B2CF9AE}" pid="4" name="KSOTemplateDocerSaveRecord">
    <vt:lpwstr>eyJoZGlkIjoiM2Y2YWQwZmQwYTk0YzMxZDE0NDM4NTZjN2RkMjdlYzYiLCJ1c2VySWQiOiIzMTAwODg2NjAifQ==</vt:lpwstr>
  </property>
</Properties>
</file>