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A0182">
      <w:pPr>
        <w:spacing w:line="360" w:lineRule="auto"/>
        <w:rPr>
          <w:rFonts w:ascii="宋体" w:hAnsi="宋体"/>
          <w:color w:val="000000" w:themeColor="text1"/>
          <w:sz w:val="24"/>
          <w14:textFill>
            <w14:solidFill>
              <w14:schemeClr w14:val="tx1"/>
            </w14:solidFill>
          </w14:textFill>
        </w:rPr>
      </w:pPr>
    </w:p>
    <w:p w14:paraId="753DCF7B">
      <w:pPr>
        <w:spacing w:line="360" w:lineRule="auto"/>
        <w:jc w:val="left"/>
        <w:rPr>
          <w:rFonts w:ascii="宋体" w:hAnsi="宋体"/>
          <w:color w:val="000000" w:themeColor="text1"/>
          <w:sz w:val="24"/>
          <w14:textFill>
            <w14:solidFill>
              <w14:schemeClr w14:val="tx1"/>
            </w14:solidFill>
          </w14:textFill>
        </w:rPr>
      </w:pPr>
    </w:p>
    <w:p w14:paraId="27D1CB12">
      <w:pPr>
        <w:spacing w:line="360" w:lineRule="auto"/>
        <w:jc w:val="center"/>
        <w:rPr>
          <w:rFonts w:ascii="宋体" w:hAnsi="宋体"/>
          <w:color w:val="000000" w:themeColor="text1"/>
          <w:sz w:val="24"/>
          <w14:textFill>
            <w14:solidFill>
              <w14:schemeClr w14:val="tx1"/>
            </w14:solidFill>
          </w14:textFill>
        </w:rPr>
      </w:pPr>
    </w:p>
    <w:p w14:paraId="06CA6841">
      <w:pPr>
        <w:spacing w:before="156" w:beforeLines="50" w:line="360" w:lineRule="auto"/>
        <w:jc w:val="center"/>
        <w:rPr>
          <w:rFonts w:ascii="宋体" w:hAnsi="宋体"/>
          <w:b/>
          <w:sz w:val="24"/>
        </w:rPr>
      </w:pPr>
    </w:p>
    <w:p w14:paraId="17975B3D">
      <w:pPr>
        <w:spacing w:before="156" w:beforeLines="50" w:line="360" w:lineRule="auto"/>
        <w:jc w:val="center"/>
        <w:rPr>
          <w:rFonts w:ascii="宋体" w:hAnsi="宋体"/>
          <w:b/>
          <w:sz w:val="24"/>
        </w:rPr>
      </w:pPr>
    </w:p>
    <w:p w14:paraId="7E06AEC5">
      <w:pPr>
        <w:spacing w:before="156" w:beforeLines="50" w:line="360" w:lineRule="auto"/>
        <w:jc w:val="center"/>
        <w:rPr>
          <w:rFonts w:ascii="宋体" w:hAnsi="宋体"/>
          <w:b/>
          <w:sz w:val="24"/>
        </w:rPr>
      </w:pPr>
    </w:p>
    <w:p w14:paraId="08D70C7F">
      <w:pPr>
        <w:spacing w:before="156" w:beforeLines="50" w:line="360" w:lineRule="auto"/>
        <w:jc w:val="both"/>
        <w:rPr>
          <w:rFonts w:ascii="宋体" w:hAnsi="宋体"/>
          <w:b/>
          <w:sz w:val="40"/>
        </w:rPr>
      </w:pPr>
    </w:p>
    <w:p w14:paraId="109C2E2E">
      <w:pPr>
        <w:spacing w:before="156" w:beforeLines="50" w:line="360" w:lineRule="auto"/>
        <w:ind w:firstLine="420"/>
        <w:jc w:val="center"/>
        <w:rPr>
          <w:rFonts w:ascii="宋体" w:hAnsi="宋体"/>
          <w:b/>
          <w:sz w:val="40"/>
        </w:rPr>
      </w:pPr>
      <w:r>
        <w:rPr>
          <w:rFonts w:ascii="宋体" w:hAnsi="宋体"/>
          <w:b/>
          <w:sz w:val="40"/>
        </w:rPr>
        <w:t>100</w:t>
      </w:r>
      <w:r>
        <w:rPr>
          <w:rFonts w:hint="eastAsia" w:ascii="宋体" w:hAnsi="宋体"/>
          <w:b/>
          <w:sz w:val="40"/>
        </w:rPr>
        <w:t>k</w:t>
      </w:r>
      <w:r>
        <w:rPr>
          <w:rFonts w:ascii="宋体" w:hAnsi="宋体"/>
          <w:b/>
          <w:sz w:val="40"/>
        </w:rPr>
        <w:t>W/215</w:t>
      </w:r>
      <w:r>
        <w:rPr>
          <w:rFonts w:hint="eastAsia" w:ascii="宋体" w:hAnsi="宋体"/>
          <w:b/>
          <w:sz w:val="40"/>
          <w:lang w:eastAsia="zh-CN"/>
        </w:rPr>
        <w:t>kW·h</w:t>
      </w:r>
      <w:r>
        <w:rPr>
          <w:rFonts w:hint="eastAsia" w:ascii="宋体" w:hAnsi="宋体"/>
          <w:b/>
          <w:sz w:val="40"/>
        </w:rPr>
        <w:t>储能系统</w:t>
      </w:r>
    </w:p>
    <w:p w14:paraId="2D819548">
      <w:pPr>
        <w:spacing w:before="156" w:beforeLines="50" w:line="360" w:lineRule="auto"/>
        <w:jc w:val="center"/>
        <w:rPr>
          <w:rFonts w:ascii="宋体" w:hAnsi="宋体"/>
          <w:b/>
          <w:sz w:val="40"/>
        </w:rPr>
      </w:pPr>
      <w:r>
        <w:rPr>
          <w:rFonts w:hint="eastAsia" w:ascii="宋体" w:hAnsi="宋体"/>
          <w:b/>
          <w:sz w:val="40"/>
        </w:rPr>
        <w:t>技术协议</w:t>
      </w:r>
    </w:p>
    <w:p w14:paraId="712997A0">
      <w:pPr>
        <w:spacing w:line="360" w:lineRule="auto"/>
        <w:rPr>
          <w:rFonts w:ascii="宋体" w:hAnsi="宋体"/>
          <w:b/>
          <w:sz w:val="24"/>
        </w:rPr>
      </w:pPr>
    </w:p>
    <w:p w14:paraId="126AF56C">
      <w:pPr>
        <w:spacing w:line="360" w:lineRule="auto"/>
        <w:rPr>
          <w:rFonts w:ascii="宋体" w:hAnsi="宋体"/>
          <w:sz w:val="24"/>
        </w:rPr>
      </w:pPr>
    </w:p>
    <w:p w14:paraId="24533A09">
      <w:pPr>
        <w:spacing w:line="360" w:lineRule="auto"/>
        <w:rPr>
          <w:rFonts w:ascii="宋体" w:hAnsi="宋体"/>
          <w:sz w:val="24"/>
        </w:rPr>
      </w:pPr>
    </w:p>
    <w:p w14:paraId="1C840D07">
      <w:pPr>
        <w:spacing w:line="360" w:lineRule="auto"/>
        <w:rPr>
          <w:rFonts w:ascii="宋体" w:hAnsi="宋体"/>
          <w:sz w:val="24"/>
        </w:rPr>
      </w:pPr>
    </w:p>
    <w:p w14:paraId="63C6960A">
      <w:pPr>
        <w:spacing w:line="360" w:lineRule="auto"/>
        <w:rPr>
          <w:rFonts w:ascii="宋体" w:hAnsi="宋体"/>
          <w:sz w:val="24"/>
        </w:rPr>
      </w:pPr>
    </w:p>
    <w:p w14:paraId="568B967F">
      <w:pPr>
        <w:spacing w:line="360" w:lineRule="auto"/>
        <w:rPr>
          <w:rFonts w:ascii="宋体" w:hAnsi="宋体"/>
          <w:sz w:val="24"/>
        </w:rPr>
      </w:pPr>
    </w:p>
    <w:p w14:paraId="5EC0AE4C">
      <w:pPr>
        <w:spacing w:line="360" w:lineRule="auto"/>
        <w:rPr>
          <w:rFonts w:ascii="宋体" w:hAnsi="宋体"/>
          <w:sz w:val="24"/>
        </w:rPr>
      </w:pPr>
    </w:p>
    <w:p w14:paraId="5B635F62">
      <w:pPr>
        <w:spacing w:line="360" w:lineRule="auto"/>
        <w:rPr>
          <w:rFonts w:ascii="宋体" w:hAnsi="宋体"/>
          <w:b/>
          <w:sz w:val="24"/>
        </w:rPr>
      </w:pPr>
    </w:p>
    <w:p w14:paraId="3A972797">
      <w:pPr>
        <w:spacing w:line="360" w:lineRule="auto"/>
        <w:ind w:firstLine="2168" w:firstLineChars="900"/>
        <w:rPr>
          <w:rFonts w:ascii="宋体" w:hAnsi="宋体"/>
          <w:b/>
          <w:color w:val="000000" w:themeColor="text1"/>
          <w:sz w:val="24"/>
          <w14:textFill>
            <w14:solidFill>
              <w14:schemeClr w14:val="tx1"/>
            </w14:solidFill>
          </w14:textFill>
        </w:rPr>
      </w:pPr>
    </w:p>
    <w:p w14:paraId="024E38D3">
      <w:pPr>
        <w:spacing w:line="360" w:lineRule="auto"/>
        <w:ind w:firstLine="2168" w:firstLineChars="900"/>
        <w:rPr>
          <w:rFonts w:ascii="宋体" w:hAnsi="宋体"/>
          <w:b/>
          <w:color w:val="000000" w:themeColor="text1"/>
          <w:sz w:val="24"/>
          <w14:textFill>
            <w14:solidFill>
              <w14:schemeClr w14:val="tx1"/>
            </w14:solidFill>
          </w14:textFill>
        </w:rPr>
      </w:pPr>
    </w:p>
    <w:p w14:paraId="027F0BB7">
      <w:pPr>
        <w:pStyle w:val="16"/>
        <w:spacing w:line="360" w:lineRule="auto"/>
        <w:jc w:val="center"/>
        <w:rPr>
          <w:rFonts w:hint="eastAsia" w:ascii="宋体" w:hAnsi="宋体"/>
          <w:b/>
          <w:bCs/>
          <w:color w:val="000000" w:themeColor="text1"/>
          <w:sz w:val="28"/>
          <w:szCs w:val="28"/>
          <w14:textFill>
            <w14:solidFill>
              <w14:schemeClr w14:val="tx1"/>
            </w14:solidFill>
          </w14:textFill>
        </w:rPr>
      </w:pPr>
    </w:p>
    <w:p w14:paraId="045A086D">
      <w:pPr>
        <w:pStyle w:val="16"/>
        <w:spacing w:line="360" w:lineRule="auto"/>
        <w:jc w:val="center"/>
        <w:rPr>
          <w:rFonts w:hint="eastAsia" w:ascii="宋体" w:hAnsi="宋体"/>
          <w:b/>
          <w:bCs/>
          <w:color w:val="000000" w:themeColor="text1"/>
          <w:sz w:val="28"/>
          <w:szCs w:val="28"/>
          <w14:textFill>
            <w14:solidFill>
              <w14:schemeClr w14:val="tx1"/>
            </w14:solidFill>
          </w14:textFill>
        </w:rPr>
      </w:pPr>
    </w:p>
    <w:p w14:paraId="7D222AA4">
      <w:pPr>
        <w:rPr>
          <w:rFonts w:hint="eastAsia"/>
        </w:rPr>
      </w:pPr>
    </w:p>
    <w:p w14:paraId="180EDDF4">
      <w:pPr>
        <w:pStyle w:val="16"/>
        <w:spacing w:line="360" w:lineRule="auto"/>
        <w:jc w:val="center"/>
        <w:rPr>
          <w:rFonts w:hint="eastAsia" w:ascii="宋体" w:hAnsi="宋体"/>
          <w:b/>
          <w:bCs/>
          <w:color w:val="000000" w:themeColor="text1"/>
          <w:sz w:val="28"/>
          <w:szCs w:val="28"/>
          <w14:textFill>
            <w14:solidFill>
              <w14:schemeClr w14:val="tx1"/>
            </w14:solidFill>
          </w14:textFill>
        </w:rPr>
      </w:pPr>
    </w:p>
    <w:p w14:paraId="4F6A3FA4">
      <w:pPr>
        <w:pStyle w:val="16"/>
        <w:spacing w:line="360" w:lineRule="auto"/>
        <w:jc w:val="center"/>
        <w:rPr>
          <w:rFonts w:hint="eastAsia" w:ascii="宋体" w:hAnsi="宋体"/>
          <w:b/>
          <w:bCs/>
          <w:color w:val="000000" w:themeColor="text1"/>
          <w:sz w:val="28"/>
          <w:szCs w:val="28"/>
          <w14:textFill>
            <w14:solidFill>
              <w14:schemeClr w14:val="tx1"/>
            </w14:solidFill>
          </w14:textFill>
        </w:rPr>
      </w:pPr>
    </w:p>
    <w:p w14:paraId="63FFB68A">
      <w:pPr>
        <w:pStyle w:val="16"/>
        <w:spacing w:line="360" w:lineRule="auto"/>
        <w:jc w:val="center"/>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目</w:t>
      </w:r>
      <w:r>
        <w:rPr>
          <w:rFonts w:ascii="宋体" w:hAnsi="宋体"/>
          <w:b/>
          <w:bCs/>
          <w:color w:val="000000" w:themeColor="text1"/>
          <w:sz w:val="28"/>
          <w:szCs w:val="28"/>
          <w14:textFill>
            <w14:solidFill>
              <w14:schemeClr w14:val="tx1"/>
            </w14:solidFill>
          </w14:textFill>
        </w:rPr>
        <w:t xml:space="preserve"> </w:t>
      </w:r>
      <w:r>
        <w:rPr>
          <w:rFonts w:hint="eastAsia" w:ascii="宋体" w:hAnsi="宋体"/>
          <w:b/>
          <w:bCs/>
          <w:color w:val="000000" w:themeColor="text1"/>
          <w:sz w:val="28"/>
          <w:szCs w:val="28"/>
          <w14:textFill>
            <w14:solidFill>
              <w14:schemeClr w14:val="tx1"/>
            </w14:solidFill>
          </w14:textFill>
        </w:rPr>
        <w:t>录</w:t>
      </w:r>
    </w:p>
    <w:p w14:paraId="7A48E7A2">
      <w:pPr>
        <w:pStyle w:val="16"/>
        <w:tabs>
          <w:tab w:val="right" w:leader="middleDot" w:pos="9746"/>
          <w:tab w:val="clear" w:pos="426"/>
        </w:tabs>
      </w:pPr>
      <w:r>
        <w:rPr>
          <w:rFonts w:hint="eastAsia"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TOC \o "1-3" \h \z </w:instrText>
      </w:r>
      <w:r>
        <w:rPr>
          <w:rFonts w:hint="eastAsia" w:ascii="宋体" w:hAnsi="宋体"/>
          <w:color w:val="000000" w:themeColor="text1"/>
          <w:sz w:val="24"/>
          <w:szCs w:val="24"/>
          <w14:textFill>
            <w14:solidFill>
              <w14:schemeClr w14:val="tx1"/>
            </w14:solidFill>
          </w14:textFill>
        </w:rPr>
        <w:fldChar w:fldCharType="separate"/>
      </w: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_Toc31368 </w:instrText>
      </w:r>
      <w:r>
        <w:rPr>
          <w:rFonts w:hint="eastAsia" w:ascii="宋体" w:hAnsi="宋体"/>
          <w:szCs w:val="24"/>
        </w:rPr>
        <w:fldChar w:fldCharType="separate"/>
      </w:r>
      <w:r>
        <w:rPr>
          <w:rFonts w:ascii="宋体" w:hAnsi="宋体"/>
          <w:szCs w:val="24"/>
        </w:rPr>
        <w:t xml:space="preserve">1 </w:t>
      </w:r>
      <w:r>
        <w:rPr>
          <w:rFonts w:hint="eastAsia" w:ascii="宋体" w:hAnsi="宋体"/>
          <w:szCs w:val="24"/>
        </w:rPr>
        <w:t>背景</w:t>
      </w:r>
      <w:r>
        <w:tab/>
      </w:r>
      <w:r>
        <w:fldChar w:fldCharType="begin"/>
      </w:r>
      <w:r>
        <w:instrText xml:space="preserve"> PAGEREF _Toc31368 \h </w:instrText>
      </w:r>
      <w:r>
        <w:fldChar w:fldCharType="separate"/>
      </w:r>
      <w:r>
        <w:t>1</w:t>
      </w:r>
      <w:r>
        <w:fldChar w:fldCharType="end"/>
      </w:r>
      <w:r>
        <w:rPr>
          <w:rFonts w:hint="eastAsia" w:ascii="宋体" w:hAnsi="宋体"/>
          <w:color w:val="000000" w:themeColor="text1"/>
          <w:szCs w:val="24"/>
          <w14:textFill>
            <w14:solidFill>
              <w14:schemeClr w14:val="tx1"/>
            </w14:solidFill>
          </w14:textFill>
        </w:rPr>
        <w:fldChar w:fldCharType="end"/>
      </w:r>
    </w:p>
    <w:p w14:paraId="062AF5F9">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_Toc21344 </w:instrText>
      </w:r>
      <w:r>
        <w:rPr>
          <w:rFonts w:hint="eastAsia" w:ascii="宋体" w:hAnsi="宋体"/>
          <w:szCs w:val="24"/>
        </w:rPr>
        <w:fldChar w:fldCharType="separate"/>
      </w:r>
      <w:r>
        <w:rPr>
          <w:szCs w:val="24"/>
        </w:rPr>
        <w:t xml:space="preserve">1.1 </w:t>
      </w:r>
      <w:r>
        <w:rPr>
          <w:rFonts w:hint="eastAsia"/>
          <w:szCs w:val="24"/>
        </w:rPr>
        <w:t>概述</w:t>
      </w:r>
      <w:r>
        <w:tab/>
      </w:r>
      <w:r>
        <w:fldChar w:fldCharType="begin"/>
      </w:r>
      <w:r>
        <w:instrText xml:space="preserve"> PAGEREF _Toc21344 \h </w:instrText>
      </w:r>
      <w:r>
        <w:fldChar w:fldCharType="separate"/>
      </w:r>
      <w:r>
        <w:t>1</w:t>
      </w:r>
      <w:r>
        <w:fldChar w:fldCharType="end"/>
      </w:r>
      <w:r>
        <w:rPr>
          <w:rFonts w:hint="eastAsia" w:ascii="宋体" w:hAnsi="宋体"/>
          <w:color w:val="000000" w:themeColor="text1"/>
          <w:szCs w:val="24"/>
          <w14:textFill>
            <w14:solidFill>
              <w14:schemeClr w14:val="tx1"/>
            </w14:solidFill>
          </w14:textFill>
        </w:rPr>
        <w:fldChar w:fldCharType="end"/>
      </w:r>
    </w:p>
    <w:p w14:paraId="34431C2A">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_Toc12592 </w:instrText>
      </w:r>
      <w:r>
        <w:rPr>
          <w:rFonts w:hint="eastAsia" w:ascii="宋体" w:hAnsi="宋体"/>
          <w:szCs w:val="24"/>
        </w:rPr>
        <w:fldChar w:fldCharType="separate"/>
      </w:r>
      <w:r>
        <w:rPr>
          <w:szCs w:val="24"/>
        </w:rPr>
        <w:t xml:space="preserve">1.2 </w:t>
      </w:r>
      <w:r>
        <w:rPr>
          <w:rFonts w:hint="eastAsia"/>
          <w:szCs w:val="24"/>
        </w:rPr>
        <w:t>引用的标准</w:t>
      </w:r>
      <w:r>
        <w:rPr>
          <w:szCs w:val="24"/>
        </w:rPr>
        <w:t>/规范</w:t>
      </w:r>
      <w:r>
        <w:tab/>
      </w:r>
      <w:r>
        <w:fldChar w:fldCharType="begin"/>
      </w:r>
      <w:r>
        <w:instrText xml:space="preserve"> PAGEREF _Toc12592 \h </w:instrText>
      </w:r>
      <w:r>
        <w:fldChar w:fldCharType="separate"/>
      </w:r>
      <w:r>
        <w:t>1</w:t>
      </w:r>
      <w:r>
        <w:fldChar w:fldCharType="end"/>
      </w:r>
      <w:r>
        <w:rPr>
          <w:rFonts w:hint="eastAsia" w:ascii="宋体" w:hAnsi="宋体"/>
          <w:color w:val="000000" w:themeColor="text1"/>
          <w:szCs w:val="24"/>
          <w14:textFill>
            <w14:solidFill>
              <w14:schemeClr w14:val="tx1"/>
            </w14:solidFill>
          </w14:textFill>
        </w:rPr>
        <w:fldChar w:fldCharType="end"/>
      </w:r>
    </w:p>
    <w:p w14:paraId="7666B027">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_Toc13356 </w:instrText>
      </w:r>
      <w:r>
        <w:rPr>
          <w:rFonts w:hint="eastAsia" w:ascii="宋体" w:hAnsi="宋体"/>
          <w:szCs w:val="24"/>
        </w:rPr>
        <w:fldChar w:fldCharType="separate"/>
      </w:r>
      <w:r>
        <w:rPr>
          <w:szCs w:val="24"/>
        </w:rPr>
        <w:t xml:space="preserve">1.3 </w:t>
      </w:r>
      <w:r>
        <w:rPr>
          <w:rFonts w:hint="eastAsia"/>
          <w:szCs w:val="24"/>
        </w:rPr>
        <w:t>缩写词和术语定义</w:t>
      </w:r>
      <w:r>
        <w:tab/>
      </w:r>
      <w:r>
        <w:fldChar w:fldCharType="begin"/>
      </w:r>
      <w:r>
        <w:instrText xml:space="preserve"> PAGEREF _Toc13356 \h </w:instrText>
      </w:r>
      <w:r>
        <w:fldChar w:fldCharType="separate"/>
      </w:r>
      <w:r>
        <w:t>2</w:t>
      </w:r>
      <w:r>
        <w:fldChar w:fldCharType="end"/>
      </w:r>
      <w:r>
        <w:rPr>
          <w:rFonts w:hint="eastAsia" w:ascii="宋体" w:hAnsi="宋体"/>
          <w:color w:val="000000" w:themeColor="text1"/>
          <w:szCs w:val="24"/>
          <w14:textFill>
            <w14:solidFill>
              <w14:schemeClr w14:val="tx1"/>
            </w14:solidFill>
          </w14:textFill>
        </w:rPr>
        <w:fldChar w:fldCharType="end"/>
      </w:r>
    </w:p>
    <w:p w14:paraId="6F2139BF">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_Toc5539 </w:instrText>
      </w:r>
      <w:r>
        <w:rPr>
          <w:rFonts w:hint="eastAsia" w:ascii="宋体" w:hAnsi="宋体"/>
          <w:szCs w:val="24"/>
        </w:rPr>
        <w:fldChar w:fldCharType="separate"/>
      </w:r>
      <w:r>
        <w:rPr>
          <w:rFonts w:ascii="宋体" w:hAnsi="宋体"/>
          <w:szCs w:val="24"/>
        </w:rPr>
        <w:t xml:space="preserve">2 </w:t>
      </w:r>
      <w:r>
        <w:rPr>
          <w:rFonts w:hint="eastAsia" w:ascii="宋体" w:hAnsi="宋体"/>
          <w:szCs w:val="24"/>
        </w:rPr>
        <w:t>系统要求</w:t>
      </w:r>
      <w:r>
        <w:tab/>
      </w:r>
      <w:r>
        <w:fldChar w:fldCharType="begin"/>
      </w:r>
      <w:r>
        <w:instrText xml:space="preserve"> PAGEREF _Toc5539 \h </w:instrText>
      </w:r>
      <w:r>
        <w:fldChar w:fldCharType="separate"/>
      </w:r>
      <w:r>
        <w:t>2</w:t>
      </w:r>
      <w:r>
        <w:fldChar w:fldCharType="end"/>
      </w:r>
      <w:r>
        <w:rPr>
          <w:rFonts w:hint="eastAsia" w:ascii="宋体" w:hAnsi="宋体"/>
          <w:color w:val="000000" w:themeColor="text1"/>
          <w:szCs w:val="24"/>
          <w14:textFill>
            <w14:solidFill>
              <w14:schemeClr w14:val="tx1"/>
            </w14:solidFill>
          </w14:textFill>
        </w:rPr>
        <w:fldChar w:fldCharType="end"/>
      </w:r>
    </w:p>
    <w:p w14:paraId="17394064">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_Toc13036 </w:instrText>
      </w:r>
      <w:r>
        <w:rPr>
          <w:rFonts w:hint="eastAsia" w:ascii="宋体" w:hAnsi="宋体"/>
          <w:szCs w:val="24"/>
        </w:rPr>
        <w:fldChar w:fldCharType="separate"/>
      </w:r>
      <w:r>
        <w:rPr>
          <w:szCs w:val="24"/>
          <w:lang w:val="en-US"/>
        </w:rPr>
        <w:t xml:space="preserve">2.1 </w:t>
      </w:r>
      <w:r>
        <w:rPr>
          <w:rFonts w:hint="eastAsia"/>
          <w:szCs w:val="24"/>
        </w:rPr>
        <w:t>项目储能系统配置清单</w:t>
      </w:r>
      <w:r>
        <w:tab/>
      </w:r>
      <w:r>
        <w:fldChar w:fldCharType="begin"/>
      </w:r>
      <w:r>
        <w:instrText xml:space="preserve"> PAGEREF _Toc13036 \h </w:instrText>
      </w:r>
      <w:r>
        <w:fldChar w:fldCharType="separate"/>
      </w:r>
      <w:r>
        <w:t>2</w:t>
      </w:r>
      <w:r>
        <w:fldChar w:fldCharType="end"/>
      </w:r>
      <w:r>
        <w:rPr>
          <w:rFonts w:hint="eastAsia" w:ascii="宋体" w:hAnsi="宋体"/>
          <w:color w:val="000000" w:themeColor="text1"/>
          <w:szCs w:val="24"/>
          <w14:textFill>
            <w14:solidFill>
              <w14:schemeClr w14:val="tx1"/>
            </w14:solidFill>
          </w14:textFill>
        </w:rPr>
        <w:fldChar w:fldCharType="end"/>
      </w:r>
    </w:p>
    <w:p w14:paraId="2CCC0676">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_Toc21302 </w:instrText>
      </w:r>
      <w:r>
        <w:rPr>
          <w:rFonts w:hint="eastAsia" w:ascii="宋体" w:hAnsi="宋体"/>
          <w:szCs w:val="24"/>
        </w:rPr>
        <w:fldChar w:fldCharType="separate"/>
      </w:r>
      <w:r>
        <w:rPr>
          <w:szCs w:val="24"/>
          <w:lang w:val="en-US"/>
        </w:rPr>
        <w:t xml:space="preserve">2.2 </w:t>
      </w:r>
      <w:r>
        <w:rPr>
          <w:rFonts w:hint="eastAsia"/>
          <w:szCs w:val="24"/>
        </w:rPr>
        <w:t>系统整体要求</w:t>
      </w:r>
      <w:r>
        <w:tab/>
      </w:r>
      <w:r>
        <w:fldChar w:fldCharType="begin"/>
      </w:r>
      <w:r>
        <w:instrText xml:space="preserve"> PAGEREF _Toc21302 \h </w:instrText>
      </w:r>
      <w:r>
        <w:fldChar w:fldCharType="separate"/>
      </w:r>
      <w:r>
        <w:t>3</w:t>
      </w:r>
      <w:r>
        <w:fldChar w:fldCharType="end"/>
      </w:r>
      <w:r>
        <w:rPr>
          <w:rFonts w:hint="eastAsia" w:ascii="宋体" w:hAnsi="宋体"/>
          <w:color w:val="000000" w:themeColor="text1"/>
          <w:szCs w:val="24"/>
          <w14:textFill>
            <w14:solidFill>
              <w14:schemeClr w14:val="tx1"/>
            </w14:solidFill>
          </w14:textFill>
        </w:rPr>
        <w:fldChar w:fldCharType="end"/>
      </w:r>
    </w:p>
    <w:p w14:paraId="534F42AB">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_Toc4690 </w:instrText>
      </w:r>
      <w:r>
        <w:rPr>
          <w:rFonts w:hint="eastAsia" w:ascii="宋体" w:hAnsi="宋体"/>
          <w:szCs w:val="24"/>
        </w:rPr>
        <w:fldChar w:fldCharType="separate"/>
      </w:r>
      <w:r>
        <w:rPr>
          <w:szCs w:val="24"/>
          <w:lang w:val="en-US"/>
        </w:rPr>
        <w:t xml:space="preserve">2.3 </w:t>
      </w:r>
      <w:r>
        <w:rPr>
          <w:rFonts w:hint="eastAsia"/>
          <w:szCs w:val="24"/>
        </w:rPr>
        <w:t>储能系统规格参数</w:t>
      </w:r>
      <w:r>
        <w:tab/>
      </w:r>
      <w:r>
        <w:fldChar w:fldCharType="begin"/>
      </w:r>
      <w:r>
        <w:instrText xml:space="preserve"> PAGEREF _Toc4690 \h </w:instrText>
      </w:r>
      <w:r>
        <w:fldChar w:fldCharType="separate"/>
      </w:r>
      <w:r>
        <w:t>4</w:t>
      </w:r>
      <w:r>
        <w:fldChar w:fldCharType="end"/>
      </w:r>
      <w:r>
        <w:rPr>
          <w:rFonts w:hint="eastAsia" w:ascii="宋体" w:hAnsi="宋体"/>
          <w:color w:val="000000" w:themeColor="text1"/>
          <w:szCs w:val="24"/>
          <w14:textFill>
            <w14:solidFill>
              <w14:schemeClr w14:val="tx1"/>
            </w14:solidFill>
          </w14:textFill>
        </w:rPr>
        <w:fldChar w:fldCharType="end"/>
      </w:r>
    </w:p>
    <w:p w14:paraId="5C42CE7E">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_Toc7105 </w:instrText>
      </w:r>
      <w:r>
        <w:rPr>
          <w:rFonts w:hint="eastAsia" w:ascii="宋体" w:hAnsi="宋体"/>
          <w:szCs w:val="24"/>
        </w:rPr>
        <w:fldChar w:fldCharType="separate"/>
      </w:r>
      <w:r>
        <w:rPr>
          <w:rFonts w:ascii="宋体" w:hAnsi="宋体"/>
          <w:szCs w:val="24"/>
        </w:rPr>
        <w:t xml:space="preserve">3 </w:t>
      </w:r>
      <w:r>
        <w:rPr>
          <w:rFonts w:hint="eastAsia" w:ascii="宋体" w:hAnsi="宋体"/>
          <w:szCs w:val="24"/>
        </w:rPr>
        <w:t>系统方案设计</w:t>
      </w:r>
      <w:r>
        <w:tab/>
      </w:r>
      <w:r>
        <w:fldChar w:fldCharType="begin"/>
      </w:r>
      <w:r>
        <w:instrText xml:space="preserve"> PAGEREF _Toc7105 \h </w:instrText>
      </w:r>
      <w:r>
        <w:fldChar w:fldCharType="separate"/>
      </w:r>
      <w:r>
        <w:t>5</w:t>
      </w:r>
      <w:r>
        <w:fldChar w:fldCharType="end"/>
      </w:r>
      <w:r>
        <w:rPr>
          <w:rFonts w:hint="eastAsia" w:ascii="宋体" w:hAnsi="宋体"/>
          <w:color w:val="000000" w:themeColor="text1"/>
          <w:szCs w:val="24"/>
          <w14:textFill>
            <w14:solidFill>
              <w14:schemeClr w14:val="tx1"/>
            </w14:solidFill>
          </w14:textFill>
        </w:rPr>
        <w:fldChar w:fldCharType="end"/>
      </w:r>
    </w:p>
    <w:p w14:paraId="73197495">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_Toc30495 </w:instrText>
      </w:r>
      <w:r>
        <w:rPr>
          <w:rFonts w:hint="eastAsia" w:ascii="宋体" w:hAnsi="宋体"/>
          <w:szCs w:val="24"/>
        </w:rPr>
        <w:fldChar w:fldCharType="separate"/>
      </w:r>
      <w:r>
        <w:rPr>
          <w:szCs w:val="24"/>
          <w:lang w:val="en-US"/>
        </w:rPr>
        <w:t xml:space="preserve">3.1 </w:t>
      </w:r>
      <w:r>
        <w:rPr>
          <w:rFonts w:hint="eastAsia"/>
          <w:szCs w:val="24"/>
        </w:rPr>
        <w:t>储能系统原理</w:t>
      </w:r>
      <w:r>
        <w:tab/>
      </w:r>
      <w:r>
        <w:fldChar w:fldCharType="begin"/>
      </w:r>
      <w:r>
        <w:instrText xml:space="preserve"> PAGEREF _Toc30495 \h </w:instrText>
      </w:r>
      <w:r>
        <w:fldChar w:fldCharType="separate"/>
      </w:r>
      <w:r>
        <w:t>5</w:t>
      </w:r>
      <w:r>
        <w:fldChar w:fldCharType="end"/>
      </w:r>
      <w:r>
        <w:rPr>
          <w:rFonts w:hint="eastAsia" w:ascii="宋体" w:hAnsi="宋体"/>
          <w:color w:val="000000" w:themeColor="text1"/>
          <w:szCs w:val="24"/>
          <w14:textFill>
            <w14:solidFill>
              <w14:schemeClr w14:val="tx1"/>
            </w14:solidFill>
          </w14:textFill>
        </w:rPr>
        <w:fldChar w:fldCharType="end"/>
      </w:r>
    </w:p>
    <w:p w14:paraId="04F9E7AD">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_Toc23096 </w:instrText>
      </w:r>
      <w:r>
        <w:rPr>
          <w:rFonts w:hint="eastAsia" w:ascii="宋体" w:hAnsi="宋体"/>
          <w:szCs w:val="24"/>
        </w:rPr>
        <w:fldChar w:fldCharType="separate"/>
      </w:r>
      <w:r>
        <w:rPr>
          <w:szCs w:val="24"/>
          <w:lang w:val="en-US"/>
        </w:rPr>
        <w:t xml:space="preserve">3.2 </w:t>
      </w:r>
      <w:r>
        <w:rPr>
          <w:rFonts w:hint="eastAsia"/>
          <w:szCs w:val="24"/>
        </w:rPr>
        <w:t>储能一体柜结构布置图</w:t>
      </w:r>
      <w:r>
        <w:tab/>
      </w:r>
      <w:r>
        <w:fldChar w:fldCharType="begin"/>
      </w:r>
      <w:r>
        <w:instrText xml:space="preserve"> PAGEREF _Toc23096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0463B075">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_Toc31935 </w:instrText>
      </w:r>
      <w:r>
        <w:rPr>
          <w:rFonts w:hint="eastAsia" w:ascii="宋体" w:hAnsi="宋体"/>
          <w:szCs w:val="24"/>
        </w:rPr>
        <w:fldChar w:fldCharType="separate"/>
      </w:r>
      <w:r>
        <w:rPr>
          <w:szCs w:val="24"/>
          <w:lang w:val="en-US"/>
        </w:rPr>
        <w:t xml:space="preserve">3.3 </w:t>
      </w:r>
      <w:r>
        <w:rPr>
          <w:rFonts w:hint="eastAsia"/>
          <w:szCs w:val="24"/>
        </w:rPr>
        <w:t>储能系统配电及能量管理</w:t>
      </w:r>
      <w:r>
        <w:tab/>
      </w:r>
      <w:r>
        <w:fldChar w:fldCharType="begin"/>
      </w:r>
      <w:r>
        <w:instrText xml:space="preserve"> PAGEREF _Toc31935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0FC0BF39">
      <w:pPr>
        <w:pStyle w:val="11"/>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_Toc28512 </w:instrText>
      </w:r>
      <w:r>
        <w:rPr>
          <w:rFonts w:hint="eastAsia" w:ascii="宋体" w:hAnsi="宋体"/>
          <w:szCs w:val="24"/>
        </w:rPr>
        <w:fldChar w:fldCharType="separate"/>
      </w:r>
      <w:r>
        <w:rPr>
          <w:rFonts w:ascii="宋体" w:hAnsi="宋体" w:eastAsia="宋体"/>
        </w:rPr>
        <w:t xml:space="preserve">3.3.1 </w:t>
      </w:r>
      <w:r>
        <w:rPr>
          <w:rFonts w:hint="eastAsia"/>
        </w:rPr>
        <w:t>储能配电系统</w:t>
      </w:r>
      <w:r>
        <w:tab/>
      </w:r>
      <w:r>
        <w:fldChar w:fldCharType="begin"/>
      </w:r>
      <w:r>
        <w:instrText xml:space="preserve"> PAGEREF _Toc28512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1209C8F1">
      <w:pPr>
        <w:pStyle w:val="11"/>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_Toc4046 </w:instrText>
      </w:r>
      <w:r>
        <w:rPr>
          <w:rFonts w:hint="eastAsia" w:ascii="宋体" w:hAnsi="宋体"/>
          <w:szCs w:val="24"/>
        </w:rPr>
        <w:fldChar w:fldCharType="separate"/>
      </w:r>
      <w:r>
        <w:rPr>
          <w:rFonts w:ascii="宋体" w:hAnsi="宋体" w:eastAsia="宋体"/>
        </w:rPr>
        <w:t xml:space="preserve">3.3.2 </w:t>
      </w:r>
      <w:r>
        <w:rPr>
          <w:rFonts w:hint="eastAsia"/>
        </w:rPr>
        <w:t>储能系统能量管理</w:t>
      </w:r>
      <w:r>
        <w:tab/>
      </w:r>
      <w:r>
        <w:fldChar w:fldCharType="begin"/>
      </w:r>
      <w:r>
        <w:instrText xml:space="preserve"> PAGEREF _Toc4046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67440BA6">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_Toc28864 </w:instrText>
      </w:r>
      <w:r>
        <w:rPr>
          <w:rFonts w:hint="eastAsia" w:ascii="宋体" w:hAnsi="宋体"/>
          <w:szCs w:val="24"/>
        </w:rPr>
        <w:fldChar w:fldCharType="separate"/>
      </w:r>
      <w:r>
        <w:rPr>
          <w:szCs w:val="24"/>
          <w:lang w:val="en-US"/>
        </w:rPr>
        <w:t xml:space="preserve">3.4 </w:t>
      </w:r>
      <w:r>
        <w:rPr>
          <w:rFonts w:hint="eastAsia"/>
          <w:szCs w:val="24"/>
        </w:rPr>
        <w:t>消防安全系统设计</w:t>
      </w:r>
      <w:r>
        <w:tab/>
      </w:r>
      <w:r>
        <w:fldChar w:fldCharType="begin"/>
      </w:r>
      <w:r>
        <w:instrText xml:space="preserve"> PAGEREF _Toc28864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2E171C46">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_Toc17828 </w:instrText>
      </w:r>
      <w:r>
        <w:rPr>
          <w:rFonts w:hint="eastAsia" w:ascii="宋体" w:hAnsi="宋体"/>
          <w:szCs w:val="24"/>
        </w:rPr>
        <w:fldChar w:fldCharType="separate"/>
      </w:r>
      <w:r>
        <w:rPr>
          <w:szCs w:val="24"/>
          <w:lang w:val="en-US"/>
        </w:rPr>
        <w:t xml:space="preserve">3.5 </w:t>
      </w:r>
      <w:r>
        <w:rPr>
          <w:rFonts w:hint="eastAsia"/>
          <w:szCs w:val="24"/>
        </w:rPr>
        <w:t>系统通信接口设计</w:t>
      </w:r>
      <w:r>
        <w:tab/>
      </w:r>
      <w:r>
        <w:fldChar w:fldCharType="begin"/>
      </w:r>
      <w:r>
        <w:instrText xml:space="preserve"> PAGEREF _Toc17828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75D7B693">
      <w:pPr>
        <w:pStyle w:val="11"/>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_Toc25725 </w:instrText>
      </w:r>
      <w:r>
        <w:rPr>
          <w:rFonts w:hint="eastAsia" w:ascii="宋体" w:hAnsi="宋体"/>
          <w:szCs w:val="24"/>
        </w:rPr>
        <w:fldChar w:fldCharType="separate"/>
      </w:r>
      <w:r>
        <w:rPr>
          <w:rFonts w:ascii="宋体" w:hAnsi="宋体" w:eastAsia="宋体"/>
          <w:szCs w:val="24"/>
        </w:rPr>
        <w:t xml:space="preserve">3.5.1 </w:t>
      </w:r>
      <w:r>
        <w:rPr>
          <w:rFonts w:hint="eastAsia"/>
          <w:szCs w:val="24"/>
        </w:rPr>
        <w:t>系统外部通信</w:t>
      </w:r>
      <w:r>
        <w:tab/>
      </w:r>
      <w:r>
        <w:fldChar w:fldCharType="begin"/>
      </w:r>
      <w:r>
        <w:instrText xml:space="preserve"> PAGEREF _Toc25725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115A0E19">
      <w:pPr>
        <w:pStyle w:val="11"/>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_Toc24920 </w:instrText>
      </w:r>
      <w:r>
        <w:rPr>
          <w:rFonts w:hint="eastAsia" w:ascii="宋体" w:hAnsi="宋体"/>
          <w:szCs w:val="24"/>
        </w:rPr>
        <w:fldChar w:fldCharType="separate"/>
      </w:r>
      <w:r>
        <w:rPr>
          <w:rFonts w:ascii="宋体" w:hAnsi="宋体" w:eastAsia="宋体"/>
          <w:szCs w:val="24"/>
        </w:rPr>
        <w:t xml:space="preserve">3.5.2 </w:t>
      </w:r>
      <w:r>
        <w:rPr>
          <w:rFonts w:hint="eastAsia"/>
          <w:szCs w:val="24"/>
        </w:rPr>
        <w:t>系统内部通信</w:t>
      </w:r>
      <w:r>
        <w:tab/>
      </w:r>
      <w:r>
        <w:fldChar w:fldCharType="begin"/>
      </w:r>
      <w:r>
        <w:instrText xml:space="preserve"> PAGEREF _Toc24920 \h </w:instrText>
      </w:r>
      <w:r>
        <w:fldChar w:fldCharType="separate"/>
      </w:r>
      <w:r>
        <w:t>6</w:t>
      </w:r>
      <w:r>
        <w:fldChar w:fldCharType="end"/>
      </w:r>
      <w:r>
        <w:rPr>
          <w:rFonts w:hint="eastAsia" w:ascii="宋体" w:hAnsi="宋体"/>
          <w:color w:val="000000" w:themeColor="text1"/>
          <w:szCs w:val="24"/>
          <w14:textFill>
            <w14:solidFill>
              <w14:schemeClr w14:val="tx1"/>
            </w14:solidFill>
          </w14:textFill>
        </w:rPr>
        <w:fldChar w:fldCharType="end"/>
      </w:r>
    </w:p>
    <w:p w14:paraId="70862CF5">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_Toc2248 </w:instrText>
      </w:r>
      <w:r>
        <w:rPr>
          <w:rFonts w:hint="eastAsia" w:ascii="宋体" w:hAnsi="宋体"/>
          <w:szCs w:val="24"/>
        </w:rPr>
        <w:fldChar w:fldCharType="separate"/>
      </w:r>
      <w:r>
        <w:rPr>
          <w:rFonts w:ascii="宋体" w:hAnsi="宋体"/>
          <w:szCs w:val="24"/>
        </w:rPr>
        <w:t xml:space="preserve">4 </w:t>
      </w:r>
      <w:r>
        <w:rPr>
          <w:rFonts w:hint="eastAsia" w:ascii="宋体" w:hAnsi="宋体"/>
          <w:szCs w:val="24"/>
        </w:rPr>
        <w:t>出厂前测试</w:t>
      </w:r>
      <w:r>
        <w:tab/>
      </w:r>
      <w:r>
        <w:fldChar w:fldCharType="begin"/>
      </w:r>
      <w:r>
        <w:instrText xml:space="preserve"> PAGEREF _Toc2248 \h </w:instrText>
      </w:r>
      <w:r>
        <w:fldChar w:fldCharType="separate"/>
      </w:r>
      <w:r>
        <w:t>7</w:t>
      </w:r>
      <w:r>
        <w:fldChar w:fldCharType="end"/>
      </w:r>
      <w:r>
        <w:rPr>
          <w:rFonts w:hint="eastAsia" w:ascii="宋体" w:hAnsi="宋体"/>
          <w:color w:val="000000" w:themeColor="text1"/>
          <w:szCs w:val="24"/>
          <w14:textFill>
            <w14:solidFill>
              <w14:schemeClr w14:val="tx1"/>
            </w14:solidFill>
          </w14:textFill>
        </w:rPr>
        <w:fldChar w:fldCharType="end"/>
      </w:r>
    </w:p>
    <w:p w14:paraId="76253D05">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_Toc31201 </w:instrText>
      </w:r>
      <w:r>
        <w:rPr>
          <w:rFonts w:hint="eastAsia" w:ascii="宋体" w:hAnsi="宋体"/>
          <w:szCs w:val="24"/>
        </w:rPr>
        <w:fldChar w:fldCharType="separate"/>
      </w:r>
      <w:r>
        <w:rPr>
          <w:rFonts w:ascii="宋体" w:hAnsi="宋体"/>
          <w:szCs w:val="24"/>
        </w:rPr>
        <w:t xml:space="preserve">5 </w:t>
      </w:r>
      <w:r>
        <w:rPr>
          <w:rFonts w:hint="eastAsia" w:ascii="宋体" w:hAnsi="宋体"/>
          <w:szCs w:val="24"/>
        </w:rPr>
        <w:t>储能系统选址</w:t>
      </w:r>
      <w:r>
        <w:tab/>
      </w:r>
      <w:r>
        <w:fldChar w:fldCharType="begin"/>
      </w:r>
      <w:r>
        <w:instrText xml:space="preserve"> PAGEREF _Toc31201 \h </w:instrText>
      </w:r>
      <w:r>
        <w:fldChar w:fldCharType="separate"/>
      </w:r>
      <w:r>
        <w:t>7</w:t>
      </w:r>
      <w:r>
        <w:fldChar w:fldCharType="end"/>
      </w:r>
      <w:r>
        <w:rPr>
          <w:rFonts w:hint="eastAsia" w:ascii="宋体" w:hAnsi="宋体"/>
          <w:color w:val="000000" w:themeColor="text1"/>
          <w:szCs w:val="24"/>
          <w14:textFill>
            <w14:solidFill>
              <w14:schemeClr w14:val="tx1"/>
            </w14:solidFill>
          </w14:textFill>
        </w:rPr>
        <w:fldChar w:fldCharType="end"/>
      </w:r>
    </w:p>
    <w:p w14:paraId="49A1391B">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_Toc27652 </w:instrText>
      </w:r>
      <w:r>
        <w:rPr>
          <w:rFonts w:hint="eastAsia" w:ascii="宋体" w:hAnsi="宋体"/>
          <w:szCs w:val="24"/>
        </w:rPr>
        <w:fldChar w:fldCharType="separate"/>
      </w:r>
      <w:r>
        <w:rPr>
          <w:rFonts w:ascii="宋体" w:hAnsi="宋体"/>
          <w:szCs w:val="24"/>
        </w:rPr>
        <w:t xml:space="preserve">6 </w:t>
      </w:r>
      <w:r>
        <w:rPr>
          <w:rFonts w:hint="eastAsia" w:ascii="宋体" w:hAnsi="宋体"/>
          <w:szCs w:val="24"/>
        </w:rPr>
        <w:t>标志、包装、运输</w:t>
      </w:r>
      <w:r>
        <w:tab/>
      </w:r>
      <w:r>
        <w:fldChar w:fldCharType="begin"/>
      </w:r>
      <w:r>
        <w:instrText xml:space="preserve"> PAGEREF _Toc27652 \h </w:instrText>
      </w:r>
      <w:r>
        <w:fldChar w:fldCharType="separate"/>
      </w:r>
      <w:r>
        <w:t>8</w:t>
      </w:r>
      <w:r>
        <w:fldChar w:fldCharType="end"/>
      </w:r>
      <w:r>
        <w:rPr>
          <w:rFonts w:hint="eastAsia" w:ascii="宋体" w:hAnsi="宋体"/>
          <w:color w:val="000000" w:themeColor="text1"/>
          <w:szCs w:val="24"/>
          <w14:textFill>
            <w14:solidFill>
              <w14:schemeClr w14:val="tx1"/>
            </w14:solidFill>
          </w14:textFill>
        </w:rPr>
        <w:fldChar w:fldCharType="end"/>
      </w:r>
    </w:p>
    <w:p w14:paraId="3D68CA5B">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_Toc4672 </w:instrText>
      </w:r>
      <w:r>
        <w:rPr>
          <w:rFonts w:hint="eastAsia" w:ascii="宋体" w:hAnsi="宋体"/>
          <w:szCs w:val="24"/>
        </w:rPr>
        <w:fldChar w:fldCharType="separate"/>
      </w:r>
      <w:r>
        <w:rPr>
          <w:szCs w:val="24"/>
          <w:lang w:val="en-US"/>
        </w:rPr>
        <w:t xml:space="preserve">6.1 </w:t>
      </w:r>
      <w:r>
        <w:rPr>
          <w:rFonts w:hint="eastAsia"/>
          <w:szCs w:val="24"/>
        </w:rPr>
        <w:t>标志</w:t>
      </w:r>
      <w:r>
        <w:tab/>
      </w:r>
      <w:r>
        <w:fldChar w:fldCharType="begin"/>
      </w:r>
      <w:r>
        <w:instrText xml:space="preserve"> PAGEREF _Toc4672 \h </w:instrText>
      </w:r>
      <w:r>
        <w:fldChar w:fldCharType="separate"/>
      </w:r>
      <w:r>
        <w:t>8</w:t>
      </w:r>
      <w:r>
        <w:fldChar w:fldCharType="end"/>
      </w:r>
      <w:r>
        <w:rPr>
          <w:rFonts w:hint="eastAsia" w:ascii="宋体" w:hAnsi="宋体"/>
          <w:color w:val="000000" w:themeColor="text1"/>
          <w:szCs w:val="24"/>
          <w14:textFill>
            <w14:solidFill>
              <w14:schemeClr w14:val="tx1"/>
            </w14:solidFill>
          </w14:textFill>
        </w:rPr>
        <w:fldChar w:fldCharType="end"/>
      </w:r>
    </w:p>
    <w:p w14:paraId="6C526EF4">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_Toc719 </w:instrText>
      </w:r>
      <w:r>
        <w:rPr>
          <w:rFonts w:hint="eastAsia" w:ascii="宋体" w:hAnsi="宋体"/>
          <w:szCs w:val="24"/>
        </w:rPr>
        <w:fldChar w:fldCharType="separate"/>
      </w:r>
      <w:r>
        <w:rPr>
          <w:szCs w:val="24"/>
          <w:lang w:val="en-US"/>
        </w:rPr>
        <w:t xml:space="preserve">6.2 </w:t>
      </w:r>
      <w:r>
        <w:rPr>
          <w:rFonts w:hint="eastAsia"/>
          <w:szCs w:val="24"/>
        </w:rPr>
        <w:t>包装</w:t>
      </w:r>
      <w:r>
        <w:tab/>
      </w:r>
      <w:r>
        <w:fldChar w:fldCharType="begin"/>
      </w:r>
      <w:r>
        <w:instrText xml:space="preserve"> PAGEREF _Toc719 \h </w:instrText>
      </w:r>
      <w:r>
        <w:fldChar w:fldCharType="separate"/>
      </w:r>
      <w:r>
        <w:t>8</w:t>
      </w:r>
      <w:r>
        <w:fldChar w:fldCharType="end"/>
      </w:r>
      <w:r>
        <w:rPr>
          <w:rFonts w:hint="eastAsia" w:ascii="宋体" w:hAnsi="宋体"/>
          <w:color w:val="000000" w:themeColor="text1"/>
          <w:szCs w:val="24"/>
          <w14:textFill>
            <w14:solidFill>
              <w14:schemeClr w14:val="tx1"/>
            </w14:solidFill>
          </w14:textFill>
        </w:rPr>
        <w:fldChar w:fldCharType="end"/>
      </w:r>
    </w:p>
    <w:p w14:paraId="1EA2CC72">
      <w:pPr>
        <w:pStyle w:val="19"/>
        <w:tabs>
          <w:tab w:val="right" w:leader="middleDot" w:pos="974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_Toc15307 </w:instrText>
      </w:r>
      <w:r>
        <w:rPr>
          <w:rFonts w:hint="eastAsia" w:ascii="宋体" w:hAnsi="宋体"/>
          <w:szCs w:val="24"/>
        </w:rPr>
        <w:fldChar w:fldCharType="separate"/>
      </w:r>
      <w:r>
        <w:rPr>
          <w:szCs w:val="24"/>
          <w:lang w:val="en-US"/>
        </w:rPr>
        <w:t xml:space="preserve">6.3 </w:t>
      </w:r>
      <w:r>
        <w:rPr>
          <w:rFonts w:hint="eastAsia"/>
          <w:szCs w:val="24"/>
        </w:rPr>
        <w:t>运输</w:t>
      </w:r>
      <w:r>
        <w:tab/>
      </w:r>
      <w:r>
        <w:fldChar w:fldCharType="begin"/>
      </w:r>
      <w:r>
        <w:instrText xml:space="preserve"> PAGEREF _Toc15307 \h </w:instrText>
      </w:r>
      <w:r>
        <w:fldChar w:fldCharType="separate"/>
      </w:r>
      <w:r>
        <w:t>8</w:t>
      </w:r>
      <w:r>
        <w:fldChar w:fldCharType="end"/>
      </w:r>
      <w:r>
        <w:rPr>
          <w:rFonts w:hint="eastAsia" w:ascii="宋体" w:hAnsi="宋体"/>
          <w:color w:val="000000" w:themeColor="text1"/>
          <w:szCs w:val="24"/>
          <w14:textFill>
            <w14:solidFill>
              <w14:schemeClr w14:val="tx1"/>
            </w14:solidFill>
          </w14:textFill>
        </w:rPr>
        <w:fldChar w:fldCharType="end"/>
      </w:r>
    </w:p>
    <w:p w14:paraId="4F9ADF78">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_Toc5004 </w:instrText>
      </w:r>
      <w:r>
        <w:rPr>
          <w:rFonts w:hint="eastAsia" w:ascii="宋体" w:hAnsi="宋体"/>
          <w:szCs w:val="24"/>
        </w:rPr>
        <w:fldChar w:fldCharType="separate"/>
      </w:r>
      <w:r>
        <w:rPr>
          <w:rFonts w:ascii="宋体" w:hAnsi="宋体"/>
          <w:szCs w:val="24"/>
        </w:rPr>
        <w:t xml:space="preserve">7 </w:t>
      </w:r>
      <w:r>
        <w:rPr>
          <w:rFonts w:hint="eastAsia" w:ascii="宋体" w:hAnsi="宋体"/>
          <w:szCs w:val="24"/>
        </w:rPr>
        <w:t>储能系统贮存</w:t>
      </w:r>
      <w:r>
        <w:tab/>
      </w:r>
      <w:r>
        <w:fldChar w:fldCharType="begin"/>
      </w:r>
      <w:r>
        <w:instrText xml:space="preserve"> PAGEREF _Toc5004 \h </w:instrText>
      </w:r>
      <w:r>
        <w:fldChar w:fldCharType="separate"/>
      </w:r>
      <w:r>
        <w:t>9</w:t>
      </w:r>
      <w:r>
        <w:fldChar w:fldCharType="end"/>
      </w:r>
      <w:r>
        <w:rPr>
          <w:rFonts w:hint="eastAsia" w:ascii="宋体" w:hAnsi="宋体"/>
          <w:color w:val="000000" w:themeColor="text1"/>
          <w:szCs w:val="24"/>
          <w14:textFill>
            <w14:solidFill>
              <w14:schemeClr w14:val="tx1"/>
            </w14:solidFill>
          </w14:textFill>
        </w:rPr>
        <w:fldChar w:fldCharType="end"/>
      </w:r>
    </w:p>
    <w:p w14:paraId="1A1DA3C9">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_Toc23579 </w:instrText>
      </w:r>
      <w:r>
        <w:rPr>
          <w:rFonts w:hint="eastAsia" w:ascii="宋体" w:hAnsi="宋体"/>
          <w:szCs w:val="24"/>
        </w:rPr>
        <w:fldChar w:fldCharType="separate"/>
      </w:r>
      <w:r>
        <w:rPr>
          <w:rFonts w:ascii="宋体" w:hAnsi="宋体"/>
          <w:szCs w:val="24"/>
        </w:rPr>
        <w:t xml:space="preserve">8 </w:t>
      </w:r>
      <w:r>
        <w:rPr>
          <w:rFonts w:hint="eastAsia" w:ascii="宋体" w:hAnsi="宋体"/>
          <w:szCs w:val="24"/>
        </w:rPr>
        <w:t>技术资料</w:t>
      </w:r>
      <w:r>
        <w:tab/>
      </w:r>
      <w:r>
        <w:fldChar w:fldCharType="begin"/>
      </w:r>
      <w:r>
        <w:instrText xml:space="preserve"> PAGEREF _Toc23579 \h </w:instrText>
      </w:r>
      <w:r>
        <w:fldChar w:fldCharType="separate"/>
      </w:r>
      <w:r>
        <w:t>9</w:t>
      </w:r>
      <w:r>
        <w:fldChar w:fldCharType="end"/>
      </w:r>
      <w:r>
        <w:rPr>
          <w:rFonts w:hint="eastAsia" w:ascii="宋体" w:hAnsi="宋体"/>
          <w:color w:val="000000" w:themeColor="text1"/>
          <w:szCs w:val="24"/>
          <w14:textFill>
            <w14:solidFill>
              <w14:schemeClr w14:val="tx1"/>
            </w14:solidFill>
          </w14:textFill>
        </w:rPr>
        <w:fldChar w:fldCharType="end"/>
      </w:r>
    </w:p>
    <w:p w14:paraId="1BF35EE7">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_Toc19244 </w:instrText>
      </w:r>
      <w:r>
        <w:rPr>
          <w:rFonts w:hint="eastAsia" w:ascii="宋体" w:hAnsi="宋体"/>
          <w:szCs w:val="24"/>
        </w:rPr>
        <w:fldChar w:fldCharType="separate"/>
      </w:r>
      <w:r>
        <w:rPr>
          <w:rFonts w:ascii="宋体" w:hAnsi="宋体"/>
          <w:szCs w:val="24"/>
        </w:rPr>
        <w:t xml:space="preserve">9 </w:t>
      </w:r>
      <w:r>
        <w:rPr>
          <w:rFonts w:hint="eastAsia" w:ascii="宋体" w:hAnsi="宋体"/>
          <w:szCs w:val="24"/>
        </w:rPr>
        <w:t>储能系统安装及上线流程</w:t>
      </w:r>
      <w:r>
        <w:tab/>
      </w:r>
      <w:r>
        <w:fldChar w:fldCharType="begin"/>
      </w:r>
      <w:r>
        <w:instrText xml:space="preserve"> PAGEREF _Toc19244 \h </w:instrText>
      </w:r>
      <w:r>
        <w:fldChar w:fldCharType="separate"/>
      </w:r>
      <w:r>
        <w:t>9</w:t>
      </w:r>
      <w:r>
        <w:fldChar w:fldCharType="end"/>
      </w:r>
      <w:r>
        <w:rPr>
          <w:rFonts w:hint="eastAsia" w:ascii="宋体" w:hAnsi="宋体"/>
          <w:color w:val="000000" w:themeColor="text1"/>
          <w:szCs w:val="24"/>
          <w14:textFill>
            <w14:solidFill>
              <w14:schemeClr w14:val="tx1"/>
            </w14:solidFill>
          </w14:textFill>
        </w:rPr>
        <w:fldChar w:fldCharType="end"/>
      </w:r>
    </w:p>
    <w:p w14:paraId="4887EB76">
      <w:pPr>
        <w:pStyle w:val="16"/>
        <w:tabs>
          <w:tab w:val="right" w:leader="middleDot" w:pos="9746"/>
          <w:tab w:val="clear" w:pos="426"/>
        </w:tabs>
      </w:pPr>
      <w:r>
        <w:rPr>
          <w:rFonts w:hint="eastAsia" w:ascii="宋体" w:hAnsi="宋体"/>
          <w:color w:val="000000" w:themeColor="text1"/>
          <w:szCs w:val="24"/>
          <w14:textFill>
            <w14:solidFill>
              <w14:schemeClr w14:val="tx1"/>
            </w14:solidFill>
          </w14:textFill>
        </w:rPr>
        <w:fldChar w:fldCharType="begin"/>
      </w:r>
      <w:r>
        <w:rPr>
          <w:rFonts w:hint="eastAsia" w:ascii="宋体" w:hAnsi="宋体"/>
          <w:szCs w:val="24"/>
        </w:rPr>
        <w:instrText xml:space="preserve"> HYPERLINK \l _Toc15149 </w:instrText>
      </w:r>
      <w:r>
        <w:rPr>
          <w:rFonts w:hint="eastAsia" w:ascii="宋体" w:hAnsi="宋体"/>
          <w:szCs w:val="24"/>
        </w:rPr>
        <w:fldChar w:fldCharType="separate"/>
      </w:r>
      <w:r>
        <w:rPr>
          <w:rFonts w:ascii="宋体" w:hAnsi="宋体"/>
          <w:szCs w:val="24"/>
        </w:rPr>
        <w:t xml:space="preserve">10 </w:t>
      </w:r>
      <w:r>
        <w:rPr>
          <w:rFonts w:hint="eastAsia" w:ascii="宋体" w:hAnsi="宋体"/>
          <w:szCs w:val="24"/>
        </w:rPr>
        <w:t>验收与质保</w:t>
      </w:r>
      <w:r>
        <w:tab/>
      </w:r>
      <w:r>
        <w:fldChar w:fldCharType="begin"/>
      </w:r>
      <w:r>
        <w:instrText xml:space="preserve"> PAGEREF _Toc15149 \h </w:instrText>
      </w:r>
      <w:r>
        <w:fldChar w:fldCharType="separate"/>
      </w:r>
      <w:r>
        <w:t>9</w:t>
      </w:r>
      <w:r>
        <w:fldChar w:fldCharType="end"/>
      </w:r>
      <w:r>
        <w:rPr>
          <w:rFonts w:hint="eastAsia" w:ascii="宋体" w:hAnsi="宋体"/>
          <w:color w:val="000000" w:themeColor="text1"/>
          <w:szCs w:val="24"/>
          <w14:textFill>
            <w14:solidFill>
              <w14:schemeClr w14:val="tx1"/>
            </w14:solidFill>
          </w14:textFill>
        </w:rPr>
        <w:fldChar w:fldCharType="end"/>
      </w:r>
    </w:p>
    <w:p w14:paraId="70DF3989">
      <w:pPr>
        <w:pStyle w:val="16"/>
        <w:spacing w:line="360" w:lineRule="auto"/>
        <w:rPr>
          <w:rFonts w:hint="eastAsia" w:ascii="宋体" w:hAnsi="宋体"/>
          <w:color w:val="000000" w:themeColor="text1"/>
          <w:szCs w:val="24"/>
          <w14:textFill>
            <w14:solidFill>
              <w14:schemeClr w14:val="tx1"/>
            </w14:solidFill>
          </w14:textFill>
        </w:rPr>
      </w:pPr>
      <w:r>
        <w:rPr>
          <w:rFonts w:hint="eastAsia" w:ascii="宋体" w:hAnsi="宋体"/>
          <w:color w:val="000000" w:themeColor="text1"/>
          <w:szCs w:val="24"/>
          <w14:textFill>
            <w14:solidFill>
              <w14:schemeClr w14:val="tx1"/>
            </w14:solidFill>
          </w14:textFill>
        </w:rPr>
        <w:fldChar w:fldCharType="end"/>
      </w:r>
      <w:bookmarkStart w:id="0" w:name="_Toc185219501"/>
    </w:p>
    <w:p w14:paraId="4156C078">
      <w:pPr>
        <w:sectPr>
          <w:headerReference r:id="rId3" w:type="default"/>
          <w:pgSz w:w="11906" w:h="16838"/>
          <w:pgMar w:top="1440" w:right="1080" w:bottom="1440" w:left="1080" w:header="851" w:footer="992" w:gutter="0"/>
          <w:cols w:space="425" w:num="1"/>
          <w:titlePg/>
          <w:docGrid w:type="lines" w:linePitch="312" w:charSpace="0"/>
        </w:sectPr>
      </w:pPr>
    </w:p>
    <w:p w14:paraId="3FAAEA48"/>
    <w:bookmarkEnd w:id="0"/>
    <w:p w14:paraId="40B26FF1">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1" w:name="_Toc31368"/>
      <w:bookmarkStart w:id="2" w:name="_Toc485471219"/>
      <w:r>
        <w:rPr>
          <w:rFonts w:hint="eastAsia" w:ascii="宋体" w:hAnsi="宋体"/>
          <w:color w:val="000000" w:themeColor="text1"/>
          <w:sz w:val="28"/>
          <w:szCs w:val="24"/>
          <w14:textFill>
            <w14:solidFill>
              <w14:schemeClr w14:val="tx1"/>
            </w14:solidFill>
          </w14:textFill>
        </w:rPr>
        <w:t>背景</w:t>
      </w:r>
      <w:bookmarkEnd w:id="1"/>
      <w:bookmarkEnd w:id="2"/>
    </w:p>
    <w:p w14:paraId="5F9FB314">
      <w:pPr>
        <w:pStyle w:val="3"/>
        <w:numPr>
          <w:ilvl w:val="1"/>
          <w:numId w:val="2"/>
        </w:numPr>
        <w:ind w:left="567"/>
        <w:rPr>
          <w:color w:val="000000" w:themeColor="text1"/>
          <w:sz w:val="24"/>
          <w:szCs w:val="24"/>
          <w14:textFill>
            <w14:solidFill>
              <w14:schemeClr w14:val="tx1"/>
            </w14:solidFill>
          </w14:textFill>
        </w:rPr>
      </w:pPr>
      <w:bookmarkStart w:id="3" w:name="_Toc21344"/>
      <w:r>
        <w:rPr>
          <w:rFonts w:hint="eastAsia"/>
          <w:color w:val="000000" w:themeColor="text1"/>
          <w:sz w:val="24"/>
          <w:szCs w:val="24"/>
          <w14:textFill>
            <w14:solidFill>
              <w14:schemeClr w14:val="tx1"/>
            </w14:solidFill>
          </w14:textFill>
        </w:rPr>
        <w:t>概述</w:t>
      </w:r>
      <w:bookmarkEnd w:id="3"/>
    </w:p>
    <w:p w14:paraId="19C30296">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本工程容量为200kW/430kW·h（电池容量允许正向误差），由2台100kW/215kW·h单元储能变流一体机、1台储能智能配电柜构成（亦可采用其他集成方式），储能系统采用1个0.4kV并网点并网。</w:t>
      </w:r>
    </w:p>
    <w:p w14:paraId="7C84CBC2">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根据储能应用场景不同，储能系统可实现（1）峰谷套利（有峰谷价差的场合）、（2）绿电消纳（有光伏的场合）、</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动态增容（并网情况下，配电容量不够的场合）。</w:t>
      </w:r>
    </w:p>
    <w:p w14:paraId="220DF0B4">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针对本项目需要，储能系统的运行模式主要实现：（1）峰谷套利+（2）绿电消纳。</w:t>
      </w:r>
    </w:p>
    <w:p w14:paraId="0B52B8AC">
      <w:pPr>
        <w:pStyle w:val="3"/>
        <w:numPr>
          <w:ilvl w:val="1"/>
          <w:numId w:val="2"/>
        </w:numPr>
        <w:ind w:left="567"/>
        <w:rPr>
          <w:color w:val="000000" w:themeColor="text1"/>
          <w:sz w:val="24"/>
          <w:szCs w:val="24"/>
          <w14:textFill>
            <w14:solidFill>
              <w14:schemeClr w14:val="tx1"/>
            </w14:solidFill>
          </w14:textFill>
        </w:rPr>
      </w:pPr>
      <w:bookmarkStart w:id="4" w:name="_Toc12592"/>
      <w:r>
        <w:rPr>
          <w:rFonts w:hint="eastAsia"/>
          <w:color w:val="000000" w:themeColor="text1"/>
          <w:sz w:val="24"/>
          <w:szCs w:val="24"/>
          <w14:textFill>
            <w14:solidFill>
              <w14:schemeClr w14:val="tx1"/>
            </w14:solidFill>
          </w14:textFill>
        </w:rPr>
        <w:t>引用的标准</w:t>
      </w:r>
      <w:r>
        <w:rPr>
          <w:color w:val="000000" w:themeColor="text1"/>
          <w:sz w:val="24"/>
          <w:szCs w:val="24"/>
          <w14:textFill>
            <w14:solidFill>
              <w14:schemeClr w14:val="tx1"/>
            </w14:solidFill>
          </w14:textFill>
        </w:rPr>
        <w:t>/规范</w:t>
      </w:r>
      <w:bookmarkEnd w:id="4"/>
    </w:p>
    <w:p w14:paraId="2B1B05FA">
      <w:pPr>
        <w:pStyle w:val="35"/>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34131-2017 </w:t>
      </w:r>
      <w:r>
        <w:rPr>
          <w:rFonts w:hint="eastAsia" w:ascii="宋体" w:hAnsi="宋体" w:eastAsia="宋体"/>
          <w:color w:val="000000" w:themeColor="text1"/>
          <w:sz w:val="24"/>
          <w14:textFill>
            <w14:solidFill>
              <w14:schemeClr w14:val="tx1"/>
            </w14:solidFill>
          </w14:textFill>
        </w:rPr>
        <w:t>电化学储能电站用锂离子电池管理系统技术规范</w:t>
      </w:r>
    </w:p>
    <w:p w14:paraId="01786867">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34120-2017 </w:t>
      </w:r>
      <w:r>
        <w:rPr>
          <w:rFonts w:hint="eastAsia" w:ascii="宋体" w:hAnsi="宋体" w:eastAsia="宋体"/>
          <w:color w:val="000000" w:themeColor="text1"/>
          <w:sz w:val="24"/>
          <w14:textFill>
            <w14:solidFill>
              <w14:schemeClr w14:val="tx1"/>
            </w14:solidFill>
          </w14:textFill>
        </w:rPr>
        <w:t>电化学储能系统储能变流器技术规范</w:t>
      </w:r>
    </w:p>
    <w:p w14:paraId="6783C6D9">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G</w:t>
      </w:r>
      <w:r>
        <w:rPr>
          <w:rFonts w:ascii="宋体" w:hAnsi="宋体" w:eastAsia="宋体"/>
          <w:color w:val="000000" w:themeColor="text1"/>
          <w:sz w:val="24"/>
          <w14:textFill>
            <w14:solidFill>
              <w14:schemeClr w14:val="tx1"/>
            </w14:solidFill>
          </w14:textFill>
        </w:rPr>
        <w:t>B/T 34133</w:t>
      </w:r>
      <w:r>
        <w:rPr>
          <w:rFonts w:hint="eastAsia" w:ascii="宋体" w:hAnsi="宋体" w:eastAsia="宋体"/>
          <w:color w:val="000000" w:themeColor="text1"/>
          <w:sz w:val="24"/>
          <w14:textFill>
            <w14:solidFill>
              <w14:schemeClr w14:val="tx1"/>
            </w14:solidFill>
          </w14:textFill>
        </w:rPr>
        <w:t>-</w:t>
      </w:r>
      <w:r>
        <w:rPr>
          <w:rFonts w:ascii="宋体" w:hAnsi="宋体" w:eastAsia="宋体"/>
          <w:color w:val="000000" w:themeColor="text1"/>
          <w:sz w:val="24"/>
          <w14:textFill>
            <w14:solidFill>
              <w14:schemeClr w14:val="tx1"/>
            </w14:solidFill>
          </w14:textFill>
        </w:rPr>
        <w:t xml:space="preserve">2017 </w:t>
      </w:r>
      <w:r>
        <w:rPr>
          <w:rFonts w:hint="eastAsia" w:ascii="宋体" w:hAnsi="宋体" w:eastAsia="宋体"/>
          <w:color w:val="000000" w:themeColor="text1"/>
          <w:sz w:val="24"/>
          <w14:textFill>
            <w14:solidFill>
              <w14:schemeClr w14:val="tx1"/>
            </w14:solidFill>
          </w14:textFill>
        </w:rPr>
        <w:t>储能变流器检测技术规程</w:t>
      </w:r>
    </w:p>
    <w:p w14:paraId="2D53E389">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36276-2018 </w:t>
      </w:r>
      <w:r>
        <w:rPr>
          <w:rFonts w:hint="eastAsia" w:ascii="宋体" w:hAnsi="宋体" w:eastAsia="宋体"/>
          <w:color w:val="000000" w:themeColor="text1"/>
          <w:sz w:val="24"/>
          <w14:textFill>
            <w14:solidFill>
              <w14:schemeClr w14:val="tx1"/>
            </w14:solidFill>
          </w14:textFill>
        </w:rPr>
        <w:t>电力储能用锂离子电池</w:t>
      </w:r>
    </w:p>
    <w:p w14:paraId="0A5FD33C">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36547-2018 </w:t>
      </w:r>
      <w:r>
        <w:rPr>
          <w:rFonts w:hint="eastAsia" w:ascii="宋体" w:hAnsi="宋体" w:eastAsia="宋体"/>
          <w:color w:val="000000" w:themeColor="text1"/>
          <w:sz w:val="24"/>
          <w14:textFill>
            <w14:solidFill>
              <w14:schemeClr w14:val="tx1"/>
            </w14:solidFill>
          </w14:textFill>
        </w:rPr>
        <w:t>电化学储能系统接入电网技术规定</w:t>
      </w:r>
    </w:p>
    <w:p w14:paraId="0B6016FD">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36548-2018 </w:t>
      </w:r>
      <w:r>
        <w:rPr>
          <w:rFonts w:hint="eastAsia" w:ascii="宋体" w:hAnsi="宋体" w:eastAsia="宋体"/>
          <w:color w:val="000000" w:themeColor="text1"/>
          <w:sz w:val="24"/>
          <w14:textFill>
            <w14:solidFill>
              <w14:schemeClr w14:val="tx1"/>
            </w14:solidFill>
          </w14:textFill>
        </w:rPr>
        <w:t>电化学储能系统接入电网测试规范</w:t>
      </w:r>
    </w:p>
    <w:p w14:paraId="3038BFF2">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GB/T 36558</w:t>
      </w:r>
      <w:r>
        <w:rPr>
          <w:rFonts w:hint="eastAsia" w:ascii="宋体" w:hAnsi="宋体" w:eastAsia="宋体"/>
          <w:color w:val="000000" w:themeColor="text1"/>
          <w:sz w:val="24"/>
          <w14:textFill>
            <w14:solidFill>
              <w14:schemeClr w14:val="tx1"/>
            </w14:solidFill>
          </w14:textFill>
        </w:rPr>
        <w:t>-</w:t>
      </w:r>
      <w:r>
        <w:rPr>
          <w:rFonts w:ascii="宋体" w:hAnsi="宋体" w:eastAsia="宋体"/>
          <w:color w:val="000000" w:themeColor="text1"/>
          <w:sz w:val="24"/>
          <w14:textFill>
            <w14:solidFill>
              <w14:schemeClr w14:val="tx1"/>
            </w14:solidFill>
          </w14:textFill>
        </w:rPr>
        <w:t xml:space="preserve">2018 </w:t>
      </w:r>
      <w:r>
        <w:rPr>
          <w:rFonts w:hint="eastAsia" w:ascii="宋体" w:hAnsi="宋体" w:eastAsia="宋体"/>
          <w:color w:val="000000" w:themeColor="text1"/>
          <w:sz w:val="24"/>
          <w14:textFill>
            <w14:solidFill>
              <w14:schemeClr w14:val="tx1"/>
            </w14:solidFill>
          </w14:textFill>
        </w:rPr>
        <w:t>电力系统电化学储能系统通用技术条件</w:t>
      </w:r>
    </w:p>
    <w:p w14:paraId="01B0EB82">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2423.1-2008 </w:t>
      </w:r>
      <w:r>
        <w:rPr>
          <w:rFonts w:hint="eastAsia" w:ascii="宋体" w:hAnsi="宋体" w:eastAsia="宋体"/>
          <w:color w:val="000000" w:themeColor="text1"/>
          <w:sz w:val="24"/>
          <w14:textFill>
            <w14:solidFill>
              <w14:schemeClr w14:val="tx1"/>
            </w14:solidFill>
          </w14:textFill>
        </w:rPr>
        <w:t>电工电子产品环境试验第</w:t>
      </w:r>
      <w:r>
        <w:rPr>
          <w:rFonts w:ascii="宋体" w:hAnsi="宋体" w:eastAsia="宋体"/>
          <w:color w:val="000000" w:themeColor="text1"/>
          <w:sz w:val="24"/>
          <w14:textFill>
            <w14:solidFill>
              <w14:schemeClr w14:val="tx1"/>
            </w14:solidFill>
          </w14:textFill>
        </w:rPr>
        <w:t>2部分：试验方法试验A：低温</w:t>
      </w:r>
    </w:p>
    <w:p w14:paraId="5EA0B181">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2423.2-2008 </w:t>
      </w:r>
      <w:r>
        <w:rPr>
          <w:rFonts w:hint="eastAsia" w:ascii="宋体" w:hAnsi="宋体" w:eastAsia="宋体"/>
          <w:color w:val="000000" w:themeColor="text1"/>
          <w:sz w:val="24"/>
          <w14:textFill>
            <w14:solidFill>
              <w14:schemeClr w14:val="tx1"/>
            </w14:solidFill>
          </w14:textFill>
        </w:rPr>
        <w:t>电工电子产品环境试验第</w:t>
      </w:r>
      <w:r>
        <w:rPr>
          <w:rFonts w:ascii="宋体" w:hAnsi="宋体" w:eastAsia="宋体"/>
          <w:color w:val="000000" w:themeColor="text1"/>
          <w:sz w:val="24"/>
          <w14:textFill>
            <w14:solidFill>
              <w14:schemeClr w14:val="tx1"/>
            </w14:solidFill>
          </w14:textFill>
        </w:rPr>
        <w:t>2部分：试验方法试验B：高温</w:t>
      </w:r>
    </w:p>
    <w:p w14:paraId="56191121">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2423.3-2006 </w:t>
      </w:r>
      <w:r>
        <w:rPr>
          <w:rFonts w:hint="eastAsia" w:ascii="宋体" w:hAnsi="宋体" w:eastAsia="宋体"/>
          <w:color w:val="000000" w:themeColor="text1"/>
          <w:sz w:val="24"/>
          <w14:textFill>
            <w14:solidFill>
              <w14:schemeClr w14:val="tx1"/>
            </w14:solidFill>
          </w14:textFill>
        </w:rPr>
        <w:t>电工电子产品环境试验第</w:t>
      </w:r>
      <w:r>
        <w:rPr>
          <w:rFonts w:ascii="宋体" w:hAnsi="宋体" w:eastAsia="宋体"/>
          <w:color w:val="000000" w:themeColor="text1"/>
          <w:sz w:val="24"/>
          <w14:textFill>
            <w14:solidFill>
              <w14:schemeClr w14:val="tx1"/>
            </w14:solidFill>
          </w14:textFill>
        </w:rPr>
        <w:t>2部分：试验方法试验Cab：恒定湿热试验</w:t>
      </w:r>
    </w:p>
    <w:p w14:paraId="6BE1D21F">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2423.8-1995 </w:t>
      </w:r>
      <w:r>
        <w:rPr>
          <w:rFonts w:hint="eastAsia" w:ascii="宋体" w:hAnsi="宋体" w:eastAsia="宋体"/>
          <w:color w:val="000000" w:themeColor="text1"/>
          <w:sz w:val="24"/>
          <w14:textFill>
            <w14:solidFill>
              <w14:schemeClr w14:val="tx1"/>
            </w14:solidFill>
          </w14:textFill>
        </w:rPr>
        <w:t>电工电子产品环境试验第</w:t>
      </w:r>
      <w:r>
        <w:rPr>
          <w:rFonts w:ascii="宋体" w:hAnsi="宋体" w:eastAsia="宋体"/>
          <w:color w:val="000000" w:themeColor="text1"/>
          <w:sz w:val="24"/>
          <w14:textFill>
            <w14:solidFill>
              <w14:schemeClr w14:val="tx1"/>
            </w14:solidFill>
          </w14:textFill>
        </w:rPr>
        <w:t>2部分：试验方法试验Ed：自由跌落</w:t>
      </w:r>
    </w:p>
    <w:p w14:paraId="1C73B581">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2423.10-2008 </w:t>
      </w:r>
      <w:r>
        <w:rPr>
          <w:rFonts w:hint="eastAsia" w:ascii="宋体" w:hAnsi="宋体" w:eastAsia="宋体"/>
          <w:color w:val="000000" w:themeColor="text1"/>
          <w:sz w:val="24"/>
          <w14:textFill>
            <w14:solidFill>
              <w14:schemeClr w14:val="tx1"/>
            </w14:solidFill>
          </w14:textFill>
        </w:rPr>
        <w:t>电工电子产品环境试验第</w:t>
      </w:r>
      <w:r>
        <w:rPr>
          <w:rFonts w:ascii="宋体" w:hAnsi="宋体" w:eastAsia="宋体"/>
          <w:color w:val="000000" w:themeColor="text1"/>
          <w:sz w:val="24"/>
          <w14:textFill>
            <w14:solidFill>
              <w14:schemeClr w14:val="tx1"/>
            </w14:solidFill>
          </w14:textFill>
        </w:rPr>
        <w:t>2部分：试验方法试验Fc：振动（正弦）</w:t>
      </w:r>
    </w:p>
    <w:p w14:paraId="53D4B6C8">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17626 </w:t>
      </w:r>
      <w:r>
        <w:rPr>
          <w:rFonts w:hint="eastAsia" w:ascii="宋体" w:hAnsi="宋体" w:eastAsia="宋体"/>
          <w:color w:val="000000" w:themeColor="text1"/>
          <w:sz w:val="24"/>
          <w14:textFill>
            <w14:solidFill>
              <w14:schemeClr w14:val="tx1"/>
            </w14:solidFill>
          </w14:textFill>
        </w:rPr>
        <w:t>电磁兼容试验和测量技术</w:t>
      </w:r>
    </w:p>
    <w:p w14:paraId="4B05C11A">
      <w:pPr>
        <w:pStyle w:val="35"/>
        <w:tabs>
          <w:tab w:val="left" w:pos="2270"/>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 17799.3 </w:t>
      </w:r>
      <w:r>
        <w:rPr>
          <w:rFonts w:hint="eastAsia" w:ascii="宋体" w:hAnsi="宋体" w:eastAsia="宋体"/>
          <w:color w:val="000000" w:themeColor="text1"/>
          <w:sz w:val="24"/>
          <w14:textFill>
            <w14:solidFill>
              <w14:schemeClr w14:val="tx1"/>
            </w14:solidFill>
          </w14:textFill>
        </w:rPr>
        <w:t>电磁兼容</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通用标准</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居住、商业和轻工业环境中的发射标准</w:t>
      </w:r>
    </w:p>
    <w:p w14:paraId="4AA56588">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 17799.4 </w:t>
      </w:r>
      <w:r>
        <w:rPr>
          <w:rFonts w:hint="eastAsia" w:ascii="宋体" w:hAnsi="宋体" w:eastAsia="宋体"/>
          <w:color w:val="000000" w:themeColor="text1"/>
          <w:sz w:val="24"/>
          <w14:textFill>
            <w14:solidFill>
              <w14:schemeClr w14:val="tx1"/>
            </w14:solidFill>
          </w14:textFill>
        </w:rPr>
        <w:t>电磁兼容</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通用标准</w:t>
      </w:r>
      <w:r>
        <w:rPr>
          <w:rFonts w:ascii="宋体" w:hAnsi="宋体" w:eastAsia="宋体"/>
          <w:color w:val="000000" w:themeColor="text1"/>
          <w:sz w:val="24"/>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工业环境中的发射标准</w:t>
      </w:r>
    </w:p>
    <w:p w14:paraId="5E59A6E2">
      <w:pPr>
        <w:pStyle w:val="35"/>
        <w:tabs>
          <w:tab w:val="left" w:pos="217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 14048.1 </w:t>
      </w:r>
      <w:r>
        <w:rPr>
          <w:rFonts w:hint="eastAsia" w:ascii="宋体" w:hAnsi="宋体" w:eastAsia="宋体"/>
          <w:color w:val="000000" w:themeColor="text1"/>
          <w:sz w:val="24"/>
          <w14:textFill>
            <w14:solidFill>
              <w14:schemeClr w14:val="tx1"/>
            </w14:solidFill>
          </w14:textFill>
        </w:rPr>
        <w:t>低压开关设备和控制设备第</w:t>
      </w:r>
      <w:r>
        <w:rPr>
          <w:rFonts w:ascii="宋体" w:hAnsi="宋体" w:eastAsia="宋体"/>
          <w:color w:val="000000" w:themeColor="text1"/>
          <w:sz w:val="24"/>
          <w14:textFill>
            <w14:solidFill>
              <w14:schemeClr w14:val="tx1"/>
            </w14:solidFill>
          </w14:textFill>
        </w:rPr>
        <w:t>1部分：总则</w:t>
      </w:r>
    </w:p>
    <w:p w14:paraId="76E13F0A">
      <w:pPr>
        <w:pStyle w:val="35"/>
        <w:spacing w:line="360" w:lineRule="auto"/>
        <w:ind w:left="425" w:firstLine="0" w:firstLineChars="0"/>
        <w:jc w:val="left"/>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G</w:t>
      </w:r>
      <w:r>
        <w:rPr>
          <w:rFonts w:ascii="宋体" w:hAnsi="宋体" w:eastAsia="宋体"/>
          <w:bCs/>
          <w:color w:val="000000" w:themeColor="text1"/>
          <w:sz w:val="24"/>
          <w14:textFill>
            <w14:solidFill>
              <w14:schemeClr w14:val="tx1"/>
            </w14:solidFill>
          </w14:textFill>
        </w:rPr>
        <w:t xml:space="preserve">B/T 18802  </w:t>
      </w:r>
      <w:r>
        <w:rPr>
          <w:rFonts w:hint="eastAsia" w:ascii="宋体" w:hAnsi="宋体" w:eastAsia="宋体"/>
          <w:bCs/>
          <w:color w:val="000000" w:themeColor="text1"/>
          <w:sz w:val="24"/>
          <w14:textFill>
            <w14:solidFill>
              <w14:schemeClr w14:val="tx1"/>
            </w14:solidFill>
          </w14:textFill>
        </w:rPr>
        <w:t>低压电涌保护器</w:t>
      </w:r>
    </w:p>
    <w:p w14:paraId="171C6948">
      <w:pPr>
        <w:pStyle w:val="35"/>
        <w:spacing w:line="360" w:lineRule="auto"/>
        <w:ind w:left="425" w:firstLine="0" w:firstLineChars="0"/>
        <w:jc w:val="left"/>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GB 50370-2005 气体灭火系统设计规范</w:t>
      </w:r>
    </w:p>
    <w:p w14:paraId="4EEAE216">
      <w:pPr>
        <w:pStyle w:val="35"/>
        <w:spacing w:line="360" w:lineRule="auto"/>
        <w:ind w:left="425" w:firstLine="0" w:firstLineChars="0"/>
        <w:jc w:val="left"/>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CNCA/CTS 0015-2010 感温自启动灭火装置认证技术规范</w:t>
      </w:r>
    </w:p>
    <w:p w14:paraId="2DFE28CA">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 xml:space="preserve">GB/T 4208-2017 </w:t>
      </w:r>
      <w:r>
        <w:rPr>
          <w:rFonts w:hint="eastAsia" w:ascii="宋体" w:hAnsi="宋体" w:eastAsia="宋体"/>
          <w:color w:val="000000" w:themeColor="text1"/>
          <w:sz w:val="24"/>
          <w14:textFill>
            <w14:solidFill>
              <w14:schemeClr w14:val="tx1"/>
            </w14:solidFill>
          </w14:textFill>
        </w:rPr>
        <w:t>外壳防护等级（</w:t>
      </w:r>
      <w:r>
        <w:rPr>
          <w:rFonts w:ascii="宋体" w:hAnsi="宋体" w:eastAsia="宋体"/>
          <w:color w:val="000000" w:themeColor="text1"/>
          <w:sz w:val="24"/>
          <w14:textFill>
            <w14:solidFill>
              <w14:schemeClr w14:val="tx1"/>
            </w14:solidFill>
          </w14:textFill>
        </w:rPr>
        <w:t>IP代码）</w:t>
      </w:r>
    </w:p>
    <w:p w14:paraId="1F7659E4">
      <w:pPr>
        <w:pStyle w:val="35"/>
        <w:tabs>
          <w:tab w:val="left" w:pos="2055"/>
        </w:tabs>
        <w:spacing w:line="360" w:lineRule="auto"/>
        <w:ind w:left="425" w:firstLine="0"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U</w:t>
      </w:r>
      <w:r>
        <w:rPr>
          <w:rFonts w:ascii="宋体" w:hAnsi="宋体" w:eastAsia="宋体"/>
          <w:color w:val="000000" w:themeColor="text1"/>
          <w:sz w:val="24"/>
          <w14:textFill>
            <w14:solidFill>
              <w14:schemeClr w14:val="tx1"/>
            </w14:solidFill>
          </w14:textFill>
        </w:rPr>
        <w:t xml:space="preserve">N 38.3 </w:t>
      </w:r>
      <w:r>
        <w:rPr>
          <w:rFonts w:hint="eastAsia" w:ascii="宋体" w:hAnsi="宋体" w:eastAsia="宋体"/>
          <w:color w:val="000000" w:themeColor="text1"/>
          <w:sz w:val="24"/>
          <w14:textFill>
            <w14:solidFill>
              <w14:schemeClr w14:val="tx1"/>
            </w14:solidFill>
          </w14:textFill>
        </w:rPr>
        <w:t>可充电型锂电池操作规范</w:t>
      </w:r>
    </w:p>
    <w:p w14:paraId="5894B34A">
      <w:pPr>
        <w:pStyle w:val="3"/>
        <w:numPr>
          <w:ilvl w:val="1"/>
          <w:numId w:val="2"/>
        </w:numPr>
        <w:ind w:left="567"/>
        <w:rPr>
          <w:color w:val="000000" w:themeColor="text1"/>
          <w:sz w:val="24"/>
          <w:szCs w:val="24"/>
          <w14:textFill>
            <w14:solidFill>
              <w14:schemeClr w14:val="tx1"/>
            </w14:solidFill>
          </w14:textFill>
        </w:rPr>
      </w:pPr>
      <w:bookmarkStart w:id="5" w:name="_Toc13356"/>
      <w:r>
        <w:rPr>
          <w:rFonts w:hint="eastAsia"/>
          <w:color w:val="000000" w:themeColor="text1"/>
          <w:sz w:val="24"/>
          <w:szCs w:val="24"/>
          <w14:textFill>
            <w14:solidFill>
              <w14:schemeClr w14:val="tx1"/>
            </w14:solidFill>
          </w14:textFill>
        </w:rPr>
        <w:t>缩写词和术语定义</w:t>
      </w:r>
      <w:bookmarkEnd w:id="5"/>
    </w:p>
    <w:p w14:paraId="65AEF64E">
      <w:pPr>
        <w:pStyle w:val="35"/>
        <w:numPr>
          <w:ilvl w:val="0"/>
          <w:numId w:val="3"/>
        </w:numPr>
        <w:spacing w:line="360" w:lineRule="auto"/>
        <w:ind w:firstLineChars="0"/>
        <w:rPr>
          <w:rFonts w:ascii="宋体" w:hAnsi="宋体" w:eastAsia="宋体"/>
          <w:b/>
          <w:color w:val="000000" w:themeColor="text1"/>
          <w:sz w:val="24"/>
          <w14:textFill>
            <w14:solidFill>
              <w14:schemeClr w14:val="tx1"/>
            </w14:solidFill>
          </w14:textFill>
        </w:rPr>
      </w:pPr>
      <w:r>
        <w:rPr>
          <w:rFonts w:hint="eastAsia" w:ascii="宋体" w:hAnsi="宋体" w:eastAsia="宋体"/>
          <w:b/>
          <w:color w:val="000000" w:themeColor="text1"/>
          <w:sz w:val="24"/>
          <w14:textFill>
            <w14:solidFill>
              <w14:schemeClr w14:val="tx1"/>
            </w14:solidFill>
          </w14:textFill>
        </w:rPr>
        <w:t>储能系统</w:t>
      </w:r>
    </w:p>
    <w:p w14:paraId="10048E76">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以电化学电池为储能载体，通过储能变流器进行可循环电能存储、释放的系统。</w:t>
      </w:r>
    </w:p>
    <w:p w14:paraId="2F5B9549">
      <w:pPr>
        <w:pStyle w:val="35"/>
        <w:numPr>
          <w:ilvl w:val="0"/>
          <w:numId w:val="3"/>
        </w:numPr>
        <w:spacing w:line="360" w:lineRule="auto"/>
        <w:ind w:firstLineChars="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储能一体柜</w:t>
      </w:r>
    </w:p>
    <w:p w14:paraId="58FA5922">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指采用一体化设计，每台柜均可独立成系统运行，含电池系统、储能变流器（P</w:t>
      </w:r>
      <w:r>
        <w:rPr>
          <w:rFonts w:ascii="宋体" w:hAnsi="宋体"/>
          <w:color w:val="000000" w:themeColor="text1"/>
          <w:sz w:val="24"/>
          <w14:textFill>
            <w14:solidFill>
              <w14:schemeClr w14:val="tx1"/>
            </w14:solidFill>
          </w14:textFill>
        </w:rPr>
        <w:t>CS</w:t>
      </w:r>
      <w:r>
        <w:rPr>
          <w:rFonts w:hint="eastAsia" w:ascii="宋体" w:hAnsi="宋体"/>
          <w:color w:val="000000" w:themeColor="text1"/>
          <w:sz w:val="24"/>
          <w14:textFill>
            <w14:solidFill>
              <w14:schemeClr w14:val="tx1"/>
            </w14:solidFill>
          </w14:textFill>
        </w:rPr>
        <w:t>）、电池管理系统（B</w:t>
      </w:r>
      <w:r>
        <w:rPr>
          <w:rFonts w:ascii="宋体" w:hAnsi="宋体"/>
          <w:color w:val="000000" w:themeColor="text1"/>
          <w:sz w:val="24"/>
          <w14:textFill>
            <w14:solidFill>
              <w14:schemeClr w14:val="tx1"/>
            </w14:solidFill>
          </w14:textFill>
        </w:rPr>
        <w:t>MS</w:t>
      </w:r>
      <w:r>
        <w:rPr>
          <w:rFonts w:hint="eastAsia" w:ascii="宋体" w:hAnsi="宋体"/>
          <w:color w:val="000000" w:themeColor="text1"/>
          <w:sz w:val="24"/>
          <w14:textFill>
            <w14:solidFill>
              <w14:schemeClr w14:val="tx1"/>
            </w14:solidFill>
          </w14:textFill>
        </w:rPr>
        <w:t>）、空调系统、消防系统、配电系统等。</w:t>
      </w:r>
    </w:p>
    <w:p w14:paraId="71FF1CBA">
      <w:pPr>
        <w:pStyle w:val="35"/>
        <w:numPr>
          <w:ilvl w:val="0"/>
          <w:numId w:val="3"/>
        </w:numPr>
        <w:spacing w:line="360" w:lineRule="auto"/>
        <w:ind w:firstLineChars="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储能变流器（</w:t>
      </w:r>
      <w:r>
        <w:rPr>
          <w:rFonts w:ascii="宋体" w:hAnsi="宋体"/>
          <w:b/>
          <w:color w:val="000000" w:themeColor="text1"/>
          <w:sz w:val="24"/>
          <w14:textFill>
            <w14:solidFill>
              <w14:schemeClr w14:val="tx1"/>
            </w14:solidFill>
          </w14:textFill>
        </w:rPr>
        <w:t>PCS</w:t>
      </w:r>
      <w:r>
        <w:rPr>
          <w:rFonts w:hint="eastAsia" w:ascii="宋体" w:hAnsi="宋体"/>
          <w:b/>
          <w:color w:val="000000" w:themeColor="text1"/>
          <w:sz w:val="24"/>
          <w14:textFill>
            <w14:solidFill>
              <w14:schemeClr w14:val="tx1"/>
            </w14:solidFill>
          </w14:textFill>
        </w:rPr>
        <w:t>）</w:t>
      </w:r>
    </w:p>
    <w:p w14:paraId="5D308BBD">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将直流电转换成直流电、直流电转换成交流电或</w:t>
      </w:r>
      <w:r>
        <w:rPr>
          <w:rFonts w:ascii="宋体" w:hAnsi="宋体"/>
          <w:color w:val="000000" w:themeColor="text1"/>
          <w:sz w:val="24"/>
          <w14:textFill>
            <w14:solidFill>
              <w14:schemeClr w14:val="tx1"/>
            </w14:solidFill>
          </w14:textFill>
        </w:rPr>
        <w:t>直流电</w:t>
      </w:r>
      <w:r>
        <w:rPr>
          <w:rFonts w:hint="eastAsia" w:ascii="宋体" w:hAnsi="宋体"/>
          <w:color w:val="000000" w:themeColor="text1"/>
          <w:sz w:val="24"/>
          <w14:textFill>
            <w14:solidFill>
              <w14:schemeClr w14:val="tx1"/>
            </w14:solidFill>
          </w14:textFill>
        </w:rPr>
        <w:t>转换成不同电压的直流电的装置。</w:t>
      </w:r>
    </w:p>
    <w:p w14:paraId="3BD84D07">
      <w:pPr>
        <w:pStyle w:val="35"/>
        <w:numPr>
          <w:ilvl w:val="0"/>
          <w:numId w:val="3"/>
        </w:numPr>
        <w:spacing w:line="360" w:lineRule="auto"/>
        <w:ind w:firstLineChars="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储能智能配电柜</w:t>
      </w:r>
    </w:p>
    <w:p w14:paraId="4FD1F326">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指本项目中专用的储能系统交流配电柜，含储能系统功率控制及能源管理系统功能。</w:t>
      </w:r>
    </w:p>
    <w:p w14:paraId="1A80E2CF">
      <w:pPr>
        <w:pStyle w:val="35"/>
        <w:numPr>
          <w:ilvl w:val="0"/>
          <w:numId w:val="3"/>
        </w:numPr>
        <w:spacing w:line="360" w:lineRule="auto"/>
        <w:ind w:firstLineChars="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能源管理系统控制器</w:t>
      </w:r>
    </w:p>
    <w:p w14:paraId="24433CBB">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指本地储能管理及控制系统软硬件，对项目中储能单柜、储能多柜并机系统的充放电功率控制、电能量信息采集及上传，用于其他上位机或平台的系统展示。</w:t>
      </w:r>
    </w:p>
    <w:p w14:paraId="131A0578">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6" w:name="_Toc5539"/>
      <w:bookmarkStart w:id="7" w:name="_Toc485471220"/>
      <w:r>
        <w:rPr>
          <w:rFonts w:hint="eastAsia" w:ascii="宋体" w:hAnsi="宋体"/>
          <w:color w:val="000000" w:themeColor="text1"/>
          <w:sz w:val="28"/>
          <w:szCs w:val="24"/>
          <w14:textFill>
            <w14:solidFill>
              <w14:schemeClr w14:val="tx1"/>
            </w14:solidFill>
          </w14:textFill>
        </w:rPr>
        <w:t>系统要求</w:t>
      </w:r>
      <w:bookmarkEnd w:id="6"/>
    </w:p>
    <w:p w14:paraId="08F59F89">
      <w:pPr>
        <w:pStyle w:val="3"/>
        <w:numPr>
          <w:ilvl w:val="1"/>
          <w:numId w:val="1"/>
        </w:numPr>
        <w:rPr>
          <w:color w:val="000000" w:themeColor="text1"/>
          <w:sz w:val="24"/>
          <w:szCs w:val="24"/>
          <w14:textFill>
            <w14:solidFill>
              <w14:schemeClr w14:val="tx1"/>
            </w14:solidFill>
          </w14:textFill>
        </w:rPr>
      </w:pPr>
      <w:bookmarkStart w:id="8" w:name="_Toc13036"/>
      <w:r>
        <w:rPr>
          <w:rFonts w:hint="eastAsia"/>
          <w:color w:val="000000" w:themeColor="text1"/>
          <w:sz w:val="24"/>
          <w:szCs w:val="24"/>
          <w14:textFill>
            <w14:solidFill>
              <w14:schemeClr w14:val="tx1"/>
            </w14:solidFill>
          </w14:textFill>
        </w:rPr>
        <w:t>项目储能系统配置清单</w:t>
      </w:r>
      <w:bookmarkEnd w:id="8"/>
    </w:p>
    <w:p w14:paraId="09DDAF53">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表1</w:t>
      </w:r>
      <w:r>
        <w:rPr>
          <w:rFonts w:ascii="宋体" w:hAnsi="宋体"/>
          <w:b/>
          <w:color w:val="000000" w:themeColor="text1"/>
          <w:sz w:val="24"/>
          <w14:textFill>
            <w14:solidFill>
              <w14:schemeClr w14:val="tx1"/>
            </w14:solidFill>
          </w14:textFill>
        </w:rPr>
        <w:t xml:space="preserve">. </w:t>
      </w:r>
      <w:r>
        <w:rPr>
          <w:rFonts w:hint="eastAsia" w:ascii="宋体" w:hAnsi="宋体"/>
          <w:b/>
          <w:color w:val="000000" w:themeColor="text1"/>
          <w:sz w:val="24"/>
          <w14:textFill>
            <w14:solidFill>
              <w14:schemeClr w14:val="tx1"/>
            </w14:solidFill>
          </w14:textFill>
        </w:rPr>
        <w:t>本项目储能</w:t>
      </w:r>
      <w:r>
        <w:rPr>
          <w:rFonts w:ascii="宋体" w:hAnsi="宋体"/>
          <w:b/>
          <w:color w:val="000000" w:themeColor="text1"/>
          <w:sz w:val="24"/>
          <w14:textFill>
            <w14:solidFill>
              <w14:schemeClr w14:val="tx1"/>
            </w14:solidFill>
          </w14:textFill>
        </w:rPr>
        <w:t>系统配置</w:t>
      </w:r>
      <w:r>
        <w:rPr>
          <w:rFonts w:hint="eastAsia" w:ascii="宋体" w:hAnsi="宋体"/>
          <w:b/>
          <w:color w:val="000000" w:themeColor="text1"/>
          <w:sz w:val="24"/>
          <w14:textFill>
            <w14:solidFill>
              <w14:schemeClr w14:val="tx1"/>
            </w14:solidFill>
          </w14:textFill>
        </w:rPr>
        <w:t>清单</w:t>
      </w:r>
    </w:p>
    <w:tbl>
      <w:tblPr>
        <w:tblStyle w:val="24"/>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1086"/>
        <w:gridCol w:w="1371"/>
        <w:gridCol w:w="1873"/>
        <w:gridCol w:w="680"/>
        <w:gridCol w:w="598"/>
        <w:gridCol w:w="2038"/>
        <w:gridCol w:w="1474"/>
      </w:tblGrid>
      <w:tr w14:paraId="5DEB1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16" w:type="dxa"/>
            <w:shd w:val="clear" w:color="000000" w:fill="D8D8D8"/>
            <w:vAlign w:val="center"/>
          </w:tcPr>
          <w:p w14:paraId="113588DB">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086" w:type="dxa"/>
            <w:shd w:val="clear" w:color="000000" w:fill="D8D8D8"/>
            <w:vAlign w:val="center"/>
          </w:tcPr>
          <w:p w14:paraId="1E37BF21">
            <w:pPr>
              <w:widowControl/>
              <w:jc w:val="center"/>
              <w:rPr>
                <w:rFonts w:ascii="宋体" w:hAnsi="宋体" w:cs="宋体"/>
                <w:b/>
                <w:bCs/>
                <w:color w:val="000000"/>
                <w:kern w:val="0"/>
                <w:szCs w:val="21"/>
              </w:rPr>
            </w:pPr>
            <w:r>
              <w:rPr>
                <w:rFonts w:hint="eastAsia" w:ascii="宋体" w:hAnsi="宋体" w:cs="宋体"/>
                <w:b/>
                <w:bCs/>
                <w:color w:val="000000"/>
                <w:kern w:val="0"/>
                <w:szCs w:val="21"/>
              </w:rPr>
              <w:t>名称</w:t>
            </w:r>
          </w:p>
        </w:tc>
        <w:tc>
          <w:tcPr>
            <w:tcW w:w="1371" w:type="dxa"/>
            <w:shd w:val="clear" w:color="000000" w:fill="D8D8D8"/>
            <w:vAlign w:val="center"/>
          </w:tcPr>
          <w:p w14:paraId="605D5BE5">
            <w:pPr>
              <w:widowControl/>
              <w:jc w:val="center"/>
              <w:rPr>
                <w:rFonts w:ascii="宋体" w:hAnsi="宋体" w:cs="宋体"/>
                <w:b/>
                <w:bCs/>
                <w:color w:val="000000"/>
                <w:kern w:val="0"/>
                <w:szCs w:val="21"/>
              </w:rPr>
            </w:pPr>
            <w:r>
              <w:rPr>
                <w:rFonts w:hint="eastAsia" w:ascii="宋体" w:hAnsi="宋体" w:cs="宋体"/>
                <w:b/>
                <w:bCs/>
                <w:color w:val="000000"/>
                <w:kern w:val="0"/>
                <w:szCs w:val="21"/>
              </w:rPr>
              <w:t>型号</w:t>
            </w:r>
          </w:p>
        </w:tc>
        <w:tc>
          <w:tcPr>
            <w:tcW w:w="1873" w:type="dxa"/>
            <w:shd w:val="clear" w:color="000000" w:fill="D8D8D8"/>
            <w:vAlign w:val="center"/>
          </w:tcPr>
          <w:p w14:paraId="38E4AD1A">
            <w:pPr>
              <w:widowControl/>
              <w:jc w:val="center"/>
              <w:rPr>
                <w:rFonts w:ascii="宋体" w:hAnsi="宋体" w:cs="宋体"/>
                <w:b/>
                <w:bCs/>
                <w:color w:val="000000"/>
                <w:kern w:val="0"/>
                <w:szCs w:val="21"/>
              </w:rPr>
            </w:pPr>
            <w:r>
              <w:rPr>
                <w:rFonts w:hint="eastAsia" w:ascii="宋体" w:hAnsi="宋体" w:cs="宋体"/>
                <w:b/>
                <w:bCs/>
                <w:color w:val="000000"/>
                <w:kern w:val="0"/>
                <w:szCs w:val="21"/>
              </w:rPr>
              <w:t>规格及主要指标</w:t>
            </w:r>
          </w:p>
        </w:tc>
        <w:tc>
          <w:tcPr>
            <w:tcW w:w="680" w:type="dxa"/>
            <w:shd w:val="clear" w:color="000000" w:fill="D8D8D8"/>
            <w:vAlign w:val="center"/>
          </w:tcPr>
          <w:p w14:paraId="5A4775C4">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598" w:type="dxa"/>
            <w:shd w:val="clear" w:color="000000" w:fill="D8D8D8"/>
            <w:vAlign w:val="center"/>
          </w:tcPr>
          <w:p w14:paraId="1939A6B1">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2038" w:type="dxa"/>
            <w:shd w:val="clear" w:color="000000" w:fill="D8D8D8"/>
            <w:vAlign w:val="center"/>
          </w:tcPr>
          <w:p w14:paraId="3CDD4BDF">
            <w:pPr>
              <w:widowControl/>
              <w:jc w:val="center"/>
              <w:rPr>
                <w:rFonts w:ascii="宋体" w:hAnsi="宋体" w:cs="宋体"/>
                <w:b/>
                <w:bCs/>
                <w:color w:val="000000"/>
                <w:kern w:val="0"/>
                <w:szCs w:val="21"/>
              </w:rPr>
            </w:pPr>
            <w:r>
              <w:rPr>
                <w:rFonts w:hint="eastAsia" w:ascii="宋体" w:hAnsi="宋体" w:cs="宋体"/>
                <w:b/>
                <w:bCs/>
                <w:color w:val="000000"/>
                <w:kern w:val="0"/>
                <w:szCs w:val="21"/>
              </w:rPr>
              <w:t>备注</w:t>
            </w:r>
          </w:p>
        </w:tc>
        <w:tc>
          <w:tcPr>
            <w:tcW w:w="1474" w:type="dxa"/>
            <w:shd w:val="clear" w:color="000000" w:fill="D8D8D8"/>
            <w:vAlign w:val="center"/>
          </w:tcPr>
          <w:p w14:paraId="3D341089">
            <w:pPr>
              <w:widowControl/>
              <w:jc w:val="center"/>
              <w:rPr>
                <w:rFonts w:ascii="宋体" w:hAnsi="宋体" w:cs="宋体"/>
                <w:b/>
                <w:bCs/>
                <w:color w:val="000000"/>
                <w:kern w:val="0"/>
                <w:szCs w:val="21"/>
              </w:rPr>
            </w:pPr>
            <w:r>
              <w:rPr>
                <w:rFonts w:hint="eastAsia" w:ascii="宋体" w:hAnsi="宋体" w:cs="宋体"/>
                <w:b/>
                <w:bCs/>
                <w:color w:val="000000"/>
                <w:kern w:val="0"/>
                <w:szCs w:val="21"/>
              </w:rPr>
              <w:t>选项</w:t>
            </w:r>
          </w:p>
        </w:tc>
      </w:tr>
      <w:tr w14:paraId="462F4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16" w:type="dxa"/>
            <w:shd w:val="clear" w:color="auto" w:fill="auto"/>
            <w:vAlign w:val="center"/>
          </w:tcPr>
          <w:p w14:paraId="0F921D32">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086" w:type="dxa"/>
            <w:shd w:val="clear" w:color="auto" w:fill="auto"/>
            <w:vAlign w:val="center"/>
          </w:tcPr>
          <w:p w14:paraId="54CECFDB">
            <w:pPr>
              <w:widowControl/>
              <w:jc w:val="center"/>
              <w:rPr>
                <w:rFonts w:ascii="宋体" w:hAnsi="宋体" w:cs="宋体"/>
                <w:color w:val="auto"/>
                <w:kern w:val="0"/>
                <w:szCs w:val="21"/>
              </w:rPr>
            </w:pPr>
            <w:r>
              <w:rPr>
                <w:rFonts w:hint="eastAsia" w:ascii="宋体" w:hAnsi="宋体" w:cs="宋体"/>
                <w:color w:val="auto"/>
                <w:kern w:val="0"/>
                <w:szCs w:val="21"/>
              </w:rPr>
              <w:t>储能一体柜</w:t>
            </w:r>
          </w:p>
        </w:tc>
        <w:tc>
          <w:tcPr>
            <w:tcW w:w="1371" w:type="dxa"/>
            <w:shd w:val="clear" w:color="auto" w:fill="auto"/>
            <w:vAlign w:val="center"/>
          </w:tcPr>
          <w:p w14:paraId="3A8CE984">
            <w:pPr>
              <w:widowControl/>
              <w:jc w:val="center"/>
              <w:rPr>
                <w:rFonts w:ascii="宋体" w:hAnsi="宋体" w:cs="宋体"/>
                <w:color w:val="auto"/>
                <w:kern w:val="0"/>
                <w:szCs w:val="21"/>
              </w:rPr>
            </w:pPr>
          </w:p>
        </w:tc>
        <w:tc>
          <w:tcPr>
            <w:tcW w:w="1873" w:type="dxa"/>
            <w:shd w:val="clear" w:color="auto" w:fill="auto"/>
            <w:vAlign w:val="center"/>
          </w:tcPr>
          <w:p w14:paraId="7B23FDDD">
            <w:pPr>
              <w:widowControl/>
              <w:jc w:val="center"/>
              <w:rPr>
                <w:rFonts w:hint="eastAsia" w:ascii="宋体" w:hAnsi="宋体" w:eastAsia="宋体" w:cs="宋体"/>
                <w:color w:val="auto"/>
                <w:kern w:val="0"/>
                <w:szCs w:val="21"/>
                <w:lang w:eastAsia="zh-CN"/>
              </w:rPr>
            </w:pPr>
            <w:r>
              <w:rPr>
                <w:rFonts w:hint="eastAsia" w:ascii="宋体" w:hAnsi="宋体" w:cs="宋体"/>
                <w:color w:val="auto"/>
                <w:kern w:val="0"/>
                <w:szCs w:val="21"/>
              </w:rPr>
              <w:t>100kW/215</w:t>
            </w:r>
            <w:r>
              <w:rPr>
                <w:rFonts w:hint="eastAsia" w:ascii="宋体" w:hAnsi="宋体" w:cs="宋体"/>
                <w:color w:val="auto"/>
                <w:kern w:val="0"/>
                <w:szCs w:val="21"/>
                <w:lang w:eastAsia="zh-CN"/>
              </w:rPr>
              <w:t>kW·h</w:t>
            </w:r>
          </w:p>
        </w:tc>
        <w:tc>
          <w:tcPr>
            <w:tcW w:w="680" w:type="dxa"/>
            <w:shd w:val="clear" w:color="auto" w:fill="auto"/>
            <w:vAlign w:val="center"/>
          </w:tcPr>
          <w:p w14:paraId="32AE2440">
            <w:pPr>
              <w:widowControl/>
              <w:jc w:val="center"/>
              <w:rPr>
                <w:rFonts w:ascii="宋体" w:hAnsi="宋体" w:cs="宋体"/>
                <w:color w:val="auto"/>
                <w:kern w:val="0"/>
                <w:szCs w:val="21"/>
                <w:u w:val="single"/>
              </w:rPr>
            </w:pPr>
            <w:r>
              <w:rPr>
                <w:rFonts w:hint="eastAsia" w:ascii="宋体" w:hAnsi="宋体" w:cs="宋体"/>
                <w:color w:val="auto"/>
                <w:kern w:val="0"/>
                <w:szCs w:val="21"/>
                <w:u w:val="single"/>
              </w:rPr>
              <w:t>2</w:t>
            </w:r>
          </w:p>
        </w:tc>
        <w:tc>
          <w:tcPr>
            <w:tcW w:w="598" w:type="dxa"/>
            <w:shd w:val="clear" w:color="auto" w:fill="auto"/>
            <w:vAlign w:val="center"/>
          </w:tcPr>
          <w:p w14:paraId="7638837A">
            <w:pPr>
              <w:widowControl/>
              <w:jc w:val="center"/>
              <w:rPr>
                <w:rFonts w:ascii="宋体" w:hAnsi="宋体" w:cs="宋体"/>
                <w:color w:val="auto"/>
                <w:kern w:val="0"/>
                <w:szCs w:val="21"/>
              </w:rPr>
            </w:pPr>
            <w:r>
              <w:rPr>
                <w:rFonts w:hint="eastAsia" w:ascii="宋体" w:hAnsi="宋体" w:cs="宋体"/>
                <w:color w:val="auto"/>
                <w:kern w:val="0"/>
                <w:szCs w:val="21"/>
              </w:rPr>
              <w:t>套</w:t>
            </w:r>
          </w:p>
        </w:tc>
        <w:tc>
          <w:tcPr>
            <w:tcW w:w="2038" w:type="dxa"/>
            <w:shd w:val="clear" w:color="auto" w:fill="auto"/>
            <w:vAlign w:val="center"/>
          </w:tcPr>
          <w:p w14:paraId="3AE6569D">
            <w:pPr>
              <w:widowControl/>
              <w:jc w:val="center"/>
              <w:rPr>
                <w:rFonts w:hint="eastAsia" w:ascii="宋体" w:hAnsi="宋体" w:eastAsia="宋体" w:cs="宋体"/>
                <w:color w:val="auto"/>
                <w:kern w:val="0"/>
                <w:szCs w:val="21"/>
                <w:lang w:eastAsia="zh-CN"/>
              </w:rPr>
            </w:pPr>
            <w:r>
              <w:rPr>
                <w:rFonts w:hint="eastAsia" w:ascii="宋体" w:hAnsi="宋体" w:cs="宋体"/>
                <w:color w:val="auto"/>
                <w:kern w:val="0"/>
                <w:szCs w:val="21"/>
              </w:rPr>
              <w:t>储能整体容量</w:t>
            </w:r>
            <w:r>
              <w:rPr>
                <w:rFonts w:hint="eastAsia" w:ascii="宋体" w:hAnsi="宋体" w:cs="宋体"/>
                <w:color w:val="auto"/>
                <w:kern w:val="0"/>
                <w:szCs w:val="21"/>
                <w:u w:val="single"/>
              </w:rPr>
              <w:t>2</w:t>
            </w:r>
            <w:r>
              <w:rPr>
                <w:rFonts w:ascii="宋体" w:hAnsi="宋体" w:cs="宋体"/>
                <w:color w:val="auto"/>
                <w:kern w:val="0"/>
                <w:szCs w:val="21"/>
              </w:rPr>
              <w:t>*1</w:t>
            </w:r>
            <w:r>
              <w:rPr>
                <w:rFonts w:hint="eastAsia" w:ascii="宋体" w:hAnsi="宋体" w:cs="宋体"/>
                <w:color w:val="auto"/>
                <w:kern w:val="0"/>
                <w:szCs w:val="21"/>
              </w:rPr>
              <w:t>00kW/</w:t>
            </w:r>
            <w:r>
              <w:rPr>
                <w:rFonts w:ascii="宋体" w:hAnsi="宋体" w:cs="宋体"/>
                <w:color w:val="auto"/>
                <w:kern w:val="0"/>
                <w:szCs w:val="21"/>
              </w:rPr>
              <w:t>215</w:t>
            </w:r>
            <w:r>
              <w:rPr>
                <w:rFonts w:hint="eastAsia" w:ascii="宋体" w:hAnsi="宋体" w:cs="宋体"/>
                <w:color w:val="auto"/>
                <w:kern w:val="0"/>
                <w:szCs w:val="21"/>
                <w:lang w:eastAsia="zh-CN"/>
              </w:rPr>
              <w:t>kW·h</w:t>
            </w:r>
          </w:p>
        </w:tc>
        <w:tc>
          <w:tcPr>
            <w:tcW w:w="1474" w:type="dxa"/>
            <w:vAlign w:val="center"/>
          </w:tcPr>
          <w:p w14:paraId="64A6747C">
            <w:pPr>
              <w:widowControl/>
              <w:jc w:val="center"/>
              <w:rPr>
                <w:rFonts w:ascii="宋体" w:hAnsi="宋体" w:cs="宋体"/>
                <w:color w:val="auto"/>
                <w:kern w:val="0"/>
                <w:szCs w:val="21"/>
              </w:rPr>
            </w:pPr>
            <w:r>
              <w:rPr>
                <w:rFonts w:hint="eastAsia" w:ascii="宋体" w:hAnsi="宋体" w:cs="宋体"/>
                <w:color w:val="auto"/>
                <w:kern w:val="0"/>
                <w:szCs w:val="21"/>
              </w:rPr>
              <w:t>必选</w:t>
            </w:r>
          </w:p>
        </w:tc>
      </w:tr>
      <w:tr w14:paraId="5C511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616" w:type="dxa"/>
            <w:shd w:val="clear" w:color="auto" w:fill="auto"/>
            <w:vAlign w:val="center"/>
          </w:tcPr>
          <w:p w14:paraId="10C5195D">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1086" w:type="dxa"/>
            <w:shd w:val="clear" w:color="auto" w:fill="auto"/>
            <w:vAlign w:val="center"/>
          </w:tcPr>
          <w:p w14:paraId="270AF01A">
            <w:pPr>
              <w:widowControl/>
              <w:jc w:val="center"/>
              <w:rPr>
                <w:rFonts w:ascii="宋体" w:hAnsi="宋体" w:cs="宋体"/>
                <w:color w:val="auto"/>
                <w:kern w:val="0"/>
                <w:szCs w:val="21"/>
              </w:rPr>
            </w:pPr>
            <w:r>
              <w:rPr>
                <w:rFonts w:hint="eastAsia" w:ascii="宋体" w:hAnsi="宋体" w:cs="宋体"/>
                <w:color w:val="auto"/>
                <w:kern w:val="0"/>
                <w:szCs w:val="21"/>
              </w:rPr>
              <w:t>储能智能配电柜</w:t>
            </w:r>
          </w:p>
        </w:tc>
        <w:tc>
          <w:tcPr>
            <w:tcW w:w="1371" w:type="dxa"/>
            <w:shd w:val="clear" w:color="auto" w:fill="auto"/>
            <w:vAlign w:val="center"/>
          </w:tcPr>
          <w:p w14:paraId="07E96949">
            <w:pPr>
              <w:widowControl/>
              <w:jc w:val="center"/>
              <w:rPr>
                <w:rFonts w:ascii="宋体" w:hAnsi="宋体" w:cs="宋体"/>
                <w:color w:val="auto"/>
                <w:kern w:val="0"/>
                <w:szCs w:val="21"/>
              </w:rPr>
            </w:pPr>
          </w:p>
        </w:tc>
        <w:tc>
          <w:tcPr>
            <w:tcW w:w="1873" w:type="dxa"/>
            <w:shd w:val="clear" w:color="auto" w:fill="auto"/>
            <w:vAlign w:val="center"/>
          </w:tcPr>
          <w:p w14:paraId="5F3BA977">
            <w:pPr>
              <w:widowControl/>
              <w:jc w:val="center"/>
              <w:rPr>
                <w:rFonts w:ascii="宋体" w:hAnsi="宋体" w:cs="宋体"/>
                <w:color w:val="auto"/>
                <w:kern w:val="0"/>
                <w:szCs w:val="21"/>
              </w:rPr>
            </w:pPr>
            <w:r>
              <w:rPr>
                <w:rFonts w:hint="eastAsia" w:ascii="宋体" w:hAnsi="宋体" w:cs="宋体"/>
                <w:color w:val="auto"/>
                <w:kern w:val="0"/>
                <w:szCs w:val="21"/>
              </w:rPr>
              <w:t>最多支持5台储能一体柜并机，含储能计量电表1块、能源管理系统控制器（ECC）1套</w:t>
            </w:r>
          </w:p>
        </w:tc>
        <w:tc>
          <w:tcPr>
            <w:tcW w:w="680" w:type="dxa"/>
            <w:shd w:val="clear" w:color="auto" w:fill="auto"/>
            <w:vAlign w:val="center"/>
          </w:tcPr>
          <w:p w14:paraId="5E660982">
            <w:pPr>
              <w:widowControl/>
              <w:jc w:val="center"/>
              <w:rPr>
                <w:rFonts w:ascii="宋体" w:hAnsi="宋体" w:cs="宋体"/>
                <w:color w:val="auto"/>
                <w:kern w:val="0"/>
                <w:szCs w:val="21"/>
                <w:u w:val="single"/>
              </w:rPr>
            </w:pPr>
            <w:r>
              <w:rPr>
                <w:rFonts w:hint="eastAsia" w:ascii="宋体" w:hAnsi="宋体" w:cs="宋体"/>
                <w:color w:val="auto"/>
                <w:kern w:val="0"/>
                <w:szCs w:val="21"/>
                <w:u w:val="single"/>
              </w:rPr>
              <w:t>1</w:t>
            </w:r>
          </w:p>
        </w:tc>
        <w:tc>
          <w:tcPr>
            <w:tcW w:w="598" w:type="dxa"/>
            <w:shd w:val="clear" w:color="auto" w:fill="auto"/>
            <w:vAlign w:val="center"/>
          </w:tcPr>
          <w:p w14:paraId="79C650B4">
            <w:pPr>
              <w:widowControl/>
              <w:jc w:val="center"/>
              <w:rPr>
                <w:rFonts w:ascii="宋体" w:hAnsi="宋体" w:cs="宋体"/>
                <w:color w:val="auto"/>
                <w:kern w:val="0"/>
                <w:szCs w:val="21"/>
              </w:rPr>
            </w:pPr>
            <w:r>
              <w:rPr>
                <w:rFonts w:hint="eastAsia" w:ascii="宋体" w:hAnsi="宋体" w:cs="宋体"/>
                <w:color w:val="auto"/>
                <w:kern w:val="0"/>
                <w:szCs w:val="21"/>
              </w:rPr>
              <w:t>台</w:t>
            </w:r>
          </w:p>
        </w:tc>
        <w:tc>
          <w:tcPr>
            <w:tcW w:w="2038" w:type="dxa"/>
            <w:shd w:val="clear" w:color="auto" w:fill="auto"/>
            <w:vAlign w:val="center"/>
          </w:tcPr>
          <w:p w14:paraId="40879D2F">
            <w:pPr>
              <w:widowControl/>
              <w:rPr>
                <w:rFonts w:ascii="宋体" w:hAnsi="宋体" w:cs="宋体"/>
                <w:color w:val="auto"/>
                <w:kern w:val="0"/>
                <w:szCs w:val="21"/>
              </w:rPr>
            </w:pPr>
            <w:r>
              <w:rPr>
                <w:rFonts w:hint="eastAsia" w:ascii="宋体" w:hAnsi="宋体" w:cs="宋体"/>
                <w:color w:val="auto"/>
                <w:kern w:val="0"/>
                <w:szCs w:val="21"/>
              </w:rPr>
              <w:t>储能系统上级配电功率须满足</w:t>
            </w:r>
            <w:r>
              <w:rPr>
                <w:rFonts w:hint="eastAsia" w:ascii="宋体" w:hAnsi="宋体" w:cs="宋体"/>
                <w:color w:val="auto"/>
                <w:kern w:val="0"/>
                <w:szCs w:val="21"/>
                <w:u w:val="single"/>
              </w:rPr>
              <w:t>2</w:t>
            </w:r>
            <w:r>
              <w:rPr>
                <w:rFonts w:hint="eastAsia" w:ascii="宋体" w:hAnsi="宋体" w:cs="宋体"/>
                <w:color w:val="auto"/>
                <w:kern w:val="0"/>
                <w:szCs w:val="21"/>
              </w:rPr>
              <w:t>*100kW，储能系统进线电缆规格应满足功率需求</w:t>
            </w:r>
          </w:p>
        </w:tc>
        <w:tc>
          <w:tcPr>
            <w:tcW w:w="1474" w:type="dxa"/>
            <w:vAlign w:val="center"/>
          </w:tcPr>
          <w:p w14:paraId="061673C5">
            <w:pPr>
              <w:widowControl/>
              <w:jc w:val="center"/>
              <w:rPr>
                <w:rFonts w:ascii="宋体" w:hAnsi="宋体" w:cs="宋体"/>
                <w:color w:val="auto"/>
                <w:kern w:val="0"/>
                <w:szCs w:val="21"/>
              </w:rPr>
            </w:pPr>
            <w:r>
              <w:rPr>
                <w:rFonts w:hint="eastAsia" w:ascii="宋体" w:hAnsi="宋体" w:cs="宋体"/>
                <w:color w:val="auto"/>
                <w:kern w:val="0"/>
                <w:szCs w:val="21"/>
              </w:rPr>
              <w:t>必选</w:t>
            </w:r>
          </w:p>
        </w:tc>
      </w:tr>
      <w:tr w14:paraId="25A5B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616" w:type="dxa"/>
            <w:shd w:val="clear" w:color="auto" w:fill="auto"/>
            <w:vAlign w:val="center"/>
          </w:tcPr>
          <w:p w14:paraId="1BCEDD26">
            <w:pPr>
              <w:widowControl/>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val="en-US" w:eastAsia="zh-CN"/>
              </w:rPr>
              <w:t>3</w:t>
            </w:r>
          </w:p>
        </w:tc>
        <w:tc>
          <w:tcPr>
            <w:tcW w:w="1086" w:type="dxa"/>
            <w:shd w:val="clear" w:color="auto" w:fill="auto"/>
            <w:vAlign w:val="center"/>
          </w:tcPr>
          <w:p w14:paraId="2CD2425E">
            <w:pPr>
              <w:widowControl/>
              <w:jc w:val="center"/>
              <w:rPr>
                <w:rFonts w:ascii="宋体" w:hAnsi="宋体" w:cs="宋体"/>
                <w:color w:val="auto"/>
                <w:kern w:val="0"/>
                <w:szCs w:val="21"/>
              </w:rPr>
            </w:pPr>
            <w:r>
              <w:rPr>
                <w:rFonts w:hint="eastAsia" w:ascii="宋体" w:hAnsi="宋体" w:cs="宋体"/>
                <w:color w:val="auto"/>
                <w:kern w:val="0"/>
                <w:szCs w:val="21"/>
              </w:rPr>
              <w:t>电缆、辅材及其他</w:t>
            </w:r>
          </w:p>
        </w:tc>
        <w:tc>
          <w:tcPr>
            <w:tcW w:w="1371" w:type="dxa"/>
            <w:shd w:val="clear" w:color="auto" w:fill="auto"/>
            <w:vAlign w:val="center"/>
          </w:tcPr>
          <w:p w14:paraId="1B04E9C6">
            <w:pPr>
              <w:widowControl/>
              <w:jc w:val="center"/>
              <w:rPr>
                <w:rFonts w:ascii="宋体" w:hAnsi="宋体" w:cs="宋体"/>
                <w:color w:val="auto"/>
                <w:kern w:val="0"/>
                <w:szCs w:val="21"/>
                <w:u w:val="single"/>
              </w:rPr>
            </w:pPr>
            <w:r>
              <w:rPr>
                <w:rFonts w:hint="eastAsia" w:ascii="宋体" w:hAnsi="宋体" w:cs="宋体"/>
                <w:color w:val="auto"/>
                <w:kern w:val="0"/>
                <w:szCs w:val="21"/>
                <w:u w:val="single"/>
              </w:rPr>
              <w:t>按需</w:t>
            </w:r>
          </w:p>
        </w:tc>
        <w:tc>
          <w:tcPr>
            <w:tcW w:w="1873" w:type="dxa"/>
            <w:shd w:val="clear" w:color="auto" w:fill="auto"/>
            <w:vAlign w:val="center"/>
          </w:tcPr>
          <w:p w14:paraId="38AC8C43">
            <w:pPr>
              <w:widowControl/>
              <w:jc w:val="center"/>
              <w:rPr>
                <w:rFonts w:ascii="宋体" w:hAnsi="宋体" w:cs="宋体"/>
                <w:color w:val="auto"/>
                <w:kern w:val="0"/>
                <w:szCs w:val="21"/>
              </w:rPr>
            </w:pPr>
            <w:r>
              <w:rPr>
                <w:rFonts w:hint="eastAsia" w:ascii="宋体" w:hAnsi="宋体" w:cs="宋体"/>
                <w:color w:val="auto"/>
                <w:kern w:val="0"/>
                <w:szCs w:val="21"/>
              </w:rPr>
              <w:t>按需</w:t>
            </w:r>
          </w:p>
        </w:tc>
        <w:tc>
          <w:tcPr>
            <w:tcW w:w="680" w:type="dxa"/>
            <w:shd w:val="clear" w:color="auto" w:fill="auto"/>
            <w:vAlign w:val="center"/>
          </w:tcPr>
          <w:p w14:paraId="67463C4D">
            <w:pPr>
              <w:widowControl/>
              <w:jc w:val="center"/>
              <w:rPr>
                <w:rFonts w:ascii="宋体" w:hAnsi="宋体" w:cs="宋体"/>
                <w:color w:val="auto"/>
                <w:kern w:val="0"/>
                <w:szCs w:val="21"/>
                <w:u w:val="single"/>
              </w:rPr>
            </w:pPr>
            <w:r>
              <w:rPr>
                <w:rFonts w:hint="eastAsia" w:ascii="宋体" w:hAnsi="宋体" w:cs="宋体"/>
                <w:color w:val="auto"/>
                <w:kern w:val="0"/>
                <w:szCs w:val="21"/>
                <w:u w:val="single"/>
              </w:rPr>
              <w:t>1</w:t>
            </w:r>
          </w:p>
        </w:tc>
        <w:tc>
          <w:tcPr>
            <w:tcW w:w="598" w:type="dxa"/>
            <w:shd w:val="clear" w:color="auto" w:fill="auto"/>
            <w:vAlign w:val="center"/>
          </w:tcPr>
          <w:p w14:paraId="3296B9EB">
            <w:pPr>
              <w:widowControl/>
              <w:jc w:val="center"/>
              <w:rPr>
                <w:rFonts w:ascii="宋体" w:hAnsi="宋体" w:cs="宋体"/>
                <w:color w:val="auto"/>
                <w:kern w:val="0"/>
                <w:szCs w:val="21"/>
              </w:rPr>
            </w:pPr>
            <w:r>
              <w:rPr>
                <w:rFonts w:hint="eastAsia" w:ascii="宋体" w:hAnsi="宋体" w:cs="宋体"/>
                <w:color w:val="auto"/>
                <w:kern w:val="0"/>
                <w:szCs w:val="21"/>
              </w:rPr>
              <w:t>项</w:t>
            </w:r>
          </w:p>
        </w:tc>
        <w:tc>
          <w:tcPr>
            <w:tcW w:w="2038" w:type="dxa"/>
            <w:shd w:val="clear" w:color="auto" w:fill="auto"/>
            <w:vAlign w:val="center"/>
          </w:tcPr>
          <w:p w14:paraId="51496FFD">
            <w:pPr>
              <w:widowControl/>
              <w:rPr>
                <w:rFonts w:ascii="宋体" w:hAnsi="宋体" w:cs="宋体"/>
                <w:color w:val="auto"/>
                <w:kern w:val="0"/>
                <w:szCs w:val="21"/>
                <w:u w:val="single"/>
              </w:rPr>
            </w:pPr>
            <w:r>
              <w:rPr>
                <w:rFonts w:hint="eastAsia" w:ascii="宋体" w:hAnsi="宋体" w:cs="宋体"/>
                <w:color w:val="auto"/>
                <w:kern w:val="0"/>
                <w:szCs w:val="21"/>
              </w:rPr>
              <w:t>工程核定相应工程量</w:t>
            </w:r>
          </w:p>
        </w:tc>
        <w:tc>
          <w:tcPr>
            <w:tcW w:w="1474" w:type="dxa"/>
          </w:tcPr>
          <w:p w14:paraId="04EA8269">
            <w:pPr>
              <w:widowControl/>
              <w:jc w:val="center"/>
              <w:rPr>
                <w:rFonts w:ascii="宋体" w:hAnsi="宋体" w:cs="宋体"/>
                <w:color w:val="auto"/>
                <w:kern w:val="0"/>
                <w:szCs w:val="21"/>
                <w:u w:val="single"/>
              </w:rPr>
            </w:pPr>
          </w:p>
        </w:tc>
      </w:tr>
    </w:tbl>
    <w:p w14:paraId="796E0C5C">
      <w:pPr>
        <w:pStyle w:val="3"/>
        <w:numPr>
          <w:ilvl w:val="1"/>
          <w:numId w:val="1"/>
        </w:numPr>
        <w:rPr>
          <w:color w:val="000000" w:themeColor="text1"/>
          <w:sz w:val="24"/>
          <w:szCs w:val="24"/>
          <w14:textFill>
            <w14:solidFill>
              <w14:schemeClr w14:val="tx1"/>
            </w14:solidFill>
          </w14:textFill>
        </w:rPr>
      </w:pPr>
      <w:bookmarkStart w:id="9" w:name="_Toc21302"/>
      <w:r>
        <w:rPr>
          <w:rFonts w:hint="eastAsia"/>
          <w:color w:val="000000" w:themeColor="text1"/>
          <w:sz w:val="24"/>
          <w:szCs w:val="24"/>
          <w14:textFill>
            <w14:solidFill>
              <w14:schemeClr w14:val="tx1"/>
            </w14:solidFill>
          </w14:textFill>
        </w:rPr>
        <w:t>系统整体要求</w:t>
      </w:r>
      <w:bookmarkEnd w:id="9"/>
    </w:p>
    <w:p w14:paraId="2A8FB81F">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1）储能系统模块化设计</w:t>
      </w:r>
    </w:p>
    <w:p w14:paraId="13D99890">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本项目储能系统采用模块化设计，可根据项目需求灵活组合、扩展及容量调整。</w:t>
      </w:r>
    </w:p>
    <w:p w14:paraId="11108A49">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项目储能系统为2*100kW/215</w:t>
      </w:r>
      <w:r>
        <w:rPr>
          <w:rFonts w:hint="eastAsia" w:ascii="宋体" w:hAnsi="宋体"/>
          <w:color w:val="000000" w:themeColor="text1"/>
          <w:sz w:val="24"/>
          <w:lang w:eastAsia="zh-CN"/>
          <w14:textFill>
            <w14:solidFill>
              <w14:schemeClr w14:val="tx1"/>
            </w14:solidFill>
          </w14:textFill>
        </w:rPr>
        <w:t>kW·h</w:t>
      </w:r>
      <w:r>
        <w:rPr>
          <w:rFonts w:hint="eastAsia" w:ascii="宋体" w:hAnsi="宋体"/>
          <w:color w:val="000000" w:themeColor="text1"/>
          <w:sz w:val="24"/>
          <w14:textFill>
            <w14:solidFill>
              <w14:schemeClr w14:val="tx1"/>
            </w14:solidFill>
          </w14:textFill>
        </w:rPr>
        <w:t>，采用2套储能一体柜并机的方式，系统额定充放电功率2*100kW，最大可用充放电容量约2*200</w:t>
      </w:r>
      <w:r>
        <w:rPr>
          <w:rFonts w:hint="eastAsia" w:ascii="宋体" w:hAnsi="宋体"/>
          <w:color w:val="000000" w:themeColor="text1"/>
          <w:sz w:val="24"/>
          <w:lang w:eastAsia="zh-CN"/>
          <w14:textFill>
            <w14:solidFill>
              <w14:schemeClr w14:val="tx1"/>
            </w14:solidFill>
          </w14:textFill>
        </w:rPr>
        <w:t>kW·h</w:t>
      </w:r>
      <w:r>
        <w:rPr>
          <w:rFonts w:hint="eastAsia" w:ascii="宋体" w:hAnsi="宋体"/>
          <w:color w:val="000000" w:themeColor="text1"/>
          <w:sz w:val="24"/>
          <w14:textFill>
            <w14:solidFill>
              <w14:schemeClr w14:val="tx1"/>
            </w14:solidFill>
          </w14:textFill>
        </w:rPr>
        <w:t>。采用1台专用储能智能配电柜进行配电、计量、功率控制及能量管理。</w:t>
      </w:r>
    </w:p>
    <w:p w14:paraId="214DC215">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2）储能设备一体化设计</w:t>
      </w:r>
    </w:p>
    <w:p w14:paraId="540B7F83">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储能系统采用一体化设计，储能一体柜容量为1</w:t>
      </w:r>
      <w:r>
        <w:rPr>
          <w:rFonts w:ascii="宋体" w:hAnsi="宋体"/>
          <w:color w:val="000000" w:themeColor="text1"/>
          <w:sz w:val="24"/>
          <w14:textFill>
            <w14:solidFill>
              <w14:schemeClr w14:val="tx1"/>
            </w14:solidFill>
          </w14:textFill>
        </w:rPr>
        <w:t>00</w:t>
      </w:r>
      <w:r>
        <w:rPr>
          <w:rFonts w:hint="eastAsia" w:ascii="宋体" w:hAnsi="宋体"/>
          <w:color w:val="000000" w:themeColor="text1"/>
          <w:sz w:val="24"/>
          <w14:textFill>
            <w14:solidFill>
              <w14:schemeClr w14:val="tx1"/>
            </w14:solidFill>
          </w14:textFill>
        </w:rPr>
        <w:t>k</w:t>
      </w:r>
      <w:r>
        <w:rPr>
          <w:rFonts w:ascii="宋体" w:hAnsi="宋体"/>
          <w:color w:val="000000" w:themeColor="text1"/>
          <w:sz w:val="24"/>
          <w14:textFill>
            <w14:solidFill>
              <w14:schemeClr w14:val="tx1"/>
            </w14:solidFill>
          </w14:textFill>
        </w:rPr>
        <w:t>W</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215</w:t>
      </w:r>
      <w:r>
        <w:rPr>
          <w:rFonts w:hint="eastAsia" w:ascii="宋体" w:hAnsi="宋体"/>
          <w:color w:val="000000" w:themeColor="text1"/>
          <w:sz w:val="24"/>
          <w:lang w:eastAsia="zh-CN"/>
          <w14:textFill>
            <w14:solidFill>
              <w14:schemeClr w14:val="tx1"/>
            </w14:solidFill>
          </w14:textFill>
        </w:rPr>
        <w:t>kW·h</w:t>
      </w:r>
      <w:r>
        <w:rPr>
          <w:rFonts w:hint="eastAsia" w:ascii="宋体" w:hAnsi="宋体"/>
          <w:color w:val="000000" w:themeColor="text1"/>
          <w:sz w:val="24"/>
          <w14:textFill>
            <w14:solidFill>
              <w14:schemeClr w14:val="tx1"/>
            </w14:solidFill>
          </w14:textFill>
        </w:rPr>
        <w:t>。储能一体柜包含储能电池簇、电池管理系统（</w:t>
      </w:r>
      <w:r>
        <w:rPr>
          <w:rFonts w:ascii="宋体" w:hAnsi="宋体"/>
          <w:color w:val="000000" w:themeColor="text1"/>
          <w:sz w:val="24"/>
          <w14:textFill>
            <w14:solidFill>
              <w14:schemeClr w14:val="tx1"/>
            </w14:solidFill>
          </w14:textFill>
        </w:rPr>
        <w:t>BMS</w:t>
      </w:r>
      <w:r>
        <w:rPr>
          <w:rFonts w:hint="eastAsia" w:ascii="宋体" w:hAnsi="宋体"/>
          <w:color w:val="000000" w:themeColor="text1"/>
          <w:sz w:val="24"/>
          <w14:textFill>
            <w14:solidFill>
              <w14:schemeClr w14:val="tx1"/>
            </w14:solidFill>
          </w14:textFill>
        </w:rPr>
        <w:t>）、储能变流器（P</w:t>
      </w:r>
      <w:r>
        <w:rPr>
          <w:rFonts w:ascii="宋体" w:hAnsi="宋体"/>
          <w:color w:val="000000" w:themeColor="text1"/>
          <w:sz w:val="24"/>
          <w14:textFill>
            <w14:solidFill>
              <w14:schemeClr w14:val="tx1"/>
            </w14:solidFill>
          </w14:textFill>
        </w:rPr>
        <w:t>CS</w:t>
      </w:r>
      <w:r>
        <w:rPr>
          <w:rFonts w:hint="eastAsia" w:ascii="宋体" w:hAnsi="宋体"/>
          <w:color w:val="000000" w:themeColor="text1"/>
          <w:sz w:val="24"/>
          <w14:textFill>
            <w14:solidFill>
              <w14:schemeClr w14:val="tx1"/>
            </w14:solidFill>
          </w14:textFill>
        </w:rPr>
        <w:t>）、配电单元；系统拥有独立的自供电系统、温度控制系统、火灾报警系统、应急系统、消防系统等自动控制和安全保障系统。</w:t>
      </w:r>
    </w:p>
    <w:p w14:paraId="0D591F66">
      <w:pPr>
        <w:spacing w:line="360" w:lineRule="auto"/>
        <w:jc w:val="center"/>
        <w:rPr>
          <w:rFonts w:ascii="宋体" w:hAnsi="宋体"/>
          <w:b/>
          <w:sz w:val="24"/>
        </w:rPr>
      </w:pPr>
      <w:r>
        <w:rPr>
          <w:rFonts w:hint="eastAsia" w:ascii="宋体" w:hAnsi="宋体"/>
          <w:b/>
          <w:sz w:val="24"/>
        </w:rPr>
        <w:t>表2</w:t>
      </w:r>
      <w:r>
        <w:rPr>
          <w:rFonts w:ascii="宋体" w:hAnsi="宋体"/>
          <w:b/>
          <w:sz w:val="24"/>
        </w:rPr>
        <w:t xml:space="preserve">. </w:t>
      </w:r>
      <w:r>
        <w:rPr>
          <w:rFonts w:hint="eastAsia" w:ascii="宋体" w:hAnsi="宋体"/>
          <w:b/>
          <w:sz w:val="24"/>
        </w:rPr>
        <w:t>储能一体柜系统配置</w:t>
      </w:r>
    </w:p>
    <w:tbl>
      <w:tblPr>
        <w:tblStyle w:val="24"/>
        <w:tblW w:w="5000" w:type="pct"/>
        <w:tblInd w:w="0" w:type="dxa"/>
        <w:tblLayout w:type="autofit"/>
        <w:tblCellMar>
          <w:top w:w="0" w:type="dxa"/>
          <w:left w:w="108" w:type="dxa"/>
          <w:bottom w:w="0" w:type="dxa"/>
          <w:right w:w="108" w:type="dxa"/>
        </w:tblCellMar>
      </w:tblPr>
      <w:tblGrid>
        <w:gridCol w:w="1319"/>
        <w:gridCol w:w="2230"/>
        <w:gridCol w:w="3778"/>
        <w:gridCol w:w="1319"/>
        <w:gridCol w:w="1316"/>
      </w:tblGrid>
      <w:tr w14:paraId="79A899C3">
        <w:tblPrEx>
          <w:tblCellMar>
            <w:top w:w="0" w:type="dxa"/>
            <w:left w:w="108" w:type="dxa"/>
            <w:bottom w:w="0" w:type="dxa"/>
            <w:right w:w="108" w:type="dxa"/>
          </w:tblCellMar>
        </w:tblPrEx>
        <w:trPr>
          <w:trHeight w:val="300" w:hRule="atLeast"/>
        </w:trPr>
        <w:tc>
          <w:tcPr>
            <w:tcW w:w="662" w:type="pct"/>
            <w:tcBorders>
              <w:top w:val="single" w:color="auto" w:sz="4" w:space="0"/>
              <w:left w:val="single" w:color="auto" w:sz="4" w:space="0"/>
              <w:bottom w:val="single" w:color="auto" w:sz="4" w:space="0"/>
              <w:right w:val="single" w:color="auto" w:sz="4" w:space="0"/>
            </w:tcBorders>
            <w:shd w:val="clear" w:color="000000" w:fill="D9D9D9"/>
            <w:vAlign w:val="center"/>
          </w:tcPr>
          <w:p w14:paraId="31C19598">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序号</w:t>
            </w:r>
          </w:p>
        </w:tc>
        <w:tc>
          <w:tcPr>
            <w:tcW w:w="1119" w:type="pct"/>
            <w:tcBorders>
              <w:top w:val="single" w:color="auto" w:sz="4" w:space="0"/>
              <w:left w:val="nil"/>
              <w:bottom w:val="single" w:color="auto" w:sz="4" w:space="0"/>
              <w:right w:val="single" w:color="auto" w:sz="4" w:space="0"/>
            </w:tcBorders>
            <w:shd w:val="clear" w:color="000000" w:fill="D9D9D9"/>
            <w:vAlign w:val="center"/>
          </w:tcPr>
          <w:p w14:paraId="6D7F3BD8">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名称</w:t>
            </w:r>
          </w:p>
        </w:tc>
        <w:tc>
          <w:tcPr>
            <w:tcW w:w="1896" w:type="pct"/>
            <w:tcBorders>
              <w:top w:val="single" w:color="auto" w:sz="4" w:space="0"/>
              <w:left w:val="nil"/>
              <w:bottom w:val="single" w:color="auto" w:sz="4" w:space="0"/>
              <w:right w:val="single" w:color="auto" w:sz="4" w:space="0"/>
            </w:tcBorders>
            <w:shd w:val="clear" w:color="000000" w:fill="D9D9D9"/>
            <w:vAlign w:val="center"/>
          </w:tcPr>
          <w:p w14:paraId="06858DF0">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规  格</w:t>
            </w:r>
          </w:p>
        </w:tc>
        <w:tc>
          <w:tcPr>
            <w:tcW w:w="662" w:type="pct"/>
            <w:tcBorders>
              <w:top w:val="single" w:color="auto" w:sz="4" w:space="0"/>
              <w:left w:val="nil"/>
              <w:bottom w:val="single" w:color="auto" w:sz="4" w:space="0"/>
              <w:right w:val="single" w:color="auto" w:sz="4" w:space="0"/>
            </w:tcBorders>
            <w:shd w:val="clear" w:color="000000" w:fill="D9D9D9"/>
            <w:vAlign w:val="center"/>
          </w:tcPr>
          <w:p w14:paraId="64A831EC">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数量</w:t>
            </w:r>
          </w:p>
        </w:tc>
        <w:tc>
          <w:tcPr>
            <w:tcW w:w="660" w:type="pct"/>
            <w:tcBorders>
              <w:top w:val="single" w:color="auto" w:sz="4" w:space="0"/>
              <w:left w:val="nil"/>
              <w:bottom w:val="single" w:color="auto" w:sz="4" w:space="0"/>
              <w:right w:val="single" w:color="auto" w:sz="4" w:space="0"/>
            </w:tcBorders>
            <w:shd w:val="clear" w:color="000000" w:fill="D9D9D9"/>
            <w:vAlign w:val="center"/>
          </w:tcPr>
          <w:p w14:paraId="6C2B2B8C">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单位</w:t>
            </w:r>
          </w:p>
        </w:tc>
      </w:tr>
      <w:tr w14:paraId="2D75841B">
        <w:tblPrEx>
          <w:tblCellMar>
            <w:top w:w="0" w:type="dxa"/>
            <w:left w:w="108" w:type="dxa"/>
            <w:bottom w:w="0" w:type="dxa"/>
            <w:right w:w="108" w:type="dxa"/>
          </w:tblCellMar>
        </w:tblPrEx>
        <w:trPr>
          <w:trHeight w:val="600"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2914F49D">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1119" w:type="pct"/>
            <w:tcBorders>
              <w:top w:val="nil"/>
              <w:left w:val="nil"/>
              <w:bottom w:val="single" w:color="auto" w:sz="4" w:space="0"/>
              <w:right w:val="single" w:color="auto" w:sz="4" w:space="0"/>
            </w:tcBorders>
            <w:shd w:val="clear" w:color="auto" w:fill="auto"/>
            <w:vAlign w:val="center"/>
          </w:tcPr>
          <w:p w14:paraId="596FF7A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电池插箱</w:t>
            </w:r>
          </w:p>
        </w:tc>
        <w:tc>
          <w:tcPr>
            <w:tcW w:w="1896" w:type="pct"/>
            <w:tcBorders>
              <w:top w:val="nil"/>
              <w:left w:val="nil"/>
              <w:bottom w:val="single" w:color="auto" w:sz="4" w:space="0"/>
              <w:right w:val="single" w:color="auto" w:sz="4" w:space="0"/>
            </w:tcBorders>
            <w:shd w:val="clear" w:color="auto" w:fill="auto"/>
            <w:vAlign w:val="center"/>
          </w:tcPr>
          <w:p w14:paraId="00140E5A">
            <w:pPr>
              <w:widowControl/>
              <w:spacing w:line="360" w:lineRule="auto"/>
              <w:jc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 xml:space="preserve">280Ah磷酸铁锂电芯 </w:t>
            </w:r>
            <w:r>
              <w:rPr>
                <w:rFonts w:hint="eastAsia" w:ascii="宋体" w:hAnsi="宋体" w:cs="宋体"/>
                <w:color w:val="000000"/>
                <w:kern w:val="0"/>
                <w:szCs w:val="21"/>
              </w:rPr>
              <w:br w:type="textWrapping"/>
            </w:r>
            <w:r>
              <w:rPr>
                <w:rFonts w:hint="eastAsia" w:ascii="宋体" w:hAnsi="宋体" w:cs="宋体"/>
                <w:color w:val="000000"/>
                <w:kern w:val="0"/>
                <w:szCs w:val="21"/>
              </w:rPr>
              <w:t>单个插箱额定容量17.92</w:t>
            </w:r>
            <w:r>
              <w:rPr>
                <w:rFonts w:hint="eastAsia" w:ascii="宋体" w:hAnsi="宋体" w:cs="宋体"/>
                <w:color w:val="000000"/>
                <w:kern w:val="0"/>
                <w:szCs w:val="21"/>
                <w:lang w:eastAsia="zh-CN"/>
              </w:rPr>
              <w:t>kW·h</w:t>
            </w:r>
          </w:p>
        </w:tc>
        <w:tc>
          <w:tcPr>
            <w:tcW w:w="662" w:type="pct"/>
            <w:tcBorders>
              <w:top w:val="nil"/>
              <w:left w:val="nil"/>
              <w:bottom w:val="single" w:color="auto" w:sz="4" w:space="0"/>
              <w:right w:val="single" w:color="auto" w:sz="4" w:space="0"/>
            </w:tcBorders>
            <w:shd w:val="clear" w:color="auto" w:fill="auto"/>
            <w:vAlign w:val="center"/>
          </w:tcPr>
          <w:p w14:paraId="4302DBA6">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12</w:t>
            </w:r>
          </w:p>
        </w:tc>
        <w:tc>
          <w:tcPr>
            <w:tcW w:w="660" w:type="pct"/>
            <w:tcBorders>
              <w:top w:val="nil"/>
              <w:left w:val="nil"/>
              <w:bottom w:val="single" w:color="auto" w:sz="4" w:space="0"/>
              <w:right w:val="single" w:color="auto" w:sz="4" w:space="0"/>
            </w:tcBorders>
            <w:shd w:val="clear" w:color="auto" w:fill="auto"/>
            <w:vAlign w:val="center"/>
          </w:tcPr>
          <w:p w14:paraId="5AC7AFE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个</w:t>
            </w:r>
          </w:p>
        </w:tc>
      </w:tr>
      <w:tr w14:paraId="76A18911">
        <w:tblPrEx>
          <w:tblCellMar>
            <w:top w:w="0" w:type="dxa"/>
            <w:left w:w="108" w:type="dxa"/>
            <w:bottom w:w="0" w:type="dxa"/>
            <w:right w:w="108" w:type="dxa"/>
          </w:tblCellMar>
        </w:tblPrEx>
        <w:trPr>
          <w:trHeight w:val="300"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2F37119C">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2</w:t>
            </w:r>
          </w:p>
        </w:tc>
        <w:tc>
          <w:tcPr>
            <w:tcW w:w="1119" w:type="pct"/>
            <w:tcBorders>
              <w:top w:val="nil"/>
              <w:left w:val="nil"/>
              <w:bottom w:val="single" w:color="auto" w:sz="4" w:space="0"/>
              <w:right w:val="single" w:color="auto" w:sz="4" w:space="0"/>
            </w:tcBorders>
            <w:shd w:val="clear" w:color="auto" w:fill="auto"/>
            <w:vAlign w:val="center"/>
          </w:tcPr>
          <w:p w14:paraId="0406CF6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PCS</w:t>
            </w:r>
          </w:p>
        </w:tc>
        <w:tc>
          <w:tcPr>
            <w:tcW w:w="1896" w:type="pct"/>
            <w:tcBorders>
              <w:top w:val="nil"/>
              <w:left w:val="nil"/>
              <w:bottom w:val="single" w:color="auto" w:sz="4" w:space="0"/>
              <w:right w:val="single" w:color="auto" w:sz="4" w:space="0"/>
            </w:tcBorders>
            <w:shd w:val="clear" w:color="auto" w:fill="auto"/>
            <w:vAlign w:val="center"/>
          </w:tcPr>
          <w:p w14:paraId="0899F823">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额定功率 100kW</w:t>
            </w:r>
          </w:p>
        </w:tc>
        <w:tc>
          <w:tcPr>
            <w:tcW w:w="662" w:type="pct"/>
            <w:tcBorders>
              <w:top w:val="nil"/>
              <w:left w:val="nil"/>
              <w:bottom w:val="single" w:color="auto" w:sz="4" w:space="0"/>
              <w:right w:val="single" w:color="auto" w:sz="4" w:space="0"/>
            </w:tcBorders>
            <w:shd w:val="clear" w:color="auto" w:fill="auto"/>
            <w:vAlign w:val="center"/>
          </w:tcPr>
          <w:p w14:paraId="55958AC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660" w:type="pct"/>
            <w:tcBorders>
              <w:top w:val="nil"/>
              <w:left w:val="nil"/>
              <w:bottom w:val="single" w:color="auto" w:sz="4" w:space="0"/>
              <w:right w:val="single" w:color="auto" w:sz="4" w:space="0"/>
            </w:tcBorders>
            <w:shd w:val="clear" w:color="auto" w:fill="auto"/>
            <w:vAlign w:val="center"/>
          </w:tcPr>
          <w:p w14:paraId="26FF6399">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台</w:t>
            </w:r>
          </w:p>
        </w:tc>
      </w:tr>
      <w:tr w14:paraId="1FF6F019">
        <w:tblPrEx>
          <w:tblCellMar>
            <w:top w:w="0" w:type="dxa"/>
            <w:left w:w="108" w:type="dxa"/>
            <w:bottom w:w="0" w:type="dxa"/>
            <w:right w:w="108" w:type="dxa"/>
          </w:tblCellMar>
        </w:tblPrEx>
        <w:trPr>
          <w:trHeight w:val="300"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5B74347F">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3</w:t>
            </w:r>
          </w:p>
        </w:tc>
        <w:tc>
          <w:tcPr>
            <w:tcW w:w="1119" w:type="pct"/>
            <w:tcBorders>
              <w:top w:val="nil"/>
              <w:left w:val="nil"/>
              <w:bottom w:val="single" w:color="auto" w:sz="4" w:space="0"/>
              <w:right w:val="single" w:color="auto" w:sz="4" w:space="0"/>
            </w:tcBorders>
            <w:shd w:val="clear" w:color="auto" w:fill="auto"/>
            <w:vAlign w:val="center"/>
          </w:tcPr>
          <w:p w14:paraId="653782EC">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BMS</w:t>
            </w:r>
          </w:p>
        </w:tc>
        <w:tc>
          <w:tcPr>
            <w:tcW w:w="1896" w:type="pct"/>
            <w:tcBorders>
              <w:top w:val="nil"/>
              <w:left w:val="nil"/>
              <w:bottom w:val="single" w:color="auto" w:sz="4" w:space="0"/>
              <w:right w:val="single" w:color="auto" w:sz="4" w:space="0"/>
            </w:tcBorders>
            <w:shd w:val="clear" w:color="auto" w:fill="auto"/>
            <w:vAlign w:val="center"/>
          </w:tcPr>
          <w:p w14:paraId="600F7DDD">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BMU、BCU、</w:t>
            </w:r>
            <w:r>
              <w:rPr>
                <w:rFonts w:ascii="宋体" w:hAnsi="宋体" w:cs="宋体"/>
                <w:kern w:val="0"/>
                <w:szCs w:val="21"/>
              </w:rPr>
              <w:t>CCU</w:t>
            </w:r>
            <w:r>
              <w:rPr>
                <w:rFonts w:hint="eastAsia" w:ascii="宋体" w:hAnsi="宋体" w:cs="宋体"/>
                <w:color w:val="000000"/>
                <w:kern w:val="0"/>
                <w:szCs w:val="21"/>
              </w:rPr>
              <w:t>三级管理</w:t>
            </w:r>
          </w:p>
        </w:tc>
        <w:tc>
          <w:tcPr>
            <w:tcW w:w="662" w:type="pct"/>
            <w:tcBorders>
              <w:top w:val="nil"/>
              <w:left w:val="nil"/>
              <w:bottom w:val="single" w:color="auto" w:sz="4" w:space="0"/>
              <w:right w:val="single" w:color="auto" w:sz="4" w:space="0"/>
            </w:tcBorders>
            <w:shd w:val="clear" w:color="auto" w:fill="auto"/>
            <w:vAlign w:val="center"/>
          </w:tcPr>
          <w:p w14:paraId="7196E76F">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660" w:type="pct"/>
            <w:tcBorders>
              <w:top w:val="nil"/>
              <w:left w:val="nil"/>
              <w:bottom w:val="single" w:color="auto" w:sz="4" w:space="0"/>
              <w:right w:val="single" w:color="auto" w:sz="4" w:space="0"/>
            </w:tcBorders>
            <w:shd w:val="clear" w:color="auto" w:fill="auto"/>
            <w:vAlign w:val="center"/>
          </w:tcPr>
          <w:p w14:paraId="0BDFBA20">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套</w:t>
            </w:r>
          </w:p>
        </w:tc>
      </w:tr>
      <w:tr w14:paraId="1735545A">
        <w:tblPrEx>
          <w:tblCellMar>
            <w:top w:w="0" w:type="dxa"/>
            <w:left w:w="108" w:type="dxa"/>
            <w:bottom w:w="0" w:type="dxa"/>
            <w:right w:w="108" w:type="dxa"/>
          </w:tblCellMar>
        </w:tblPrEx>
        <w:trPr>
          <w:trHeight w:val="528"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385DF836">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4</w:t>
            </w:r>
          </w:p>
        </w:tc>
        <w:tc>
          <w:tcPr>
            <w:tcW w:w="1119" w:type="pct"/>
            <w:tcBorders>
              <w:top w:val="nil"/>
              <w:left w:val="nil"/>
              <w:bottom w:val="single" w:color="auto" w:sz="4" w:space="0"/>
              <w:right w:val="single" w:color="auto" w:sz="4" w:space="0"/>
            </w:tcBorders>
            <w:shd w:val="clear" w:color="auto" w:fill="auto"/>
            <w:vAlign w:val="center"/>
          </w:tcPr>
          <w:p w14:paraId="6CFB0C2C">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空调</w:t>
            </w:r>
          </w:p>
        </w:tc>
        <w:tc>
          <w:tcPr>
            <w:tcW w:w="1896" w:type="pct"/>
            <w:tcBorders>
              <w:top w:val="nil"/>
              <w:left w:val="nil"/>
              <w:bottom w:val="single" w:color="auto" w:sz="4" w:space="0"/>
              <w:right w:val="single" w:color="auto" w:sz="4" w:space="0"/>
            </w:tcBorders>
            <w:shd w:val="clear" w:color="auto" w:fill="auto"/>
            <w:vAlign w:val="center"/>
          </w:tcPr>
          <w:p w14:paraId="54F3880D">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工业级温控空调</w:t>
            </w:r>
          </w:p>
        </w:tc>
        <w:tc>
          <w:tcPr>
            <w:tcW w:w="662" w:type="pct"/>
            <w:tcBorders>
              <w:top w:val="nil"/>
              <w:left w:val="nil"/>
              <w:bottom w:val="single" w:color="auto" w:sz="4" w:space="0"/>
              <w:right w:val="single" w:color="auto" w:sz="4" w:space="0"/>
            </w:tcBorders>
            <w:shd w:val="clear" w:color="auto" w:fill="auto"/>
            <w:vAlign w:val="center"/>
          </w:tcPr>
          <w:p w14:paraId="7ECA3787">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660" w:type="pct"/>
            <w:tcBorders>
              <w:top w:val="nil"/>
              <w:left w:val="nil"/>
              <w:bottom w:val="single" w:color="auto" w:sz="4" w:space="0"/>
              <w:right w:val="single" w:color="auto" w:sz="4" w:space="0"/>
            </w:tcBorders>
            <w:shd w:val="clear" w:color="auto" w:fill="auto"/>
            <w:vAlign w:val="center"/>
          </w:tcPr>
          <w:p w14:paraId="0F66A695">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台</w:t>
            </w:r>
          </w:p>
        </w:tc>
      </w:tr>
      <w:tr w14:paraId="6ABDFEBF">
        <w:tblPrEx>
          <w:tblCellMar>
            <w:top w:w="0" w:type="dxa"/>
            <w:left w:w="108" w:type="dxa"/>
            <w:bottom w:w="0" w:type="dxa"/>
            <w:right w:w="108" w:type="dxa"/>
          </w:tblCellMar>
        </w:tblPrEx>
        <w:trPr>
          <w:trHeight w:val="300"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3A3F64B9">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5</w:t>
            </w:r>
          </w:p>
        </w:tc>
        <w:tc>
          <w:tcPr>
            <w:tcW w:w="1119" w:type="pct"/>
            <w:tcBorders>
              <w:top w:val="nil"/>
              <w:left w:val="nil"/>
              <w:bottom w:val="single" w:color="auto" w:sz="4" w:space="0"/>
              <w:right w:val="single" w:color="auto" w:sz="4" w:space="0"/>
            </w:tcBorders>
            <w:shd w:val="clear" w:color="auto" w:fill="auto"/>
            <w:vAlign w:val="center"/>
          </w:tcPr>
          <w:p w14:paraId="46DD600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主控屏</w:t>
            </w:r>
          </w:p>
        </w:tc>
        <w:tc>
          <w:tcPr>
            <w:tcW w:w="1896" w:type="pct"/>
            <w:tcBorders>
              <w:top w:val="nil"/>
              <w:left w:val="nil"/>
              <w:bottom w:val="single" w:color="auto" w:sz="4" w:space="0"/>
              <w:right w:val="single" w:color="auto" w:sz="4" w:space="0"/>
            </w:tcBorders>
            <w:shd w:val="clear" w:color="auto" w:fill="auto"/>
            <w:vAlign w:val="center"/>
          </w:tcPr>
          <w:p w14:paraId="5C6A62F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触摸屏</w:t>
            </w:r>
          </w:p>
        </w:tc>
        <w:tc>
          <w:tcPr>
            <w:tcW w:w="662" w:type="pct"/>
            <w:tcBorders>
              <w:top w:val="nil"/>
              <w:left w:val="nil"/>
              <w:bottom w:val="single" w:color="auto" w:sz="4" w:space="0"/>
              <w:right w:val="single" w:color="auto" w:sz="4" w:space="0"/>
            </w:tcBorders>
            <w:shd w:val="clear" w:color="auto" w:fill="auto"/>
            <w:vAlign w:val="center"/>
          </w:tcPr>
          <w:p w14:paraId="3DA5D987">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660" w:type="pct"/>
            <w:tcBorders>
              <w:top w:val="nil"/>
              <w:left w:val="nil"/>
              <w:bottom w:val="single" w:color="auto" w:sz="4" w:space="0"/>
              <w:right w:val="single" w:color="auto" w:sz="4" w:space="0"/>
            </w:tcBorders>
            <w:shd w:val="clear" w:color="auto" w:fill="auto"/>
            <w:vAlign w:val="center"/>
          </w:tcPr>
          <w:p w14:paraId="258F4658">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套</w:t>
            </w:r>
          </w:p>
        </w:tc>
      </w:tr>
      <w:tr w14:paraId="4B985C6A">
        <w:tblPrEx>
          <w:tblCellMar>
            <w:top w:w="0" w:type="dxa"/>
            <w:left w:w="108" w:type="dxa"/>
            <w:bottom w:w="0" w:type="dxa"/>
            <w:right w:w="108" w:type="dxa"/>
          </w:tblCellMar>
        </w:tblPrEx>
        <w:trPr>
          <w:trHeight w:val="600"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2C1C68C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6</w:t>
            </w:r>
          </w:p>
        </w:tc>
        <w:tc>
          <w:tcPr>
            <w:tcW w:w="1119" w:type="pct"/>
            <w:tcBorders>
              <w:top w:val="nil"/>
              <w:left w:val="nil"/>
              <w:bottom w:val="single" w:color="auto" w:sz="4" w:space="0"/>
              <w:right w:val="single" w:color="auto" w:sz="4" w:space="0"/>
            </w:tcBorders>
            <w:shd w:val="clear" w:color="auto" w:fill="auto"/>
            <w:vAlign w:val="center"/>
          </w:tcPr>
          <w:p w14:paraId="6A98F936">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复合火灾探测装置</w:t>
            </w:r>
          </w:p>
        </w:tc>
        <w:tc>
          <w:tcPr>
            <w:tcW w:w="1896" w:type="pct"/>
            <w:tcBorders>
              <w:top w:val="nil"/>
              <w:left w:val="nil"/>
              <w:bottom w:val="single" w:color="auto" w:sz="4" w:space="0"/>
              <w:right w:val="single" w:color="auto" w:sz="4" w:space="0"/>
            </w:tcBorders>
            <w:shd w:val="clear" w:color="auto" w:fill="auto"/>
            <w:vAlign w:val="center"/>
          </w:tcPr>
          <w:p w14:paraId="0C46C4AF">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烟感+可燃气体监测</w:t>
            </w:r>
          </w:p>
        </w:tc>
        <w:tc>
          <w:tcPr>
            <w:tcW w:w="662" w:type="pct"/>
            <w:tcBorders>
              <w:top w:val="nil"/>
              <w:left w:val="nil"/>
              <w:bottom w:val="single" w:color="auto" w:sz="4" w:space="0"/>
              <w:right w:val="single" w:color="auto" w:sz="4" w:space="0"/>
            </w:tcBorders>
            <w:shd w:val="clear" w:color="auto" w:fill="auto"/>
            <w:vAlign w:val="center"/>
          </w:tcPr>
          <w:p w14:paraId="57DAAA1C">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660" w:type="pct"/>
            <w:tcBorders>
              <w:top w:val="nil"/>
              <w:left w:val="nil"/>
              <w:bottom w:val="single" w:color="auto" w:sz="4" w:space="0"/>
              <w:right w:val="single" w:color="auto" w:sz="4" w:space="0"/>
            </w:tcBorders>
            <w:shd w:val="clear" w:color="auto" w:fill="auto"/>
            <w:vAlign w:val="center"/>
          </w:tcPr>
          <w:p w14:paraId="671A8467">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台</w:t>
            </w:r>
          </w:p>
        </w:tc>
      </w:tr>
      <w:tr w14:paraId="68D8DE73">
        <w:tblPrEx>
          <w:tblCellMar>
            <w:top w:w="0" w:type="dxa"/>
            <w:left w:w="108" w:type="dxa"/>
            <w:bottom w:w="0" w:type="dxa"/>
            <w:right w:w="108" w:type="dxa"/>
          </w:tblCellMar>
        </w:tblPrEx>
        <w:trPr>
          <w:trHeight w:val="600"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2800EDBA">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7</w:t>
            </w:r>
          </w:p>
        </w:tc>
        <w:tc>
          <w:tcPr>
            <w:tcW w:w="1119" w:type="pct"/>
            <w:tcBorders>
              <w:top w:val="nil"/>
              <w:left w:val="nil"/>
              <w:bottom w:val="single" w:color="auto" w:sz="4" w:space="0"/>
              <w:right w:val="single" w:color="auto" w:sz="4" w:space="0"/>
            </w:tcBorders>
            <w:shd w:val="clear" w:color="auto" w:fill="auto"/>
            <w:vAlign w:val="center"/>
          </w:tcPr>
          <w:p w14:paraId="3B46C00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消防系统</w:t>
            </w:r>
          </w:p>
        </w:tc>
        <w:tc>
          <w:tcPr>
            <w:tcW w:w="1896" w:type="pct"/>
            <w:tcBorders>
              <w:top w:val="nil"/>
              <w:left w:val="nil"/>
              <w:bottom w:val="single" w:color="auto" w:sz="4" w:space="0"/>
              <w:right w:val="single" w:color="auto" w:sz="4" w:space="0"/>
            </w:tcBorders>
            <w:shd w:val="clear" w:color="auto" w:fill="auto"/>
            <w:vAlign w:val="center"/>
          </w:tcPr>
          <w:p w14:paraId="030EF6E1">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七氟丙烷</w:t>
            </w:r>
            <w:r>
              <w:rPr>
                <w:rFonts w:hint="eastAsia" w:ascii="宋体" w:hAnsi="宋体" w:cs="宋体"/>
                <w:color w:val="000000"/>
                <w:kern w:val="0"/>
                <w:szCs w:val="21"/>
                <w:lang w:val="en-US" w:eastAsia="zh-CN"/>
              </w:rPr>
              <w:t>/</w:t>
            </w:r>
            <w:r>
              <w:rPr>
                <w:rFonts w:hint="eastAsia" w:ascii="宋体" w:hAnsi="宋体"/>
              </w:rPr>
              <w:t>全氟己酮</w:t>
            </w:r>
          </w:p>
        </w:tc>
        <w:tc>
          <w:tcPr>
            <w:tcW w:w="662" w:type="pct"/>
            <w:tcBorders>
              <w:top w:val="nil"/>
              <w:left w:val="nil"/>
              <w:bottom w:val="single" w:color="auto" w:sz="4" w:space="0"/>
              <w:right w:val="single" w:color="auto" w:sz="4" w:space="0"/>
            </w:tcBorders>
            <w:shd w:val="clear" w:color="auto" w:fill="auto"/>
            <w:vAlign w:val="center"/>
          </w:tcPr>
          <w:p w14:paraId="2358CC5F">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660" w:type="pct"/>
            <w:tcBorders>
              <w:top w:val="nil"/>
              <w:left w:val="nil"/>
              <w:bottom w:val="single" w:color="auto" w:sz="4" w:space="0"/>
              <w:right w:val="single" w:color="auto" w:sz="4" w:space="0"/>
            </w:tcBorders>
            <w:shd w:val="clear" w:color="auto" w:fill="auto"/>
            <w:vAlign w:val="center"/>
          </w:tcPr>
          <w:p w14:paraId="3C47FD6E">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套</w:t>
            </w:r>
          </w:p>
        </w:tc>
      </w:tr>
      <w:tr w14:paraId="4389D0DA">
        <w:tblPrEx>
          <w:tblCellMar>
            <w:top w:w="0" w:type="dxa"/>
            <w:left w:w="108" w:type="dxa"/>
            <w:bottom w:w="0" w:type="dxa"/>
            <w:right w:w="108" w:type="dxa"/>
          </w:tblCellMar>
        </w:tblPrEx>
        <w:trPr>
          <w:trHeight w:val="600" w:hRule="atLeast"/>
        </w:trPr>
        <w:tc>
          <w:tcPr>
            <w:tcW w:w="662" w:type="pct"/>
            <w:tcBorders>
              <w:top w:val="nil"/>
              <w:left w:val="single" w:color="auto" w:sz="4" w:space="0"/>
              <w:bottom w:val="single" w:color="auto" w:sz="4" w:space="0"/>
              <w:right w:val="single" w:color="auto" w:sz="4" w:space="0"/>
            </w:tcBorders>
            <w:shd w:val="clear" w:color="auto" w:fill="auto"/>
            <w:vAlign w:val="center"/>
          </w:tcPr>
          <w:p w14:paraId="2171EDB8">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8</w:t>
            </w:r>
          </w:p>
        </w:tc>
        <w:tc>
          <w:tcPr>
            <w:tcW w:w="1119" w:type="pct"/>
            <w:tcBorders>
              <w:top w:val="nil"/>
              <w:left w:val="nil"/>
              <w:bottom w:val="single" w:color="auto" w:sz="4" w:space="0"/>
              <w:right w:val="single" w:color="auto" w:sz="4" w:space="0"/>
            </w:tcBorders>
            <w:shd w:val="clear" w:color="auto" w:fill="auto"/>
            <w:vAlign w:val="center"/>
          </w:tcPr>
          <w:p w14:paraId="4175A419">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储能机柜</w:t>
            </w:r>
          </w:p>
        </w:tc>
        <w:tc>
          <w:tcPr>
            <w:tcW w:w="1896" w:type="pct"/>
            <w:tcBorders>
              <w:top w:val="nil"/>
              <w:left w:val="nil"/>
              <w:bottom w:val="single" w:color="auto" w:sz="4" w:space="0"/>
              <w:right w:val="single" w:color="auto" w:sz="4" w:space="0"/>
            </w:tcBorders>
            <w:shd w:val="clear" w:color="auto" w:fill="auto"/>
            <w:vAlign w:val="center"/>
          </w:tcPr>
          <w:p w14:paraId="69986596">
            <w:pPr>
              <w:widowControl/>
              <w:spacing w:line="360" w:lineRule="auto"/>
              <w:jc w:val="center"/>
              <w:rPr>
                <w:rFonts w:ascii="宋体" w:hAnsi="宋体" w:cs="宋体"/>
                <w:color w:val="000000"/>
                <w:kern w:val="0"/>
                <w:szCs w:val="21"/>
              </w:rPr>
            </w:pPr>
          </w:p>
        </w:tc>
        <w:tc>
          <w:tcPr>
            <w:tcW w:w="662" w:type="pct"/>
            <w:tcBorders>
              <w:top w:val="nil"/>
              <w:left w:val="nil"/>
              <w:bottom w:val="single" w:color="auto" w:sz="4" w:space="0"/>
              <w:right w:val="single" w:color="auto" w:sz="4" w:space="0"/>
            </w:tcBorders>
            <w:shd w:val="clear" w:color="auto" w:fill="auto"/>
            <w:vAlign w:val="center"/>
          </w:tcPr>
          <w:p w14:paraId="67A410E0">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660" w:type="pct"/>
            <w:tcBorders>
              <w:top w:val="nil"/>
              <w:left w:val="nil"/>
              <w:bottom w:val="single" w:color="auto" w:sz="4" w:space="0"/>
              <w:right w:val="single" w:color="auto" w:sz="4" w:space="0"/>
            </w:tcBorders>
            <w:shd w:val="clear" w:color="auto" w:fill="auto"/>
            <w:vAlign w:val="center"/>
          </w:tcPr>
          <w:p w14:paraId="6056191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套</w:t>
            </w:r>
          </w:p>
        </w:tc>
      </w:tr>
    </w:tbl>
    <w:p w14:paraId="52763CF0">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3）储能系统配置独立保护功能</w:t>
      </w:r>
    </w:p>
    <w:p w14:paraId="09595748">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储能系统安全保护功能包括电池本体保护、电池过流过压保护、并网保护。电池内部集成必要的火灾探测报警系统和气体灭火系统；火灾探测报警系统应能够及时探测到储能柜内异常情况并自动的启动气体灭火。</w:t>
      </w:r>
    </w:p>
    <w:p w14:paraId="0981974B">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4）储能系统智能化管理和控制</w:t>
      </w:r>
    </w:p>
    <w:p w14:paraId="7F79F71E">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系统自身运行能够接收外部控制指令，有系统内部监测（设备状态、运行温度、环境监测）、控制（投切控制、环境温度控制）、故障保护与切除、故障记录功能。储能系统内配置电池管理系统及能源管理控制器等设备的直流电源，保证控制系统、信号系统、消防系统在断电情况下也能够正常工作。</w:t>
      </w:r>
    </w:p>
    <w:p w14:paraId="6297F96B">
      <w:pPr>
        <w:pStyle w:val="3"/>
        <w:numPr>
          <w:ilvl w:val="1"/>
          <w:numId w:val="1"/>
        </w:numPr>
        <w:rPr>
          <w:color w:val="000000" w:themeColor="text1"/>
          <w:sz w:val="24"/>
          <w:szCs w:val="24"/>
          <w14:textFill>
            <w14:solidFill>
              <w14:schemeClr w14:val="tx1"/>
            </w14:solidFill>
          </w14:textFill>
        </w:rPr>
      </w:pPr>
      <w:bookmarkStart w:id="10" w:name="_Toc4690"/>
      <w:r>
        <w:rPr>
          <w:rFonts w:hint="eastAsia"/>
          <w:color w:val="000000" w:themeColor="text1"/>
          <w:sz w:val="24"/>
          <w:szCs w:val="24"/>
          <w14:textFill>
            <w14:solidFill>
              <w14:schemeClr w14:val="tx1"/>
            </w14:solidFill>
          </w14:textFill>
        </w:rPr>
        <w:t>储能系统规格参数</w:t>
      </w:r>
      <w:bookmarkEnd w:id="10"/>
    </w:p>
    <w:p w14:paraId="63463ECE">
      <w:pPr>
        <w:pStyle w:val="35"/>
        <w:spacing w:line="360" w:lineRule="auto"/>
        <w:ind w:left="425" w:firstLine="0" w:firstLineChars="0"/>
        <w:jc w:val="center"/>
        <w:rPr>
          <w:rFonts w:ascii="宋体" w:hAnsi="宋体" w:eastAsia="宋体"/>
          <w:b/>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表3</w:t>
      </w:r>
      <w:r>
        <w:rPr>
          <w:rFonts w:ascii="宋体" w:hAnsi="宋体" w:eastAsia="宋体"/>
          <w:b/>
          <w:bCs/>
          <w:color w:val="000000" w:themeColor="text1"/>
          <w:sz w:val="24"/>
          <w14:textFill>
            <w14:solidFill>
              <w14:schemeClr w14:val="tx1"/>
            </w14:solidFill>
          </w14:textFill>
        </w:rPr>
        <w:t xml:space="preserve">. </w:t>
      </w:r>
      <w:r>
        <w:rPr>
          <w:rFonts w:hint="eastAsia" w:ascii="宋体" w:hAnsi="宋体" w:eastAsia="宋体"/>
          <w:b/>
          <w:bCs/>
          <w:color w:val="000000" w:themeColor="text1"/>
          <w:sz w:val="24"/>
          <w14:textFill>
            <w14:solidFill>
              <w14:schemeClr w14:val="tx1"/>
            </w14:solidFill>
          </w14:textFill>
        </w:rPr>
        <w:t>储能一体柜系统参数</w:t>
      </w:r>
    </w:p>
    <w:tbl>
      <w:tblPr>
        <w:tblStyle w:val="24"/>
        <w:tblW w:w="8848" w:type="dxa"/>
        <w:jc w:val="center"/>
        <w:tblLayout w:type="autofit"/>
        <w:tblCellMar>
          <w:top w:w="0" w:type="dxa"/>
          <w:left w:w="108" w:type="dxa"/>
          <w:bottom w:w="0" w:type="dxa"/>
          <w:right w:w="108" w:type="dxa"/>
        </w:tblCellMar>
      </w:tblPr>
      <w:tblGrid>
        <w:gridCol w:w="3964"/>
        <w:gridCol w:w="4884"/>
      </w:tblGrid>
      <w:tr w14:paraId="08A4939F">
        <w:trPr>
          <w:trHeight w:val="280"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9C6D622">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项目</w:t>
            </w:r>
          </w:p>
        </w:tc>
        <w:tc>
          <w:tcPr>
            <w:tcW w:w="4884" w:type="dxa"/>
            <w:tcBorders>
              <w:top w:val="single" w:color="auto" w:sz="4" w:space="0"/>
              <w:left w:val="nil"/>
              <w:bottom w:val="single" w:color="auto" w:sz="4" w:space="0"/>
              <w:right w:val="single" w:color="auto" w:sz="4" w:space="0"/>
            </w:tcBorders>
            <w:shd w:val="clear" w:color="auto" w:fill="auto"/>
            <w:noWrap/>
            <w:vAlign w:val="bottom"/>
          </w:tcPr>
          <w:p w14:paraId="6FB0A0E9">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技术参数</w:t>
            </w:r>
          </w:p>
        </w:tc>
      </w:tr>
      <w:tr w14:paraId="2148135C">
        <w:tblPrEx>
          <w:tblCellMar>
            <w:top w:w="0" w:type="dxa"/>
            <w:left w:w="108" w:type="dxa"/>
            <w:bottom w:w="0" w:type="dxa"/>
            <w:right w:w="108" w:type="dxa"/>
          </w:tblCellMar>
        </w:tblPrEx>
        <w:trPr>
          <w:trHeight w:val="280" w:hRule="atLeast"/>
          <w:jc w:val="center"/>
        </w:trPr>
        <w:tc>
          <w:tcPr>
            <w:tcW w:w="8848" w:type="dxa"/>
            <w:gridSpan w:val="2"/>
            <w:tcBorders>
              <w:top w:val="single" w:color="auto" w:sz="4" w:space="0"/>
              <w:left w:val="single" w:color="auto" w:sz="4" w:space="0"/>
              <w:bottom w:val="single" w:color="auto" w:sz="4" w:space="0"/>
              <w:right w:val="single" w:color="auto" w:sz="4" w:space="0"/>
            </w:tcBorders>
            <w:shd w:val="clear" w:color="000000" w:fill="D9D9D9"/>
            <w:noWrap/>
            <w:vAlign w:val="bottom"/>
          </w:tcPr>
          <w:p w14:paraId="50A3B4D8">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系统参数</w:t>
            </w:r>
          </w:p>
        </w:tc>
      </w:tr>
      <w:tr w14:paraId="2353307A">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1D5DD6E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电芯容量/电芯材料</w:t>
            </w:r>
          </w:p>
        </w:tc>
        <w:tc>
          <w:tcPr>
            <w:tcW w:w="4884" w:type="dxa"/>
            <w:tcBorders>
              <w:top w:val="nil"/>
              <w:left w:val="nil"/>
              <w:bottom w:val="single" w:color="auto" w:sz="4" w:space="0"/>
              <w:right w:val="single" w:color="auto" w:sz="4" w:space="0"/>
            </w:tcBorders>
            <w:shd w:val="clear" w:color="auto" w:fill="auto"/>
            <w:vAlign w:val="center"/>
          </w:tcPr>
          <w:p w14:paraId="19719275">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280Ah</w:t>
            </w:r>
          </w:p>
        </w:tc>
      </w:tr>
      <w:tr w14:paraId="41D2A363">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5DFA193C">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直流工作电压范围</w:t>
            </w:r>
          </w:p>
        </w:tc>
        <w:tc>
          <w:tcPr>
            <w:tcW w:w="4884" w:type="dxa"/>
            <w:tcBorders>
              <w:top w:val="nil"/>
              <w:left w:val="nil"/>
              <w:bottom w:val="single" w:color="auto" w:sz="4" w:space="0"/>
              <w:right w:val="single" w:color="auto" w:sz="4" w:space="0"/>
            </w:tcBorders>
            <w:shd w:val="clear" w:color="auto" w:fill="auto"/>
            <w:vAlign w:val="center"/>
          </w:tcPr>
          <w:p w14:paraId="7343A0C2">
            <w:pPr>
              <w:widowControl/>
              <w:spacing w:line="360" w:lineRule="auto"/>
              <w:jc w:val="center"/>
              <w:rPr>
                <w:rFonts w:ascii="宋体" w:hAnsi="宋体" w:cs="宋体"/>
                <w:color w:val="000000"/>
                <w:kern w:val="0"/>
                <w:szCs w:val="21"/>
              </w:rPr>
            </w:pPr>
            <w:r>
              <w:rPr>
                <w:rFonts w:ascii="宋体" w:hAnsi="宋体" w:cs="宋体"/>
                <w:color w:val="000000"/>
                <w:kern w:val="0"/>
                <w:szCs w:val="21"/>
              </w:rPr>
              <w:t>7</w:t>
            </w:r>
            <w:r>
              <w:rPr>
                <w:rFonts w:hint="eastAsia" w:ascii="宋体" w:hAnsi="宋体" w:cs="宋体"/>
                <w:color w:val="000000"/>
                <w:kern w:val="0"/>
                <w:szCs w:val="21"/>
                <w:lang w:val="en-US" w:eastAsia="zh-CN"/>
              </w:rPr>
              <w:t>0</w:t>
            </w:r>
            <w:r>
              <w:rPr>
                <w:rFonts w:ascii="宋体" w:hAnsi="宋体" w:cs="宋体"/>
                <w:color w:val="000000"/>
                <w:kern w:val="0"/>
                <w:szCs w:val="21"/>
              </w:rPr>
              <w:t>0</w:t>
            </w:r>
            <w:r>
              <w:rPr>
                <w:rFonts w:hint="eastAsia" w:ascii="宋体" w:hAnsi="宋体" w:cs="宋体"/>
                <w:color w:val="000000"/>
                <w:kern w:val="0"/>
                <w:szCs w:val="21"/>
              </w:rPr>
              <w:t>V</w:t>
            </w:r>
            <w:r>
              <w:rPr>
                <w:rFonts w:hint="eastAsia" w:ascii="宋体" w:hAnsi="宋体"/>
                <w:color w:val="000000" w:themeColor="text1"/>
                <w:sz w:val="24"/>
                <w14:textFill>
                  <w14:solidFill>
                    <w14:schemeClr w14:val="tx1"/>
                  </w14:solidFill>
                </w14:textFill>
              </w:rPr>
              <w:t>～</w:t>
            </w:r>
            <w:r>
              <w:rPr>
                <w:rFonts w:hint="eastAsia" w:ascii="宋体" w:hAnsi="宋体" w:cs="宋体"/>
                <w:color w:val="000000"/>
                <w:kern w:val="0"/>
                <w:szCs w:val="21"/>
                <w:lang w:val="en-US" w:eastAsia="zh-CN"/>
              </w:rPr>
              <w:t>900</w:t>
            </w:r>
            <w:r>
              <w:rPr>
                <w:rFonts w:hint="eastAsia" w:ascii="宋体" w:hAnsi="宋体" w:cs="宋体"/>
                <w:color w:val="000000"/>
                <w:kern w:val="0"/>
                <w:szCs w:val="21"/>
              </w:rPr>
              <w:t>V</w:t>
            </w:r>
          </w:p>
        </w:tc>
      </w:tr>
      <w:tr w14:paraId="551F6922">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04006EA7">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电池系统额定电压</w:t>
            </w:r>
          </w:p>
        </w:tc>
        <w:tc>
          <w:tcPr>
            <w:tcW w:w="4884" w:type="dxa"/>
            <w:tcBorders>
              <w:top w:val="nil"/>
              <w:left w:val="nil"/>
              <w:bottom w:val="single" w:color="auto" w:sz="4" w:space="0"/>
              <w:right w:val="single" w:color="auto" w:sz="4" w:space="0"/>
            </w:tcBorders>
            <w:shd w:val="clear" w:color="auto" w:fill="auto"/>
            <w:vAlign w:val="center"/>
          </w:tcPr>
          <w:p w14:paraId="574C0CD0">
            <w:pPr>
              <w:widowControl/>
              <w:spacing w:line="360" w:lineRule="auto"/>
              <w:jc w:val="center"/>
              <w:rPr>
                <w:rFonts w:ascii="宋体" w:hAnsi="宋体" w:cs="宋体"/>
                <w:color w:val="000000"/>
                <w:kern w:val="0"/>
                <w:szCs w:val="21"/>
              </w:rPr>
            </w:pPr>
          </w:p>
        </w:tc>
      </w:tr>
      <w:tr w14:paraId="1921F87B">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3CF3AE58">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电池系统额定电量</w:t>
            </w:r>
          </w:p>
        </w:tc>
        <w:tc>
          <w:tcPr>
            <w:tcW w:w="4884" w:type="dxa"/>
            <w:tcBorders>
              <w:top w:val="nil"/>
              <w:left w:val="nil"/>
              <w:bottom w:val="single" w:color="auto" w:sz="4" w:space="0"/>
              <w:right w:val="single" w:color="auto" w:sz="4" w:space="0"/>
            </w:tcBorders>
            <w:shd w:val="clear" w:color="auto" w:fill="auto"/>
            <w:vAlign w:val="center"/>
          </w:tcPr>
          <w:p w14:paraId="597148B8">
            <w:pPr>
              <w:widowControl/>
              <w:spacing w:line="360" w:lineRule="auto"/>
              <w:jc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≥215</w:t>
            </w:r>
            <w:r>
              <w:rPr>
                <w:rFonts w:hint="eastAsia" w:ascii="宋体" w:hAnsi="宋体" w:cs="宋体"/>
                <w:color w:val="000000"/>
                <w:kern w:val="0"/>
                <w:szCs w:val="21"/>
                <w:lang w:eastAsia="zh-CN"/>
              </w:rPr>
              <w:t>kW·h</w:t>
            </w:r>
          </w:p>
        </w:tc>
      </w:tr>
      <w:tr w14:paraId="33EEE2E9">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68C97960">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电池系统可用电量</w:t>
            </w:r>
          </w:p>
        </w:tc>
        <w:tc>
          <w:tcPr>
            <w:tcW w:w="4884" w:type="dxa"/>
            <w:tcBorders>
              <w:top w:val="nil"/>
              <w:left w:val="nil"/>
              <w:bottom w:val="single" w:color="auto" w:sz="4" w:space="0"/>
              <w:right w:val="single" w:color="auto" w:sz="4" w:space="0"/>
            </w:tcBorders>
            <w:shd w:val="clear" w:color="auto" w:fill="auto"/>
            <w:vAlign w:val="center"/>
          </w:tcPr>
          <w:p w14:paraId="777E2DBC">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≥200</w:t>
            </w:r>
            <w:r>
              <w:rPr>
                <w:rFonts w:hint="eastAsia" w:ascii="宋体" w:hAnsi="宋体" w:cs="宋体"/>
                <w:color w:val="000000"/>
                <w:kern w:val="0"/>
                <w:szCs w:val="21"/>
                <w:lang w:eastAsia="zh-CN"/>
              </w:rPr>
              <w:t>kW·h</w:t>
            </w:r>
            <w:r>
              <w:rPr>
                <w:rFonts w:hint="eastAsia" w:ascii="宋体" w:hAnsi="宋体" w:cs="宋体"/>
                <w:color w:val="000000"/>
                <w:kern w:val="0"/>
                <w:szCs w:val="21"/>
              </w:rPr>
              <w:t>(93%DOD)</w:t>
            </w:r>
          </w:p>
        </w:tc>
      </w:tr>
      <w:tr w14:paraId="414D0E6A">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2C2BA14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额定充放电倍率</w:t>
            </w:r>
          </w:p>
        </w:tc>
        <w:tc>
          <w:tcPr>
            <w:tcW w:w="4884" w:type="dxa"/>
            <w:tcBorders>
              <w:top w:val="nil"/>
              <w:left w:val="nil"/>
              <w:bottom w:val="single" w:color="auto" w:sz="4" w:space="0"/>
              <w:right w:val="single" w:color="auto" w:sz="4" w:space="0"/>
            </w:tcBorders>
            <w:shd w:val="clear" w:color="auto" w:fill="auto"/>
            <w:vAlign w:val="center"/>
          </w:tcPr>
          <w:p w14:paraId="6F57B0D5">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0.5P/</w:t>
            </w:r>
            <w:r>
              <w:rPr>
                <w:rFonts w:ascii="宋体" w:hAnsi="宋体" w:cs="宋体"/>
                <w:color w:val="000000"/>
                <w:kern w:val="0"/>
                <w:szCs w:val="21"/>
              </w:rPr>
              <w:t>0.5P</w:t>
            </w:r>
          </w:p>
        </w:tc>
      </w:tr>
      <w:tr w14:paraId="200E8E49">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7395A408">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整柜尺寸(宽*深*高)</w:t>
            </w:r>
          </w:p>
        </w:tc>
        <w:tc>
          <w:tcPr>
            <w:tcW w:w="4884" w:type="dxa"/>
            <w:tcBorders>
              <w:top w:val="nil"/>
              <w:left w:val="nil"/>
              <w:bottom w:val="single" w:color="auto" w:sz="4" w:space="0"/>
              <w:right w:val="single" w:color="auto" w:sz="4" w:space="0"/>
            </w:tcBorders>
            <w:shd w:val="clear" w:color="auto" w:fill="auto"/>
            <w:vAlign w:val="center"/>
          </w:tcPr>
          <w:p w14:paraId="38BC217D">
            <w:pPr>
              <w:widowControl/>
              <w:spacing w:line="360" w:lineRule="auto"/>
              <w:jc w:val="center"/>
              <w:rPr>
                <w:rFonts w:ascii="宋体" w:hAnsi="宋体" w:cs="宋体"/>
                <w:color w:val="000000"/>
                <w:kern w:val="0"/>
                <w:szCs w:val="21"/>
              </w:rPr>
            </w:pPr>
          </w:p>
        </w:tc>
      </w:tr>
      <w:tr w14:paraId="6AF3DFA7">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29D5A16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净重(含电池)</w:t>
            </w:r>
          </w:p>
        </w:tc>
        <w:tc>
          <w:tcPr>
            <w:tcW w:w="4884" w:type="dxa"/>
            <w:tcBorders>
              <w:top w:val="nil"/>
              <w:left w:val="nil"/>
              <w:bottom w:val="single" w:color="auto" w:sz="4" w:space="0"/>
              <w:right w:val="single" w:color="auto" w:sz="4" w:space="0"/>
            </w:tcBorders>
            <w:shd w:val="clear" w:color="auto" w:fill="auto"/>
            <w:vAlign w:val="center"/>
          </w:tcPr>
          <w:p w14:paraId="0C0903AF">
            <w:pPr>
              <w:widowControl/>
              <w:spacing w:line="360" w:lineRule="auto"/>
              <w:jc w:val="center"/>
              <w:rPr>
                <w:rFonts w:ascii="宋体" w:hAnsi="宋体" w:cs="宋体"/>
                <w:color w:val="000000"/>
                <w:kern w:val="0"/>
                <w:szCs w:val="21"/>
              </w:rPr>
            </w:pPr>
          </w:p>
        </w:tc>
      </w:tr>
      <w:tr w14:paraId="778EB6E7">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336DB5C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防护等级</w:t>
            </w:r>
          </w:p>
        </w:tc>
        <w:tc>
          <w:tcPr>
            <w:tcW w:w="4884" w:type="dxa"/>
            <w:tcBorders>
              <w:top w:val="nil"/>
              <w:left w:val="nil"/>
              <w:bottom w:val="single" w:color="auto" w:sz="4" w:space="0"/>
              <w:right w:val="single" w:color="auto" w:sz="4" w:space="0"/>
            </w:tcBorders>
            <w:shd w:val="clear" w:color="auto" w:fill="auto"/>
            <w:vAlign w:val="center"/>
          </w:tcPr>
          <w:p w14:paraId="35880146">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≥IP54</w:t>
            </w:r>
          </w:p>
        </w:tc>
      </w:tr>
      <w:tr w14:paraId="5781FA5B">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1AC3A2F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运行温度范围</w:t>
            </w:r>
          </w:p>
        </w:tc>
        <w:tc>
          <w:tcPr>
            <w:tcW w:w="4884" w:type="dxa"/>
            <w:tcBorders>
              <w:top w:val="nil"/>
              <w:left w:val="nil"/>
              <w:bottom w:val="single" w:color="auto" w:sz="4" w:space="0"/>
              <w:right w:val="single" w:color="auto" w:sz="4" w:space="0"/>
            </w:tcBorders>
            <w:shd w:val="clear" w:color="auto" w:fill="auto"/>
            <w:vAlign w:val="center"/>
          </w:tcPr>
          <w:p w14:paraId="5672C438">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 xml:space="preserve">-20℃ </w:t>
            </w:r>
            <w:r>
              <w:rPr>
                <w:rFonts w:hint="eastAsia" w:ascii="宋体" w:hAnsi="宋体"/>
                <w:color w:val="000000" w:themeColor="text1"/>
                <w:sz w:val="24"/>
                <w14:textFill>
                  <w14:solidFill>
                    <w14:schemeClr w14:val="tx1"/>
                  </w14:solidFill>
                </w14:textFill>
              </w:rPr>
              <w:t>～</w:t>
            </w:r>
            <w:r>
              <w:rPr>
                <w:rFonts w:hint="eastAsia" w:ascii="宋体" w:hAnsi="宋体" w:cs="宋体"/>
                <w:color w:val="000000"/>
                <w:kern w:val="0"/>
                <w:szCs w:val="21"/>
              </w:rPr>
              <w:t xml:space="preserve"> +</w:t>
            </w:r>
            <w:r>
              <w:rPr>
                <w:rFonts w:ascii="宋体" w:hAnsi="宋体" w:cs="宋体"/>
                <w:color w:val="000000"/>
                <w:kern w:val="0"/>
                <w:szCs w:val="21"/>
              </w:rPr>
              <w:t>5</w:t>
            </w:r>
            <w:r>
              <w:rPr>
                <w:rFonts w:hint="eastAsia" w:ascii="宋体" w:hAnsi="宋体" w:cs="宋体"/>
                <w:color w:val="000000"/>
                <w:kern w:val="0"/>
                <w:szCs w:val="21"/>
              </w:rPr>
              <w:t>5℃</w:t>
            </w:r>
          </w:p>
        </w:tc>
      </w:tr>
      <w:tr w14:paraId="12AD1884">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5C64B77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循环寿命（2</w:t>
            </w:r>
            <w:r>
              <w:rPr>
                <w:rFonts w:ascii="宋体" w:hAnsi="宋体" w:cs="宋体"/>
                <w:color w:val="000000"/>
                <w:kern w:val="0"/>
                <w:szCs w:val="21"/>
              </w:rPr>
              <w:t>5</w:t>
            </w:r>
            <w:r>
              <w:rPr>
                <w:rFonts w:hint="eastAsia" w:ascii="宋体" w:hAnsi="宋体" w:cs="宋体"/>
                <w:color w:val="000000"/>
                <w:kern w:val="0"/>
                <w:szCs w:val="21"/>
              </w:rPr>
              <w:t>℃：0.5P,70%EOL）</w:t>
            </w:r>
          </w:p>
        </w:tc>
        <w:tc>
          <w:tcPr>
            <w:tcW w:w="4884" w:type="dxa"/>
            <w:tcBorders>
              <w:top w:val="nil"/>
              <w:left w:val="nil"/>
              <w:bottom w:val="single" w:color="auto" w:sz="4" w:space="0"/>
              <w:right w:val="single" w:color="auto" w:sz="4" w:space="0"/>
            </w:tcBorders>
            <w:shd w:val="clear" w:color="auto" w:fill="auto"/>
            <w:vAlign w:val="center"/>
          </w:tcPr>
          <w:p w14:paraId="59ABB8E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≥6000次</w:t>
            </w:r>
          </w:p>
        </w:tc>
      </w:tr>
      <w:tr w14:paraId="392F8910">
        <w:tblPrEx>
          <w:tblCellMar>
            <w:top w:w="0" w:type="dxa"/>
            <w:left w:w="108" w:type="dxa"/>
            <w:bottom w:w="0" w:type="dxa"/>
            <w:right w:w="108" w:type="dxa"/>
          </w:tblCellMar>
        </w:tblPrEx>
        <w:trPr>
          <w:trHeight w:val="29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250509B3">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电池温控方式</w:t>
            </w:r>
          </w:p>
        </w:tc>
        <w:tc>
          <w:tcPr>
            <w:tcW w:w="4884" w:type="dxa"/>
            <w:tcBorders>
              <w:top w:val="nil"/>
              <w:left w:val="nil"/>
              <w:bottom w:val="single" w:color="auto" w:sz="4" w:space="0"/>
              <w:right w:val="single" w:color="auto" w:sz="4" w:space="0"/>
            </w:tcBorders>
            <w:shd w:val="clear" w:color="auto" w:fill="auto"/>
            <w:vAlign w:val="center"/>
          </w:tcPr>
          <w:p w14:paraId="6A6E2DB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工业级温控空调</w:t>
            </w:r>
          </w:p>
        </w:tc>
      </w:tr>
      <w:tr w14:paraId="00EA6EB9">
        <w:tblPrEx>
          <w:tblCellMar>
            <w:top w:w="0" w:type="dxa"/>
            <w:left w:w="108" w:type="dxa"/>
            <w:bottom w:w="0" w:type="dxa"/>
            <w:right w:w="108" w:type="dxa"/>
          </w:tblCellMar>
        </w:tblPrEx>
        <w:trPr>
          <w:trHeight w:val="357"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70D84EF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消防系统</w:t>
            </w:r>
          </w:p>
        </w:tc>
        <w:tc>
          <w:tcPr>
            <w:tcW w:w="4884" w:type="dxa"/>
            <w:tcBorders>
              <w:top w:val="nil"/>
              <w:left w:val="nil"/>
              <w:bottom w:val="single" w:color="auto" w:sz="4" w:space="0"/>
              <w:right w:val="single" w:color="auto" w:sz="4" w:space="0"/>
            </w:tcBorders>
            <w:shd w:val="clear" w:color="auto" w:fill="auto"/>
            <w:vAlign w:val="center"/>
          </w:tcPr>
          <w:p w14:paraId="5B88F71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七氟丙烷</w:t>
            </w:r>
            <w:r>
              <w:rPr>
                <w:rFonts w:hint="eastAsia" w:ascii="宋体" w:hAnsi="宋体" w:cs="宋体"/>
                <w:color w:val="000000"/>
                <w:kern w:val="0"/>
                <w:szCs w:val="21"/>
                <w:lang w:val="en-US" w:eastAsia="zh-CN"/>
              </w:rPr>
              <w:t>/</w:t>
            </w:r>
            <w:r>
              <w:rPr>
                <w:rFonts w:hint="eastAsia" w:ascii="宋体" w:hAnsi="宋体"/>
              </w:rPr>
              <w:t>全氟己酮</w:t>
            </w:r>
          </w:p>
        </w:tc>
      </w:tr>
      <w:tr w14:paraId="29BD51BD">
        <w:tblPrEx>
          <w:tblCellMar>
            <w:top w:w="0" w:type="dxa"/>
            <w:left w:w="108" w:type="dxa"/>
            <w:bottom w:w="0" w:type="dxa"/>
            <w:right w:w="108" w:type="dxa"/>
          </w:tblCellMar>
        </w:tblPrEx>
        <w:trPr>
          <w:trHeight w:val="280" w:hRule="atLeast"/>
          <w:jc w:val="center"/>
        </w:trPr>
        <w:tc>
          <w:tcPr>
            <w:tcW w:w="8848" w:type="dxa"/>
            <w:gridSpan w:val="2"/>
            <w:tcBorders>
              <w:top w:val="single" w:color="auto" w:sz="4" w:space="0"/>
              <w:left w:val="single" w:color="auto" w:sz="4" w:space="0"/>
              <w:bottom w:val="single" w:color="auto" w:sz="4" w:space="0"/>
              <w:right w:val="single" w:color="auto" w:sz="4" w:space="0"/>
            </w:tcBorders>
            <w:shd w:val="clear" w:color="000000" w:fill="D9D9D9"/>
            <w:noWrap/>
            <w:vAlign w:val="bottom"/>
          </w:tcPr>
          <w:p w14:paraId="4678B091">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PCS参数</w:t>
            </w:r>
          </w:p>
        </w:tc>
      </w:tr>
      <w:tr w14:paraId="3F795C75">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2428DEB3">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额定</w:t>
            </w:r>
            <w:r>
              <w:rPr>
                <w:rFonts w:ascii="宋体" w:hAnsi="宋体" w:cs="宋体"/>
                <w:color w:val="000000"/>
                <w:kern w:val="0"/>
                <w:szCs w:val="21"/>
              </w:rPr>
              <w:t>充放电</w:t>
            </w:r>
            <w:r>
              <w:rPr>
                <w:rFonts w:hint="eastAsia" w:ascii="宋体" w:hAnsi="宋体" w:cs="宋体"/>
                <w:color w:val="000000"/>
                <w:kern w:val="0"/>
                <w:szCs w:val="21"/>
              </w:rPr>
              <w:t>功率</w:t>
            </w:r>
          </w:p>
        </w:tc>
        <w:tc>
          <w:tcPr>
            <w:tcW w:w="4884" w:type="dxa"/>
            <w:tcBorders>
              <w:top w:val="nil"/>
              <w:left w:val="nil"/>
              <w:bottom w:val="single" w:color="auto" w:sz="4" w:space="0"/>
              <w:right w:val="single" w:color="auto" w:sz="4" w:space="0"/>
            </w:tcBorders>
            <w:shd w:val="clear" w:color="auto" w:fill="auto"/>
            <w:vAlign w:val="center"/>
          </w:tcPr>
          <w:p w14:paraId="0DE48C13">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100k</w:t>
            </w:r>
            <w:r>
              <w:rPr>
                <w:rFonts w:ascii="宋体" w:hAnsi="宋体" w:cs="宋体"/>
                <w:color w:val="000000"/>
                <w:kern w:val="0"/>
                <w:szCs w:val="21"/>
              </w:rPr>
              <w:t>W</w:t>
            </w:r>
          </w:p>
        </w:tc>
      </w:tr>
      <w:tr w14:paraId="1B3659B6">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2A8B6C96">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额定电网电压</w:t>
            </w:r>
          </w:p>
        </w:tc>
        <w:tc>
          <w:tcPr>
            <w:tcW w:w="4884" w:type="dxa"/>
            <w:tcBorders>
              <w:top w:val="nil"/>
              <w:left w:val="nil"/>
              <w:bottom w:val="single" w:color="auto" w:sz="4" w:space="0"/>
              <w:right w:val="single" w:color="auto" w:sz="4" w:space="0"/>
            </w:tcBorders>
            <w:shd w:val="clear" w:color="auto" w:fill="auto"/>
            <w:vAlign w:val="center"/>
          </w:tcPr>
          <w:p w14:paraId="3835F6E0">
            <w:pPr>
              <w:widowControl/>
              <w:spacing w:line="360" w:lineRule="auto"/>
              <w:jc w:val="center"/>
              <w:rPr>
                <w:rFonts w:ascii="宋体" w:hAnsi="宋体" w:cs="宋体"/>
                <w:color w:val="000000"/>
                <w:kern w:val="0"/>
                <w:szCs w:val="21"/>
              </w:rPr>
            </w:pPr>
            <w:r>
              <w:rPr>
                <w:rFonts w:ascii="宋体" w:hAnsi="宋体" w:cs="宋体"/>
                <w:color w:val="000000"/>
                <w:kern w:val="0"/>
                <w:szCs w:val="21"/>
              </w:rPr>
              <w:t>38</w:t>
            </w:r>
            <w:r>
              <w:rPr>
                <w:rFonts w:hint="eastAsia" w:ascii="宋体" w:hAnsi="宋体" w:cs="宋体"/>
                <w:color w:val="000000"/>
                <w:kern w:val="0"/>
                <w:szCs w:val="21"/>
              </w:rPr>
              <w:t>0Vac，3W+</w:t>
            </w:r>
            <w:r>
              <w:rPr>
                <w:rFonts w:ascii="宋体" w:hAnsi="宋体" w:cs="宋体"/>
                <w:color w:val="000000"/>
                <w:kern w:val="0"/>
                <w:szCs w:val="21"/>
              </w:rPr>
              <w:t>N</w:t>
            </w:r>
            <w:r>
              <w:rPr>
                <w:rFonts w:hint="eastAsia" w:ascii="宋体" w:hAnsi="宋体" w:cs="宋体"/>
                <w:color w:val="000000"/>
                <w:kern w:val="0"/>
                <w:szCs w:val="21"/>
              </w:rPr>
              <w:t>+PE</w:t>
            </w:r>
          </w:p>
        </w:tc>
      </w:tr>
      <w:tr w14:paraId="17856574">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24DEC4B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输出电压频率</w:t>
            </w:r>
          </w:p>
        </w:tc>
        <w:tc>
          <w:tcPr>
            <w:tcW w:w="4884" w:type="dxa"/>
            <w:tcBorders>
              <w:top w:val="nil"/>
              <w:left w:val="nil"/>
              <w:bottom w:val="single" w:color="auto" w:sz="4" w:space="0"/>
              <w:right w:val="single" w:color="auto" w:sz="4" w:space="0"/>
            </w:tcBorders>
            <w:shd w:val="clear" w:color="auto" w:fill="auto"/>
            <w:vAlign w:val="center"/>
          </w:tcPr>
          <w:p w14:paraId="5BA150A7">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50Hz</w:t>
            </w:r>
          </w:p>
        </w:tc>
      </w:tr>
      <w:tr w14:paraId="60D4F29B">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7813C43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并网电流总谐波失真（iTHD）</w:t>
            </w:r>
          </w:p>
        </w:tc>
        <w:tc>
          <w:tcPr>
            <w:tcW w:w="4884" w:type="dxa"/>
            <w:tcBorders>
              <w:top w:val="nil"/>
              <w:left w:val="nil"/>
              <w:bottom w:val="single" w:color="auto" w:sz="4" w:space="0"/>
              <w:right w:val="single" w:color="auto" w:sz="4" w:space="0"/>
            </w:tcBorders>
            <w:shd w:val="clear" w:color="auto" w:fill="auto"/>
            <w:vAlign w:val="center"/>
          </w:tcPr>
          <w:p w14:paraId="2BC14F55">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＜3%（额定功率）</w:t>
            </w:r>
          </w:p>
        </w:tc>
      </w:tr>
      <w:tr w14:paraId="2CC7651F">
        <w:tblPrEx>
          <w:tblCellMar>
            <w:top w:w="0" w:type="dxa"/>
            <w:left w:w="108" w:type="dxa"/>
            <w:bottom w:w="0" w:type="dxa"/>
            <w:right w:w="108" w:type="dxa"/>
          </w:tblCellMar>
        </w:tblPrEx>
        <w:trPr>
          <w:trHeight w:val="280" w:hRule="atLeast"/>
          <w:jc w:val="center"/>
        </w:trPr>
        <w:tc>
          <w:tcPr>
            <w:tcW w:w="8848" w:type="dxa"/>
            <w:gridSpan w:val="2"/>
            <w:tcBorders>
              <w:top w:val="single" w:color="auto" w:sz="4" w:space="0"/>
              <w:left w:val="single" w:color="auto" w:sz="4" w:space="0"/>
              <w:bottom w:val="single" w:color="auto" w:sz="4" w:space="0"/>
              <w:right w:val="single" w:color="auto" w:sz="4" w:space="0"/>
            </w:tcBorders>
            <w:shd w:val="clear" w:color="000000" w:fill="D9D9D9"/>
            <w:noWrap/>
            <w:vAlign w:val="bottom"/>
          </w:tcPr>
          <w:p w14:paraId="3BE3D681">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并离网模式</w:t>
            </w:r>
          </w:p>
        </w:tc>
      </w:tr>
      <w:tr w14:paraId="534D6B45">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5F2ECE6F">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并网模式</w:t>
            </w:r>
          </w:p>
        </w:tc>
        <w:tc>
          <w:tcPr>
            <w:tcW w:w="4884" w:type="dxa"/>
            <w:tcBorders>
              <w:top w:val="nil"/>
              <w:left w:val="nil"/>
              <w:bottom w:val="single" w:color="auto" w:sz="4" w:space="0"/>
              <w:right w:val="single" w:color="auto" w:sz="4" w:space="0"/>
            </w:tcBorders>
            <w:shd w:val="clear" w:color="auto" w:fill="auto"/>
            <w:vAlign w:val="center"/>
          </w:tcPr>
          <w:p w14:paraId="2217E572">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支持</w:t>
            </w:r>
          </w:p>
        </w:tc>
      </w:tr>
      <w:tr w14:paraId="539ED8F6">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3D41059E">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离网模式</w:t>
            </w:r>
          </w:p>
        </w:tc>
        <w:tc>
          <w:tcPr>
            <w:tcW w:w="4884" w:type="dxa"/>
            <w:tcBorders>
              <w:top w:val="nil"/>
              <w:left w:val="nil"/>
              <w:bottom w:val="single" w:color="auto" w:sz="4" w:space="0"/>
              <w:right w:val="single" w:color="auto" w:sz="4" w:space="0"/>
            </w:tcBorders>
            <w:shd w:val="clear" w:color="auto" w:fill="auto"/>
            <w:vAlign w:val="center"/>
          </w:tcPr>
          <w:p w14:paraId="717ED3DD">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不支持</w:t>
            </w:r>
          </w:p>
        </w:tc>
      </w:tr>
      <w:tr w14:paraId="7FC65FC4">
        <w:tblPrEx>
          <w:tblCellMar>
            <w:top w:w="0" w:type="dxa"/>
            <w:left w:w="108" w:type="dxa"/>
            <w:bottom w:w="0" w:type="dxa"/>
            <w:right w:w="108" w:type="dxa"/>
          </w:tblCellMar>
        </w:tblPrEx>
        <w:trPr>
          <w:trHeight w:val="280" w:hRule="atLeast"/>
          <w:jc w:val="center"/>
        </w:trPr>
        <w:tc>
          <w:tcPr>
            <w:tcW w:w="8848" w:type="dxa"/>
            <w:gridSpan w:val="2"/>
            <w:tcBorders>
              <w:top w:val="single" w:color="auto" w:sz="4" w:space="0"/>
              <w:left w:val="single" w:color="auto" w:sz="4" w:space="0"/>
              <w:bottom w:val="single" w:color="auto" w:sz="4" w:space="0"/>
              <w:right w:val="single" w:color="auto" w:sz="4" w:space="0"/>
            </w:tcBorders>
            <w:shd w:val="clear" w:color="000000" w:fill="D9D9D9"/>
            <w:noWrap/>
            <w:vAlign w:val="bottom"/>
          </w:tcPr>
          <w:p w14:paraId="33C4746B">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保护</w:t>
            </w:r>
          </w:p>
        </w:tc>
      </w:tr>
      <w:tr w14:paraId="4D00BACB">
        <w:tblPrEx>
          <w:tblCellMar>
            <w:top w:w="0" w:type="dxa"/>
            <w:left w:w="108" w:type="dxa"/>
            <w:bottom w:w="0" w:type="dxa"/>
            <w:right w:w="108" w:type="dxa"/>
          </w:tblCellMar>
        </w:tblPrEx>
        <w:trPr>
          <w:trHeight w:val="52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13335BB0">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保护功能</w:t>
            </w:r>
          </w:p>
        </w:tc>
        <w:tc>
          <w:tcPr>
            <w:tcW w:w="4884" w:type="dxa"/>
            <w:tcBorders>
              <w:top w:val="nil"/>
              <w:left w:val="nil"/>
              <w:bottom w:val="single" w:color="auto" w:sz="4" w:space="0"/>
              <w:right w:val="single" w:color="auto" w:sz="4" w:space="0"/>
            </w:tcBorders>
            <w:shd w:val="clear" w:color="auto" w:fill="auto"/>
            <w:vAlign w:val="center"/>
          </w:tcPr>
          <w:p w14:paraId="0F47FD97">
            <w:pPr>
              <w:widowControl/>
              <w:spacing w:line="360" w:lineRule="auto"/>
              <w:jc w:val="center"/>
              <w:rPr>
                <w:rFonts w:ascii="宋体" w:hAnsi="宋体" w:cs="宋体"/>
                <w:color w:val="000000"/>
                <w:kern w:val="0"/>
                <w:szCs w:val="21"/>
              </w:rPr>
            </w:pPr>
            <w:r>
              <w:rPr>
                <w:rFonts w:ascii="宋体" w:hAnsi="宋体" w:cs="宋体"/>
                <w:color w:val="000000"/>
                <w:kern w:val="0"/>
                <w:szCs w:val="21"/>
              </w:rPr>
              <w:t>直流</w:t>
            </w:r>
            <w:r>
              <w:rPr>
                <w:rFonts w:hint="eastAsia" w:ascii="宋体" w:hAnsi="宋体" w:cs="宋体"/>
                <w:color w:val="000000"/>
                <w:kern w:val="0"/>
                <w:szCs w:val="21"/>
              </w:rPr>
              <w:t>过</w:t>
            </w:r>
            <w:r>
              <w:rPr>
                <w:rFonts w:ascii="宋体" w:hAnsi="宋体" w:cs="宋体"/>
                <w:color w:val="000000"/>
                <w:kern w:val="0"/>
                <w:szCs w:val="21"/>
              </w:rPr>
              <w:t>/</w:t>
            </w:r>
            <w:r>
              <w:rPr>
                <w:rFonts w:hint="eastAsia" w:ascii="宋体" w:hAnsi="宋体" w:cs="宋体"/>
                <w:color w:val="000000"/>
                <w:kern w:val="0"/>
                <w:szCs w:val="21"/>
              </w:rPr>
              <w:t>欠压</w:t>
            </w:r>
            <w:r>
              <w:rPr>
                <w:rFonts w:ascii="宋体" w:hAnsi="宋体" w:cs="宋体"/>
                <w:color w:val="000000"/>
                <w:kern w:val="0"/>
                <w:szCs w:val="21"/>
              </w:rPr>
              <w:t>，交流过/欠压、</w:t>
            </w:r>
            <w:r>
              <w:rPr>
                <w:rFonts w:hint="eastAsia" w:ascii="宋体" w:hAnsi="宋体" w:cs="宋体"/>
                <w:color w:val="000000"/>
                <w:kern w:val="0"/>
                <w:szCs w:val="21"/>
              </w:rPr>
              <w:t>过欠频</w:t>
            </w:r>
            <w:r>
              <w:rPr>
                <w:rFonts w:ascii="宋体" w:hAnsi="宋体" w:cs="宋体"/>
                <w:color w:val="000000"/>
                <w:kern w:val="0"/>
                <w:szCs w:val="21"/>
              </w:rPr>
              <w:t>、</w:t>
            </w:r>
            <w:r>
              <w:rPr>
                <w:rFonts w:hint="eastAsia" w:ascii="宋体" w:hAnsi="宋体" w:cs="宋体"/>
                <w:color w:val="000000"/>
                <w:kern w:val="0"/>
                <w:szCs w:val="21"/>
              </w:rPr>
              <w:t>过流</w:t>
            </w:r>
            <w:r>
              <w:rPr>
                <w:rFonts w:ascii="宋体" w:hAnsi="宋体" w:cs="宋体"/>
                <w:color w:val="000000"/>
                <w:kern w:val="0"/>
                <w:szCs w:val="21"/>
              </w:rPr>
              <w:t>，</w:t>
            </w:r>
            <w:r>
              <w:rPr>
                <w:rFonts w:hint="eastAsia" w:ascii="宋体" w:hAnsi="宋体" w:cs="宋体"/>
                <w:color w:val="000000"/>
                <w:kern w:val="0"/>
                <w:szCs w:val="21"/>
              </w:rPr>
              <w:t>过温</w:t>
            </w:r>
            <w:r>
              <w:rPr>
                <w:rFonts w:ascii="宋体" w:hAnsi="宋体" w:cs="宋体"/>
                <w:color w:val="000000"/>
                <w:kern w:val="0"/>
                <w:szCs w:val="21"/>
              </w:rPr>
              <w:t>，</w:t>
            </w:r>
            <w:r>
              <w:rPr>
                <w:rFonts w:hint="eastAsia" w:ascii="宋体" w:hAnsi="宋体" w:cs="宋体"/>
                <w:color w:val="000000"/>
                <w:kern w:val="0"/>
                <w:szCs w:val="21"/>
              </w:rPr>
              <w:t>短路</w:t>
            </w:r>
            <w:r>
              <w:rPr>
                <w:rFonts w:ascii="宋体" w:hAnsi="宋体" w:cs="宋体"/>
                <w:color w:val="000000"/>
                <w:kern w:val="0"/>
                <w:szCs w:val="21"/>
              </w:rPr>
              <w:t>，</w:t>
            </w:r>
            <w:r>
              <w:rPr>
                <w:rFonts w:hint="eastAsia" w:ascii="宋体" w:hAnsi="宋体" w:cs="宋体"/>
                <w:color w:val="000000"/>
                <w:kern w:val="0"/>
                <w:szCs w:val="21"/>
              </w:rPr>
              <w:t>防反接</w:t>
            </w:r>
          </w:p>
        </w:tc>
      </w:tr>
      <w:tr w14:paraId="5C13E32C">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6CB101CD">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检测功能</w:t>
            </w:r>
          </w:p>
        </w:tc>
        <w:tc>
          <w:tcPr>
            <w:tcW w:w="4884" w:type="dxa"/>
            <w:tcBorders>
              <w:top w:val="nil"/>
              <w:left w:val="nil"/>
              <w:bottom w:val="single" w:color="auto" w:sz="4" w:space="0"/>
              <w:right w:val="single" w:color="auto" w:sz="4" w:space="0"/>
            </w:tcBorders>
            <w:shd w:val="clear" w:color="auto" w:fill="auto"/>
            <w:vAlign w:val="center"/>
          </w:tcPr>
          <w:p w14:paraId="013C6C4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绝缘阻抗检测</w:t>
            </w:r>
          </w:p>
        </w:tc>
      </w:tr>
      <w:tr w14:paraId="585E3F5E">
        <w:tblPrEx>
          <w:tblCellMar>
            <w:top w:w="0" w:type="dxa"/>
            <w:left w:w="108" w:type="dxa"/>
            <w:bottom w:w="0" w:type="dxa"/>
            <w:right w:w="108" w:type="dxa"/>
          </w:tblCellMar>
        </w:tblPrEx>
        <w:trPr>
          <w:trHeight w:val="280" w:hRule="atLeast"/>
          <w:jc w:val="center"/>
        </w:trPr>
        <w:tc>
          <w:tcPr>
            <w:tcW w:w="8848" w:type="dxa"/>
            <w:gridSpan w:val="2"/>
            <w:tcBorders>
              <w:top w:val="single" w:color="auto" w:sz="4" w:space="0"/>
              <w:left w:val="single" w:color="auto" w:sz="4" w:space="0"/>
              <w:bottom w:val="single" w:color="auto" w:sz="4" w:space="0"/>
              <w:right w:val="single" w:color="auto" w:sz="4" w:space="0"/>
            </w:tcBorders>
            <w:shd w:val="clear" w:color="000000" w:fill="D9D9D9"/>
            <w:noWrap/>
            <w:vAlign w:val="bottom"/>
          </w:tcPr>
          <w:p w14:paraId="76066F83">
            <w:pPr>
              <w:widowControl/>
              <w:spacing w:line="360" w:lineRule="auto"/>
              <w:jc w:val="center"/>
              <w:rPr>
                <w:rFonts w:ascii="宋体" w:hAnsi="宋体" w:cs="宋体"/>
                <w:b/>
                <w:color w:val="000000"/>
                <w:kern w:val="0"/>
                <w:szCs w:val="21"/>
              </w:rPr>
            </w:pPr>
            <w:r>
              <w:rPr>
                <w:rFonts w:hint="eastAsia" w:ascii="宋体" w:hAnsi="宋体" w:cs="宋体"/>
                <w:b/>
                <w:color w:val="000000"/>
                <w:kern w:val="0"/>
                <w:szCs w:val="21"/>
              </w:rPr>
              <w:t>执行标准</w:t>
            </w:r>
          </w:p>
        </w:tc>
      </w:tr>
      <w:tr w14:paraId="7CF03EAA">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72121BA4">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安规</w:t>
            </w:r>
          </w:p>
        </w:tc>
        <w:tc>
          <w:tcPr>
            <w:tcW w:w="4884" w:type="dxa"/>
            <w:tcBorders>
              <w:top w:val="nil"/>
              <w:left w:val="nil"/>
              <w:bottom w:val="single" w:color="auto" w:sz="4" w:space="0"/>
              <w:right w:val="single" w:color="auto" w:sz="4" w:space="0"/>
            </w:tcBorders>
            <w:shd w:val="clear" w:color="auto" w:fill="auto"/>
            <w:vAlign w:val="center"/>
          </w:tcPr>
          <w:p w14:paraId="0180EAEB">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GB/T 34120，</w:t>
            </w:r>
            <w:r>
              <w:rPr>
                <w:rFonts w:ascii="宋体" w:hAnsi="宋体" w:cs="宋体"/>
                <w:color w:val="000000"/>
                <w:kern w:val="0"/>
                <w:szCs w:val="21"/>
              </w:rPr>
              <w:t>IEC 62477，IEC 62619，IEC 63056</w:t>
            </w:r>
          </w:p>
        </w:tc>
      </w:tr>
      <w:tr w14:paraId="3DDEF76B">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08450B50">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并网</w:t>
            </w:r>
          </w:p>
        </w:tc>
        <w:tc>
          <w:tcPr>
            <w:tcW w:w="4884" w:type="dxa"/>
            <w:tcBorders>
              <w:top w:val="nil"/>
              <w:left w:val="nil"/>
              <w:bottom w:val="single" w:color="auto" w:sz="4" w:space="0"/>
              <w:right w:val="single" w:color="auto" w:sz="4" w:space="0"/>
            </w:tcBorders>
            <w:shd w:val="clear" w:color="auto" w:fill="auto"/>
            <w:vAlign w:val="center"/>
          </w:tcPr>
          <w:p w14:paraId="718833FF">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GB/T 34120</w:t>
            </w:r>
          </w:p>
        </w:tc>
      </w:tr>
      <w:tr w14:paraId="402F0FB3">
        <w:tblPrEx>
          <w:tblCellMar>
            <w:top w:w="0" w:type="dxa"/>
            <w:left w:w="108" w:type="dxa"/>
            <w:bottom w:w="0" w:type="dxa"/>
            <w:right w:w="108" w:type="dxa"/>
          </w:tblCellMar>
        </w:tblPrEx>
        <w:trPr>
          <w:trHeight w:val="28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14:paraId="28253AEA">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EMC</w:t>
            </w:r>
          </w:p>
        </w:tc>
        <w:tc>
          <w:tcPr>
            <w:tcW w:w="4884" w:type="dxa"/>
            <w:tcBorders>
              <w:top w:val="nil"/>
              <w:left w:val="nil"/>
              <w:bottom w:val="single" w:color="auto" w:sz="4" w:space="0"/>
              <w:right w:val="single" w:color="auto" w:sz="4" w:space="0"/>
            </w:tcBorders>
            <w:shd w:val="clear" w:color="auto" w:fill="auto"/>
            <w:vAlign w:val="center"/>
          </w:tcPr>
          <w:p w14:paraId="567147D9">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IEC 61000-6-2，IEC 61000-6-4</w:t>
            </w:r>
          </w:p>
        </w:tc>
      </w:tr>
    </w:tbl>
    <w:p w14:paraId="39B80FF7">
      <w:pPr>
        <w:widowControl/>
        <w:spacing w:line="360" w:lineRule="auto"/>
        <w:jc w:val="left"/>
        <w:rPr>
          <w:rFonts w:ascii="宋体" w:hAnsi="宋体"/>
          <w:b/>
          <w:color w:val="000000" w:themeColor="text1"/>
          <w:sz w:val="24"/>
          <w14:textFill>
            <w14:solidFill>
              <w14:schemeClr w14:val="tx1"/>
            </w14:solidFill>
          </w14:textFill>
        </w:rPr>
      </w:pPr>
    </w:p>
    <w:p w14:paraId="3EFCA39B">
      <w:pPr>
        <w:spacing w:line="360" w:lineRule="auto"/>
        <w:jc w:val="center"/>
        <w:rPr>
          <w:rFonts w:ascii="宋体" w:hAnsi="宋体"/>
          <w:b/>
          <w:bCs/>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表4</w:t>
      </w:r>
      <w:r>
        <w:rPr>
          <w:rFonts w:ascii="宋体" w:hAnsi="宋体"/>
          <w:b/>
          <w:color w:val="000000" w:themeColor="text1"/>
          <w:sz w:val="24"/>
          <w14:textFill>
            <w14:solidFill>
              <w14:schemeClr w14:val="tx1"/>
            </w14:solidFill>
          </w14:textFill>
        </w:rPr>
        <w:t xml:space="preserve">. </w:t>
      </w:r>
      <w:r>
        <w:rPr>
          <w:rFonts w:hint="eastAsia" w:ascii="宋体" w:hAnsi="宋体"/>
          <w:b/>
          <w:color w:val="000000" w:themeColor="text1"/>
          <w:sz w:val="24"/>
          <w14:textFill>
            <w14:solidFill>
              <w14:schemeClr w14:val="tx1"/>
            </w14:solidFill>
          </w14:textFill>
        </w:rPr>
        <w:t>储能智能配电柜参数</w:t>
      </w:r>
    </w:p>
    <w:tbl>
      <w:tblPr>
        <w:tblStyle w:val="24"/>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4"/>
        <w:gridCol w:w="4967"/>
      </w:tblGrid>
      <w:tr w14:paraId="09F13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2"/>
            <w:shd w:val="clear" w:color="auto" w:fill="D8D8D8" w:themeFill="background1" w:themeFillShade="D9"/>
            <w:vAlign w:val="center"/>
          </w:tcPr>
          <w:p w14:paraId="07D1E70C">
            <w:pPr>
              <w:spacing w:line="360" w:lineRule="auto"/>
              <w:jc w:val="center"/>
              <w:rPr>
                <w:rFonts w:ascii="宋体" w:hAnsi="宋体" w:cs="宋体"/>
                <w:b/>
                <w:szCs w:val="21"/>
                <w:lang w:val="en-GB"/>
              </w:rPr>
            </w:pPr>
            <w:r>
              <w:rPr>
                <w:rFonts w:hint="eastAsia"/>
                <w:b/>
                <w:szCs w:val="21"/>
              </w:rPr>
              <w:t>电气参数</w:t>
            </w:r>
          </w:p>
        </w:tc>
      </w:tr>
      <w:tr w14:paraId="6AE66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vAlign w:val="center"/>
          </w:tcPr>
          <w:p w14:paraId="6CF62994">
            <w:pPr>
              <w:spacing w:line="360" w:lineRule="auto"/>
              <w:jc w:val="center"/>
              <w:rPr>
                <w:rFonts w:ascii="宋体" w:hAnsi="宋体" w:cs="宋体"/>
                <w:szCs w:val="21"/>
                <w:lang w:val="en-GB"/>
              </w:rPr>
            </w:pPr>
            <w:r>
              <w:rPr>
                <w:rFonts w:hint="eastAsia" w:ascii="宋体" w:hAnsi="宋体" w:cs="宋体"/>
                <w:szCs w:val="21"/>
                <w:lang w:val="en-GB"/>
              </w:rPr>
              <w:t>额定电压</w:t>
            </w:r>
          </w:p>
        </w:tc>
        <w:tc>
          <w:tcPr>
            <w:tcW w:w="4967" w:type="dxa"/>
            <w:shd w:val="clear" w:color="auto" w:fill="auto"/>
            <w:vAlign w:val="center"/>
          </w:tcPr>
          <w:p w14:paraId="674CF595">
            <w:pPr>
              <w:spacing w:line="360" w:lineRule="auto"/>
              <w:jc w:val="center"/>
              <w:rPr>
                <w:rFonts w:ascii="宋体" w:hAnsi="宋体" w:cs="宋体"/>
                <w:szCs w:val="21"/>
                <w:lang w:val="en-GB"/>
              </w:rPr>
            </w:pPr>
            <w:r>
              <w:rPr>
                <w:rFonts w:ascii="宋体" w:hAnsi="宋体" w:cs="宋体"/>
                <w:color w:val="000000" w:themeColor="text1"/>
                <w:kern w:val="0"/>
                <w:szCs w:val="21"/>
                <w14:textFill>
                  <w14:solidFill>
                    <w14:schemeClr w14:val="tx1"/>
                  </w14:solidFill>
                </w14:textFill>
              </w:rPr>
              <w:t>400</w:t>
            </w:r>
            <w:r>
              <w:rPr>
                <w:rFonts w:hint="eastAsia" w:ascii="宋体" w:hAnsi="宋体" w:cs="宋体"/>
                <w:color w:val="000000" w:themeColor="text1"/>
                <w:kern w:val="0"/>
                <w:szCs w:val="21"/>
                <w14:textFill>
                  <w14:solidFill>
                    <w14:schemeClr w14:val="tx1"/>
                  </w14:solidFill>
                </w14:textFill>
              </w:rPr>
              <w:t>Vac</w:t>
            </w:r>
            <w:r>
              <w:rPr>
                <w:rFonts w:hint="eastAsia" w:ascii="宋体" w:hAnsi="宋体" w:cs="宋体"/>
                <w:color w:val="000000"/>
                <w:kern w:val="0"/>
                <w:szCs w:val="21"/>
              </w:rPr>
              <w:t>，3W+</w:t>
            </w:r>
            <w:r>
              <w:rPr>
                <w:rFonts w:ascii="宋体" w:hAnsi="宋体" w:cs="宋体"/>
                <w:color w:val="000000"/>
                <w:kern w:val="0"/>
                <w:szCs w:val="21"/>
              </w:rPr>
              <w:t>N</w:t>
            </w:r>
            <w:r>
              <w:rPr>
                <w:rFonts w:hint="eastAsia" w:ascii="宋体" w:hAnsi="宋体" w:cs="宋体"/>
                <w:color w:val="000000"/>
                <w:kern w:val="0"/>
                <w:szCs w:val="21"/>
              </w:rPr>
              <w:t>+PE</w:t>
            </w:r>
          </w:p>
        </w:tc>
      </w:tr>
      <w:tr w14:paraId="4ABA5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vAlign w:val="center"/>
          </w:tcPr>
          <w:p w14:paraId="37BD0209">
            <w:pPr>
              <w:spacing w:line="360" w:lineRule="auto"/>
              <w:jc w:val="center"/>
              <w:rPr>
                <w:rFonts w:ascii="宋体" w:hAnsi="宋体" w:cs="宋体"/>
                <w:szCs w:val="21"/>
                <w:lang w:val="en-GB"/>
              </w:rPr>
            </w:pPr>
            <w:r>
              <w:rPr>
                <w:rFonts w:hint="eastAsia" w:ascii="宋体" w:hAnsi="宋体" w:cs="宋体"/>
                <w:szCs w:val="21"/>
                <w:lang w:val="en-GB"/>
              </w:rPr>
              <w:t>额定电流</w:t>
            </w:r>
          </w:p>
        </w:tc>
        <w:tc>
          <w:tcPr>
            <w:tcW w:w="4967" w:type="dxa"/>
            <w:shd w:val="clear" w:color="auto" w:fill="auto"/>
            <w:vAlign w:val="center"/>
          </w:tcPr>
          <w:p w14:paraId="6254641B">
            <w:pPr>
              <w:spacing w:line="360" w:lineRule="auto"/>
              <w:jc w:val="center"/>
              <w:rPr>
                <w:rFonts w:ascii="宋体" w:hAnsi="宋体" w:cs="宋体"/>
                <w:szCs w:val="21"/>
                <w:lang w:val="en-GB"/>
              </w:rPr>
            </w:pPr>
            <w:r>
              <w:rPr>
                <w:rFonts w:ascii="宋体" w:hAnsi="宋体" w:cs="宋体"/>
                <w:szCs w:val="21"/>
                <w:lang w:val="en-GB"/>
              </w:rPr>
              <w:t>1000</w:t>
            </w:r>
            <w:r>
              <w:rPr>
                <w:rFonts w:hint="eastAsia" w:ascii="宋体" w:hAnsi="宋体" w:cs="宋体"/>
                <w:szCs w:val="21"/>
                <w:lang w:val="en-GB"/>
              </w:rPr>
              <w:t>A</w:t>
            </w:r>
          </w:p>
        </w:tc>
      </w:tr>
      <w:tr w14:paraId="3B16C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vAlign w:val="center"/>
          </w:tcPr>
          <w:p w14:paraId="7D4DBFA1">
            <w:pPr>
              <w:spacing w:line="360" w:lineRule="auto"/>
              <w:jc w:val="center"/>
              <w:rPr>
                <w:rFonts w:ascii="宋体" w:hAnsi="宋体" w:cs="宋体"/>
                <w:szCs w:val="21"/>
                <w:lang w:val="en-GB"/>
              </w:rPr>
            </w:pPr>
            <w:r>
              <w:rPr>
                <w:rFonts w:hint="eastAsia" w:ascii="宋体" w:hAnsi="宋体" w:cs="宋体"/>
                <w:szCs w:val="21"/>
                <w:lang w:val="en-GB"/>
              </w:rPr>
              <w:t>工作频率</w:t>
            </w:r>
          </w:p>
        </w:tc>
        <w:tc>
          <w:tcPr>
            <w:tcW w:w="4967" w:type="dxa"/>
            <w:shd w:val="clear" w:color="auto" w:fill="auto"/>
            <w:vAlign w:val="center"/>
          </w:tcPr>
          <w:p w14:paraId="59BFF296">
            <w:pPr>
              <w:spacing w:line="360" w:lineRule="auto"/>
              <w:jc w:val="center"/>
              <w:rPr>
                <w:rFonts w:ascii="宋体" w:hAnsi="宋体" w:cs="宋体"/>
                <w:szCs w:val="21"/>
                <w:lang w:val="en-GB"/>
              </w:rPr>
            </w:pPr>
            <w:r>
              <w:rPr>
                <w:rFonts w:ascii="宋体" w:hAnsi="宋体" w:cs="宋体"/>
                <w:szCs w:val="21"/>
                <w:lang w:val="en-GB"/>
              </w:rPr>
              <w:t>50</w:t>
            </w:r>
            <w:r>
              <w:rPr>
                <w:rFonts w:hint="eastAsia" w:ascii="宋体" w:hAnsi="宋体" w:cs="宋体"/>
                <w:szCs w:val="21"/>
                <w:lang w:val="en-GB"/>
              </w:rPr>
              <w:t>Hz±</w:t>
            </w:r>
            <w:r>
              <w:rPr>
                <w:rFonts w:ascii="宋体" w:hAnsi="宋体" w:cs="宋体"/>
                <w:szCs w:val="21"/>
                <w:lang w:val="en-GB"/>
              </w:rPr>
              <w:t>5</w:t>
            </w:r>
            <w:r>
              <w:rPr>
                <w:rFonts w:hint="eastAsia" w:ascii="宋体" w:hAnsi="宋体" w:cs="宋体"/>
                <w:szCs w:val="21"/>
                <w:lang w:val="en-GB"/>
              </w:rPr>
              <w:t>%</w:t>
            </w:r>
          </w:p>
        </w:tc>
      </w:tr>
      <w:tr w14:paraId="11B86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2"/>
            <w:shd w:val="clear" w:color="auto" w:fill="D8D8D8" w:themeFill="background1" w:themeFillShade="D9"/>
            <w:vAlign w:val="center"/>
          </w:tcPr>
          <w:p w14:paraId="0CF46C15">
            <w:pPr>
              <w:spacing w:line="360" w:lineRule="auto"/>
              <w:jc w:val="center"/>
              <w:rPr>
                <w:rFonts w:ascii="宋体" w:hAnsi="宋体" w:cs="宋体"/>
                <w:szCs w:val="21"/>
                <w:lang w:val="en-GB"/>
              </w:rPr>
            </w:pPr>
            <w:r>
              <w:rPr>
                <w:rFonts w:hint="eastAsia"/>
                <w:b/>
                <w:szCs w:val="21"/>
              </w:rPr>
              <w:t>能源管理控制器（</w:t>
            </w:r>
            <w:r>
              <w:rPr>
                <w:b/>
                <w:szCs w:val="21"/>
              </w:rPr>
              <w:t>ECC</w:t>
            </w:r>
            <w:r>
              <w:rPr>
                <w:rFonts w:hint="eastAsia"/>
                <w:b/>
                <w:szCs w:val="21"/>
              </w:rPr>
              <w:t>）参数</w:t>
            </w:r>
          </w:p>
        </w:tc>
      </w:tr>
      <w:tr w14:paraId="1BF61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tcPr>
          <w:p w14:paraId="43C4124B">
            <w:pPr>
              <w:spacing w:line="360" w:lineRule="auto"/>
              <w:jc w:val="center"/>
              <w:rPr>
                <w:rFonts w:ascii="宋体" w:hAnsi="宋体" w:cs="宋体"/>
                <w:szCs w:val="21"/>
                <w:lang w:val="en-GB"/>
              </w:rPr>
            </w:pPr>
            <w:r>
              <w:rPr>
                <w:rFonts w:hint="eastAsia" w:ascii="宋体" w:hAnsi="宋体" w:cs="宋体"/>
                <w:szCs w:val="21"/>
                <w:lang w:val="en-GB"/>
              </w:rPr>
              <w:t>CAN通信</w:t>
            </w:r>
          </w:p>
        </w:tc>
        <w:tc>
          <w:tcPr>
            <w:tcW w:w="4967" w:type="dxa"/>
            <w:shd w:val="clear" w:color="auto" w:fill="auto"/>
          </w:tcPr>
          <w:p w14:paraId="406B6176">
            <w:pPr>
              <w:spacing w:line="360" w:lineRule="auto"/>
              <w:jc w:val="center"/>
              <w:rPr>
                <w:rFonts w:ascii="宋体" w:hAnsi="宋体" w:cs="宋体"/>
                <w:szCs w:val="21"/>
                <w:lang w:val="en-GB"/>
              </w:rPr>
            </w:pPr>
            <w:r>
              <w:rPr>
                <w:rFonts w:ascii="宋体" w:hAnsi="宋体" w:cs="宋体"/>
                <w:szCs w:val="21"/>
                <w:lang w:val="en-GB"/>
              </w:rPr>
              <w:t>1</w:t>
            </w:r>
            <w:r>
              <w:rPr>
                <w:rFonts w:hint="eastAsia" w:ascii="宋体" w:hAnsi="宋体" w:cs="宋体"/>
                <w:szCs w:val="21"/>
                <w:lang w:val="en-GB"/>
              </w:rPr>
              <w:t>路（可扩展）</w:t>
            </w:r>
          </w:p>
        </w:tc>
      </w:tr>
      <w:tr w14:paraId="76B56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tcPr>
          <w:p w14:paraId="795BCD62">
            <w:pPr>
              <w:spacing w:line="360" w:lineRule="auto"/>
              <w:jc w:val="center"/>
              <w:rPr>
                <w:rFonts w:ascii="宋体" w:hAnsi="宋体" w:cs="宋体"/>
                <w:szCs w:val="21"/>
                <w:lang w:val="en-GB"/>
              </w:rPr>
            </w:pPr>
            <w:r>
              <w:rPr>
                <w:rFonts w:hint="eastAsia" w:ascii="宋体" w:hAnsi="宋体" w:cs="宋体"/>
                <w:szCs w:val="21"/>
                <w:lang w:val="en-GB"/>
              </w:rPr>
              <w:t>RS</w:t>
            </w:r>
            <w:r>
              <w:rPr>
                <w:rFonts w:ascii="宋体" w:hAnsi="宋体" w:cs="宋体"/>
                <w:szCs w:val="21"/>
                <w:lang w:val="en-GB"/>
              </w:rPr>
              <w:t>485</w:t>
            </w:r>
            <w:r>
              <w:rPr>
                <w:rFonts w:hint="eastAsia" w:ascii="宋体" w:hAnsi="宋体" w:cs="宋体"/>
                <w:szCs w:val="21"/>
                <w:lang w:val="en-GB"/>
              </w:rPr>
              <w:t>通信</w:t>
            </w:r>
          </w:p>
        </w:tc>
        <w:tc>
          <w:tcPr>
            <w:tcW w:w="4967" w:type="dxa"/>
            <w:shd w:val="clear" w:color="auto" w:fill="auto"/>
          </w:tcPr>
          <w:p w14:paraId="158C8DDA">
            <w:pPr>
              <w:spacing w:line="360" w:lineRule="auto"/>
              <w:jc w:val="center"/>
              <w:rPr>
                <w:rFonts w:ascii="宋体" w:hAnsi="宋体" w:cs="宋体"/>
                <w:szCs w:val="21"/>
                <w:lang w:val="en-GB"/>
              </w:rPr>
            </w:pPr>
            <w:r>
              <w:rPr>
                <w:rFonts w:ascii="宋体" w:hAnsi="宋体" w:cs="宋体"/>
                <w:szCs w:val="21"/>
                <w:lang w:val="en-GB"/>
              </w:rPr>
              <w:t>3</w:t>
            </w:r>
            <w:r>
              <w:rPr>
                <w:rFonts w:hint="eastAsia" w:ascii="宋体" w:hAnsi="宋体" w:cs="宋体"/>
                <w:szCs w:val="21"/>
                <w:lang w:val="en-GB"/>
              </w:rPr>
              <w:t>路（可扩展）</w:t>
            </w:r>
          </w:p>
        </w:tc>
      </w:tr>
      <w:tr w14:paraId="69F63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tcPr>
          <w:p w14:paraId="1B77C4E9">
            <w:pPr>
              <w:spacing w:line="360" w:lineRule="auto"/>
              <w:jc w:val="center"/>
              <w:rPr>
                <w:rFonts w:ascii="宋体" w:hAnsi="宋体" w:cs="宋体"/>
                <w:szCs w:val="21"/>
                <w:lang w:val="en-GB"/>
              </w:rPr>
            </w:pPr>
            <w:r>
              <w:rPr>
                <w:rFonts w:hint="eastAsia" w:ascii="宋体" w:hAnsi="宋体" w:cs="宋体"/>
                <w:szCs w:val="21"/>
                <w:lang w:val="en-GB"/>
              </w:rPr>
              <w:t>D</w:t>
            </w:r>
            <w:r>
              <w:rPr>
                <w:rFonts w:ascii="宋体" w:hAnsi="宋体" w:cs="宋体"/>
                <w:szCs w:val="21"/>
                <w:lang w:val="en-GB"/>
              </w:rPr>
              <w:t>I/DO</w:t>
            </w:r>
            <w:r>
              <w:rPr>
                <w:rFonts w:hint="eastAsia" w:ascii="宋体" w:hAnsi="宋体" w:cs="宋体"/>
                <w:szCs w:val="21"/>
                <w:lang w:val="en-GB"/>
              </w:rPr>
              <w:t>通信</w:t>
            </w:r>
          </w:p>
        </w:tc>
        <w:tc>
          <w:tcPr>
            <w:tcW w:w="4967" w:type="dxa"/>
            <w:shd w:val="clear" w:color="auto" w:fill="auto"/>
          </w:tcPr>
          <w:p w14:paraId="1075AEBE">
            <w:pPr>
              <w:spacing w:line="360" w:lineRule="auto"/>
              <w:jc w:val="center"/>
              <w:rPr>
                <w:rFonts w:ascii="宋体" w:hAnsi="宋体" w:cs="宋体"/>
                <w:szCs w:val="21"/>
                <w:lang w:val="en-GB"/>
              </w:rPr>
            </w:pPr>
            <w:r>
              <w:rPr>
                <w:rFonts w:hint="eastAsia" w:ascii="宋体" w:hAnsi="宋体" w:cs="宋体"/>
                <w:szCs w:val="21"/>
                <w:lang w:val="en-GB"/>
              </w:rPr>
              <w:t>预留</w:t>
            </w:r>
            <w:r>
              <w:rPr>
                <w:rFonts w:ascii="宋体" w:hAnsi="宋体" w:cs="宋体"/>
                <w:szCs w:val="21"/>
                <w:lang w:val="en-GB"/>
              </w:rPr>
              <w:t>1</w:t>
            </w:r>
            <w:r>
              <w:rPr>
                <w:rFonts w:hint="eastAsia" w:ascii="宋体" w:hAnsi="宋体" w:cs="宋体"/>
                <w:szCs w:val="21"/>
                <w:lang w:val="en-GB"/>
              </w:rPr>
              <w:t>路D</w:t>
            </w:r>
            <w:r>
              <w:rPr>
                <w:rFonts w:ascii="宋体" w:hAnsi="宋体" w:cs="宋体"/>
                <w:szCs w:val="21"/>
                <w:lang w:val="en-GB"/>
              </w:rPr>
              <w:t>O</w:t>
            </w:r>
            <w:r>
              <w:rPr>
                <w:rFonts w:hint="eastAsia" w:ascii="宋体" w:hAnsi="宋体" w:cs="宋体"/>
                <w:szCs w:val="21"/>
                <w:lang w:val="en-GB"/>
              </w:rPr>
              <w:t>，2路D</w:t>
            </w:r>
            <w:r>
              <w:rPr>
                <w:rFonts w:ascii="宋体" w:hAnsi="宋体" w:cs="宋体"/>
                <w:szCs w:val="21"/>
                <w:lang w:val="en-GB"/>
              </w:rPr>
              <w:t>I</w:t>
            </w:r>
            <w:r>
              <w:rPr>
                <w:rFonts w:hint="eastAsia" w:ascii="宋体" w:hAnsi="宋体" w:cs="宋体"/>
                <w:szCs w:val="21"/>
                <w:lang w:val="en-GB"/>
              </w:rPr>
              <w:t>（可扩展）</w:t>
            </w:r>
          </w:p>
        </w:tc>
      </w:tr>
      <w:tr w14:paraId="665B0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tcPr>
          <w:p w14:paraId="40C89C8A">
            <w:pPr>
              <w:spacing w:line="360" w:lineRule="auto"/>
              <w:jc w:val="center"/>
              <w:rPr>
                <w:rFonts w:ascii="宋体" w:hAnsi="宋体" w:cs="宋体"/>
                <w:szCs w:val="21"/>
                <w:lang w:val="en-GB"/>
              </w:rPr>
            </w:pPr>
            <w:r>
              <w:rPr>
                <w:rFonts w:hint="eastAsia" w:ascii="宋体" w:hAnsi="宋体" w:cs="宋体"/>
                <w:szCs w:val="21"/>
                <w:lang w:val="en-GB"/>
              </w:rPr>
              <w:t>以太网口</w:t>
            </w:r>
          </w:p>
        </w:tc>
        <w:tc>
          <w:tcPr>
            <w:tcW w:w="4967" w:type="dxa"/>
            <w:shd w:val="clear" w:color="auto" w:fill="auto"/>
          </w:tcPr>
          <w:p w14:paraId="6FDF7E17">
            <w:pPr>
              <w:spacing w:line="360" w:lineRule="auto"/>
              <w:jc w:val="center"/>
              <w:rPr>
                <w:rFonts w:ascii="宋体" w:hAnsi="宋体" w:cs="宋体"/>
                <w:szCs w:val="21"/>
                <w:lang w:val="en-GB"/>
              </w:rPr>
            </w:pPr>
            <w:r>
              <w:rPr>
                <w:rFonts w:ascii="宋体" w:hAnsi="宋体" w:cs="宋体"/>
                <w:szCs w:val="21"/>
                <w:lang w:val="en-GB"/>
              </w:rPr>
              <w:t>6</w:t>
            </w:r>
            <w:r>
              <w:rPr>
                <w:rFonts w:hint="eastAsia" w:ascii="宋体" w:hAnsi="宋体" w:cs="宋体"/>
                <w:szCs w:val="21"/>
                <w:lang w:val="en-GB"/>
              </w:rPr>
              <w:t xml:space="preserve">路 </w:t>
            </w:r>
            <w:r>
              <w:rPr>
                <w:rFonts w:ascii="宋体" w:hAnsi="宋体" w:cs="宋体"/>
                <w:szCs w:val="21"/>
                <w:lang w:val="en-GB"/>
              </w:rPr>
              <w:t>10</w:t>
            </w:r>
            <w:r>
              <w:rPr>
                <w:rFonts w:hint="eastAsia" w:ascii="宋体" w:hAnsi="宋体" w:cs="宋体"/>
                <w:szCs w:val="21"/>
                <w:lang w:val="en-GB"/>
              </w:rPr>
              <w:t>M</w:t>
            </w:r>
            <w:r>
              <w:rPr>
                <w:rFonts w:ascii="宋体" w:hAnsi="宋体" w:cs="宋体"/>
                <w:szCs w:val="21"/>
                <w:lang w:val="en-GB"/>
              </w:rPr>
              <w:t>/100</w:t>
            </w:r>
            <w:r>
              <w:rPr>
                <w:rFonts w:hint="eastAsia" w:ascii="宋体" w:hAnsi="宋体" w:cs="宋体"/>
                <w:szCs w:val="21"/>
                <w:lang w:val="en-GB"/>
              </w:rPr>
              <w:t>M（可扩展）</w:t>
            </w:r>
          </w:p>
        </w:tc>
      </w:tr>
      <w:tr w14:paraId="4E02C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2"/>
            <w:shd w:val="clear" w:color="auto" w:fill="D8D8D8" w:themeFill="background1" w:themeFillShade="D9"/>
            <w:vAlign w:val="center"/>
          </w:tcPr>
          <w:p w14:paraId="4696549E">
            <w:pPr>
              <w:spacing w:line="360" w:lineRule="auto"/>
              <w:jc w:val="center"/>
              <w:rPr>
                <w:rFonts w:ascii="宋体" w:hAnsi="宋体" w:cs="宋体"/>
                <w:b/>
                <w:szCs w:val="21"/>
                <w:lang w:val="en-GB"/>
              </w:rPr>
            </w:pPr>
            <w:r>
              <w:rPr>
                <w:rFonts w:hint="eastAsia"/>
                <w:b/>
                <w:szCs w:val="21"/>
              </w:rPr>
              <w:t>保护特性</w:t>
            </w:r>
          </w:p>
        </w:tc>
      </w:tr>
      <w:tr w14:paraId="23D3B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4" w:type="dxa"/>
            <w:shd w:val="clear" w:color="auto" w:fill="auto"/>
          </w:tcPr>
          <w:p w14:paraId="450902C0">
            <w:pPr>
              <w:spacing w:line="360" w:lineRule="auto"/>
              <w:jc w:val="center"/>
              <w:rPr>
                <w:rFonts w:ascii="宋体" w:hAnsi="宋体" w:cs="宋体"/>
                <w:szCs w:val="21"/>
                <w:lang w:val="en-GB"/>
              </w:rPr>
            </w:pPr>
            <w:r>
              <w:rPr>
                <w:rFonts w:hint="eastAsia" w:ascii="宋体" w:hAnsi="宋体" w:cs="宋体"/>
                <w:szCs w:val="21"/>
                <w:lang w:val="en-GB"/>
              </w:rPr>
              <w:t>防雷保护</w:t>
            </w:r>
          </w:p>
        </w:tc>
        <w:tc>
          <w:tcPr>
            <w:tcW w:w="4967" w:type="dxa"/>
            <w:shd w:val="clear" w:color="auto" w:fill="auto"/>
          </w:tcPr>
          <w:p w14:paraId="7F82A35C">
            <w:pPr>
              <w:spacing w:line="360" w:lineRule="auto"/>
              <w:jc w:val="center"/>
              <w:rPr>
                <w:rFonts w:ascii="宋体" w:hAnsi="宋体" w:cs="宋体"/>
                <w:szCs w:val="21"/>
                <w:lang w:val="en-GB"/>
              </w:rPr>
            </w:pPr>
            <w:r>
              <w:rPr>
                <w:rFonts w:hint="eastAsia" w:ascii="宋体" w:hAnsi="宋体" w:cs="宋体"/>
                <w:szCs w:val="21"/>
                <w:lang w:val="en-GB"/>
              </w:rPr>
              <w:t>额定放电电流（8/20us）</w:t>
            </w:r>
            <w:r>
              <w:rPr>
                <w:rFonts w:ascii="宋体" w:hAnsi="宋体" w:cs="宋体"/>
                <w:szCs w:val="21"/>
                <w:lang w:val="en-GB"/>
              </w:rPr>
              <w:t>20</w:t>
            </w:r>
            <w:r>
              <w:rPr>
                <w:rFonts w:hint="eastAsia" w:ascii="宋体" w:hAnsi="宋体" w:cs="宋体"/>
                <w:szCs w:val="21"/>
                <w:lang w:val="en-GB"/>
              </w:rPr>
              <w:t>kA</w:t>
            </w:r>
          </w:p>
        </w:tc>
      </w:tr>
    </w:tbl>
    <w:p w14:paraId="0E5A7374">
      <w:pPr>
        <w:spacing w:line="360" w:lineRule="auto"/>
        <w:ind w:left="360"/>
        <w:jc w:val="center"/>
        <w:rPr>
          <w:rFonts w:ascii="宋体" w:hAnsi="宋体"/>
          <w:color w:val="000000" w:themeColor="text1"/>
          <w:sz w:val="24"/>
          <w14:textFill>
            <w14:solidFill>
              <w14:schemeClr w14:val="tx1"/>
            </w14:solidFill>
          </w14:textFill>
        </w:rPr>
      </w:pPr>
    </w:p>
    <w:p w14:paraId="679959AE">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11" w:name="_Toc7105"/>
      <w:r>
        <w:rPr>
          <w:rFonts w:hint="eastAsia" w:ascii="宋体" w:hAnsi="宋体"/>
          <w:color w:val="000000" w:themeColor="text1"/>
          <w:sz w:val="28"/>
          <w:szCs w:val="24"/>
          <w14:textFill>
            <w14:solidFill>
              <w14:schemeClr w14:val="tx1"/>
            </w14:solidFill>
          </w14:textFill>
        </w:rPr>
        <w:t>系统方案设计</w:t>
      </w:r>
      <w:bookmarkEnd w:id="7"/>
      <w:bookmarkEnd w:id="11"/>
    </w:p>
    <w:p w14:paraId="2C3154D1">
      <w:pPr>
        <w:spacing w:line="360" w:lineRule="auto"/>
        <w:ind w:firstLine="480" w:firstLineChars="200"/>
        <w:rPr>
          <w:rFonts w:ascii="宋体" w:hAnsi="宋体"/>
          <w:b/>
          <w:vanish/>
          <w:color w:val="000000" w:themeColor="text1"/>
          <w:sz w:val="24"/>
          <w:szCs w:val="24"/>
          <w14:textFill>
            <w14:solidFill>
              <w14:schemeClr w14:val="tx1"/>
            </w14:solidFill>
          </w14:textFill>
        </w:rPr>
      </w:pPr>
      <w:r>
        <w:rPr>
          <w:rFonts w:hint="eastAsia" w:ascii="宋体" w:hAnsi="宋体"/>
          <w:color w:val="000000" w:themeColor="text1"/>
          <w:sz w:val="24"/>
          <w14:textFill>
            <w14:solidFill>
              <w14:schemeClr w14:val="tx1"/>
            </w14:solidFill>
          </w14:textFill>
        </w:rPr>
        <w:t>本工程容量为200kW/430kW·h（电池容量允许正向误差），由2台100kW/215kW·h单元储能变流一体机、1台储能智能配电柜构成（亦可采用其他集成方式），储能系统采用1个0.4kV并网点并网</w:t>
      </w:r>
    </w:p>
    <w:p w14:paraId="4C90721D">
      <w:pPr>
        <w:pStyle w:val="3"/>
        <w:numPr>
          <w:ilvl w:val="1"/>
          <w:numId w:val="1"/>
        </w:numPr>
        <w:rPr>
          <w:color w:val="000000" w:themeColor="text1"/>
          <w:sz w:val="24"/>
          <w:szCs w:val="24"/>
          <w14:textFill>
            <w14:solidFill>
              <w14:schemeClr w14:val="tx1"/>
            </w14:solidFill>
          </w14:textFill>
        </w:rPr>
      </w:pPr>
      <w:bookmarkStart w:id="12" w:name="_Toc30495"/>
      <w:r>
        <w:rPr>
          <w:rFonts w:hint="eastAsia"/>
          <w:color w:val="000000" w:themeColor="text1"/>
          <w:sz w:val="24"/>
          <w:szCs w:val="24"/>
          <w14:textFill>
            <w14:solidFill>
              <w14:schemeClr w14:val="tx1"/>
            </w14:solidFill>
          </w14:textFill>
        </w:rPr>
        <w:t>储能系统原理</w:t>
      </w:r>
      <w:bookmarkEnd w:id="12"/>
    </w:p>
    <w:p w14:paraId="0F76B6E8">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储能一体柜由</w:t>
      </w:r>
      <w:r>
        <w:rPr>
          <w:rFonts w:ascii="宋体" w:hAnsi="宋体"/>
          <w:color w:val="000000" w:themeColor="text1"/>
          <w:sz w:val="24"/>
          <w14:textFill>
            <w14:solidFill>
              <w14:schemeClr w14:val="tx1"/>
            </w14:solidFill>
          </w14:textFill>
        </w:rPr>
        <w:t>储能</w:t>
      </w:r>
      <w:r>
        <w:rPr>
          <w:rFonts w:hint="eastAsia" w:ascii="宋体" w:hAnsi="宋体"/>
          <w:color w:val="000000" w:themeColor="text1"/>
          <w:sz w:val="24"/>
          <w14:textFill>
            <w14:solidFill>
              <w14:schemeClr w14:val="tx1"/>
            </w14:solidFill>
          </w14:textFill>
        </w:rPr>
        <w:t>变流器、</w:t>
      </w:r>
      <w:r>
        <w:rPr>
          <w:rFonts w:ascii="宋体" w:hAnsi="宋体"/>
          <w:color w:val="000000" w:themeColor="text1"/>
          <w:sz w:val="24"/>
          <w14:textFill>
            <w14:solidFill>
              <w14:schemeClr w14:val="tx1"/>
            </w14:solidFill>
          </w14:textFill>
        </w:rPr>
        <w:t>电池</w:t>
      </w:r>
      <w:r>
        <w:rPr>
          <w:rFonts w:hint="eastAsia" w:ascii="宋体" w:hAnsi="宋体"/>
          <w:color w:val="000000" w:themeColor="text1"/>
          <w:sz w:val="24"/>
          <w14:textFill>
            <w14:solidFill>
              <w14:schemeClr w14:val="tx1"/>
            </w14:solidFill>
          </w14:textFill>
        </w:rPr>
        <w:t>系统、空调、</w:t>
      </w:r>
      <w:r>
        <w:rPr>
          <w:rFonts w:ascii="宋体" w:hAnsi="宋体"/>
          <w:color w:val="000000" w:themeColor="text1"/>
          <w:sz w:val="24"/>
          <w14:textFill>
            <w14:solidFill>
              <w14:schemeClr w14:val="tx1"/>
            </w14:solidFill>
          </w14:textFill>
        </w:rPr>
        <w:t>消防</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配电</w:t>
      </w:r>
      <w:r>
        <w:rPr>
          <w:rFonts w:hint="eastAsia" w:ascii="宋体" w:hAnsi="宋体"/>
          <w:color w:val="000000" w:themeColor="text1"/>
          <w:sz w:val="24"/>
          <w14:textFill>
            <w14:solidFill>
              <w14:schemeClr w14:val="tx1"/>
            </w14:solidFill>
          </w14:textFill>
        </w:rPr>
        <w:t>等设备组成，储能一体柜系统框架</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乙方提供</w:t>
      </w:r>
      <w:r>
        <w:rPr>
          <w:rFonts w:hint="eastAsia" w:ascii="宋体" w:hAnsi="宋体"/>
          <w:color w:val="000000" w:themeColor="text1"/>
          <w:sz w:val="24"/>
          <w:lang w:eastAsia="zh-CN"/>
          <w14:textFill>
            <w14:solidFill>
              <w14:schemeClr w14:val="tx1"/>
            </w14:solidFill>
          </w14:textFill>
        </w:rPr>
        <w:t>）</w:t>
      </w:r>
      <w:r>
        <w:rPr>
          <w:rFonts w:ascii="宋体" w:hAnsi="宋体"/>
          <w:color w:val="000000" w:themeColor="text1"/>
          <w:sz w:val="24"/>
          <w14:textFill>
            <w14:solidFill>
              <w14:schemeClr w14:val="tx1"/>
            </w14:solidFill>
          </w14:textFill>
        </w:rPr>
        <w:t>。</w:t>
      </w:r>
    </w:p>
    <w:p w14:paraId="4D781D9B">
      <w:pPr>
        <w:spacing w:line="360" w:lineRule="auto"/>
        <w:jc w:val="center"/>
        <w:rPr>
          <w:rFonts w:ascii="宋体" w:hAnsi="宋体"/>
          <w:b/>
          <w:color w:val="000000" w:themeColor="text1"/>
          <w:sz w:val="24"/>
          <w14:textFill>
            <w14:solidFill>
              <w14:schemeClr w14:val="tx1"/>
            </w14:solidFill>
          </w14:textFill>
        </w:rPr>
      </w:pPr>
    </w:p>
    <w:p w14:paraId="7836F3F3">
      <w:pPr>
        <w:pStyle w:val="3"/>
        <w:numPr>
          <w:ilvl w:val="1"/>
          <w:numId w:val="1"/>
        </w:numPr>
        <w:rPr>
          <w:color w:val="000000" w:themeColor="text1"/>
          <w:sz w:val="24"/>
          <w:szCs w:val="24"/>
          <w14:textFill>
            <w14:solidFill>
              <w14:schemeClr w14:val="tx1"/>
            </w14:solidFill>
          </w14:textFill>
        </w:rPr>
      </w:pPr>
      <w:bookmarkStart w:id="13" w:name="_Toc23096"/>
      <w:r>
        <w:rPr>
          <w:rFonts w:hint="eastAsia"/>
          <w:color w:val="000000" w:themeColor="text1"/>
          <w:sz w:val="24"/>
          <w:szCs w:val="24"/>
          <w14:textFill>
            <w14:solidFill>
              <w14:schemeClr w14:val="tx1"/>
            </w14:solidFill>
          </w14:textFill>
        </w:rPr>
        <w:t>储能一体柜结构布置图</w:t>
      </w:r>
      <w:bookmarkEnd w:id="13"/>
    </w:p>
    <w:p w14:paraId="587C5E44">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提供</w:t>
      </w:r>
      <w:r>
        <w:rPr>
          <w:rFonts w:hint="eastAsia" w:ascii="宋体" w:hAnsi="宋体"/>
          <w:color w:val="000000" w:themeColor="text1"/>
          <w:sz w:val="24"/>
          <w:lang w:eastAsia="zh-CN"/>
          <w14:textFill>
            <w14:solidFill>
              <w14:schemeClr w14:val="tx1"/>
            </w14:solidFill>
          </w14:textFill>
        </w:rPr>
        <w:t>）</w:t>
      </w:r>
    </w:p>
    <w:p w14:paraId="58C7310B">
      <w:pPr>
        <w:pStyle w:val="3"/>
        <w:numPr>
          <w:ilvl w:val="1"/>
          <w:numId w:val="1"/>
        </w:numPr>
        <w:rPr>
          <w:color w:val="000000" w:themeColor="text1"/>
          <w:sz w:val="24"/>
          <w:szCs w:val="24"/>
          <w14:textFill>
            <w14:solidFill>
              <w14:schemeClr w14:val="tx1"/>
            </w14:solidFill>
          </w14:textFill>
        </w:rPr>
      </w:pPr>
      <w:bookmarkStart w:id="14" w:name="_Toc31935"/>
      <w:r>
        <w:rPr>
          <w:rFonts w:hint="eastAsia"/>
          <w:color w:val="000000" w:themeColor="text1"/>
          <w:sz w:val="24"/>
          <w:szCs w:val="24"/>
          <w14:textFill>
            <w14:solidFill>
              <w14:schemeClr w14:val="tx1"/>
            </w14:solidFill>
          </w14:textFill>
        </w:rPr>
        <w:t>储能系统配电及能量管理</w:t>
      </w:r>
      <w:bookmarkEnd w:id="14"/>
    </w:p>
    <w:p w14:paraId="75F53C93">
      <w:pPr>
        <w:pStyle w:val="4"/>
        <w:numPr>
          <w:ilvl w:val="2"/>
          <w:numId w:val="1"/>
        </w:numPr>
        <w:spacing w:line="360" w:lineRule="auto"/>
        <w:rPr>
          <w:color w:val="000000" w:themeColor="text1"/>
          <w:sz w:val="24"/>
          <w14:textFill>
            <w14:solidFill>
              <w14:schemeClr w14:val="tx1"/>
            </w14:solidFill>
          </w14:textFill>
        </w:rPr>
      </w:pPr>
      <w:bookmarkStart w:id="15" w:name="_Toc28512"/>
      <w:r>
        <w:rPr>
          <w:rFonts w:hint="eastAsia"/>
          <w:color w:val="000000" w:themeColor="text1"/>
          <w:sz w:val="24"/>
          <w14:textFill>
            <w14:solidFill>
              <w14:schemeClr w14:val="tx1"/>
            </w14:solidFill>
          </w14:textFill>
        </w:rPr>
        <w:t>储能配电系统</w:t>
      </w:r>
      <w:bookmarkEnd w:id="15"/>
    </w:p>
    <w:p w14:paraId="69652064">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提供</w:t>
      </w:r>
      <w:r>
        <w:rPr>
          <w:rFonts w:hint="eastAsia" w:ascii="宋体" w:hAnsi="宋体"/>
          <w:color w:val="000000" w:themeColor="text1"/>
          <w:sz w:val="24"/>
          <w:lang w:eastAsia="zh-CN"/>
          <w14:textFill>
            <w14:solidFill>
              <w14:schemeClr w14:val="tx1"/>
            </w14:solidFill>
          </w14:textFill>
        </w:rPr>
        <w:t>）</w:t>
      </w:r>
    </w:p>
    <w:p w14:paraId="234B089D">
      <w:pPr>
        <w:pStyle w:val="4"/>
        <w:numPr>
          <w:ilvl w:val="2"/>
          <w:numId w:val="1"/>
        </w:numPr>
        <w:spacing w:line="360" w:lineRule="auto"/>
        <w:rPr>
          <w:color w:val="000000" w:themeColor="text1"/>
          <w:sz w:val="24"/>
          <w14:textFill>
            <w14:solidFill>
              <w14:schemeClr w14:val="tx1"/>
            </w14:solidFill>
          </w14:textFill>
        </w:rPr>
      </w:pPr>
      <w:bookmarkStart w:id="16" w:name="_Toc4046"/>
      <w:r>
        <w:rPr>
          <w:rFonts w:hint="eastAsia"/>
          <w:color w:val="000000" w:themeColor="text1"/>
          <w:sz w:val="24"/>
          <w14:textFill>
            <w14:solidFill>
              <w14:schemeClr w14:val="tx1"/>
            </w14:solidFill>
          </w14:textFill>
        </w:rPr>
        <w:t>储能系统能量管理</w:t>
      </w:r>
      <w:bookmarkEnd w:id="16"/>
    </w:p>
    <w:p w14:paraId="3BC3E447">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本项目储能充放电功率控制、防逆流控制、能量监测及管理均通过“能源管理系统控制器（E</w:t>
      </w:r>
      <w:r>
        <w:rPr>
          <w:rFonts w:ascii="宋体" w:hAnsi="宋体"/>
          <w:color w:val="000000" w:themeColor="text1"/>
          <w:sz w:val="24"/>
          <w14:textFill>
            <w14:solidFill>
              <w14:schemeClr w14:val="tx1"/>
            </w14:solidFill>
          </w14:textFill>
        </w:rPr>
        <w:t>CC</w:t>
      </w:r>
      <w:r>
        <w:rPr>
          <w:rFonts w:hint="eastAsia" w:ascii="宋体" w:hAnsi="宋体"/>
          <w:color w:val="000000" w:themeColor="text1"/>
          <w:sz w:val="24"/>
          <w14:textFill>
            <w14:solidFill>
              <w14:schemeClr w14:val="tx1"/>
            </w14:solidFill>
          </w14:textFill>
        </w:rPr>
        <w:t>）”进行集中调配。</w:t>
      </w:r>
    </w:p>
    <w:p w14:paraId="796C87E1">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本项目中，</w:t>
      </w:r>
      <w:r>
        <w:rPr>
          <w:rFonts w:hint="eastAsia" w:ascii="宋体" w:hAnsi="宋体"/>
          <w:color w:val="000000" w:themeColor="text1"/>
          <w:sz w:val="24"/>
          <w:lang w:val="en-US" w:eastAsia="zh-CN"/>
          <w14:textFill>
            <w14:solidFill>
              <w14:schemeClr w14:val="tx1"/>
            </w14:solidFill>
          </w14:textFill>
        </w:rPr>
        <w:t>需</w:t>
      </w:r>
      <w:r>
        <w:rPr>
          <w:rFonts w:hint="eastAsia" w:ascii="宋体" w:hAnsi="宋体"/>
          <w:color w:val="000000" w:themeColor="text1"/>
          <w:sz w:val="24"/>
          <w14:textFill>
            <w14:solidFill>
              <w14:schemeClr w14:val="tx1"/>
            </w14:solidFill>
          </w14:textFill>
        </w:rPr>
        <w:t>通过能源管理系统控制器（ECC）采集总柜实时负荷数据，通过实时负荷动态调整储能充放电功率，保障储能接入点变压器端不超容、不逆流（根据表1中第3项，是否有防超容、防逆流需求，确认是否保留此段落）。</w:t>
      </w:r>
    </w:p>
    <w:p w14:paraId="6E3192ED">
      <w:pPr>
        <w:pStyle w:val="3"/>
        <w:numPr>
          <w:ilvl w:val="1"/>
          <w:numId w:val="1"/>
        </w:numPr>
        <w:rPr>
          <w:color w:val="000000" w:themeColor="text1"/>
          <w:sz w:val="24"/>
          <w:szCs w:val="24"/>
          <w14:textFill>
            <w14:solidFill>
              <w14:schemeClr w14:val="tx1"/>
            </w14:solidFill>
          </w14:textFill>
        </w:rPr>
      </w:pPr>
      <w:bookmarkStart w:id="17" w:name="_Toc28864"/>
      <w:r>
        <w:rPr>
          <w:rFonts w:hint="eastAsia"/>
          <w:color w:val="000000" w:themeColor="text1"/>
          <w:sz w:val="24"/>
          <w:szCs w:val="24"/>
          <w14:textFill>
            <w14:solidFill>
              <w14:schemeClr w14:val="tx1"/>
            </w14:solidFill>
          </w14:textFill>
        </w:rPr>
        <w:t>消防安全系统设计</w:t>
      </w:r>
      <w:bookmarkEnd w:id="17"/>
    </w:p>
    <w:p w14:paraId="00D291E3">
      <w:pPr>
        <w:spacing w:line="360" w:lineRule="auto"/>
        <w:ind w:firstLine="480" w:firstLineChars="200"/>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电池温度监测及故障报警为多级安全设计：电芯单体最高温度大于一级设定温度（4</w:t>
      </w:r>
      <w:r>
        <w:rPr>
          <w:rFonts w:ascii="宋体" w:hAnsi="宋体"/>
          <w:bCs/>
          <w:color w:val="000000" w:themeColor="text1"/>
          <w:sz w:val="24"/>
          <w14:textFill>
            <w14:solidFill>
              <w14:schemeClr w14:val="tx1"/>
            </w14:solidFill>
          </w14:textFill>
        </w:rPr>
        <w:t>5</w:t>
      </w:r>
      <w:r>
        <w:rPr>
          <w:rFonts w:hint="eastAsia" w:ascii="宋体" w:hAnsi="宋体"/>
          <w:bCs/>
          <w:color w:val="000000" w:themeColor="text1"/>
          <w:sz w:val="24"/>
          <w14:textFill>
            <w14:solidFill>
              <w14:schemeClr w14:val="tx1"/>
            </w14:solidFill>
          </w14:textFill>
        </w:rPr>
        <w:t>℃）执行降功率运行；电芯单体最高温度大于二级设定温度（5</w:t>
      </w:r>
      <w:r>
        <w:rPr>
          <w:rFonts w:ascii="宋体" w:hAnsi="宋体"/>
          <w:bCs/>
          <w:color w:val="000000" w:themeColor="text1"/>
          <w:sz w:val="24"/>
          <w14:textFill>
            <w14:solidFill>
              <w14:schemeClr w14:val="tx1"/>
            </w14:solidFill>
          </w14:textFill>
        </w:rPr>
        <w:t>5</w:t>
      </w:r>
      <w:r>
        <w:rPr>
          <w:rFonts w:hint="eastAsia" w:ascii="宋体" w:hAnsi="宋体"/>
          <w:bCs/>
          <w:color w:val="000000" w:themeColor="text1"/>
          <w:sz w:val="24"/>
          <w14:textFill>
            <w14:solidFill>
              <w14:schemeClr w14:val="tx1"/>
            </w14:solidFill>
          </w14:textFill>
        </w:rPr>
        <w:t>℃）储能系统待机不输出；电芯单体最高温度大于三级设定温度（6</w:t>
      </w:r>
      <w:r>
        <w:rPr>
          <w:rFonts w:ascii="宋体" w:hAnsi="宋体"/>
          <w:bCs/>
          <w:color w:val="000000" w:themeColor="text1"/>
          <w:sz w:val="24"/>
          <w14:textFill>
            <w14:solidFill>
              <w14:schemeClr w14:val="tx1"/>
            </w14:solidFill>
          </w14:textFill>
        </w:rPr>
        <w:t>0</w:t>
      </w:r>
      <w:r>
        <w:rPr>
          <w:rFonts w:hint="eastAsia" w:ascii="宋体" w:hAnsi="宋体"/>
          <w:bCs/>
          <w:color w:val="000000" w:themeColor="text1"/>
          <w:sz w:val="24"/>
          <w14:textFill>
            <w14:solidFill>
              <w14:schemeClr w14:val="tx1"/>
            </w14:solidFill>
          </w14:textFill>
        </w:rPr>
        <w:t>℃）系统退出运行。</w:t>
      </w:r>
    </w:p>
    <w:p w14:paraId="7D89870D">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储能一体柜独立设计消防系统：</w:t>
      </w:r>
      <w:r>
        <w:rPr>
          <w:rFonts w:hint="eastAsia" w:ascii="宋体" w:hAnsi="宋体"/>
          <w:color w:val="000000" w:themeColor="text1"/>
          <w:sz w:val="24"/>
          <w14:textFill>
            <w14:solidFill>
              <w14:schemeClr w14:val="tx1"/>
            </w14:solidFill>
          </w14:textFill>
        </w:rPr>
        <w:t>通过复合探测装置对箱体烟气</w:t>
      </w:r>
      <w:r>
        <w:rPr>
          <w:rFonts w:hint="eastAsia" w:ascii="宋体" w:hAnsi="宋体"/>
          <w:bCs/>
          <w:color w:val="000000" w:themeColor="text1"/>
          <w:sz w:val="24"/>
          <w14:textFill>
            <w14:solidFill>
              <w14:schemeClr w14:val="tx1"/>
            </w14:solidFill>
          </w14:textFill>
        </w:rPr>
        <w:t>及可燃气体实时监测，</w:t>
      </w:r>
      <w:r>
        <w:rPr>
          <w:rFonts w:hint="eastAsia" w:ascii="宋体" w:hAnsi="宋体"/>
          <w:color w:val="000000" w:themeColor="text1"/>
          <w:sz w:val="24"/>
          <w14:textFill>
            <w14:solidFill>
              <w14:schemeClr w14:val="tx1"/>
            </w14:solidFill>
          </w14:textFill>
        </w:rPr>
        <w:t>同时通过外循环排放；通过七氟丙烷探火管式灭火装置保障消防安全，快速反应，燃烧抑制能力强，过温触发、无需外接电源，具备状态反馈触点，灭火报警合一。</w:t>
      </w:r>
    </w:p>
    <w:p w14:paraId="7217CBE4">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独立储能柜设计，柜与柜之间物理安全隔离，消除柜间热蔓延。</w:t>
      </w:r>
    </w:p>
    <w:p w14:paraId="1A90783D">
      <w:pPr>
        <w:pStyle w:val="3"/>
        <w:numPr>
          <w:ilvl w:val="1"/>
          <w:numId w:val="1"/>
        </w:numPr>
        <w:rPr>
          <w:color w:val="000000" w:themeColor="text1"/>
          <w:sz w:val="24"/>
          <w:szCs w:val="24"/>
          <w14:textFill>
            <w14:solidFill>
              <w14:schemeClr w14:val="tx1"/>
            </w14:solidFill>
          </w14:textFill>
        </w:rPr>
      </w:pPr>
      <w:bookmarkStart w:id="18" w:name="_Toc17828"/>
      <w:r>
        <w:rPr>
          <w:rFonts w:hint="eastAsia"/>
          <w:color w:val="000000" w:themeColor="text1"/>
          <w:sz w:val="24"/>
          <w:szCs w:val="24"/>
          <w14:textFill>
            <w14:solidFill>
              <w14:schemeClr w14:val="tx1"/>
            </w14:solidFill>
          </w14:textFill>
        </w:rPr>
        <w:t>系统通信接口设计</w:t>
      </w:r>
      <w:bookmarkEnd w:id="18"/>
    </w:p>
    <w:p w14:paraId="0A13A6F7">
      <w:pPr>
        <w:pStyle w:val="4"/>
        <w:numPr>
          <w:ilvl w:val="2"/>
          <w:numId w:val="1"/>
        </w:numPr>
        <w:spacing w:line="360" w:lineRule="auto"/>
        <w:rPr>
          <w:color w:val="000000" w:themeColor="text1"/>
          <w:sz w:val="24"/>
          <w:szCs w:val="24"/>
          <w14:textFill>
            <w14:solidFill>
              <w14:schemeClr w14:val="tx1"/>
            </w14:solidFill>
          </w14:textFill>
        </w:rPr>
      </w:pPr>
      <w:bookmarkStart w:id="19" w:name="_Toc25725"/>
      <w:r>
        <w:rPr>
          <w:rFonts w:hint="eastAsia"/>
          <w:color w:val="000000" w:themeColor="text1"/>
          <w:sz w:val="24"/>
          <w:szCs w:val="24"/>
          <w14:textFill>
            <w14:solidFill>
              <w14:schemeClr w14:val="tx1"/>
            </w14:solidFill>
          </w14:textFill>
        </w:rPr>
        <w:t>系统外部通信</w:t>
      </w:r>
      <w:bookmarkEnd w:id="19"/>
    </w:p>
    <w:p w14:paraId="17F373BB">
      <w:pPr>
        <w:pStyle w:val="35"/>
        <w:numPr>
          <w:ilvl w:val="0"/>
          <w:numId w:val="4"/>
        </w:numPr>
        <w:spacing w:line="360" w:lineRule="auto"/>
        <w:ind w:hanging="54"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储能系统主控板外部通讯方式：</w:t>
      </w:r>
      <w:r>
        <w:rPr>
          <w:rFonts w:ascii="宋体" w:hAnsi="宋体" w:eastAsia="宋体"/>
          <w:color w:val="000000" w:themeColor="text1"/>
          <w:sz w:val="24"/>
          <w14:textFill>
            <w14:solidFill>
              <w14:schemeClr w14:val="tx1"/>
            </w14:solidFill>
          </w14:textFill>
        </w:rPr>
        <w:t>Modbus_TCP</w:t>
      </w:r>
    </w:p>
    <w:p w14:paraId="37BE3CE1">
      <w:pPr>
        <w:pStyle w:val="35"/>
        <w:numPr>
          <w:ilvl w:val="0"/>
          <w:numId w:val="4"/>
        </w:numPr>
        <w:spacing w:line="360" w:lineRule="auto"/>
        <w:ind w:hanging="54"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储能变流器（</w:t>
      </w:r>
      <w:r>
        <w:rPr>
          <w:rFonts w:ascii="宋体" w:hAnsi="宋体" w:eastAsia="宋体"/>
          <w:color w:val="000000" w:themeColor="text1"/>
          <w:sz w:val="24"/>
          <w14:textFill>
            <w14:solidFill>
              <w14:schemeClr w14:val="tx1"/>
            </w14:solidFill>
          </w14:textFill>
        </w:rPr>
        <w:t>PCS</w:t>
      </w:r>
      <w:r>
        <w:rPr>
          <w:rFonts w:hint="eastAsia" w:ascii="宋体" w:hAnsi="宋体" w:eastAsia="宋体"/>
          <w:color w:val="000000" w:themeColor="text1"/>
          <w:sz w:val="24"/>
          <w14:textFill>
            <w14:solidFill>
              <w14:schemeClr w14:val="tx1"/>
            </w14:solidFill>
          </w14:textFill>
        </w:rPr>
        <w:t>）外部通讯方式：</w:t>
      </w:r>
      <w:r>
        <w:rPr>
          <w:rFonts w:ascii="宋体" w:hAnsi="宋体" w:eastAsia="宋体"/>
          <w:sz w:val="24"/>
        </w:rPr>
        <w:t>RS485/ CAN/ FC (选配）</w:t>
      </w:r>
    </w:p>
    <w:p w14:paraId="18373803">
      <w:pPr>
        <w:pStyle w:val="35"/>
        <w:numPr>
          <w:ilvl w:val="0"/>
          <w:numId w:val="4"/>
        </w:numPr>
        <w:spacing w:line="360" w:lineRule="auto"/>
        <w:ind w:hanging="54"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电池管理系统（</w:t>
      </w:r>
      <w:r>
        <w:rPr>
          <w:rFonts w:ascii="宋体" w:hAnsi="宋体" w:eastAsia="宋体"/>
          <w:color w:val="000000" w:themeColor="text1"/>
          <w:sz w:val="24"/>
          <w14:textFill>
            <w14:solidFill>
              <w14:schemeClr w14:val="tx1"/>
            </w14:solidFill>
          </w14:textFill>
        </w:rPr>
        <w:t>BMS</w:t>
      </w:r>
      <w:r>
        <w:rPr>
          <w:rFonts w:hint="eastAsia" w:ascii="宋体" w:hAnsi="宋体" w:eastAsia="宋体"/>
          <w:color w:val="000000" w:themeColor="text1"/>
          <w:sz w:val="24"/>
          <w14:textFill>
            <w14:solidFill>
              <w14:schemeClr w14:val="tx1"/>
            </w14:solidFill>
          </w14:textFill>
        </w:rPr>
        <w:t>）外部通讯：</w:t>
      </w:r>
      <w:r>
        <w:rPr>
          <w:rFonts w:ascii="宋体" w:hAnsi="宋体" w:eastAsia="宋体"/>
          <w:color w:val="000000" w:themeColor="text1"/>
          <w:sz w:val="24"/>
          <w14:textFill>
            <w14:solidFill>
              <w14:schemeClr w14:val="tx1"/>
            </w14:solidFill>
          </w14:textFill>
        </w:rPr>
        <w:t>CAN</w:t>
      </w:r>
    </w:p>
    <w:p w14:paraId="08769F45">
      <w:pPr>
        <w:pStyle w:val="35"/>
        <w:numPr>
          <w:ilvl w:val="0"/>
          <w:numId w:val="4"/>
        </w:numPr>
        <w:spacing w:line="360" w:lineRule="auto"/>
        <w:ind w:hanging="54"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空调外部通讯方式：</w:t>
      </w:r>
      <w:r>
        <w:rPr>
          <w:rFonts w:ascii="宋体" w:hAnsi="宋体" w:eastAsia="宋体"/>
          <w:color w:val="000000" w:themeColor="text1"/>
          <w:sz w:val="24"/>
          <w14:textFill>
            <w14:solidFill>
              <w14:schemeClr w14:val="tx1"/>
            </w14:solidFill>
          </w14:textFill>
        </w:rPr>
        <w:t>Modbus_RTU</w:t>
      </w:r>
    </w:p>
    <w:p w14:paraId="7C08C7DE">
      <w:pPr>
        <w:pStyle w:val="4"/>
        <w:numPr>
          <w:ilvl w:val="2"/>
          <w:numId w:val="1"/>
        </w:numPr>
        <w:spacing w:line="360" w:lineRule="auto"/>
        <w:rPr>
          <w:color w:val="000000" w:themeColor="text1"/>
          <w:sz w:val="24"/>
          <w:szCs w:val="24"/>
          <w14:textFill>
            <w14:solidFill>
              <w14:schemeClr w14:val="tx1"/>
            </w14:solidFill>
          </w14:textFill>
        </w:rPr>
      </w:pPr>
      <w:bookmarkStart w:id="20" w:name="_Toc24920"/>
      <w:r>
        <w:rPr>
          <w:rFonts w:hint="eastAsia"/>
          <w:color w:val="000000" w:themeColor="text1"/>
          <w:sz w:val="24"/>
          <w:szCs w:val="24"/>
          <w14:textFill>
            <w14:solidFill>
              <w14:schemeClr w14:val="tx1"/>
            </w14:solidFill>
          </w14:textFill>
        </w:rPr>
        <w:t>系统内部通信</w:t>
      </w:r>
      <w:bookmarkEnd w:id="20"/>
    </w:p>
    <w:p w14:paraId="77AF8B94">
      <w:pPr>
        <w:spacing w:line="360" w:lineRule="auto"/>
        <w:ind w:left="420"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储能变流器（</w:t>
      </w:r>
      <w:r>
        <w:rPr>
          <w:rFonts w:ascii="宋体" w:hAnsi="宋体"/>
          <w:color w:val="000000" w:themeColor="text1"/>
          <w:sz w:val="24"/>
          <w14:textFill>
            <w14:solidFill>
              <w14:schemeClr w14:val="tx1"/>
            </w14:solidFill>
          </w14:textFill>
        </w:rPr>
        <w:t>PCS</w:t>
      </w:r>
      <w:r>
        <w:rPr>
          <w:rFonts w:hint="eastAsia" w:ascii="宋体" w:hAnsi="宋体"/>
          <w:color w:val="000000" w:themeColor="text1"/>
          <w:sz w:val="24"/>
          <w14:textFill>
            <w14:solidFill>
              <w14:schemeClr w14:val="tx1"/>
            </w14:solidFill>
          </w14:textFill>
        </w:rPr>
        <w:t>）和电池管理系统（</w:t>
      </w:r>
      <w:r>
        <w:rPr>
          <w:rFonts w:ascii="宋体" w:hAnsi="宋体"/>
          <w:color w:val="000000" w:themeColor="text1"/>
          <w:sz w:val="24"/>
          <w14:textFill>
            <w14:solidFill>
              <w14:schemeClr w14:val="tx1"/>
            </w14:solidFill>
          </w14:textFill>
        </w:rPr>
        <w:t>BMS</w:t>
      </w:r>
      <w:r>
        <w:rPr>
          <w:rFonts w:hint="eastAsia" w:ascii="宋体" w:hAnsi="宋体"/>
          <w:color w:val="000000" w:themeColor="text1"/>
          <w:sz w:val="24"/>
          <w14:textFill>
            <w14:solidFill>
              <w14:schemeClr w14:val="tx1"/>
            </w14:solidFill>
          </w14:textFill>
        </w:rPr>
        <w:t>）之间采用</w:t>
      </w:r>
      <w:r>
        <w:rPr>
          <w:rFonts w:ascii="宋体" w:hAnsi="宋体"/>
          <w:color w:val="000000" w:themeColor="text1"/>
          <w:sz w:val="24"/>
          <w14:textFill>
            <w14:solidFill>
              <w14:schemeClr w14:val="tx1"/>
            </w14:solidFill>
          </w14:textFill>
        </w:rPr>
        <w:t>CAN</w:t>
      </w:r>
      <w:r>
        <w:rPr>
          <w:rFonts w:hint="eastAsia" w:ascii="宋体" w:hAnsi="宋体"/>
          <w:color w:val="000000" w:themeColor="text1"/>
          <w:sz w:val="24"/>
          <w14:textFill>
            <w14:solidFill>
              <w14:schemeClr w14:val="tx1"/>
            </w14:solidFill>
          </w14:textFill>
        </w:rPr>
        <w:t>通讯方式。</w:t>
      </w:r>
    </w:p>
    <w:p w14:paraId="2DFF3A5E">
      <w:pPr>
        <w:spacing w:line="360" w:lineRule="auto"/>
        <w:jc w:val="center"/>
        <w:rPr>
          <w:rFonts w:ascii="宋体" w:hAnsi="宋体" w:cs="Arial"/>
          <w:color w:val="000000" w:themeColor="text1"/>
          <w:sz w:val="24"/>
          <w14:textFill>
            <w14:solidFill>
              <w14:schemeClr w14:val="tx1"/>
            </w14:solidFill>
          </w14:textFill>
        </w:rPr>
      </w:pPr>
    </w:p>
    <w:p w14:paraId="1E86EFB7">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21" w:name="_Toc2248"/>
      <w:r>
        <w:rPr>
          <w:rFonts w:hint="eastAsia" w:ascii="宋体" w:hAnsi="宋体"/>
          <w:color w:val="000000" w:themeColor="text1"/>
          <w:sz w:val="28"/>
          <w:szCs w:val="24"/>
          <w14:textFill>
            <w14:solidFill>
              <w14:schemeClr w14:val="tx1"/>
            </w14:solidFill>
          </w14:textFill>
        </w:rPr>
        <w:t>出厂前测试</w:t>
      </w:r>
      <w:bookmarkEnd w:id="21"/>
    </w:p>
    <w:p w14:paraId="14F0956F">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在系统发货前，应依出厂测试流程及条目完成相应设备的出厂测试，包括但不限于系统电气安全、系统上电检查、充放电运行、故障保护、通信稳定性及设备老化测试等。</w:t>
      </w:r>
    </w:p>
    <w:p w14:paraId="6D367F97">
      <w:pPr>
        <w:pStyle w:val="41"/>
        <w:numPr>
          <w:ilvl w:val="0"/>
          <w:numId w:val="5"/>
        </w:numPr>
        <w:spacing w:line="360" w:lineRule="auto"/>
        <w:ind w:firstLineChars="0"/>
        <w:rPr>
          <w:rFonts w:ascii="宋体" w:hAnsi="宋体"/>
          <w:b/>
          <w:vanish/>
          <w:color w:val="000000" w:themeColor="text1"/>
          <w:sz w:val="24"/>
          <w:szCs w:val="24"/>
          <w14:textFill>
            <w14:solidFill>
              <w14:schemeClr w14:val="tx1"/>
            </w14:solidFill>
          </w14:textFill>
        </w:rPr>
      </w:pPr>
    </w:p>
    <w:p w14:paraId="3FD117E2">
      <w:pPr>
        <w:pStyle w:val="41"/>
        <w:numPr>
          <w:ilvl w:val="0"/>
          <w:numId w:val="5"/>
        </w:numPr>
        <w:spacing w:line="360" w:lineRule="auto"/>
        <w:ind w:firstLineChars="0"/>
        <w:rPr>
          <w:rFonts w:ascii="宋体" w:hAnsi="宋体"/>
          <w:b/>
          <w:vanish/>
          <w:color w:val="000000" w:themeColor="text1"/>
          <w:sz w:val="24"/>
          <w:szCs w:val="24"/>
          <w14:textFill>
            <w14:solidFill>
              <w14:schemeClr w14:val="tx1"/>
            </w14:solidFill>
          </w14:textFill>
        </w:rPr>
      </w:pPr>
    </w:p>
    <w:p w14:paraId="32093D76">
      <w:pPr>
        <w:pStyle w:val="41"/>
        <w:numPr>
          <w:ilvl w:val="0"/>
          <w:numId w:val="5"/>
        </w:numPr>
        <w:spacing w:line="360" w:lineRule="auto"/>
        <w:ind w:firstLineChars="0"/>
        <w:rPr>
          <w:rFonts w:ascii="宋体" w:hAnsi="宋体"/>
          <w:b/>
          <w:vanish/>
          <w:color w:val="000000" w:themeColor="text1"/>
          <w:sz w:val="24"/>
          <w:szCs w:val="24"/>
          <w14:textFill>
            <w14:solidFill>
              <w14:schemeClr w14:val="tx1"/>
            </w14:solidFill>
          </w14:textFill>
        </w:rPr>
      </w:pPr>
    </w:p>
    <w:p w14:paraId="48E2C365">
      <w:pPr>
        <w:pStyle w:val="41"/>
        <w:numPr>
          <w:ilvl w:val="0"/>
          <w:numId w:val="5"/>
        </w:numPr>
        <w:spacing w:line="360" w:lineRule="auto"/>
        <w:ind w:firstLineChars="0"/>
        <w:rPr>
          <w:rFonts w:ascii="宋体" w:hAnsi="宋体"/>
          <w:b/>
          <w:vanish/>
          <w:color w:val="000000" w:themeColor="text1"/>
          <w:sz w:val="24"/>
          <w:szCs w:val="24"/>
          <w14:textFill>
            <w14:solidFill>
              <w14:schemeClr w14:val="tx1"/>
            </w14:solidFill>
          </w14:textFill>
        </w:rPr>
      </w:pPr>
    </w:p>
    <w:p w14:paraId="13B1ED5A">
      <w:pPr>
        <w:pStyle w:val="41"/>
        <w:numPr>
          <w:ilvl w:val="0"/>
          <w:numId w:val="5"/>
        </w:numPr>
        <w:spacing w:line="360" w:lineRule="auto"/>
        <w:ind w:firstLineChars="0"/>
        <w:rPr>
          <w:rFonts w:ascii="宋体" w:hAnsi="宋体"/>
          <w:b/>
          <w:vanish/>
          <w:color w:val="000000" w:themeColor="text1"/>
          <w:sz w:val="24"/>
          <w:szCs w:val="24"/>
          <w14:textFill>
            <w14:solidFill>
              <w14:schemeClr w14:val="tx1"/>
            </w14:solidFill>
          </w14:textFill>
        </w:rPr>
      </w:pPr>
    </w:p>
    <w:p w14:paraId="183D3BA1">
      <w:pPr>
        <w:pStyle w:val="41"/>
        <w:numPr>
          <w:ilvl w:val="0"/>
          <w:numId w:val="5"/>
        </w:numPr>
        <w:spacing w:line="360" w:lineRule="auto"/>
        <w:ind w:firstLineChars="0"/>
        <w:rPr>
          <w:rFonts w:ascii="宋体" w:hAnsi="宋体"/>
          <w:b/>
          <w:vanish/>
          <w:color w:val="000000" w:themeColor="text1"/>
          <w:sz w:val="24"/>
          <w:szCs w:val="24"/>
          <w14:textFill>
            <w14:solidFill>
              <w14:schemeClr w14:val="tx1"/>
            </w14:solidFill>
          </w14:textFill>
        </w:rPr>
      </w:pPr>
    </w:p>
    <w:p w14:paraId="17586373">
      <w:pPr>
        <w:pStyle w:val="41"/>
        <w:numPr>
          <w:ilvl w:val="0"/>
          <w:numId w:val="5"/>
        </w:numPr>
        <w:spacing w:line="360" w:lineRule="auto"/>
        <w:ind w:firstLineChars="0"/>
        <w:rPr>
          <w:rFonts w:ascii="宋体" w:hAnsi="宋体"/>
          <w:b/>
          <w:vanish/>
          <w:color w:val="000000" w:themeColor="text1"/>
          <w:sz w:val="24"/>
          <w:szCs w:val="24"/>
          <w14:textFill>
            <w14:solidFill>
              <w14:schemeClr w14:val="tx1"/>
            </w14:solidFill>
          </w14:textFill>
        </w:rPr>
      </w:pPr>
    </w:p>
    <w:p w14:paraId="56824A8F">
      <w:pPr>
        <w:pStyle w:val="35"/>
        <w:numPr>
          <w:ilvl w:val="0"/>
          <w:numId w:val="6"/>
        </w:numPr>
        <w:spacing w:line="360" w:lineRule="auto"/>
        <w:ind w:firstLineChars="0"/>
        <w:rPr>
          <w:rFonts w:ascii="宋体" w:hAnsi="宋体" w:eastAsia="宋体" w:cs="黑体"/>
          <w:b/>
          <w:vanish/>
          <w:color w:val="000000" w:themeColor="text1"/>
          <w:sz w:val="24"/>
          <w14:textFill>
            <w14:solidFill>
              <w14:schemeClr w14:val="tx1"/>
            </w14:solidFill>
          </w14:textFill>
        </w:rPr>
      </w:pPr>
    </w:p>
    <w:p w14:paraId="7DB4E77F">
      <w:pPr>
        <w:pStyle w:val="35"/>
        <w:numPr>
          <w:ilvl w:val="0"/>
          <w:numId w:val="6"/>
        </w:numPr>
        <w:spacing w:line="360" w:lineRule="auto"/>
        <w:ind w:firstLineChars="0"/>
        <w:rPr>
          <w:rFonts w:ascii="宋体" w:hAnsi="宋体" w:eastAsia="宋体" w:cs="黑体"/>
          <w:b/>
          <w:vanish/>
          <w:color w:val="000000" w:themeColor="text1"/>
          <w:sz w:val="24"/>
          <w14:textFill>
            <w14:solidFill>
              <w14:schemeClr w14:val="tx1"/>
            </w14:solidFill>
          </w14:textFill>
        </w:rPr>
      </w:pPr>
    </w:p>
    <w:p w14:paraId="486D6D37">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22" w:name="_Toc31201"/>
      <w:bookmarkStart w:id="23" w:name="_Toc46841956"/>
      <w:bookmarkStart w:id="24" w:name="_Toc47696973"/>
      <w:bookmarkStart w:id="25" w:name="_Toc5717"/>
      <w:bookmarkStart w:id="26" w:name="_Toc494545449"/>
      <w:bookmarkStart w:id="27" w:name="_Toc67111420"/>
      <w:r>
        <w:rPr>
          <w:rFonts w:hint="eastAsia" w:ascii="宋体" w:hAnsi="宋体"/>
          <w:color w:val="000000" w:themeColor="text1"/>
          <w:sz w:val="28"/>
          <w:szCs w:val="24"/>
          <w14:textFill>
            <w14:solidFill>
              <w14:schemeClr w14:val="tx1"/>
            </w14:solidFill>
          </w14:textFill>
        </w:rPr>
        <w:t>储能系统选址</w:t>
      </w:r>
      <w:bookmarkEnd w:id="22"/>
    </w:p>
    <w:p w14:paraId="582C63E4">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储能系统</w:t>
      </w:r>
      <w:r>
        <w:rPr>
          <w:rFonts w:ascii="宋体" w:hAnsi="宋体"/>
          <w:b/>
          <w:color w:val="000000" w:themeColor="text1"/>
          <w:sz w:val="24"/>
          <w14:textFill>
            <w14:solidFill>
              <w14:schemeClr w14:val="tx1"/>
            </w14:solidFill>
          </w14:textFill>
        </w:rPr>
        <w:t>选址要求如下：</w:t>
      </w:r>
    </w:p>
    <w:p w14:paraId="72E2C530">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应有方便的交通运输条件，站址可靠的消防措施</w:t>
      </w:r>
      <w:r>
        <w:rPr>
          <w:rFonts w:hint="eastAsia" w:ascii="宋体" w:hAnsi="宋体" w:eastAsia="宋体"/>
          <w:color w:val="000000" w:themeColor="text1"/>
          <w:sz w:val="24"/>
          <w14:textFill>
            <w14:solidFill>
              <w14:schemeClr w14:val="tx1"/>
            </w14:solidFill>
          </w14:textFill>
        </w:rPr>
        <w:t>；</w:t>
      </w:r>
    </w:p>
    <w:p w14:paraId="790B43AE">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应满足近期必须的场地面积，并应根据全生命周期的需要，留有扩容空间</w:t>
      </w:r>
      <w:r>
        <w:rPr>
          <w:rFonts w:hint="eastAsia" w:ascii="宋体" w:hAnsi="宋体" w:eastAsia="宋体"/>
          <w:color w:val="000000" w:themeColor="text1"/>
          <w:sz w:val="24"/>
          <w14:textFill>
            <w14:solidFill>
              <w14:schemeClr w14:val="tx1"/>
            </w14:solidFill>
          </w14:textFill>
        </w:rPr>
        <w:t>；</w:t>
      </w:r>
    </w:p>
    <w:p w14:paraId="2DDFE041">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土壤情况良好，地面坚实，不得有橡皮土、软弱土层等不良地质情况，不要选择易积水和易下沉的地面</w:t>
      </w:r>
      <w:r>
        <w:rPr>
          <w:rFonts w:hint="eastAsia" w:ascii="宋体" w:hAnsi="宋体" w:eastAsia="宋体"/>
          <w:color w:val="000000" w:themeColor="text1"/>
          <w:sz w:val="24"/>
          <w14:textFill>
            <w14:solidFill>
              <w14:schemeClr w14:val="tx1"/>
            </w14:solidFill>
          </w14:textFill>
        </w:rPr>
        <w:t>；</w:t>
      </w:r>
    </w:p>
    <w:p w14:paraId="03931F81">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选择通风良好的地方</w:t>
      </w:r>
      <w:r>
        <w:rPr>
          <w:rFonts w:hint="eastAsia" w:ascii="宋体" w:hAnsi="宋体" w:eastAsia="宋体"/>
          <w:color w:val="000000" w:themeColor="text1"/>
          <w:sz w:val="24"/>
          <w14:textFill>
            <w14:solidFill>
              <w14:schemeClr w14:val="tx1"/>
            </w14:solidFill>
          </w14:textFill>
        </w:rPr>
        <w:t>；</w:t>
      </w:r>
    </w:p>
    <w:p w14:paraId="311E221A">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远离强震、强噪声源和强电磁场干扰区域</w:t>
      </w:r>
      <w:r>
        <w:rPr>
          <w:rFonts w:hint="eastAsia" w:ascii="宋体" w:hAnsi="宋体" w:eastAsia="宋体"/>
          <w:color w:val="000000" w:themeColor="text1"/>
          <w:sz w:val="24"/>
          <w14:textFill>
            <w14:solidFill>
              <w14:schemeClr w14:val="tx1"/>
            </w14:solidFill>
          </w14:textFill>
        </w:rPr>
        <w:t>；</w:t>
      </w:r>
    </w:p>
    <w:p w14:paraId="478C1DDF">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尽可能避让已有地下设施的场所</w:t>
      </w:r>
      <w:r>
        <w:rPr>
          <w:rFonts w:hint="eastAsia" w:ascii="宋体" w:hAnsi="宋体" w:eastAsia="宋体"/>
          <w:color w:val="000000" w:themeColor="text1"/>
          <w:sz w:val="24"/>
          <w14:textFill>
            <w14:solidFill>
              <w14:schemeClr w14:val="tx1"/>
            </w14:solidFill>
          </w14:textFill>
        </w:rPr>
        <w:t>；</w:t>
      </w:r>
    </w:p>
    <w:p w14:paraId="61C277DD">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应远离产生粉尘、油烟、有害气体以及生产或存储具有腐蚀性、易燃、易爆物品的场所</w:t>
      </w:r>
      <w:r>
        <w:rPr>
          <w:rFonts w:hint="eastAsia" w:ascii="宋体" w:hAnsi="宋体" w:eastAsia="宋体"/>
          <w:color w:val="000000" w:themeColor="text1"/>
          <w:sz w:val="24"/>
          <w14:textFill>
            <w14:solidFill>
              <w14:schemeClr w14:val="tx1"/>
            </w14:solidFill>
          </w14:textFill>
        </w:rPr>
        <w:t>；</w:t>
      </w:r>
    </w:p>
    <w:p w14:paraId="748F75CE">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与机场、掩埋式垃圾处理场、河岸、海岸或水坝的距离应不小于500m</w:t>
      </w:r>
      <w:r>
        <w:rPr>
          <w:rFonts w:hint="eastAsia" w:ascii="宋体" w:hAnsi="宋体" w:eastAsia="宋体"/>
          <w:color w:val="000000" w:themeColor="text1"/>
          <w:sz w:val="24"/>
          <w14:textFill>
            <w14:solidFill>
              <w14:schemeClr w14:val="tx1"/>
            </w14:solidFill>
          </w14:textFill>
        </w:rPr>
        <w:t>；</w:t>
      </w:r>
    </w:p>
    <w:p w14:paraId="32EFBDD5">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应选择空旷的位置，保证站点周围10m范围内没有障碍物</w:t>
      </w:r>
      <w:r>
        <w:rPr>
          <w:rFonts w:hint="eastAsia" w:ascii="宋体" w:hAnsi="宋体" w:eastAsia="宋体"/>
          <w:color w:val="000000" w:themeColor="text1"/>
          <w:sz w:val="24"/>
          <w14:textFill>
            <w14:solidFill>
              <w14:schemeClr w14:val="tx1"/>
            </w14:solidFill>
          </w14:textFill>
        </w:rPr>
        <w:t>；</w:t>
      </w:r>
    </w:p>
    <w:p w14:paraId="2B28DBBB">
      <w:pPr>
        <w:pStyle w:val="35"/>
        <w:numPr>
          <w:ilvl w:val="1"/>
          <w:numId w:val="7"/>
        </w:numPr>
        <w:spacing w:line="360" w:lineRule="auto"/>
        <w:ind w:firstLineChars="0"/>
        <w:rPr>
          <w:rFonts w:ascii="宋体" w:hAnsi="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与居民居住区至少保持50m的距离，避免噪音污染。安装位置不能在低洼地带，安装水平面应高于该地区历史最高水位。</w:t>
      </w:r>
    </w:p>
    <w:p w14:paraId="4E7A4D77">
      <w:pPr>
        <w:spacing w:line="360" w:lineRule="auto"/>
        <w:ind w:firstLine="480" w:firstLineChars="200"/>
        <w:rPr>
          <w:rFonts w:ascii="宋体" w:hAnsi="宋体"/>
          <w:color w:val="000000" w:themeColor="text1"/>
          <w:sz w:val="24"/>
          <w14:textFill>
            <w14:solidFill>
              <w14:schemeClr w14:val="tx1"/>
            </w14:solidFill>
          </w14:textFill>
        </w:rPr>
      </w:pPr>
    </w:p>
    <w:p w14:paraId="78DF5D1B">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28" w:name="_Toc27652"/>
      <w:r>
        <w:rPr>
          <w:rFonts w:hint="eastAsia" w:ascii="宋体" w:hAnsi="宋体"/>
          <w:color w:val="000000" w:themeColor="text1"/>
          <w:sz w:val="28"/>
          <w:szCs w:val="24"/>
          <w14:textFill>
            <w14:solidFill>
              <w14:schemeClr w14:val="tx1"/>
            </w14:solidFill>
          </w14:textFill>
        </w:rPr>
        <w:t>标志、包装、运输</w:t>
      </w:r>
      <w:bookmarkEnd w:id="23"/>
      <w:bookmarkEnd w:id="24"/>
      <w:bookmarkEnd w:id="25"/>
      <w:bookmarkEnd w:id="26"/>
      <w:bookmarkEnd w:id="27"/>
      <w:bookmarkEnd w:id="28"/>
    </w:p>
    <w:p w14:paraId="462E6FDA">
      <w:pPr>
        <w:pStyle w:val="3"/>
        <w:numPr>
          <w:ilvl w:val="1"/>
          <w:numId w:val="1"/>
        </w:numPr>
        <w:rPr>
          <w:color w:val="000000" w:themeColor="text1"/>
          <w:sz w:val="24"/>
          <w:szCs w:val="24"/>
          <w14:textFill>
            <w14:solidFill>
              <w14:schemeClr w14:val="tx1"/>
            </w14:solidFill>
          </w14:textFill>
        </w:rPr>
      </w:pPr>
      <w:bookmarkStart w:id="29" w:name="_Toc13453"/>
      <w:bookmarkStart w:id="30" w:name="_Toc4672"/>
      <w:r>
        <w:rPr>
          <w:rFonts w:hint="eastAsia"/>
          <w:color w:val="000000" w:themeColor="text1"/>
          <w:sz w:val="24"/>
          <w:szCs w:val="24"/>
          <w14:textFill>
            <w14:solidFill>
              <w14:schemeClr w14:val="tx1"/>
            </w14:solidFill>
          </w14:textFill>
        </w:rPr>
        <w:t>标志</w:t>
      </w:r>
      <w:bookmarkEnd w:id="29"/>
      <w:bookmarkEnd w:id="30"/>
    </w:p>
    <w:p w14:paraId="3D0790F3">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供货设备应有耐久和字迹清晰的铭牌。铭牌使用简体中文，铭牌的材料应不受气候影响。铭牌应永久性的安装在相应的设备上，其位置清楚易见。</w:t>
      </w:r>
    </w:p>
    <w:p w14:paraId="1F412D2A">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为了工作人员的安全，设备应具备警示标识以表明注意事项或警告。</w:t>
      </w:r>
    </w:p>
    <w:p w14:paraId="4F326F1F">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铭牌将体现如下内容：</w:t>
      </w:r>
    </w:p>
    <w:p w14:paraId="7DDEC8D7">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制造厂商的名称和商标</w:t>
      </w:r>
    </w:p>
    <w:p w14:paraId="7CCC595A">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设备的名称、型号</w:t>
      </w:r>
    </w:p>
    <w:p w14:paraId="594AE76D">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额定电压</w:t>
      </w:r>
    </w:p>
    <w:p w14:paraId="7080D6C2">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额定功率</w:t>
      </w:r>
    </w:p>
    <w:p w14:paraId="054FDC6F">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防护等级</w:t>
      </w:r>
    </w:p>
    <w:p w14:paraId="61B4F679">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尺寸（</w:t>
      </w:r>
      <w:r>
        <w:rPr>
          <w:rFonts w:ascii="宋体" w:hAnsi="宋体" w:eastAsia="宋体"/>
          <w:color w:val="000000" w:themeColor="text1"/>
          <w:sz w:val="24"/>
          <w14:textFill>
            <w14:solidFill>
              <w14:schemeClr w14:val="tx1"/>
            </w14:solidFill>
          </w14:textFill>
        </w:rPr>
        <w:t>mm</w:t>
      </w:r>
      <w:r>
        <w:rPr>
          <w:rFonts w:hint="eastAsia" w:ascii="宋体" w:hAnsi="宋体" w:eastAsia="宋体"/>
          <w:color w:val="000000" w:themeColor="text1"/>
          <w:sz w:val="24"/>
          <w14:textFill>
            <w14:solidFill>
              <w14:schemeClr w14:val="tx1"/>
            </w14:solidFill>
          </w14:textFill>
        </w:rPr>
        <w:t>）</w:t>
      </w:r>
    </w:p>
    <w:p w14:paraId="1465FECF">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产品重量（</w:t>
      </w:r>
      <w:r>
        <w:rPr>
          <w:rFonts w:ascii="宋体" w:hAnsi="宋体" w:eastAsia="宋体"/>
          <w:color w:val="000000" w:themeColor="text1"/>
          <w:sz w:val="24"/>
          <w14:textFill>
            <w14:solidFill>
              <w14:schemeClr w14:val="tx1"/>
            </w14:solidFill>
          </w14:textFill>
        </w:rPr>
        <w:t>kg</w:t>
      </w:r>
      <w:r>
        <w:rPr>
          <w:rFonts w:hint="eastAsia" w:ascii="宋体" w:hAnsi="宋体" w:eastAsia="宋体"/>
          <w:color w:val="000000" w:themeColor="text1"/>
          <w:sz w:val="24"/>
          <w14:textFill>
            <w14:solidFill>
              <w14:schemeClr w14:val="tx1"/>
            </w14:solidFill>
          </w14:textFill>
        </w:rPr>
        <w:t>）</w:t>
      </w:r>
    </w:p>
    <w:p w14:paraId="173C9A32">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出厂序列号</w:t>
      </w:r>
    </w:p>
    <w:p w14:paraId="3D876949">
      <w:pPr>
        <w:pStyle w:val="35"/>
        <w:numPr>
          <w:ilvl w:val="1"/>
          <w:numId w:val="7"/>
        </w:numPr>
        <w:spacing w:line="360" w:lineRule="auto"/>
        <w:ind w:firstLineChars="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生产日期</w:t>
      </w:r>
    </w:p>
    <w:p w14:paraId="7FC0F2AD">
      <w:pPr>
        <w:pStyle w:val="3"/>
        <w:numPr>
          <w:ilvl w:val="1"/>
          <w:numId w:val="1"/>
        </w:numPr>
        <w:rPr>
          <w:color w:val="000000" w:themeColor="text1"/>
          <w:sz w:val="24"/>
          <w:szCs w:val="24"/>
          <w14:textFill>
            <w14:solidFill>
              <w14:schemeClr w14:val="tx1"/>
            </w14:solidFill>
          </w14:textFill>
        </w:rPr>
      </w:pPr>
      <w:bookmarkStart w:id="31" w:name="_Toc23050"/>
      <w:bookmarkStart w:id="32" w:name="_Toc719"/>
      <w:r>
        <w:rPr>
          <w:rFonts w:hint="eastAsia"/>
          <w:color w:val="000000" w:themeColor="text1"/>
          <w:sz w:val="24"/>
          <w:szCs w:val="24"/>
          <w14:textFill>
            <w14:solidFill>
              <w14:schemeClr w14:val="tx1"/>
            </w14:solidFill>
          </w14:textFill>
        </w:rPr>
        <w:t>包装</w:t>
      </w:r>
      <w:bookmarkEnd w:id="31"/>
      <w:bookmarkEnd w:id="32"/>
    </w:p>
    <w:p w14:paraId="442F99BE">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设备制造完成并通过试验后应及时包装，否则应得到切实的保护。其包装应符合铁路、公路</w:t>
      </w:r>
      <w:r>
        <w:rPr>
          <w:rFonts w:hint="eastAsia" w:ascii="宋体" w:hAnsi="宋体"/>
          <w:color w:val="000000" w:themeColor="text1"/>
          <w:sz w:val="24"/>
          <w14:textFill>
            <w14:solidFill>
              <w14:schemeClr w14:val="tx1"/>
            </w14:solidFill>
          </w14:textFill>
        </w:rPr>
        <w:t>及</w:t>
      </w:r>
      <w:r>
        <w:rPr>
          <w:rFonts w:ascii="宋体" w:hAnsi="宋体"/>
          <w:color w:val="000000" w:themeColor="text1"/>
          <w:sz w:val="24"/>
          <w14:textFill>
            <w14:solidFill>
              <w14:schemeClr w14:val="tx1"/>
            </w14:solidFill>
          </w14:textFill>
        </w:rPr>
        <w:t>海运部门的有关规定</w:t>
      </w:r>
      <w:r>
        <w:rPr>
          <w:rFonts w:hint="eastAsia" w:ascii="宋体" w:hAnsi="宋体"/>
          <w:color w:val="000000" w:themeColor="text1"/>
          <w:sz w:val="24"/>
          <w14:textFill>
            <w14:solidFill>
              <w14:schemeClr w14:val="tx1"/>
            </w14:solidFill>
          </w14:textFill>
        </w:rPr>
        <w:t>；</w:t>
      </w:r>
    </w:p>
    <w:p w14:paraId="214CB0D6">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包装箱上应有明显的包装储运图示标志</w:t>
      </w:r>
      <w:r>
        <w:rPr>
          <w:rFonts w:hint="eastAsia" w:ascii="宋体" w:hAnsi="宋体"/>
          <w:color w:val="000000" w:themeColor="text1"/>
          <w:sz w:val="24"/>
          <w14:textFill>
            <w14:solidFill>
              <w14:schemeClr w14:val="tx1"/>
            </w14:solidFill>
          </w14:textFill>
        </w:rPr>
        <w:t>；</w:t>
      </w:r>
    </w:p>
    <w:p w14:paraId="2731D49D">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包装应确保</w:t>
      </w:r>
      <w:r>
        <w:rPr>
          <w:rFonts w:hint="eastAsia" w:ascii="宋体" w:hAnsi="宋体"/>
          <w:color w:val="000000" w:themeColor="text1"/>
          <w:sz w:val="24"/>
          <w14:textFill>
            <w14:solidFill>
              <w14:schemeClr w14:val="tx1"/>
            </w14:solidFill>
          </w14:textFill>
        </w:rPr>
        <w:t>整机和</w:t>
      </w:r>
      <w:r>
        <w:rPr>
          <w:rFonts w:ascii="宋体" w:hAnsi="宋体"/>
          <w:color w:val="000000" w:themeColor="text1"/>
          <w:sz w:val="24"/>
          <w14:textFill>
            <w14:solidFill>
              <w14:schemeClr w14:val="tx1"/>
            </w14:solidFill>
          </w14:textFill>
        </w:rPr>
        <w:t>各零部件在运输过程中不丢失、不损坏、不受潮</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不腐蚀。</w:t>
      </w:r>
    </w:p>
    <w:p w14:paraId="061AB6B4">
      <w:pPr>
        <w:pStyle w:val="3"/>
        <w:numPr>
          <w:ilvl w:val="1"/>
          <w:numId w:val="1"/>
        </w:numPr>
        <w:rPr>
          <w:sz w:val="24"/>
          <w:szCs w:val="24"/>
        </w:rPr>
      </w:pPr>
      <w:bookmarkStart w:id="33" w:name="_Toc5648"/>
      <w:bookmarkStart w:id="34" w:name="_Toc15307"/>
      <w:r>
        <w:rPr>
          <w:rFonts w:hint="eastAsia"/>
          <w:sz w:val="24"/>
          <w:szCs w:val="24"/>
        </w:rPr>
        <w:t>运输</w:t>
      </w:r>
      <w:bookmarkEnd w:id="33"/>
      <w:bookmarkEnd w:id="34"/>
    </w:p>
    <w:p w14:paraId="06791CE6">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供货设备在</w:t>
      </w:r>
      <w:r>
        <w:rPr>
          <w:rFonts w:ascii="宋体" w:hAnsi="宋体"/>
          <w:color w:val="000000" w:themeColor="text1"/>
          <w:sz w:val="24"/>
          <w14:textFill>
            <w14:solidFill>
              <w14:schemeClr w14:val="tx1"/>
            </w14:solidFill>
          </w14:textFill>
        </w:rPr>
        <w:t>运输时应符合铁路、公路</w:t>
      </w:r>
      <w:r>
        <w:rPr>
          <w:rFonts w:hint="eastAsia" w:ascii="宋体" w:hAnsi="宋体"/>
          <w:color w:val="000000" w:themeColor="text1"/>
          <w:sz w:val="24"/>
          <w14:textFill>
            <w14:solidFill>
              <w14:schemeClr w14:val="tx1"/>
            </w14:solidFill>
          </w14:textFill>
        </w:rPr>
        <w:t>及</w:t>
      </w:r>
      <w:r>
        <w:rPr>
          <w:rFonts w:ascii="宋体" w:hAnsi="宋体"/>
          <w:color w:val="000000" w:themeColor="text1"/>
          <w:sz w:val="24"/>
          <w14:textFill>
            <w14:solidFill>
              <w14:schemeClr w14:val="tx1"/>
            </w14:solidFill>
          </w14:textFill>
        </w:rPr>
        <w:t>海运部门的有关规定</w:t>
      </w:r>
      <w:r>
        <w:rPr>
          <w:rFonts w:hint="eastAsia" w:ascii="宋体" w:hAnsi="宋体"/>
          <w:color w:val="000000" w:themeColor="text1"/>
          <w:sz w:val="24"/>
          <w14:textFill>
            <w14:solidFill>
              <w14:schemeClr w14:val="tx1"/>
            </w14:solidFill>
          </w14:textFill>
        </w:rPr>
        <w:t>；</w:t>
      </w:r>
    </w:p>
    <w:p w14:paraId="2E14EEAD">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供货设备在</w:t>
      </w:r>
      <w:r>
        <w:rPr>
          <w:rFonts w:ascii="宋体" w:hAnsi="宋体"/>
          <w:color w:val="000000" w:themeColor="text1"/>
          <w:sz w:val="24"/>
          <w14:textFill>
            <w14:solidFill>
              <w14:schemeClr w14:val="tx1"/>
            </w14:solidFill>
          </w14:textFill>
        </w:rPr>
        <w:t>运输</w:t>
      </w:r>
      <w:r>
        <w:rPr>
          <w:rFonts w:hint="eastAsia" w:ascii="宋体" w:hAnsi="宋体"/>
          <w:color w:val="000000" w:themeColor="text1"/>
          <w:sz w:val="24"/>
          <w14:textFill>
            <w14:solidFill>
              <w14:schemeClr w14:val="tx1"/>
            </w14:solidFill>
          </w14:textFill>
        </w:rPr>
        <w:t>中</w:t>
      </w:r>
      <w:r>
        <w:rPr>
          <w:rFonts w:ascii="宋体" w:hAnsi="宋体"/>
          <w:color w:val="000000" w:themeColor="text1"/>
          <w:sz w:val="24"/>
          <w14:textFill>
            <w14:solidFill>
              <w14:schemeClr w14:val="tx1"/>
            </w14:solidFill>
          </w14:textFill>
        </w:rPr>
        <w:t>应保证其外壳不受任何损伤，内部元件不能发生位移且应保证内部元件性能完好</w:t>
      </w:r>
      <w:r>
        <w:rPr>
          <w:rFonts w:hint="eastAsia" w:ascii="宋体" w:hAnsi="宋体"/>
          <w:color w:val="000000" w:themeColor="text1"/>
          <w:sz w:val="24"/>
          <w14:textFill>
            <w14:solidFill>
              <w14:schemeClr w14:val="tx1"/>
            </w14:solidFill>
          </w14:textFill>
        </w:rPr>
        <w:t>；</w:t>
      </w:r>
    </w:p>
    <w:p w14:paraId="36FB9EF8">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所有部件经妥善包装或装箱后，在运输过程中尚应采取其它防护措施，以免散失损坏或被盗</w:t>
      </w:r>
      <w:r>
        <w:rPr>
          <w:rFonts w:hint="eastAsia" w:ascii="宋体" w:hAnsi="宋体"/>
          <w:color w:val="000000" w:themeColor="text1"/>
          <w:sz w:val="24"/>
          <w14:textFill>
            <w14:solidFill>
              <w14:schemeClr w14:val="tx1"/>
            </w14:solidFill>
          </w14:textFill>
        </w:rPr>
        <w:t>；</w:t>
      </w:r>
    </w:p>
    <w:p w14:paraId="5A0B8263">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供货设备在</w:t>
      </w:r>
      <w:r>
        <w:rPr>
          <w:rFonts w:ascii="宋体" w:hAnsi="宋体"/>
          <w:color w:val="000000" w:themeColor="text1"/>
          <w:sz w:val="24"/>
          <w14:textFill>
            <w14:solidFill>
              <w14:schemeClr w14:val="tx1"/>
            </w14:solidFill>
          </w14:textFill>
        </w:rPr>
        <w:t>运输中不允许有任何</w:t>
      </w:r>
      <w:r>
        <w:rPr>
          <w:rFonts w:hint="eastAsia" w:ascii="宋体" w:hAnsi="宋体"/>
          <w:color w:val="000000" w:themeColor="text1"/>
          <w:sz w:val="24"/>
          <w14:textFill>
            <w14:solidFill>
              <w14:schemeClr w14:val="tx1"/>
            </w14:solidFill>
          </w14:textFill>
        </w:rPr>
        <w:t>破坏性</w:t>
      </w:r>
      <w:r>
        <w:rPr>
          <w:rFonts w:ascii="宋体" w:hAnsi="宋体"/>
          <w:color w:val="000000" w:themeColor="text1"/>
          <w:sz w:val="24"/>
          <w14:textFill>
            <w14:solidFill>
              <w14:schemeClr w14:val="tx1"/>
            </w14:solidFill>
          </w14:textFill>
        </w:rPr>
        <w:t>碰撞</w:t>
      </w:r>
      <w:r>
        <w:rPr>
          <w:rFonts w:hint="eastAsia" w:ascii="宋体" w:hAnsi="宋体"/>
          <w:color w:val="000000" w:themeColor="text1"/>
          <w:sz w:val="24"/>
          <w14:textFill>
            <w14:solidFill>
              <w14:schemeClr w14:val="tx1"/>
            </w14:solidFill>
          </w14:textFill>
        </w:rPr>
        <w:t>、震动、倾斜</w:t>
      </w:r>
      <w:r>
        <w:rPr>
          <w:rFonts w:ascii="宋体" w:hAnsi="宋体"/>
          <w:color w:val="000000" w:themeColor="text1"/>
          <w:sz w:val="24"/>
          <w14:textFill>
            <w14:solidFill>
              <w14:schemeClr w14:val="tx1"/>
            </w14:solidFill>
          </w14:textFill>
        </w:rPr>
        <w:t>和磨损</w:t>
      </w:r>
      <w:r>
        <w:rPr>
          <w:rFonts w:hint="eastAsia" w:ascii="宋体" w:hAnsi="宋体"/>
          <w:color w:val="000000" w:themeColor="text1"/>
          <w:sz w:val="24"/>
          <w14:textFill>
            <w14:solidFill>
              <w14:schemeClr w14:val="tx1"/>
            </w14:solidFill>
          </w14:textFill>
        </w:rPr>
        <w:t>。</w:t>
      </w:r>
    </w:p>
    <w:p w14:paraId="47FD4726">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35" w:name="_Toc5004"/>
      <w:r>
        <w:rPr>
          <w:rFonts w:hint="eastAsia" w:ascii="宋体" w:hAnsi="宋体"/>
          <w:color w:val="000000" w:themeColor="text1"/>
          <w:sz w:val="28"/>
          <w:szCs w:val="24"/>
          <w14:textFill>
            <w14:solidFill>
              <w14:schemeClr w14:val="tx1"/>
            </w14:solidFill>
          </w14:textFill>
        </w:rPr>
        <w:t>储能系统贮存</w:t>
      </w:r>
      <w:bookmarkEnd w:id="35"/>
    </w:p>
    <w:p w14:paraId="34424E9D">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短期储存温度范围(1个月内)：-20～45℃；</w:t>
      </w:r>
    </w:p>
    <w:p w14:paraId="498472E2">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储能系统</w:t>
      </w:r>
      <w:r>
        <w:rPr>
          <w:rFonts w:ascii="宋体" w:hAnsi="宋体"/>
          <w:color w:val="000000" w:themeColor="text1"/>
          <w:sz w:val="24"/>
          <w14:textFill>
            <w14:solidFill>
              <w14:schemeClr w14:val="tx1"/>
            </w14:solidFill>
          </w14:textFill>
        </w:rPr>
        <w:t>存储SOC应保持在20～50%范围内。</w:t>
      </w:r>
      <w:r>
        <w:rPr>
          <w:rFonts w:hint="eastAsia" w:ascii="宋体" w:hAnsi="宋体"/>
          <w:color w:val="000000" w:themeColor="text1"/>
          <w:sz w:val="24"/>
          <w14:textFill>
            <w14:solidFill>
              <w14:schemeClr w14:val="tx1"/>
            </w14:solidFill>
          </w14:textFill>
        </w:rPr>
        <w:t>买方</w:t>
      </w:r>
      <w:r>
        <w:rPr>
          <w:rFonts w:ascii="宋体" w:hAnsi="宋体"/>
          <w:color w:val="000000" w:themeColor="text1"/>
          <w:sz w:val="24"/>
          <w14:textFill>
            <w14:solidFill>
              <w14:schemeClr w14:val="tx1"/>
            </w14:solidFill>
          </w14:textFill>
        </w:rPr>
        <w:t>若预计将</w:t>
      </w:r>
      <w:r>
        <w:rPr>
          <w:rFonts w:hint="eastAsia" w:ascii="宋体" w:hAnsi="宋体"/>
          <w:color w:val="000000" w:themeColor="text1"/>
          <w:sz w:val="24"/>
          <w14:textFill>
            <w14:solidFill>
              <w14:schemeClr w14:val="tx1"/>
            </w14:solidFill>
          </w14:textFill>
        </w:rPr>
        <w:t>储能系统</w:t>
      </w:r>
      <w:r>
        <w:rPr>
          <w:rFonts w:ascii="宋体" w:hAnsi="宋体"/>
          <w:color w:val="000000" w:themeColor="text1"/>
          <w:sz w:val="24"/>
          <w14:textFill>
            <w14:solidFill>
              <w14:schemeClr w14:val="tx1"/>
            </w14:solidFill>
          </w14:textFill>
        </w:rPr>
        <w:t>存放大于1个月且不超过6个月的，应提前做一次充放电，将SOC调整为20%～50%。</w:t>
      </w:r>
      <w:r>
        <w:rPr>
          <w:rFonts w:hint="eastAsia" w:ascii="宋体" w:hAnsi="宋体"/>
          <w:color w:val="000000" w:themeColor="text1"/>
          <w:sz w:val="24"/>
          <w14:textFill>
            <w14:solidFill>
              <w14:schemeClr w14:val="tx1"/>
            </w14:solidFill>
          </w14:textFill>
        </w:rPr>
        <w:t>储能系统</w:t>
      </w:r>
      <w:r>
        <w:rPr>
          <w:rFonts w:ascii="宋体" w:hAnsi="宋体"/>
          <w:color w:val="000000" w:themeColor="text1"/>
          <w:sz w:val="24"/>
          <w14:textFill>
            <w14:solidFill>
              <w14:schemeClr w14:val="tx1"/>
            </w14:solidFill>
          </w14:textFill>
        </w:rPr>
        <w:t>存储SOC超出20～50%范围或存储超过6个月不做充放电维护，对</w:t>
      </w:r>
      <w:r>
        <w:rPr>
          <w:rFonts w:hint="eastAsia" w:ascii="宋体" w:hAnsi="宋体"/>
          <w:color w:val="000000" w:themeColor="text1"/>
          <w:sz w:val="24"/>
          <w14:textFill>
            <w14:solidFill>
              <w14:schemeClr w14:val="tx1"/>
            </w14:solidFill>
          </w14:textFill>
        </w:rPr>
        <w:t>储能系统</w:t>
      </w:r>
      <w:r>
        <w:rPr>
          <w:rFonts w:ascii="宋体" w:hAnsi="宋体"/>
          <w:color w:val="000000" w:themeColor="text1"/>
          <w:sz w:val="24"/>
          <w14:textFill>
            <w14:solidFill>
              <w14:schemeClr w14:val="tx1"/>
            </w14:solidFill>
          </w14:textFill>
        </w:rPr>
        <w:t>造成的容量损失或其他损失，</w:t>
      </w:r>
      <w:r>
        <w:rPr>
          <w:rFonts w:hint="eastAsia" w:ascii="宋体" w:hAnsi="宋体"/>
          <w:color w:val="000000" w:themeColor="text1"/>
          <w:sz w:val="24"/>
          <w14:textFill>
            <w14:solidFill>
              <w14:schemeClr w14:val="tx1"/>
            </w14:solidFill>
          </w14:textFill>
        </w:rPr>
        <w:t>卖方</w:t>
      </w:r>
      <w:r>
        <w:rPr>
          <w:rFonts w:ascii="宋体" w:hAnsi="宋体"/>
          <w:color w:val="000000" w:themeColor="text1"/>
          <w:sz w:val="24"/>
          <w14:textFill>
            <w14:solidFill>
              <w14:schemeClr w14:val="tx1"/>
            </w14:solidFill>
          </w14:textFill>
        </w:rPr>
        <w:t>将不承担责任。</w:t>
      </w:r>
    </w:p>
    <w:p w14:paraId="10C04F9B">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36" w:name="_Toc23579"/>
      <w:r>
        <w:rPr>
          <w:rFonts w:hint="eastAsia" w:ascii="宋体" w:hAnsi="宋体"/>
          <w:color w:val="000000" w:themeColor="text1"/>
          <w:sz w:val="28"/>
          <w:szCs w:val="24"/>
          <w14:textFill>
            <w14:solidFill>
              <w14:schemeClr w14:val="tx1"/>
            </w14:solidFill>
          </w14:textFill>
        </w:rPr>
        <w:t>技术资料</w:t>
      </w:r>
      <w:bookmarkEnd w:id="36"/>
    </w:p>
    <w:p w14:paraId="2820D52C">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卖方提供的资料应使用国家法定单位制即国际单位制，语言为中文。</w:t>
      </w:r>
    </w:p>
    <w:p w14:paraId="0403F7BF">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资料内容要正确、准确、一致、清晰、完整，满足工程要求。</w:t>
      </w:r>
    </w:p>
    <w:p w14:paraId="290DDCD3">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卖方随货提供的资料：（</w:t>
      </w: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）合格证 （</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）出厂检验报告</w:t>
      </w:r>
    </w:p>
    <w:p w14:paraId="663FCA58">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37" w:name="_Toc19244"/>
      <w:r>
        <w:rPr>
          <w:rFonts w:hint="eastAsia" w:ascii="宋体" w:hAnsi="宋体"/>
          <w:color w:val="000000" w:themeColor="text1"/>
          <w:sz w:val="28"/>
          <w:szCs w:val="24"/>
          <w14:textFill>
            <w14:solidFill>
              <w14:schemeClr w14:val="tx1"/>
            </w14:solidFill>
          </w14:textFill>
        </w:rPr>
        <w:t>储能系统安装及上线流程</w:t>
      </w:r>
      <w:bookmarkEnd w:id="37"/>
    </w:p>
    <w:p w14:paraId="7BD0C1CD">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储能系统安装、电气连接、检查、上电、运行控制及下电各个操作步骤请务必按设备用户手册中各步骤的流程及注意事项操作或在卖方技术人员指导下规范操作。</w:t>
      </w:r>
    </w:p>
    <w:p w14:paraId="188E0FE5">
      <w:pPr>
        <w:pStyle w:val="2"/>
        <w:numPr>
          <w:ilvl w:val="0"/>
          <w:numId w:val="1"/>
        </w:numPr>
        <w:spacing w:before="156" w:line="360" w:lineRule="auto"/>
        <w:rPr>
          <w:rFonts w:ascii="宋体" w:hAnsi="宋体"/>
          <w:color w:val="000000" w:themeColor="text1"/>
          <w:sz w:val="28"/>
          <w:szCs w:val="24"/>
          <w14:textFill>
            <w14:solidFill>
              <w14:schemeClr w14:val="tx1"/>
            </w14:solidFill>
          </w14:textFill>
        </w:rPr>
      </w:pPr>
      <w:bookmarkStart w:id="38" w:name="_Toc15149"/>
      <w:r>
        <w:rPr>
          <w:rFonts w:hint="eastAsia" w:ascii="宋体" w:hAnsi="宋体"/>
          <w:color w:val="000000" w:themeColor="text1"/>
          <w:sz w:val="28"/>
          <w:szCs w:val="24"/>
          <w14:textFill>
            <w14:solidFill>
              <w14:schemeClr w14:val="tx1"/>
            </w14:solidFill>
          </w14:textFill>
        </w:rPr>
        <w:t>验收与质保</w:t>
      </w:r>
      <w:bookmarkEnd w:id="38"/>
    </w:p>
    <w:p w14:paraId="17DA76D3">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储能系统默认运行方式为削峰填谷，一天两次充放。</w:t>
      </w:r>
    </w:p>
    <w:p w14:paraId="429B9535">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在上述的使用场景下，储能系统免费质保时间为 2年，质保期从系统上线之日起开始计算。</w:t>
      </w:r>
    </w:p>
    <w:p w14:paraId="2057088E">
      <w:pPr>
        <w:spacing w:line="360" w:lineRule="auto"/>
        <w:rPr>
          <w:rFonts w:ascii="宋体" w:hAnsi="宋体"/>
          <w:b/>
          <w:color w:val="000000" w:themeColor="text1"/>
          <w:sz w:val="24"/>
          <w14:textFill>
            <w14:solidFill>
              <w14:schemeClr w14:val="tx1"/>
            </w14:solidFill>
          </w14:textFill>
        </w:rPr>
      </w:pPr>
    </w:p>
    <w:p w14:paraId="47768D36">
      <w:pPr>
        <w:spacing w:line="360" w:lineRule="auto"/>
        <w:rPr>
          <w:rFonts w:ascii="宋体" w:hAnsi="宋体"/>
          <w:b/>
          <w:color w:val="000000" w:themeColor="text1"/>
          <w:sz w:val="24"/>
          <w14:textFill>
            <w14:solidFill>
              <w14:schemeClr w14:val="tx1"/>
            </w14:solidFill>
          </w14:textFill>
        </w:rPr>
      </w:pPr>
      <w:bookmarkStart w:id="39" w:name="_GoBack"/>
      <w:bookmarkEnd w:id="39"/>
    </w:p>
    <w:sectPr>
      <w:footerReference r:id="rId5" w:type="first"/>
      <w:footerReference r:id="rId4"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2243"/>
    </w:sdtPr>
    <w:sdtContent>
      <w:sdt>
        <w:sdtPr>
          <w:id w:val="147472163"/>
        </w:sdtPr>
        <w:sdtContent>
          <w:p w14:paraId="7091CCB0">
            <w:pPr>
              <w:pStyle w:val="1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14</w:t>
            </w:r>
            <w:r>
              <w:rPr>
                <w:b/>
                <w:bCs/>
                <w:sz w:val="24"/>
                <w:szCs w:val="24"/>
              </w:rPr>
              <w:fldChar w:fldCharType="end"/>
            </w:r>
          </w:p>
        </w:sdtContent>
      </w:sdt>
    </w:sdtContent>
  </w:sdt>
  <w:p w14:paraId="7799EADB">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59A52">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F6DE2">
    <w:pPr>
      <w:pStyle w:val="15"/>
    </w:pPr>
    <w:r>
      <w:t>**</w:t>
    </w:r>
    <w:r>
      <w:rPr>
        <w:rFonts w:hint="eastAsia"/>
      </w:rPr>
      <w:t xml:space="preserve">项目 </w:t>
    </w:r>
    <w:r>
      <w:t xml:space="preserve">                                                                      </w:t>
    </w:r>
    <w:r>
      <w:rPr>
        <w:rFonts w:hint="eastAsia"/>
      </w:rPr>
      <w:t xml:space="preserve">储能系统技术协议 </w:t>
    </w:r>
    <w:r>
      <w:t>V1.0.2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D97DEF"/>
    <w:multiLevelType w:val="multilevel"/>
    <w:tmpl w:val="01D97DEF"/>
    <w:lvl w:ilvl="0" w:tentative="0">
      <w:start w:val="1"/>
      <w:numFmt w:val="bullet"/>
      <w:lvlText w:val=""/>
      <w:lvlJc w:val="left"/>
      <w:pPr>
        <w:ind w:left="905" w:hanging="420"/>
      </w:pPr>
      <w:rPr>
        <w:rFonts w:hint="default" w:ascii="Wingdings" w:hAnsi="Wingdings"/>
      </w:rPr>
    </w:lvl>
    <w:lvl w:ilvl="1" w:tentative="0">
      <w:start w:val="0"/>
      <w:numFmt w:val="bullet"/>
      <w:lvlText w:val="•"/>
      <w:lvlJc w:val="left"/>
      <w:pPr>
        <w:ind w:left="1265" w:hanging="360"/>
      </w:pPr>
      <w:rPr>
        <w:rFonts w:hint="eastAsia" w:ascii="宋体" w:hAnsi="宋体" w:eastAsia="宋体" w:cs="Times New Roman"/>
      </w:rPr>
    </w:lvl>
    <w:lvl w:ilvl="2" w:tentative="0">
      <w:start w:val="1"/>
      <w:numFmt w:val="bullet"/>
      <w:lvlText w:val=""/>
      <w:lvlJc w:val="left"/>
      <w:pPr>
        <w:ind w:left="1745" w:hanging="420"/>
      </w:pPr>
      <w:rPr>
        <w:rFonts w:hint="default" w:ascii="Wingdings" w:hAnsi="Wingdings"/>
      </w:rPr>
    </w:lvl>
    <w:lvl w:ilvl="3" w:tentative="0">
      <w:start w:val="1"/>
      <w:numFmt w:val="bullet"/>
      <w:lvlText w:val=""/>
      <w:lvlJc w:val="left"/>
      <w:pPr>
        <w:ind w:left="2165" w:hanging="420"/>
      </w:pPr>
      <w:rPr>
        <w:rFonts w:hint="default" w:ascii="Wingdings" w:hAnsi="Wingdings"/>
      </w:rPr>
    </w:lvl>
    <w:lvl w:ilvl="4" w:tentative="0">
      <w:start w:val="1"/>
      <w:numFmt w:val="bullet"/>
      <w:lvlText w:val=""/>
      <w:lvlJc w:val="left"/>
      <w:pPr>
        <w:ind w:left="2585" w:hanging="420"/>
      </w:pPr>
      <w:rPr>
        <w:rFonts w:hint="default" w:ascii="Wingdings" w:hAnsi="Wingdings"/>
      </w:rPr>
    </w:lvl>
    <w:lvl w:ilvl="5" w:tentative="0">
      <w:start w:val="1"/>
      <w:numFmt w:val="bullet"/>
      <w:lvlText w:val=""/>
      <w:lvlJc w:val="left"/>
      <w:pPr>
        <w:ind w:left="3005" w:hanging="420"/>
      </w:pPr>
      <w:rPr>
        <w:rFonts w:hint="default" w:ascii="Wingdings" w:hAnsi="Wingdings"/>
      </w:rPr>
    </w:lvl>
    <w:lvl w:ilvl="6" w:tentative="0">
      <w:start w:val="1"/>
      <w:numFmt w:val="bullet"/>
      <w:lvlText w:val=""/>
      <w:lvlJc w:val="left"/>
      <w:pPr>
        <w:ind w:left="3425" w:hanging="420"/>
      </w:pPr>
      <w:rPr>
        <w:rFonts w:hint="default" w:ascii="Wingdings" w:hAnsi="Wingdings"/>
      </w:rPr>
    </w:lvl>
    <w:lvl w:ilvl="7" w:tentative="0">
      <w:start w:val="1"/>
      <w:numFmt w:val="bullet"/>
      <w:lvlText w:val=""/>
      <w:lvlJc w:val="left"/>
      <w:pPr>
        <w:ind w:left="3845" w:hanging="420"/>
      </w:pPr>
      <w:rPr>
        <w:rFonts w:hint="default" w:ascii="Wingdings" w:hAnsi="Wingdings"/>
      </w:rPr>
    </w:lvl>
    <w:lvl w:ilvl="8" w:tentative="0">
      <w:start w:val="1"/>
      <w:numFmt w:val="bullet"/>
      <w:lvlText w:val=""/>
      <w:lvlJc w:val="left"/>
      <w:pPr>
        <w:ind w:left="4265" w:hanging="420"/>
      </w:pPr>
      <w:rPr>
        <w:rFonts w:hint="default" w:ascii="Wingdings" w:hAnsi="Wingdings"/>
      </w:rPr>
    </w:lvl>
  </w:abstractNum>
  <w:abstractNum w:abstractNumId="1">
    <w:nsid w:val="10037154"/>
    <w:multiLevelType w:val="multilevel"/>
    <w:tmpl w:val="10037154"/>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23B1056A"/>
    <w:multiLevelType w:val="multilevel"/>
    <w:tmpl w:val="23B1056A"/>
    <w:lvl w:ilvl="0" w:tentative="0">
      <w:start w:val="1"/>
      <w:numFmt w:val="decimal"/>
      <w:lvlText w:val="%1"/>
      <w:lvlJc w:val="left"/>
      <w:pPr>
        <w:ind w:left="360" w:hanging="360"/>
      </w:pPr>
    </w:lvl>
    <w:lvl w:ilvl="1" w:tentative="0">
      <w:start w:val="1"/>
      <w:numFmt w:val="decimal"/>
      <w:lvlText w:val="%1.%2"/>
      <w:lvlJc w:val="left"/>
      <w:pPr>
        <w:ind w:left="720" w:hanging="360"/>
      </w:pPr>
    </w:lvl>
    <w:lvl w:ilvl="2" w:tentative="0">
      <w:start w:val="1"/>
      <w:numFmt w:val="decimal"/>
      <w:lvlText w:val="%1.%2.%3"/>
      <w:lvlJc w:val="left"/>
      <w:pPr>
        <w:ind w:left="1440" w:hanging="720"/>
      </w:pPr>
    </w:lvl>
    <w:lvl w:ilvl="3" w:tentative="0">
      <w:start w:val="1"/>
      <w:numFmt w:val="decimal"/>
      <w:lvlText w:val="%1.%2.%3.%4"/>
      <w:lvlJc w:val="left"/>
      <w:pPr>
        <w:ind w:left="1800" w:hanging="720"/>
      </w:pPr>
    </w:lvl>
    <w:lvl w:ilvl="4" w:tentative="0">
      <w:start w:val="1"/>
      <w:numFmt w:val="decimal"/>
      <w:lvlText w:val="%1.%2.%3.%4.%5"/>
      <w:lvlJc w:val="left"/>
      <w:pPr>
        <w:ind w:left="2520" w:hanging="1080"/>
      </w:pPr>
    </w:lvl>
    <w:lvl w:ilvl="5" w:tentative="0">
      <w:start w:val="1"/>
      <w:numFmt w:val="decimal"/>
      <w:lvlText w:val="%1.%2.%3.%4.%5.%6"/>
      <w:lvlJc w:val="left"/>
      <w:pPr>
        <w:ind w:left="2880" w:hanging="1080"/>
      </w:pPr>
    </w:lvl>
    <w:lvl w:ilvl="6" w:tentative="0">
      <w:start w:val="1"/>
      <w:numFmt w:val="decimal"/>
      <w:lvlText w:val="%1.%2.%3.%4.%5.%6.%7"/>
      <w:lvlJc w:val="left"/>
      <w:pPr>
        <w:ind w:left="3240" w:hanging="1080"/>
      </w:pPr>
    </w:lvl>
    <w:lvl w:ilvl="7" w:tentative="0">
      <w:start w:val="1"/>
      <w:numFmt w:val="decimal"/>
      <w:lvlText w:val="%1.%2.%3.%4.%5.%6.%7.%8"/>
      <w:lvlJc w:val="left"/>
      <w:pPr>
        <w:ind w:left="3960" w:hanging="1440"/>
      </w:pPr>
    </w:lvl>
    <w:lvl w:ilvl="8" w:tentative="0">
      <w:start w:val="1"/>
      <w:numFmt w:val="decimal"/>
      <w:lvlText w:val="%1.%2.%3.%4.%5.%6.%7.%8.%9"/>
      <w:lvlJc w:val="left"/>
      <w:pPr>
        <w:ind w:left="4320" w:hanging="1440"/>
      </w:pPr>
    </w:lvl>
  </w:abstractNum>
  <w:abstractNum w:abstractNumId="3">
    <w:nsid w:val="2D1E1D3D"/>
    <w:multiLevelType w:val="multilevel"/>
    <w:tmpl w:val="2D1E1D3D"/>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4">
    <w:nsid w:val="2FCF4A4E"/>
    <w:multiLevelType w:val="multilevel"/>
    <w:tmpl w:val="2FCF4A4E"/>
    <w:lvl w:ilvl="0" w:tentative="0">
      <w:start w:val="1"/>
      <w:numFmt w:val="decimal"/>
      <w:lvlText w:val="%1"/>
      <w:lvlJc w:val="left"/>
      <w:pPr>
        <w:ind w:left="425" w:hanging="425"/>
      </w:pPr>
    </w:lvl>
    <w:lvl w:ilvl="1" w:tentative="0">
      <w:start w:val="1"/>
      <w:numFmt w:val="decimal"/>
      <w:lvlText w:val="%1.%2"/>
      <w:lvlJc w:val="left"/>
      <w:pPr>
        <w:ind w:left="567" w:hanging="567"/>
      </w:pPr>
      <w:rPr>
        <w:color w:val="auto"/>
        <w:lang w:val="en-US"/>
      </w:rPr>
    </w:lvl>
    <w:lvl w:ilvl="2" w:tentative="0">
      <w:start w:val="1"/>
      <w:numFmt w:val="decimal"/>
      <w:lvlText w:val="%1.%2.%3"/>
      <w:lvlJc w:val="left"/>
      <w:pPr>
        <w:ind w:left="851" w:hanging="567"/>
      </w:pPr>
      <w:rPr>
        <w:rFonts w:ascii="宋体" w:hAnsi="宋体" w:eastAsia="宋体"/>
      </w:rPr>
    </w:lvl>
    <w:lvl w:ilvl="3" w:tentative="0">
      <w:start w:val="1"/>
      <w:numFmt w:val="decimal"/>
      <w:lvlText w:val="%1.%2.%3.%4"/>
      <w:lvlJc w:val="left"/>
      <w:pPr>
        <w:ind w:left="1984" w:hanging="708"/>
      </w:pPr>
      <w:rPr>
        <w:rFonts w:ascii="宋体" w:hAnsi="宋体" w:eastAsia="宋体"/>
      </w:r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5">
    <w:nsid w:val="4D8C3FA9"/>
    <w:multiLevelType w:val="multilevel"/>
    <w:tmpl w:val="4D8C3FA9"/>
    <w:lvl w:ilvl="0" w:tentative="0">
      <w:start w:val="1"/>
      <w:numFmt w:val="decimal"/>
      <w:lvlText w:val="%1"/>
      <w:lvlJc w:val="left"/>
      <w:pPr>
        <w:ind w:left="425" w:hanging="425"/>
      </w:pPr>
    </w:lvl>
    <w:lvl w:ilvl="1" w:tentative="0">
      <w:start w:val="1"/>
      <w:numFmt w:val="decimal"/>
      <w:lvlText w:val="%1.%2"/>
      <w:lvlJc w:val="left"/>
      <w:pPr>
        <w:ind w:left="992" w:hanging="567"/>
      </w:pPr>
      <w:rPr>
        <w:b/>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6">
    <w:nsid w:val="539A731D"/>
    <w:multiLevelType w:val="multilevel"/>
    <w:tmpl w:val="539A731D"/>
    <w:lvl w:ilvl="0" w:tentative="0">
      <w:start w:val="1"/>
      <w:numFmt w:val="decimal"/>
      <w:lvlText w:val="%1"/>
      <w:lvlJc w:val="left"/>
      <w:pPr>
        <w:ind w:left="360" w:hanging="360"/>
      </w:pPr>
    </w:lvl>
    <w:lvl w:ilvl="1" w:tentative="0">
      <w:start w:val="1"/>
      <w:numFmt w:val="decimal"/>
      <w:lvlText w:val="%1.%2"/>
      <w:lvlJc w:val="left"/>
      <w:pPr>
        <w:ind w:left="720" w:hanging="360"/>
      </w:pPr>
    </w:lvl>
    <w:lvl w:ilvl="2" w:tentative="0">
      <w:start w:val="1"/>
      <w:numFmt w:val="decimal"/>
      <w:lvlText w:val="%1.%2.%3"/>
      <w:lvlJc w:val="left"/>
      <w:pPr>
        <w:ind w:left="1440" w:hanging="720"/>
      </w:pPr>
    </w:lvl>
    <w:lvl w:ilvl="3" w:tentative="0">
      <w:start w:val="1"/>
      <w:numFmt w:val="decimal"/>
      <w:lvlText w:val="%1.%2.%3.%4"/>
      <w:lvlJc w:val="left"/>
      <w:pPr>
        <w:ind w:left="1800" w:hanging="720"/>
      </w:pPr>
    </w:lvl>
    <w:lvl w:ilvl="4" w:tentative="0">
      <w:start w:val="1"/>
      <w:numFmt w:val="decimal"/>
      <w:lvlText w:val="%1.%2.%3.%4.%5"/>
      <w:lvlJc w:val="left"/>
      <w:pPr>
        <w:ind w:left="2520" w:hanging="1080"/>
      </w:pPr>
    </w:lvl>
    <w:lvl w:ilvl="5" w:tentative="0">
      <w:start w:val="1"/>
      <w:numFmt w:val="decimal"/>
      <w:lvlText w:val="%1.%2.%3.%4.%5.%6"/>
      <w:lvlJc w:val="left"/>
      <w:pPr>
        <w:ind w:left="2880" w:hanging="1080"/>
      </w:pPr>
    </w:lvl>
    <w:lvl w:ilvl="6" w:tentative="0">
      <w:start w:val="1"/>
      <w:numFmt w:val="decimal"/>
      <w:lvlText w:val="%1.%2.%3.%4.%5.%6.%7"/>
      <w:lvlJc w:val="left"/>
      <w:pPr>
        <w:ind w:left="3240" w:hanging="1080"/>
      </w:pPr>
    </w:lvl>
    <w:lvl w:ilvl="7" w:tentative="0">
      <w:start w:val="1"/>
      <w:numFmt w:val="decimal"/>
      <w:lvlText w:val="%1.%2.%3.%4.%5.%6.%7.%8"/>
      <w:lvlJc w:val="left"/>
      <w:pPr>
        <w:ind w:left="3960" w:hanging="1440"/>
      </w:pPr>
    </w:lvl>
    <w:lvl w:ilvl="8" w:tentative="0">
      <w:start w:val="1"/>
      <w:numFmt w:val="decimal"/>
      <w:lvlText w:val="%1.%2.%3.%4.%5.%6.%7.%8.%9"/>
      <w:lvlJc w:val="left"/>
      <w:pPr>
        <w:ind w:left="4320" w:hanging="1440"/>
      </w:pPr>
    </w:lvl>
  </w:abstractNum>
  <w:num w:numId="1">
    <w:abstractNumId w:val="4"/>
  </w:num>
  <w:num w:numId="2">
    <w:abstractNumId w:val="5"/>
  </w:num>
  <w:num w:numId="3">
    <w:abstractNumId w:val="3"/>
  </w:num>
  <w:num w:numId="4">
    <w:abstractNumId w:val="0"/>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ZmYWI5YTAzMTAzYzlkZmM0Mjk5MjAwOTdhMTAyOGUifQ=="/>
  </w:docVars>
  <w:rsids>
    <w:rsidRoot w:val="003025C7"/>
    <w:rsid w:val="00001532"/>
    <w:rsid w:val="00005368"/>
    <w:rsid w:val="000110C9"/>
    <w:rsid w:val="000129D3"/>
    <w:rsid w:val="000142A0"/>
    <w:rsid w:val="00015FF1"/>
    <w:rsid w:val="00016643"/>
    <w:rsid w:val="00016873"/>
    <w:rsid w:val="00020044"/>
    <w:rsid w:val="00024748"/>
    <w:rsid w:val="00025B17"/>
    <w:rsid w:val="00027CAF"/>
    <w:rsid w:val="00030349"/>
    <w:rsid w:val="000336D6"/>
    <w:rsid w:val="00033FFC"/>
    <w:rsid w:val="00036016"/>
    <w:rsid w:val="0004178A"/>
    <w:rsid w:val="000419CA"/>
    <w:rsid w:val="00043278"/>
    <w:rsid w:val="00043D0B"/>
    <w:rsid w:val="00044C05"/>
    <w:rsid w:val="00061E87"/>
    <w:rsid w:val="00065BAC"/>
    <w:rsid w:val="00070AC5"/>
    <w:rsid w:val="0007335D"/>
    <w:rsid w:val="00073A29"/>
    <w:rsid w:val="00073D72"/>
    <w:rsid w:val="0007500D"/>
    <w:rsid w:val="00075DDC"/>
    <w:rsid w:val="00080C88"/>
    <w:rsid w:val="000838AF"/>
    <w:rsid w:val="000838C8"/>
    <w:rsid w:val="0008412B"/>
    <w:rsid w:val="000845C3"/>
    <w:rsid w:val="00087F5B"/>
    <w:rsid w:val="00091B13"/>
    <w:rsid w:val="00091B89"/>
    <w:rsid w:val="00096D0E"/>
    <w:rsid w:val="000972B8"/>
    <w:rsid w:val="000976DD"/>
    <w:rsid w:val="00097B4E"/>
    <w:rsid w:val="000A03C7"/>
    <w:rsid w:val="000A3792"/>
    <w:rsid w:val="000A63B1"/>
    <w:rsid w:val="000A6AFB"/>
    <w:rsid w:val="000B0769"/>
    <w:rsid w:val="000B1643"/>
    <w:rsid w:val="000B53ED"/>
    <w:rsid w:val="000C137A"/>
    <w:rsid w:val="000C3AC0"/>
    <w:rsid w:val="000D3F58"/>
    <w:rsid w:val="000D5F1E"/>
    <w:rsid w:val="000D6B37"/>
    <w:rsid w:val="000E1B2C"/>
    <w:rsid w:val="000E3191"/>
    <w:rsid w:val="000E44E8"/>
    <w:rsid w:val="000E4DCB"/>
    <w:rsid w:val="000E6EE4"/>
    <w:rsid w:val="000E7305"/>
    <w:rsid w:val="000F25EE"/>
    <w:rsid w:val="000F528C"/>
    <w:rsid w:val="000F6B3A"/>
    <w:rsid w:val="0010005C"/>
    <w:rsid w:val="001005D0"/>
    <w:rsid w:val="001012CE"/>
    <w:rsid w:val="00102375"/>
    <w:rsid w:val="00102999"/>
    <w:rsid w:val="00103F98"/>
    <w:rsid w:val="0010447E"/>
    <w:rsid w:val="001053D5"/>
    <w:rsid w:val="00105ED1"/>
    <w:rsid w:val="001104AB"/>
    <w:rsid w:val="00110F97"/>
    <w:rsid w:val="001121C5"/>
    <w:rsid w:val="0011317F"/>
    <w:rsid w:val="001145F1"/>
    <w:rsid w:val="00122D69"/>
    <w:rsid w:val="0012321B"/>
    <w:rsid w:val="001235F6"/>
    <w:rsid w:val="00124A58"/>
    <w:rsid w:val="00125D78"/>
    <w:rsid w:val="00125E41"/>
    <w:rsid w:val="00130FD4"/>
    <w:rsid w:val="0013104B"/>
    <w:rsid w:val="0013145F"/>
    <w:rsid w:val="001314E2"/>
    <w:rsid w:val="001317C6"/>
    <w:rsid w:val="001339AD"/>
    <w:rsid w:val="00133E46"/>
    <w:rsid w:val="0014020C"/>
    <w:rsid w:val="00146449"/>
    <w:rsid w:val="0014667F"/>
    <w:rsid w:val="00146EE9"/>
    <w:rsid w:val="00150CFB"/>
    <w:rsid w:val="0015132D"/>
    <w:rsid w:val="00152476"/>
    <w:rsid w:val="00152746"/>
    <w:rsid w:val="001542B7"/>
    <w:rsid w:val="0015643F"/>
    <w:rsid w:val="00160B9E"/>
    <w:rsid w:val="00160BEB"/>
    <w:rsid w:val="001612BB"/>
    <w:rsid w:val="0016180D"/>
    <w:rsid w:val="001624B6"/>
    <w:rsid w:val="00164E35"/>
    <w:rsid w:val="00165DC4"/>
    <w:rsid w:val="001679DC"/>
    <w:rsid w:val="00170B10"/>
    <w:rsid w:val="00172536"/>
    <w:rsid w:val="00174709"/>
    <w:rsid w:val="00177C17"/>
    <w:rsid w:val="001808F2"/>
    <w:rsid w:val="00181F74"/>
    <w:rsid w:val="001821E4"/>
    <w:rsid w:val="00182D74"/>
    <w:rsid w:val="001835BC"/>
    <w:rsid w:val="001867CC"/>
    <w:rsid w:val="001868B5"/>
    <w:rsid w:val="00186F33"/>
    <w:rsid w:val="001879CE"/>
    <w:rsid w:val="00187E38"/>
    <w:rsid w:val="00193177"/>
    <w:rsid w:val="00194041"/>
    <w:rsid w:val="00194BA6"/>
    <w:rsid w:val="00195212"/>
    <w:rsid w:val="001968DB"/>
    <w:rsid w:val="001A03DE"/>
    <w:rsid w:val="001A08D4"/>
    <w:rsid w:val="001A2791"/>
    <w:rsid w:val="001A4DC1"/>
    <w:rsid w:val="001B272A"/>
    <w:rsid w:val="001B3A32"/>
    <w:rsid w:val="001B4CFB"/>
    <w:rsid w:val="001C0663"/>
    <w:rsid w:val="001C13C7"/>
    <w:rsid w:val="001D0B97"/>
    <w:rsid w:val="001D1C7C"/>
    <w:rsid w:val="001D281E"/>
    <w:rsid w:val="001D39AE"/>
    <w:rsid w:val="001E1B45"/>
    <w:rsid w:val="001E1E1A"/>
    <w:rsid w:val="001E204E"/>
    <w:rsid w:val="001E626C"/>
    <w:rsid w:val="001F0FE2"/>
    <w:rsid w:val="001F2836"/>
    <w:rsid w:val="001F3D54"/>
    <w:rsid w:val="001F47AE"/>
    <w:rsid w:val="001F50CD"/>
    <w:rsid w:val="001F5392"/>
    <w:rsid w:val="00200900"/>
    <w:rsid w:val="00204FA8"/>
    <w:rsid w:val="0021210F"/>
    <w:rsid w:val="00212124"/>
    <w:rsid w:val="002149D4"/>
    <w:rsid w:val="00221450"/>
    <w:rsid w:val="0022299D"/>
    <w:rsid w:val="00224B1C"/>
    <w:rsid w:val="00230D1F"/>
    <w:rsid w:val="00231517"/>
    <w:rsid w:val="00231558"/>
    <w:rsid w:val="00231864"/>
    <w:rsid w:val="002337F4"/>
    <w:rsid w:val="00235371"/>
    <w:rsid w:val="00236CC6"/>
    <w:rsid w:val="00237200"/>
    <w:rsid w:val="002420BB"/>
    <w:rsid w:val="00244315"/>
    <w:rsid w:val="00244BDD"/>
    <w:rsid w:val="002465FA"/>
    <w:rsid w:val="00250F69"/>
    <w:rsid w:val="00253D3C"/>
    <w:rsid w:val="0026256C"/>
    <w:rsid w:val="00263A13"/>
    <w:rsid w:val="00264938"/>
    <w:rsid w:val="00265DBB"/>
    <w:rsid w:val="002664C5"/>
    <w:rsid w:val="00275D03"/>
    <w:rsid w:val="002767B5"/>
    <w:rsid w:val="00281021"/>
    <w:rsid w:val="00284D79"/>
    <w:rsid w:val="0028560D"/>
    <w:rsid w:val="00285EA0"/>
    <w:rsid w:val="002861F5"/>
    <w:rsid w:val="00290F74"/>
    <w:rsid w:val="002919FF"/>
    <w:rsid w:val="00294D5A"/>
    <w:rsid w:val="00296E37"/>
    <w:rsid w:val="002A0B1F"/>
    <w:rsid w:val="002A1801"/>
    <w:rsid w:val="002A6048"/>
    <w:rsid w:val="002A724E"/>
    <w:rsid w:val="002A731F"/>
    <w:rsid w:val="002B2033"/>
    <w:rsid w:val="002B2A1B"/>
    <w:rsid w:val="002B79FF"/>
    <w:rsid w:val="002C0CC9"/>
    <w:rsid w:val="002C0D9F"/>
    <w:rsid w:val="002C11E3"/>
    <w:rsid w:val="002D1998"/>
    <w:rsid w:val="002D1B28"/>
    <w:rsid w:val="002D7B66"/>
    <w:rsid w:val="002E0BD2"/>
    <w:rsid w:val="002F0E5E"/>
    <w:rsid w:val="002F589E"/>
    <w:rsid w:val="002F59AA"/>
    <w:rsid w:val="0030140A"/>
    <w:rsid w:val="003025C7"/>
    <w:rsid w:val="00306874"/>
    <w:rsid w:val="0031160C"/>
    <w:rsid w:val="003121E8"/>
    <w:rsid w:val="00317EE4"/>
    <w:rsid w:val="00320BAC"/>
    <w:rsid w:val="00323118"/>
    <w:rsid w:val="00323803"/>
    <w:rsid w:val="00323C4F"/>
    <w:rsid w:val="0033160C"/>
    <w:rsid w:val="00332EBF"/>
    <w:rsid w:val="00335A92"/>
    <w:rsid w:val="00353716"/>
    <w:rsid w:val="00356118"/>
    <w:rsid w:val="0035627C"/>
    <w:rsid w:val="00362709"/>
    <w:rsid w:val="003649D9"/>
    <w:rsid w:val="00372586"/>
    <w:rsid w:val="00372FE3"/>
    <w:rsid w:val="00374D79"/>
    <w:rsid w:val="00375455"/>
    <w:rsid w:val="0037685A"/>
    <w:rsid w:val="00376A67"/>
    <w:rsid w:val="0037725E"/>
    <w:rsid w:val="003806CC"/>
    <w:rsid w:val="00383E1D"/>
    <w:rsid w:val="00384B5C"/>
    <w:rsid w:val="003854F0"/>
    <w:rsid w:val="00387DAF"/>
    <w:rsid w:val="00390110"/>
    <w:rsid w:val="003913AB"/>
    <w:rsid w:val="00392C25"/>
    <w:rsid w:val="00395624"/>
    <w:rsid w:val="003968F6"/>
    <w:rsid w:val="00397AD7"/>
    <w:rsid w:val="003A0AE5"/>
    <w:rsid w:val="003A40C0"/>
    <w:rsid w:val="003A5047"/>
    <w:rsid w:val="003A6292"/>
    <w:rsid w:val="003A7A88"/>
    <w:rsid w:val="003B231E"/>
    <w:rsid w:val="003B3C36"/>
    <w:rsid w:val="003B4E83"/>
    <w:rsid w:val="003B7A28"/>
    <w:rsid w:val="003C1856"/>
    <w:rsid w:val="003C36A2"/>
    <w:rsid w:val="003C567B"/>
    <w:rsid w:val="003C6A9D"/>
    <w:rsid w:val="003C6CE3"/>
    <w:rsid w:val="003D629F"/>
    <w:rsid w:val="003D79FE"/>
    <w:rsid w:val="003E04F3"/>
    <w:rsid w:val="003E369A"/>
    <w:rsid w:val="003E4158"/>
    <w:rsid w:val="003F0633"/>
    <w:rsid w:val="003F0836"/>
    <w:rsid w:val="003F1690"/>
    <w:rsid w:val="003F7F85"/>
    <w:rsid w:val="00400F50"/>
    <w:rsid w:val="00401CD4"/>
    <w:rsid w:val="00403F87"/>
    <w:rsid w:val="004046EE"/>
    <w:rsid w:val="004055A6"/>
    <w:rsid w:val="00410599"/>
    <w:rsid w:val="00410910"/>
    <w:rsid w:val="004125C1"/>
    <w:rsid w:val="00413C4E"/>
    <w:rsid w:val="00414AE7"/>
    <w:rsid w:val="00415C71"/>
    <w:rsid w:val="0041649B"/>
    <w:rsid w:val="004209AA"/>
    <w:rsid w:val="00427127"/>
    <w:rsid w:val="0043043F"/>
    <w:rsid w:val="0043313E"/>
    <w:rsid w:val="00436452"/>
    <w:rsid w:val="00444D55"/>
    <w:rsid w:val="004451F1"/>
    <w:rsid w:val="004515DF"/>
    <w:rsid w:val="00452787"/>
    <w:rsid w:val="004545C4"/>
    <w:rsid w:val="00454976"/>
    <w:rsid w:val="00454B89"/>
    <w:rsid w:val="0045626B"/>
    <w:rsid w:val="00460079"/>
    <w:rsid w:val="0046332A"/>
    <w:rsid w:val="00463F5B"/>
    <w:rsid w:val="00465164"/>
    <w:rsid w:val="00467A50"/>
    <w:rsid w:val="004715D1"/>
    <w:rsid w:val="00472AF7"/>
    <w:rsid w:val="0047306F"/>
    <w:rsid w:val="004762DF"/>
    <w:rsid w:val="00476AC3"/>
    <w:rsid w:val="004813D5"/>
    <w:rsid w:val="00482DD1"/>
    <w:rsid w:val="004841B5"/>
    <w:rsid w:val="00486F29"/>
    <w:rsid w:val="00486F92"/>
    <w:rsid w:val="00490887"/>
    <w:rsid w:val="00494CFE"/>
    <w:rsid w:val="004A205C"/>
    <w:rsid w:val="004A3432"/>
    <w:rsid w:val="004A354D"/>
    <w:rsid w:val="004A4FB4"/>
    <w:rsid w:val="004A67BD"/>
    <w:rsid w:val="004A7B0A"/>
    <w:rsid w:val="004B20EA"/>
    <w:rsid w:val="004B2712"/>
    <w:rsid w:val="004B310A"/>
    <w:rsid w:val="004B6E62"/>
    <w:rsid w:val="004C038D"/>
    <w:rsid w:val="004D04FB"/>
    <w:rsid w:val="004D2718"/>
    <w:rsid w:val="004D5074"/>
    <w:rsid w:val="004D72C7"/>
    <w:rsid w:val="004E188B"/>
    <w:rsid w:val="004E1C53"/>
    <w:rsid w:val="004E3A3B"/>
    <w:rsid w:val="004E4BD0"/>
    <w:rsid w:val="004E7DC3"/>
    <w:rsid w:val="004E7F70"/>
    <w:rsid w:val="004F0C71"/>
    <w:rsid w:val="004F20DE"/>
    <w:rsid w:val="004F4370"/>
    <w:rsid w:val="004F4BF6"/>
    <w:rsid w:val="00504BDA"/>
    <w:rsid w:val="00504E01"/>
    <w:rsid w:val="00506D16"/>
    <w:rsid w:val="00510041"/>
    <w:rsid w:val="0051044A"/>
    <w:rsid w:val="005109F1"/>
    <w:rsid w:val="00512953"/>
    <w:rsid w:val="005139EC"/>
    <w:rsid w:val="00516D88"/>
    <w:rsid w:val="005177A4"/>
    <w:rsid w:val="00517D79"/>
    <w:rsid w:val="005223F5"/>
    <w:rsid w:val="00527FBE"/>
    <w:rsid w:val="00536205"/>
    <w:rsid w:val="00537547"/>
    <w:rsid w:val="00541B3E"/>
    <w:rsid w:val="0054498E"/>
    <w:rsid w:val="005456FB"/>
    <w:rsid w:val="0054713A"/>
    <w:rsid w:val="00550EC3"/>
    <w:rsid w:val="00552580"/>
    <w:rsid w:val="00554511"/>
    <w:rsid w:val="00556555"/>
    <w:rsid w:val="005567C5"/>
    <w:rsid w:val="00556C68"/>
    <w:rsid w:val="00567741"/>
    <w:rsid w:val="00567EBE"/>
    <w:rsid w:val="0057626A"/>
    <w:rsid w:val="0057739B"/>
    <w:rsid w:val="00580983"/>
    <w:rsid w:val="00580EBB"/>
    <w:rsid w:val="00585EC2"/>
    <w:rsid w:val="00585F74"/>
    <w:rsid w:val="00586E58"/>
    <w:rsid w:val="005871A6"/>
    <w:rsid w:val="0059250E"/>
    <w:rsid w:val="005A085A"/>
    <w:rsid w:val="005B05C4"/>
    <w:rsid w:val="005B0A01"/>
    <w:rsid w:val="005B0CAD"/>
    <w:rsid w:val="005B2397"/>
    <w:rsid w:val="005B79B8"/>
    <w:rsid w:val="005C0F22"/>
    <w:rsid w:val="005C16E1"/>
    <w:rsid w:val="005C6C0E"/>
    <w:rsid w:val="005D13E5"/>
    <w:rsid w:val="005D2967"/>
    <w:rsid w:val="005D2A63"/>
    <w:rsid w:val="005D524E"/>
    <w:rsid w:val="005D5548"/>
    <w:rsid w:val="005D71B2"/>
    <w:rsid w:val="005E1DEE"/>
    <w:rsid w:val="005E7766"/>
    <w:rsid w:val="005E7B46"/>
    <w:rsid w:val="005F1A99"/>
    <w:rsid w:val="005F5930"/>
    <w:rsid w:val="00602BC9"/>
    <w:rsid w:val="00603828"/>
    <w:rsid w:val="00603CEB"/>
    <w:rsid w:val="006047E7"/>
    <w:rsid w:val="0060707D"/>
    <w:rsid w:val="0060725B"/>
    <w:rsid w:val="0061200E"/>
    <w:rsid w:val="00612936"/>
    <w:rsid w:val="00614A85"/>
    <w:rsid w:val="00614E74"/>
    <w:rsid w:val="00615328"/>
    <w:rsid w:val="00617B5C"/>
    <w:rsid w:val="00620FC8"/>
    <w:rsid w:val="00622354"/>
    <w:rsid w:val="00624D0E"/>
    <w:rsid w:val="006266F8"/>
    <w:rsid w:val="00626890"/>
    <w:rsid w:val="00630A26"/>
    <w:rsid w:val="00633004"/>
    <w:rsid w:val="00633575"/>
    <w:rsid w:val="006335AF"/>
    <w:rsid w:val="00633F39"/>
    <w:rsid w:val="0063512E"/>
    <w:rsid w:val="00637B5B"/>
    <w:rsid w:val="00637FE9"/>
    <w:rsid w:val="00641105"/>
    <w:rsid w:val="00641BF6"/>
    <w:rsid w:val="00643795"/>
    <w:rsid w:val="00645D6F"/>
    <w:rsid w:val="00646136"/>
    <w:rsid w:val="00646AF9"/>
    <w:rsid w:val="00646B36"/>
    <w:rsid w:val="006477B8"/>
    <w:rsid w:val="00647C10"/>
    <w:rsid w:val="006501E5"/>
    <w:rsid w:val="00651147"/>
    <w:rsid w:val="006525E9"/>
    <w:rsid w:val="0065404D"/>
    <w:rsid w:val="00655880"/>
    <w:rsid w:val="006601D0"/>
    <w:rsid w:val="00660942"/>
    <w:rsid w:val="00662CD0"/>
    <w:rsid w:val="00664987"/>
    <w:rsid w:val="0066646A"/>
    <w:rsid w:val="00667257"/>
    <w:rsid w:val="00670C34"/>
    <w:rsid w:val="006720E0"/>
    <w:rsid w:val="0067364D"/>
    <w:rsid w:val="006736CD"/>
    <w:rsid w:val="006764E2"/>
    <w:rsid w:val="00676C2C"/>
    <w:rsid w:val="00680006"/>
    <w:rsid w:val="00687BE7"/>
    <w:rsid w:val="00692C3A"/>
    <w:rsid w:val="00692F78"/>
    <w:rsid w:val="00693A6A"/>
    <w:rsid w:val="006A4A94"/>
    <w:rsid w:val="006A52EA"/>
    <w:rsid w:val="006A54BD"/>
    <w:rsid w:val="006A6DE7"/>
    <w:rsid w:val="006A76C2"/>
    <w:rsid w:val="006B03F1"/>
    <w:rsid w:val="006B3110"/>
    <w:rsid w:val="006B76CE"/>
    <w:rsid w:val="006C4505"/>
    <w:rsid w:val="006C5A30"/>
    <w:rsid w:val="006C6703"/>
    <w:rsid w:val="006C6E97"/>
    <w:rsid w:val="006D05C4"/>
    <w:rsid w:val="006D10E6"/>
    <w:rsid w:val="006D5D84"/>
    <w:rsid w:val="006D7D82"/>
    <w:rsid w:val="006E0F18"/>
    <w:rsid w:val="006E1371"/>
    <w:rsid w:val="006E4D46"/>
    <w:rsid w:val="006E60ED"/>
    <w:rsid w:val="006F3249"/>
    <w:rsid w:val="006F4EF1"/>
    <w:rsid w:val="006F561C"/>
    <w:rsid w:val="006F6283"/>
    <w:rsid w:val="006F6E84"/>
    <w:rsid w:val="0070140B"/>
    <w:rsid w:val="00701786"/>
    <w:rsid w:val="00701E47"/>
    <w:rsid w:val="00702F15"/>
    <w:rsid w:val="00704B6F"/>
    <w:rsid w:val="00705A6A"/>
    <w:rsid w:val="00705DC4"/>
    <w:rsid w:val="007075C5"/>
    <w:rsid w:val="007126FD"/>
    <w:rsid w:val="00713431"/>
    <w:rsid w:val="00714005"/>
    <w:rsid w:val="0071664E"/>
    <w:rsid w:val="00717D75"/>
    <w:rsid w:val="0072039D"/>
    <w:rsid w:val="0072043F"/>
    <w:rsid w:val="00722BC7"/>
    <w:rsid w:val="007233AA"/>
    <w:rsid w:val="007246DD"/>
    <w:rsid w:val="00732D38"/>
    <w:rsid w:val="00732F25"/>
    <w:rsid w:val="00733B2C"/>
    <w:rsid w:val="00734938"/>
    <w:rsid w:val="00734A52"/>
    <w:rsid w:val="00735975"/>
    <w:rsid w:val="00735FF1"/>
    <w:rsid w:val="0073634B"/>
    <w:rsid w:val="0073636E"/>
    <w:rsid w:val="00737152"/>
    <w:rsid w:val="007415AD"/>
    <w:rsid w:val="00741CE6"/>
    <w:rsid w:val="00743162"/>
    <w:rsid w:val="007452CF"/>
    <w:rsid w:val="00747E1F"/>
    <w:rsid w:val="00751446"/>
    <w:rsid w:val="00753254"/>
    <w:rsid w:val="007548A1"/>
    <w:rsid w:val="007563D3"/>
    <w:rsid w:val="00762A20"/>
    <w:rsid w:val="00763A14"/>
    <w:rsid w:val="00765340"/>
    <w:rsid w:val="00766AE9"/>
    <w:rsid w:val="00766D94"/>
    <w:rsid w:val="00772465"/>
    <w:rsid w:val="00774187"/>
    <w:rsid w:val="007755F1"/>
    <w:rsid w:val="007756C9"/>
    <w:rsid w:val="00775F26"/>
    <w:rsid w:val="007771A6"/>
    <w:rsid w:val="0077728D"/>
    <w:rsid w:val="007809F0"/>
    <w:rsid w:val="00781C5D"/>
    <w:rsid w:val="007827E3"/>
    <w:rsid w:val="00782D11"/>
    <w:rsid w:val="00783323"/>
    <w:rsid w:val="007865A7"/>
    <w:rsid w:val="007917FB"/>
    <w:rsid w:val="00791850"/>
    <w:rsid w:val="00793315"/>
    <w:rsid w:val="00793A3A"/>
    <w:rsid w:val="00793D57"/>
    <w:rsid w:val="00794F0A"/>
    <w:rsid w:val="007954E7"/>
    <w:rsid w:val="00796035"/>
    <w:rsid w:val="00797B4E"/>
    <w:rsid w:val="007A0088"/>
    <w:rsid w:val="007A26DD"/>
    <w:rsid w:val="007A2AEC"/>
    <w:rsid w:val="007A41F5"/>
    <w:rsid w:val="007A6964"/>
    <w:rsid w:val="007A6A11"/>
    <w:rsid w:val="007B579D"/>
    <w:rsid w:val="007B605A"/>
    <w:rsid w:val="007C28E9"/>
    <w:rsid w:val="007C2961"/>
    <w:rsid w:val="007C3CA5"/>
    <w:rsid w:val="007D11C5"/>
    <w:rsid w:val="007D20A4"/>
    <w:rsid w:val="007D225C"/>
    <w:rsid w:val="007D2BE1"/>
    <w:rsid w:val="007D2C54"/>
    <w:rsid w:val="007D3DAC"/>
    <w:rsid w:val="007D50E2"/>
    <w:rsid w:val="007E0B02"/>
    <w:rsid w:val="007E1EBE"/>
    <w:rsid w:val="007E2355"/>
    <w:rsid w:val="007E50FD"/>
    <w:rsid w:val="007E77B2"/>
    <w:rsid w:val="007F1E04"/>
    <w:rsid w:val="007F2B82"/>
    <w:rsid w:val="007F4203"/>
    <w:rsid w:val="007F667C"/>
    <w:rsid w:val="00802C39"/>
    <w:rsid w:val="00805F6F"/>
    <w:rsid w:val="008126E7"/>
    <w:rsid w:val="00812AA9"/>
    <w:rsid w:val="008169E2"/>
    <w:rsid w:val="0082021A"/>
    <w:rsid w:val="00824F3F"/>
    <w:rsid w:val="00826D34"/>
    <w:rsid w:val="00832779"/>
    <w:rsid w:val="0083417F"/>
    <w:rsid w:val="0083653E"/>
    <w:rsid w:val="008366C1"/>
    <w:rsid w:val="0084039F"/>
    <w:rsid w:val="00842B84"/>
    <w:rsid w:val="008434AA"/>
    <w:rsid w:val="00844CE9"/>
    <w:rsid w:val="00845696"/>
    <w:rsid w:val="008457DC"/>
    <w:rsid w:val="008463AA"/>
    <w:rsid w:val="00847CC5"/>
    <w:rsid w:val="00853E3C"/>
    <w:rsid w:val="008571C5"/>
    <w:rsid w:val="00857DF3"/>
    <w:rsid w:val="00857E1F"/>
    <w:rsid w:val="00860E89"/>
    <w:rsid w:val="00861231"/>
    <w:rsid w:val="00866A36"/>
    <w:rsid w:val="00872DE3"/>
    <w:rsid w:val="008751C2"/>
    <w:rsid w:val="00877068"/>
    <w:rsid w:val="0088311B"/>
    <w:rsid w:val="008839EE"/>
    <w:rsid w:val="008854FF"/>
    <w:rsid w:val="0088630D"/>
    <w:rsid w:val="00887A86"/>
    <w:rsid w:val="00897993"/>
    <w:rsid w:val="008A0378"/>
    <w:rsid w:val="008A06EB"/>
    <w:rsid w:val="008A0AB9"/>
    <w:rsid w:val="008A11C8"/>
    <w:rsid w:val="008B1026"/>
    <w:rsid w:val="008B1B69"/>
    <w:rsid w:val="008B4D03"/>
    <w:rsid w:val="008B6586"/>
    <w:rsid w:val="008C0C8A"/>
    <w:rsid w:val="008C2B40"/>
    <w:rsid w:val="008C3174"/>
    <w:rsid w:val="008C4896"/>
    <w:rsid w:val="008C49D7"/>
    <w:rsid w:val="008C5F65"/>
    <w:rsid w:val="008C70C8"/>
    <w:rsid w:val="008C7926"/>
    <w:rsid w:val="008D003D"/>
    <w:rsid w:val="008D44CB"/>
    <w:rsid w:val="008D5BBC"/>
    <w:rsid w:val="008D723C"/>
    <w:rsid w:val="008E314A"/>
    <w:rsid w:val="008E7AC2"/>
    <w:rsid w:val="008E7E36"/>
    <w:rsid w:val="008F07CE"/>
    <w:rsid w:val="008F0E6F"/>
    <w:rsid w:val="008F357E"/>
    <w:rsid w:val="008F44D5"/>
    <w:rsid w:val="008F4585"/>
    <w:rsid w:val="008F4779"/>
    <w:rsid w:val="008F6780"/>
    <w:rsid w:val="00900C17"/>
    <w:rsid w:val="00901E90"/>
    <w:rsid w:val="009031C0"/>
    <w:rsid w:val="00906188"/>
    <w:rsid w:val="0091082B"/>
    <w:rsid w:val="00910EA6"/>
    <w:rsid w:val="0091151B"/>
    <w:rsid w:val="00911D14"/>
    <w:rsid w:val="00912F02"/>
    <w:rsid w:val="00916B3B"/>
    <w:rsid w:val="00921A77"/>
    <w:rsid w:val="00926F6A"/>
    <w:rsid w:val="009272CC"/>
    <w:rsid w:val="009331A4"/>
    <w:rsid w:val="00940ED0"/>
    <w:rsid w:val="00941AB1"/>
    <w:rsid w:val="00943BBF"/>
    <w:rsid w:val="0094699D"/>
    <w:rsid w:val="00947A83"/>
    <w:rsid w:val="0095357F"/>
    <w:rsid w:val="00962758"/>
    <w:rsid w:val="00965F35"/>
    <w:rsid w:val="00966575"/>
    <w:rsid w:val="009801C8"/>
    <w:rsid w:val="00981A51"/>
    <w:rsid w:val="009822FD"/>
    <w:rsid w:val="00982FD7"/>
    <w:rsid w:val="00983264"/>
    <w:rsid w:val="00984813"/>
    <w:rsid w:val="00984CAC"/>
    <w:rsid w:val="00990708"/>
    <w:rsid w:val="00991AB3"/>
    <w:rsid w:val="00991C93"/>
    <w:rsid w:val="009920B7"/>
    <w:rsid w:val="00995FB5"/>
    <w:rsid w:val="009A0678"/>
    <w:rsid w:val="009A0D60"/>
    <w:rsid w:val="009A1423"/>
    <w:rsid w:val="009A28F8"/>
    <w:rsid w:val="009A3872"/>
    <w:rsid w:val="009A7ECB"/>
    <w:rsid w:val="009B2874"/>
    <w:rsid w:val="009B2A4C"/>
    <w:rsid w:val="009B4666"/>
    <w:rsid w:val="009B50FD"/>
    <w:rsid w:val="009B5C8E"/>
    <w:rsid w:val="009B5D8A"/>
    <w:rsid w:val="009B6483"/>
    <w:rsid w:val="009C18B6"/>
    <w:rsid w:val="009C1CF1"/>
    <w:rsid w:val="009C2695"/>
    <w:rsid w:val="009C6B75"/>
    <w:rsid w:val="009C703A"/>
    <w:rsid w:val="009D0382"/>
    <w:rsid w:val="009D0402"/>
    <w:rsid w:val="009D2A42"/>
    <w:rsid w:val="009D7116"/>
    <w:rsid w:val="009E05EF"/>
    <w:rsid w:val="009E44F2"/>
    <w:rsid w:val="009E562F"/>
    <w:rsid w:val="009E599A"/>
    <w:rsid w:val="009E6FD2"/>
    <w:rsid w:val="009E78CE"/>
    <w:rsid w:val="009E79A7"/>
    <w:rsid w:val="009E7D16"/>
    <w:rsid w:val="009F325F"/>
    <w:rsid w:val="009F41B9"/>
    <w:rsid w:val="009F59A2"/>
    <w:rsid w:val="009F6426"/>
    <w:rsid w:val="00A02061"/>
    <w:rsid w:val="00A029B0"/>
    <w:rsid w:val="00A0442C"/>
    <w:rsid w:val="00A20248"/>
    <w:rsid w:val="00A225C6"/>
    <w:rsid w:val="00A22682"/>
    <w:rsid w:val="00A250B8"/>
    <w:rsid w:val="00A2644F"/>
    <w:rsid w:val="00A27D68"/>
    <w:rsid w:val="00A30AAB"/>
    <w:rsid w:val="00A31218"/>
    <w:rsid w:val="00A31674"/>
    <w:rsid w:val="00A332BC"/>
    <w:rsid w:val="00A334EA"/>
    <w:rsid w:val="00A362DA"/>
    <w:rsid w:val="00A40B48"/>
    <w:rsid w:val="00A41741"/>
    <w:rsid w:val="00A4718F"/>
    <w:rsid w:val="00A47584"/>
    <w:rsid w:val="00A60E78"/>
    <w:rsid w:val="00A61E75"/>
    <w:rsid w:val="00A62909"/>
    <w:rsid w:val="00A650C6"/>
    <w:rsid w:val="00A65547"/>
    <w:rsid w:val="00A65776"/>
    <w:rsid w:val="00A659E6"/>
    <w:rsid w:val="00A66310"/>
    <w:rsid w:val="00A71C33"/>
    <w:rsid w:val="00A74DC5"/>
    <w:rsid w:val="00A755EB"/>
    <w:rsid w:val="00A75B1C"/>
    <w:rsid w:val="00A8195B"/>
    <w:rsid w:val="00A863ED"/>
    <w:rsid w:val="00A9018C"/>
    <w:rsid w:val="00A91087"/>
    <w:rsid w:val="00A924AE"/>
    <w:rsid w:val="00A947BB"/>
    <w:rsid w:val="00A9770D"/>
    <w:rsid w:val="00AA53D0"/>
    <w:rsid w:val="00AA63B9"/>
    <w:rsid w:val="00AB3888"/>
    <w:rsid w:val="00AB51E7"/>
    <w:rsid w:val="00AC06C6"/>
    <w:rsid w:val="00AC1842"/>
    <w:rsid w:val="00AC68CD"/>
    <w:rsid w:val="00AC71D8"/>
    <w:rsid w:val="00AC77C6"/>
    <w:rsid w:val="00AD56CB"/>
    <w:rsid w:val="00AD616A"/>
    <w:rsid w:val="00AD7D06"/>
    <w:rsid w:val="00AE05D3"/>
    <w:rsid w:val="00AE0D3C"/>
    <w:rsid w:val="00AE389E"/>
    <w:rsid w:val="00AE422E"/>
    <w:rsid w:val="00AE6C56"/>
    <w:rsid w:val="00AE7C59"/>
    <w:rsid w:val="00AF332E"/>
    <w:rsid w:val="00AF56E7"/>
    <w:rsid w:val="00AF77F7"/>
    <w:rsid w:val="00B00C0C"/>
    <w:rsid w:val="00B0238A"/>
    <w:rsid w:val="00B04B9E"/>
    <w:rsid w:val="00B05A4A"/>
    <w:rsid w:val="00B06D2B"/>
    <w:rsid w:val="00B116E7"/>
    <w:rsid w:val="00B136EC"/>
    <w:rsid w:val="00B152ED"/>
    <w:rsid w:val="00B17F8B"/>
    <w:rsid w:val="00B27D35"/>
    <w:rsid w:val="00B3069E"/>
    <w:rsid w:val="00B33045"/>
    <w:rsid w:val="00B34186"/>
    <w:rsid w:val="00B3785B"/>
    <w:rsid w:val="00B37F33"/>
    <w:rsid w:val="00B4410A"/>
    <w:rsid w:val="00B5502A"/>
    <w:rsid w:val="00B55DE8"/>
    <w:rsid w:val="00B570E5"/>
    <w:rsid w:val="00B60E20"/>
    <w:rsid w:val="00B61DD6"/>
    <w:rsid w:val="00B629C0"/>
    <w:rsid w:val="00B76B1D"/>
    <w:rsid w:val="00B80EC6"/>
    <w:rsid w:val="00B81BA4"/>
    <w:rsid w:val="00B859E5"/>
    <w:rsid w:val="00B87351"/>
    <w:rsid w:val="00B90E49"/>
    <w:rsid w:val="00B94DC1"/>
    <w:rsid w:val="00B97C32"/>
    <w:rsid w:val="00BA7770"/>
    <w:rsid w:val="00BB21F3"/>
    <w:rsid w:val="00BB5CB1"/>
    <w:rsid w:val="00BB7403"/>
    <w:rsid w:val="00BC1366"/>
    <w:rsid w:val="00BC27A4"/>
    <w:rsid w:val="00BC5495"/>
    <w:rsid w:val="00BC6C40"/>
    <w:rsid w:val="00BD0AEB"/>
    <w:rsid w:val="00BD1757"/>
    <w:rsid w:val="00BD25A1"/>
    <w:rsid w:val="00BD3426"/>
    <w:rsid w:val="00BD3935"/>
    <w:rsid w:val="00BD5592"/>
    <w:rsid w:val="00BD6FD3"/>
    <w:rsid w:val="00BD7534"/>
    <w:rsid w:val="00BE003F"/>
    <w:rsid w:val="00BE233E"/>
    <w:rsid w:val="00BE536A"/>
    <w:rsid w:val="00BE65F9"/>
    <w:rsid w:val="00BE779E"/>
    <w:rsid w:val="00BF04B1"/>
    <w:rsid w:val="00BF2873"/>
    <w:rsid w:val="00BF3324"/>
    <w:rsid w:val="00BF3575"/>
    <w:rsid w:val="00BF5E38"/>
    <w:rsid w:val="00BF75B9"/>
    <w:rsid w:val="00C00D78"/>
    <w:rsid w:val="00C07AC8"/>
    <w:rsid w:val="00C10E5D"/>
    <w:rsid w:val="00C12ED5"/>
    <w:rsid w:val="00C14741"/>
    <w:rsid w:val="00C14A78"/>
    <w:rsid w:val="00C2006A"/>
    <w:rsid w:val="00C20802"/>
    <w:rsid w:val="00C20BE3"/>
    <w:rsid w:val="00C2515E"/>
    <w:rsid w:val="00C256C4"/>
    <w:rsid w:val="00C25803"/>
    <w:rsid w:val="00C26B20"/>
    <w:rsid w:val="00C31D5D"/>
    <w:rsid w:val="00C34313"/>
    <w:rsid w:val="00C5329B"/>
    <w:rsid w:val="00C549D7"/>
    <w:rsid w:val="00C60FAA"/>
    <w:rsid w:val="00C63F1D"/>
    <w:rsid w:val="00C6586E"/>
    <w:rsid w:val="00C659E4"/>
    <w:rsid w:val="00C67DDC"/>
    <w:rsid w:val="00C70492"/>
    <w:rsid w:val="00C71264"/>
    <w:rsid w:val="00C71C48"/>
    <w:rsid w:val="00C7291A"/>
    <w:rsid w:val="00C72ACC"/>
    <w:rsid w:val="00C75B18"/>
    <w:rsid w:val="00C7727D"/>
    <w:rsid w:val="00C8175C"/>
    <w:rsid w:val="00C868D3"/>
    <w:rsid w:val="00C87AF1"/>
    <w:rsid w:val="00C9243C"/>
    <w:rsid w:val="00C94216"/>
    <w:rsid w:val="00C9428E"/>
    <w:rsid w:val="00CA227D"/>
    <w:rsid w:val="00CA3D4F"/>
    <w:rsid w:val="00CA4B5B"/>
    <w:rsid w:val="00CA6082"/>
    <w:rsid w:val="00CA70A5"/>
    <w:rsid w:val="00CB0F22"/>
    <w:rsid w:val="00CB137A"/>
    <w:rsid w:val="00CB4BF6"/>
    <w:rsid w:val="00CB60E8"/>
    <w:rsid w:val="00CB692E"/>
    <w:rsid w:val="00CC0535"/>
    <w:rsid w:val="00CC1007"/>
    <w:rsid w:val="00CC1330"/>
    <w:rsid w:val="00CC4267"/>
    <w:rsid w:val="00CC5AEF"/>
    <w:rsid w:val="00CC7845"/>
    <w:rsid w:val="00CD0296"/>
    <w:rsid w:val="00CD2743"/>
    <w:rsid w:val="00CD4A4F"/>
    <w:rsid w:val="00CE0E04"/>
    <w:rsid w:val="00CE2F65"/>
    <w:rsid w:val="00CE4CD0"/>
    <w:rsid w:val="00CF07CB"/>
    <w:rsid w:val="00CF17E8"/>
    <w:rsid w:val="00CF3481"/>
    <w:rsid w:val="00CF37C3"/>
    <w:rsid w:val="00CF49C0"/>
    <w:rsid w:val="00CF606D"/>
    <w:rsid w:val="00CF64A2"/>
    <w:rsid w:val="00D03B7A"/>
    <w:rsid w:val="00D10848"/>
    <w:rsid w:val="00D11236"/>
    <w:rsid w:val="00D1154F"/>
    <w:rsid w:val="00D145DB"/>
    <w:rsid w:val="00D15B2B"/>
    <w:rsid w:val="00D17411"/>
    <w:rsid w:val="00D203D1"/>
    <w:rsid w:val="00D225C1"/>
    <w:rsid w:val="00D26371"/>
    <w:rsid w:val="00D33485"/>
    <w:rsid w:val="00D36054"/>
    <w:rsid w:val="00D40306"/>
    <w:rsid w:val="00D428B0"/>
    <w:rsid w:val="00D47D7E"/>
    <w:rsid w:val="00D5028F"/>
    <w:rsid w:val="00D50901"/>
    <w:rsid w:val="00D5127F"/>
    <w:rsid w:val="00D52F6D"/>
    <w:rsid w:val="00D54BB7"/>
    <w:rsid w:val="00D54DFB"/>
    <w:rsid w:val="00D570BD"/>
    <w:rsid w:val="00D761E0"/>
    <w:rsid w:val="00D80822"/>
    <w:rsid w:val="00D80996"/>
    <w:rsid w:val="00D81CB4"/>
    <w:rsid w:val="00D83250"/>
    <w:rsid w:val="00D86AC8"/>
    <w:rsid w:val="00D87E4F"/>
    <w:rsid w:val="00D900CF"/>
    <w:rsid w:val="00D91F6C"/>
    <w:rsid w:val="00D978BD"/>
    <w:rsid w:val="00DA4918"/>
    <w:rsid w:val="00DB04E1"/>
    <w:rsid w:val="00DB5605"/>
    <w:rsid w:val="00DB593E"/>
    <w:rsid w:val="00DB6443"/>
    <w:rsid w:val="00DC1941"/>
    <w:rsid w:val="00DC592E"/>
    <w:rsid w:val="00DD304C"/>
    <w:rsid w:val="00DD3560"/>
    <w:rsid w:val="00DD5836"/>
    <w:rsid w:val="00DD676B"/>
    <w:rsid w:val="00DD6F82"/>
    <w:rsid w:val="00DD7E9E"/>
    <w:rsid w:val="00DE0971"/>
    <w:rsid w:val="00DE42EF"/>
    <w:rsid w:val="00DE47DE"/>
    <w:rsid w:val="00DE4C18"/>
    <w:rsid w:val="00DE6169"/>
    <w:rsid w:val="00DF77D4"/>
    <w:rsid w:val="00E058D6"/>
    <w:rsid w:val="00E05BD7"/>
    <w:rsid w:val="00E12CAB"/>
    <w:rsid w:val="00E14297"/>
    <w:rsid w:val="00E16B6D"/>
    <w:rsid w:val="00E21054"/>
    <w:rsid w:val="00E211EE"/>
    <w:rsid w:val="00E2154E"/>
    <w:rsid w:val="00E218EA"/>
    <w:rsid w:val="00E2272D"/>
    <w:rsid w:val="00E2436E"/>
    <w:rsid w:val="00E244E1"/>
    <w:rsid w:val="00E26FC9"/>
    <w:rsid w:val="00E27860"/>
    <w:rsid w:val="00E31F46"/>
    <w:rsid w:val="00E336A8"/>
    <w:rsid w:val="00E40F3D"/>
    <w:rsid w:val="00E41D6F"/>
    <w:rsid w:val="00E43468"/>
    <w:rsid w:val="00E4476D"/>
    <w:rsid w:val="00E517A6"/>
    <w:rsid w:val="00E517B8"/>
    <w:rsid w:val="00E5207B"/>
    <w:rsid w:val="00E5640A"/>
    <w:rsid w:val="00E573B7"/>
    <w:rsid w:val="00E6081E"/>
    <w:rsid w:val="00E60BB4"/>
    <w:rsid w:val="00E63C03"/>
    <w:rsid w:val="00E74C98"/>
    <w:rsid w:val="00E75017"/>
    <w:rsid w:val="00E75D18"/>
    <w:rsid w:val="00E77965"/>
    <w:rsid w:val="00E77D9C"/>
    <w:rsid w:val="00E77E54"/>
    <w:rsid w:val="00E83DE9"/>
    <w:rsid w:val="00E83EE8"/>
    <w:rsid w:val="00E8674F"/>
    <w:rsid w:val="00E86B60"/>
    <w:rsid w:val="00E9760F"/>
    <w:rsid w:val="00E97A1C"/>
    <w:rsid w:val="00EA02E0"/>
    <w:rsid w:val="00EA146A"/>
    <w:rsid w:val="00EA31FB"/>
    <w:rsid w:val="00EA3376"/>
    <w:rsid w:val="00EA3725"/>
    <w:rsid w:val="00EA751E"/>
    <w:rsid w:val="00EB0452"/>
    <w:rsid w:val="00EB0647"/>
    <w:rsid w:val="00EB069E"/>
    <w:rsid w:val="00EB0C51"/>
    <w:rsid w:val="00EB2149"/>
    <w:rsid w:val="00EB4360"/>
    <w:rsid w:val="00EB6AEC"/>
    <w:rsid w:val="00EB6F83"/>
    <w:rsid w:val="00EC1AE3"/>
    <w:rsid w:val="00EC6151"/>
    <w:rsid w:val="00EC6A67"/>
    <w:rsid w:val="00ED0F5B"/>
    <w:rsid w:val="00ED76EB"/>
    <w:rsid w:val="00EE271F"/>
    <w:rsid w:val="00EE27E8"/>
    <w:rsid w:val="00EE40DB"/>
    <w:rsid w:val="00EE5D31"/>
    <w:rsid w:val="00EE656F"/>
    <w:rsid w:val="00EE75E2"/>
    <w:rsid w:val="00EF0F66"/>
    <w:rsid w:val="00EF4C8C"/>
    <w:rsid w:val="00EF63A3"/>
    <w:rsid w:val="00F06FB5"/>
    <w:rsid w:val="00F076B8"/>
    <w:rsid w:val="00F1112B"/>
    <w:rsid w:val="00F11882"/>
    <w:rsid w:val="00F12486"/>
    <w:rsid w:val="00F12880"/>
    <w:rsid w:val="00F12EF0"/>
    <w:rsid w:val="00F15861"/>
    <w:rsid w:val="00F2449D"/>
    <w:rsid w:val="00F2464C"/>
    <w:rsid w:val="00F27812"/>
    <w:rsid w:val="00F30DC1"/>
    <w:rsid w:val="00F313CE"/>
    <w:rsid w:val="00F32E35"/>
    <w:rsid w:val="00F37930"/>
    <w:rsid w:val="00F37B1F"/>
    <w:rsid w:val="00F40C81"/>
    <w:rsid w:val="00F41FFE"/>
    <w:rsid w:val="00F42D4D"/>
    <w:rsid w:val="00F44829"/>
    <w:rsid w:val="00F50103"/>
    <w:rsid w:val="00F514FB"/>
    <w:rsid w:val="00F5224C"/>
    <w:rsid w:val="00F53E3F"/>
    <w:rsid w:val="00F53E49"/>
    <w:rsid w:val="00F57DB8"/>
    <w:rsid w:val="00F60CC4"/>
    <w:rsid w:val="00F61A83"/>
    <w:rsid w:val="00F639D0"/>
    <w:rsid w:val="00F70868"/>
    <w:rsid w:val="00F71FE7"/>
    <w:rsid w:val="00F7250B"/>
    <w:rsid w:val="00F72DB3"/>
    <w:rsid w:val="00F7434D"/>
    <w:rsid w:val="00F77D3A"/>
    <w:rsid w:val="00F80202"/>
    <w:rsid w:val="00F82505"/>
    <w:rsid w:val="00F8325E"/>
    <w:rsid w:val="00F84F7E"/>
    <w:rsid w:val="00F84FC6"/>
    <w:rsid w:val="00F8569C"/>
    <w:rsid w:val="00F861C3"/>
    <w:rsid w:val="00F91820"/>
    <w:rsid w:val="00F91D93"/>
    <w:rsid w:val="00F920CC"/>
    <w:rsid w:val="00F9442E"/>
    <w:rsid w:val="00F94C9D"/>
    <w:rsid w:val="00FA2EBB"/>
    <w:rsid w:val="00FA3EB7"/>
    <w:rsid w:val="00FA57C4"/>
    <w:rsid w:val="00FA6B9F"/>
    <w:rsid w:val="00FB2A05"/>
    <w:rsid w:val="00FB2C5D"/>
    <w:rsid w:val="00FB4F55"/>
    <w:rsid w:val="00FB648B"/>
    <w:rsid w:val="00FC0D09"/>
    <w:rsid w:val="00FC37B7"/>
    <w:rsid w:val="00FC43A9"/>
    <w:rsid w:val="00FC64E4"/>
    <w:rsid w:val="00FD0B59"/>
    <w:rsid w:val="00FD396A"/>
    <w:rsid w:val="00FD4C34"/>
    <w:rsid w:val="00FD5A63"/>
    <w:rsid w:val="00FD7843"/>
    <w:rsid w:val="00FE0DF9"/>
    <w:rsid w:val="00FE0F00"/>
    <w:rsid w:val="00FE1323"/>
    <w:rsid w:val="00FE1419"/>
    <w:rsid w:val="00FF19F4"/>
    <w:rsid w:val="00FF350F"/>
    <w:rsid w:val="00FF42A1"/>
    <w:rsid w:val="00FF633F"/>
    <w:rsid w:val="016204BA"/>
    <w:rsid w:val="026618C6"/>
    <w:rsid w:val="02805C0D"/>
    <w:rsid w:val="058961CE"/>
    <w:rsid w:val="0655382A"/>
    <w:rsid w:val="078C79FB"/>
    <w:rsid w:val="0CEF38E3"/>
    <w:rsid w:val="0E1C51CC"/>
    <w:rsid w:val="0F385178"/>
    <w:rsid w:val="11071AED"/>
    <w:rsid w:val="138674B2"/>
    <w:rsid w:val="149F418F"/>
    <w:rsid w:val="1B0E73A6"/>
    <w:rsid w:val="1C0F289A"/>
    <w:rsid w:val="1C6B6542"/>
    <w:rsid w:val="1E362E71"/>
    <w:rsid w:val="1F8872BC"/>
    <w:rsid w:val="225530F2"/>
    <w:rsid w:val="295C31D8"/>
    <w:rsid w:val="2B765C5E"/>
    <w:rsid w:val="2D373AA6"/>
    <w:rsid w:val="2DBF264A"/>
    <w:rsid w:val="2E294258"/>
    <w:rsid w:val="30E50C8E"/>
    <w:rsid w:val="311514A1"/>
    <w:rsid w:val="33DA4CA7"/>
    <w:rsid w:val="3762206F"/>
    <w:rsid w:val="3CDB7D0C"/>
    <w:rsid w:val="3D6F5B24"/>
    <w:rsid w:val="457F13AC"/>
    <w:rsid w:val="4D2002B4"/>
    <w:rsid w:val="4EAD70B7"/>
    <w:rsid w:val="5027798C"/>
    <w:rsid w:val="548776D1"/>
    <w:rsid w:val="570F7605"/>
    <w:rsid w:val="577037E3"/>
    <w:rsid w:val="5D0F6598"/>
    <w:rsid w:val="5F1F7A8F"/>
    <w:rsid w:val="6424319D"/>
    <w:rsid w:val="65AB4C93"/>
    <w:rsid w:val="65E87E33"/>
    <w:rsid w:val="68F96D5F"/>
    <w:rsid w:val="69932057"/>
    <w:rsid w:val="69B93926"/>
    <w:rsid w:val="6BB47FFA"/>
    <w:rsid w:val="6FFFE4E2"/>
    <w:rsid w:val="73515533"/>
    <w:rsid w:val="73B14BDF"/>
    <w:rsid w:val="79C1311B"/>
    <w:rsid w:val="7BFB75DA"/>
    <w:rsid w:val="7E314705"/>
    <w:rsid w:val="7E4E4A7B"/>
    <w:rsid w:val="7F4B6EB8"/>
    <w:rsid w:val="7FBFE652"/>
    <w:rsid w:val="B6EF4EF5"/>
    <w:rsid w:val="D3DE2F64"/>
    <w:rsid w:val="EFDE7D52"/>
    <w:rsid w:val="F75F6FF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9"/>
    <w:pPr>
      <w:keepNext/>
      <w:keepLines/>
      <w:spacing w:beforeLines="50" w:line="480" w:lineRule="auto"/>
      <w:outlineLvl w:val="0"/>
    </w:pPr>
    <w:rPr>
      <w:b/>
      <w:bCs/>
      <w:kern w:val="44"/>
      <w:sz w:val="32"/>
      <w:szCs w:val="44"/>
    </w:rPr>
  </w:style>
  <w:style w:type="paragraph" w:styleId="3">
    <w:name w:val="heading 2"/>
    <w:basedOn w:val="1"/>
    <w:next w:val="1"/>
    <w:link w:val="31"/>
    <w:unhideWhenUsed/>
    <w:qFormat/>
    <w:uiPriority w:val="9"/>
    <w:pPr>
      <w:keepNext/>
      <w:keepLines/>
      <w:spacing w:line="360" w:lineRule="auto"/>
      <w:outlineLvl w:val="1"/>
    </w:pPr>
    <w:rPr>
      <w:rFonts w:ascii="宋体" w:hAnsi="宋体"/>
      <w:b/>
      <w:bCs/>
      <w:szCs w:val="32"/>
    </w:rPr>
  </w:style>
  <w:style w:type="paragraph" w:styleId="4">
    <w:name w:val="heading 3"/>
    <w:basedOn w:val="1"/>
    <w:next w:val="1"/>
    <w:link w:val="32"/>
    <w:unhideWhenUsed/>
    <w:qFormat/>
    <w:uiPriority w:val="9"/>
    <w:pPr>
      <w:keepNext/>
      <w:keepLines/>
      <w:spacing w:before="120" w:after="120" w:line="415" w:lineRule="auto"/>
      <w:outlineLvl w:val="2"/>
    </w:pPr>
    <w:rPr>
      <w:rFonts w:ascii="宋体" w:hAnsi="宋体"/>
      <w:b/>
      <w:bCs/>
      <w:szCs w:val="32"/>
    </w:rPr>
  </w:style>
  <w:style w:type="paragraph" w:styleId="5">
    <w:name w:val="heading 4"/>
    <w:basedOn w:val="4"/>
    <w:next w:val="1"/>
    <w:link w:val="33"/>
    <w:unhideWhenUsed/>
    <w:qFormat/>
    <w:uiPriority w:val="9"/>
    <w:pPr>
      <w:spacing w:line="377" w:lineRule="auto"/>
      <w:outlineLvl w:val="3"/>
    </w:pPr>
    <w:rPr>
      <w:rFonts w:asciiTheme="majorHAnsi" w:hAnsiTheme="majorHAnsi" w:eastAsiaTheme="majorEastAsia" w:cstheme="majorBidi"/>
      <w:b w:val="0"/>
      <w:bCs w:val="0"/>
      <w:szCs w:val="28"/>
    </w:rPr>
  </w:style>
  <w:style w:type="paragraph" w:styleId="6">
    <w:name w:val="heading 5"/>
    <w:basedOn w:val="1"/>
    <w:next w:val="1"/>
    <w:link w:val="53"/>
    <w:unhideWhenUsed/>
    <w:qFormat/>
    <w:uiPriority w:val="9"/>
    <w:pPr>
      <w:keepNext/>
      <w:keepLines/>
      <w:spacing w:before="280" w:after="290" w:line="376"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rPr>
      <w:rFonts w:asciiTheme="minorHAnsi" w:hAnsiTheme="minorHAnsi" w:eastAsiaTheme="minorEastAsia" w:cstheme="minorBidi"/>
      <w:szCs w:val="22"/>
    </w:rPr>
  </w:style>
  <w:style w:type="paragraph" w:styleId="8">
    <w:name w:val="Normal Indent"/>
    <w:basedOn w:val="1"/>
    <w:link w:val="54"/>
    <w:semiHidden/>
    <w:unhideWhenUsed/>
    <w:qFormat/>
    <w:uiPriority w:val="0"/>
    <w:pPr>
      <w:autoSpaceDE w:val="0"/>
      <w:autoSpaceDN w:val="0"/>
      <w:adjustRightInd w:val="0"/>
      <w:spacing w:line="312" w:lineRule="exact"/>
      <w:ind w:firstLine="420"/>
    </w:pPr>
    <w:rPr>
      <w:rFonts w:ascii="宋体"/>
      <w:kern w:val="0"/>
      <w:szCs w:val="21"/>
    </w:rPr>
  </w:style>
  <w:style w:type="paragraph" w:styleId="9">
    <w:name w:val="annotation text"/>
    <w:basedOn w:val="1"/>
    <w:link w:val="55"/>
    <w:semiHidden/>
    <w:unhideWhenUsed/>
    <w:qFormat/>
    <w:uiPriority w:val="99"/>
    <w:pPr>
      <w:jc w:val="left"/>
    </w:pPr>
  </w:style>
  <w:style w:type="paragraph" w:styleId="10">
    <w:name w:val="toc 5"/>
    <w:basedOn w:val="1"/>
    <w:next w:val="1"/>
    <w:unhideWhenUsed/>
    <w:qFormat/>
    <w:uiPriority w:val="39"/>
    <w:pPr>
      <w:ind w:left="1680" w:leftChars="800"/>
    </w:pPr>
    <w:rPr>
      <w:rFonts w:asciiTheme="minorHAnsi" w:hAnsiTheme="minorHAnsi" w:eastAsiaTheme="minorEastAsia" w:cstheme="minorBidi"/>
      <w:szCs w:val="22"/>
    </w:rPr>
  </w:style>
  <w:style w:type="paragraph" w:styleId="11">
    <w:name w:val="toc 3"/>
    <w:basedOn w:val="1"/>
    <w:next w:val="1"/>
    <w:unhideWhenUsed/>
    <w:qFormat/>
    <w:uiPriority w:val="39"/>
    <w:pPr>
      <w:ind w:left="840" w:leftChars="400"/>
    </w:pPr>
  </w:style>
  <w:style w:type="paragraph" w:styleId="12">
    <w:name w:val="toc 8"/>
    <w:basedOn w:val="1"/>
    <w:next w:val="1"/>
    <w:unhideWhenUsed/>
    <w:qFormat/>
    <w:uiPriority w:val="39"/>
    <w:pPr>
      <w:ind w:left="2940" w:leftChars="1400"/>
    </w:pPr>
    <w:rPr>
      <w:rFonts w:asciiTheme="minorHAnsi" w:hAnsiTheme="minorHAnsi" w:eastAsiaTheme="minorEastAsia" w:cstheme="minorBidi"/>
      <w:szCs w:val="22"/>
    </w:rPr>
  </w:style>
  <w:style w:type="paragraph" w:styleId="13">
    <w:name w:val="Balloon Text"/>
    <w:basedOn w:val="1"/>
    <w:link w:val="57"/>
    <w:semiHidden/>
    <w:unhideWhenUsed/>
    <w:qFormat/>
    <w:uiPriority w:val="99"/>
    <w:rPr>
      <w:sz w:val="18"/>
      <w:szCs w:val="18"/>
    </w:rPr>
  </w:style>
  <w:style w:type="paragraph" w:styleId="14">
    <w:name w:val="footer"/>
    <w:basedOn w:val="1"/>
    <w:link w:val="44"/>
    <w:unhideWhenUsed/>
    <w:qFormat/>
    <w:uiPriority w:val="99"/>
    <w:pPr>
      <w:tabs>
        <w:tab w:val="center" w:pos="4153"/>
        <w:tab w:val="right" w:pos="8306"/>
      </w:tabs>
      <w:snapToGrid w:val="0"/>
      <w:jc w:val="left"/>
    </w:pPr>
    <w:rPr>
      <w:sz w:val="18"/>
      <w:szCs w:val="18"/>
    </w:rPr>
  </w:style>
  <w:style w:type="paragraph" w:styleId="15">
    <w:name w:val="header"/>
    <w:basedOn w:val="1"/>
    <w:link w:val="43"/>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left" w:pos="426"/>
        <w:tab w:val="right" w:leader="dot" w:pos="9746"/>
      </w:tabs>
      <w:spacing w:after="100" w:line="276" w:lineRule="auto"/>
      <w:jc w:val="left"/>
    </w:pPr>
    <w:rPr>
      <w:rFonts w:ascii="Calibri" w:hAnsi="Calibri"/>
      <w:kern w:val="0"/>
      <w:sz w:val="22"/>
      <w:szCs w:val="22"/>
    </w:rPr>
  </w:style>
  <w:style w:type="paragraph" w:styleId="17">
    <w:name w:val="toc 4"/>
    <w:basedOn w:val="1"/>
    <w:next w:val="1"/>
    <w:unhideWhenUsed/>
    <w:qFormat/>
    <w:uiPriority w:val="39"/>
    <w:pPr>
      <w:ind w:left="1260" w:leftChars="600"/>
    </w:pPr>
    <w:rPr>
      <w:rFonts w:asciiTheme="minorHAnsi" w:hAnsiTheme="minorHAnsi" w:eastAsiaTheme="minorEastAsia" w:cstheme="minorBidi"/>
      <w:szCs w:val="22"/>
    </w:rPr>
  </w:style>
  <w:style w:type="paragraph" w:styleId="18">
    <w:name w:val="toc 6"/>
    <w:basedOn w:val="1"/>
    <w:next w:val="1"/>
    <w:unhideWhenUsed/>
    <w:qFormat/>
    <w:uiPriority w:val="39"/>
    <w:pPr>
      <w:ind w:left="2100" w:leftChars="1000"/>
    </w:pPr>
    <w:rPr>
      <w:rFonts w:asciiTheme="minorHAnsi" w:hAnsiTheme="minorHAnsi" w:eastAsiaTheme="minorEastAsia" w:cstheme="minorBidi"/>
      <w:szCs w:val="22"/>
    </w:rPr>
  </w:style>
  <w:style w:type="paragraph" w:styleId="19">
    <w:name w:val="toc 2"/>
    <w:basedOn w:val="1"/>
    <w:next w:val="1"/>
    <w:unhideWhenUsed/>
    <w:qFormat/>
    <w:uiPriority w:val="39"/>
    <w:pPr>
      <w:ind w:left="420" w:leftChars="200"/>
    </w:pPr>
  </w:style>
  <w:style w:type="paragraph" w:styleId="20">
    <w:name w:val="toc 9"/>
    <w:basedOn w:val="1"/>
    <w:next w:val="1"/>
    <w:unhideWhenUsed/>
    <w:qFormat/>
    <w:uiPriority w:val="39"/>
    <w:pPr>
      <w:ind w:left="3360" w:leftChars="1600"/>
    </w:pPr>
    <w:rPr>
      <w:rFonts w:asciiTheme="minorHAnsi" w:hAnsiTheme="minorHAnsi" w:eastAsiaTheme="minorEastAsia" w:cstheme="minorBidi"/>
      <w:szCs w:val="22"/>
    </w:rPr>
  </w:style>
  <w:style w:type="paragraph" w:styleId="21">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paragraph" w:styleId="22">
    <w:name w:val="Title"/>
    <w:basedOn w:val="1"/>
    <w:next w:val="1"/>
    <w:link w:val="52"/>
    <w:qFormat/>
    <w:uiPriority w:val="0"/>
    <w:pPr>
      <w:spacing w:before="240" w:after="60"/>
      <w:jc w:val="center"/>
      <w:outlineLvl w:val="0"/>
    </w:pPr>
    <w:rPr>
      <w:rFonts w:ascii="等线 Light" w:hAnsi="等线 Light"/>
      <w:b/>
      <w:bCs/>
      <w:sz w:val="32"/>
      <w:szCs w:val="32"/>
    </w:rPr>
  </w:style>
  <w:style w:type="paragraph" w:styleId="23">
    <w:name w:val="annotation subject"/>
    <w:basedOn w:val="9"/>
    <w:next w:val="9"/>
    <w:link w:val="56"/>
    <w:semiHidden/>
    <w:unhideWhenUsed/>
    <w:qFormat/>
    <w:uiPriority w:val="99"/>
    <w:rPr>
      <w:b/>
      <w:bCs/>
    </w:rPr>
  </w:style>
  <w:style w:type="table" w:styleId="25">
    <w:name w:val="Table Grid"/>
    <w:basedOn w:val="2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Strong"/>
    <w:basedOn w:val="26"/>
    <w:qFormat/>
    <w:uiPriority w:val="22"/>
    <w:rPr>
      <w:b/>
      <w:bCs/>
    </w:rPr>
  </w:style>
  <w:style w:type="character" w:styleId="28">
    <w:name w:val="Hyperlink"/>
    <w:unhideWhenUsed/>
    <w:qFormat/>
    <w:uiPriority w:val="99"/>
    <w:rPr>
      <w:color w:val="0000FF"/>
      <w:u w:val="single"/>
    </w:rPr>
  </w:style>
  <w:style w:type="character" w:styleId="29">
    <w:name w:val="annotation reference"/>
    <w:basedOn w:val="26"/>
    <w:semiHidden/>
    <w:unhideWhenUsed/>
    <w:qFormat/>
    <w:uiPriority w:val="99"/>
    <w:rPr>
      <w:sz w:val="21"/>
      <w:szCs w:val="21"/>
    </w:rPr>
  </w:style>
  <w:style w:type="character" w:customStyle="1" w:styleId="30">
    <w:name w:val="标题 1 字符"/>
    <w:basedOn w:val="26"/>
    <w:link w:val="2"/>
    <w:qFormat/>
    <w:uiPriority w:val="9"/>
    <w:rPr>
      <w:rFonts w:ascii="Times New Roman" w:hAnsi="Times New Roman" w:eastAsia="宋体" w:cs="Times New Roman"/>
      <w:b/>
      <w:bCs/>
      <w:kern w:val="44"/>
      <w:sz w:val="32"/>
      <w:szCs w:val="44"/>
    </w:rPr>
  </w:style>
  <w:style w:type="character" w:customStyle="1" w:styleId="31">
    <w:name w:val="标题 2 字符"/>
    <w:basedOn w:val="26"/>
    <w:link w:val="3"/>
    <w:qFormat/>
    <w:uiPriority w:val="9"/>
    <w:rPr>
      <w:rFonts w:ascii="宋体" w:hAnsi="宋体" w:eastAsia="宋体" w:cs="Times New Roman"/>
      <w:b/>
      <w:bCs/>
      <w:szCs w:val="32"/>
    </w:rPr>
  </w:style>
  <w:style w:type="character" w:customStyle="1" w:styleId="32">
    <w:name w:val="标题 3 字符"/>
    <w:basedOn w:val="26"/>
    <w:link w:val="4"/>
    <w:qFormat/>
    <w:uiPriority w:val="9"/>
    <w:rPr>
      <w:rFonts w:ascii="宋体" w:hAnsi="宋体" w:eastAsia="宋体" w:cs="Times New Roman"/>
      <w:b/>
      <w:bCs/>
      <w:szCs w:val="32"/>
    </w:rPr>
  </w:style>
  <w:style w:type="character" w:customStyle="1" w:styleId="33">
    <w:name w:val="标题 4 字符"/>
    <w:basedOn w:val="26"/>
    <w:link w:val="5"/>
    <w:qFormat/>
    <w:uiPriority w:val="9"/>
    <w:rPr>
      <w:rFonts w:asciiTheme="majorHAnsi" w:hAnsiTheme="majorHAnsi" w:eastAsiaTheme="majorEastAsia" w:cstheme="majorBidi"/>
      <w:szCs w:val="28"/>
    </w:rPr>
  </w:style>
  <w:style w:type="character" w:customStyle="1" w:styleId="34">
    <w:name w:val="列出段落 字符"/>
    <w:link w:val="35"/>
    <w:qFormat/>
    <w:locked/>
    <w:uiPriority w:val="34"/>
    <w:rPr>
      <w:szCs w:val="24"/>
    </w:rPr>
  </w:style>
  <w:style w:type="paragraph" w:styleId="35">
    <w:name w:val="List Paragraph"/>
    <w:basedOn w:val="1"/>
    <w:link w:val="34"/>
    <w:qFormat/>
    <w:uiPriority w:val="34"/>
    <w:pPr>
      <w:ind w:firstLine="420" w:firstLineChars="200"/>
    </w:pPr>
    <w:rPr>
      <w:rFonts w:asciiTheme="minorHAnsi" w:hAnsiTheme="minorHAnsi" w:eastAsiaTheme="minorEastAsia" w:cstheme="minorBidi"/>
    </w:rPr>
  </w:style>
  <w:style w:type="paragraph" w:customStyle="1" w:styleId="36">
    <w:name w:val="封面表格文本"/>
    <w:basedOn w:val="1"/>
    <w:qFormat/>
    <w:uiPriority w:val="99"/>
    <w:pPr>
      <w:autoSpaceDE w:val="0"/>
      <w:autoSpaceDN w:val="0"/>
      <w:adjustRightInd w:val="0"/>
      <w:jc w:val="center"/>
    </w:pPr>
    <w:rPr>
      <w:b/>
      <w:bCs/>
      <w:kern w:val="0"/>
      <w:sz w:val="24"/>
    </w:rPr>
  </w:style>
  <w:style w:type="character" w:customStyle="1" w:styleId="37">
    <w:name w:val="缺省文本 Char"/>
    <w:link w:val="38"/>
    <w:qFormat/>
    <w:locked/>
    <w:uiPriority w:val="0"/>
    <w:rPr>
      <w:szCs w:val="21"/>
    </w:rPr>
  </w:style>
  <w:style w:type="paragraph" w:customStyle="1" w:styleId="38">
    <w:name w:val="缺省文本"/>
    <w:basedOn w:val="1"/>
    <w:link w:val="37"/>
    <w:qFormat/>
    <w:uiPriority w:val="0"/>
    <w:pPr>
      <w:autoSpaceDE w:val="0"/>
      <w:autoSpaceDN w:val="0"/>
      <w:adjustRightInd w:val="0"/>
      <w:spacing w:line="360" w:lineRule="auto"/>
      <w:jc w:val="left"/>
    </w:pPr>
    <w:rPr>
      <w:rFonts w:asciiTheme="minorHAnsi" w:hAnsiTheme="minorHAnsi" w:eastAsiaTheme="minorEastAsia" w:cstheme="minorBidi"/>
      <w:szCs w:val="21"/>
    </w:rPr>
  </w:style>
  <w:style w:type="paragraph" w:customStyle="1" w:styleId="39">
    <w:name w:val="样式"/>
    <w:basedOn w:val="1"/>
    <w:qFormat/>
    <w:uiPriority w:val="99"/>
    <w:pPr>
      <w:keepLines/>
      <w:autoSpaceDE w:val="0"/>
      <w:autoSpaceDN w:val="0"/>
      <w:adjustRightInd w:val="0"/>
      <w:jc w:val="center"/>
    </w:pPr>
    <w:rPr>
      <w:rFonts w:ascii="Arial" w:hAnsi="Arial" w:eastAsia="黑体" w:cs="Arial"/>
      <w:b/>
      <w:kern w:val="0"/>
      <w:sz w:val="24"/>
    </w:rPr>
  </w:style>
  <w:style w:type="paragraph" w:customStyle="1" w:styleId="40">
    <w:name w:val="缺省文本:1"/>
    <w:basedOn w:val="1"/>
    <w:qFormat/>
    <w:uiPriority w:val="99"/>
    <w:pPr>
      <w:autoSpaceDE w:val="0"/>
      <w:autoSpaceDN w:val="0"/>
      <w:adjustRightInd w:val="0"/>
      <w:jc w:val="left"/>
    </w:pPr>
    <w:rPr>
      <w:kern w:val="0"/>
      <w:sz w:val="24"/>
    </w:rPr>
  </w:style>
  <w:style w:type="paragraph" w:customStyle="1" w:styleId="41">
    <w:name w:val="列出段落1"/>
    <w:basedOn w:val="1"/>
    <w:qFormat/>
    <w:uiPriority w:val="34"/>
    <w:pPr>
      <w:ind w:firstLine="420" w:firstLineChars="200"/>
    </w:pPr>
    <w:rPr>
      <w:rFonts w:ascii="Calibri" w:hAnsi="Calibri" w:cs="黑体"/>
      <w:szCs w:val="22"/>
    </w:rPr>
  </w:style>
  <w:style w:type="paragraph" w:customStyle="1" w:styleId="42">
    <w:name w:val="正文 1"/>
    <w:basedOn w:val="1"/>
    <w:qFormat/>
    <w:uiPriority w:val="99"/>
    <w:pPr>
      <w:widowControl/>
      <w:adjustRightInd w:val="0"/>
      <w:snapToGrid w:val="0"/>
      <w:spacing w:before="30" w:after="30" w:line="360" w:lineRule="auto"/>
      <w:ind w:left="360" w:hanging="360"/>
    </w:pPr>
    <w:rPr>
      <w:szCs w:val="21"/>
    </w:rPr>
  </w:style>
  <w:style w:type="character" w:customStyle="1" w:styleId="43">
    <w:name w:val="页眉 字符"/>
    <w:basedOn w:val="26"/>
    <w:link w:val="15"/>
    <w:qFormat/>
    <w:uiPriority w:val="99"/>
    <w:rPr>
      <w:rFonts w:ascii="Times New Roman" w:hAnsi="Times New Roman" w:eastAsia="宋体" w:cs="Times New Roman"/>
      <w:sz w:val="18"/>
      <w:szCs w:val="18"/>
    </w:rPr>
  </w:style>
  <w:style w:type="character" w:customStyle="1" w:styleId="44">
    <w:name w:val="页脚 字符"/>
    <w:basedOn w:val="26"/>
    <w:link w:val="14"/>
    <w:qFormat/>
    <w:uiPriority w:val="99"/>
    <w:rPr>
      <w:rFonts w:ascii="Times New Roman" w:hAnsi="Times New Roman" w:eastAsia="宋体" w:cs="Times New Roman"/>
      <w:sz w:val="18"/>
      <w:szCs w:val="18"/>
    </w:rPr>
  </w:style>
  <w:style w:type="character" w:styleId="45">
    <w:name w:val="Placeholder Text"/>
    <w:basedOn w:val="26"/>
    <w:semiHidden/>
    <w:qFormat/>
    <w:uiPriority w:val="99"/>
    <w:rPr>
      <w:color w:val="808080"/>
    </w:rPr>
  </w:style>
  <w:style w:type="character" w:customStyle="1" w:styleId="46">
    <w:name w:val="表格-2 字符"/>
    <w:link w:val="47"/>
    <w:semiHidden/>
    <w:qFormat/>
    <w:locked/>
    <w:uiPriority w:val="0"/>
    <w:rPr>
      <w:rFonts w:ascii="Arial" w:hAnsi="Arial" w:cs="宋体"/>
    </w:rPr>
  </w:style>
  <w:style w:type="paragraph" w:customStyle="1" w:styleId="47">
    <w:name w:val="表格-2"/>
    <w:basedOn w:val="1"/>
    <w:link w:val="46"/>
    <w:semiHidden/>
    <w:qFormat/>
    <w:uiPriority w:val="0"/>
    <w:pPr>
      <w:snapToGrid w:val="0"/>
      <w:spacing w:beforeLines="50"/>
    </w:pPr>
    <w:rPr>
      <w:rFonts w:ascii="Arial" w:hAnsi="Arial" w:cs="宋体" w:eastAsiaTheme="minorEastAsia"/>
      <w:szCs w:val="22"/>
    </w:rPr>
  </w:style>
  <w:style w:type="character" w:customStyle="1" w:styleId="48">
    <w:name w:val="1.1.1 Char"/>
    <w:link w:val="49"/>
    <w:qFormat/>
    <w:uiPriority w:val="0"/>
    <w:rPr>
      <w:b/>
      <w:bCs/>
      <w:sz w:val="24"/>
      <w:szCs w:val="32"/>
    </w:rPr>
  </w:style>
  <w:style w:type="paragraph" w:customStyle="1" w:styleId="49">
    <w:name w:val="1.1.1"/>
    <w:basedOn w:val="4"/>
    <w:link w:val="48"/>
    <w:qFormat/>
    <w:uiPriority w:val="0"/>
    <w:pPr>
      <w:spacing w:line="500" w:lineRule="exact"/>
    </w:pPr>
    <w:rPr>
      <w:rFonts w:asciiTheme="minorHAnsi" w:hAnsiTheme="minorHAnsi" w:eastAsiaTheme="minorEastAsia" w:cstheme="minorBidi"/>
      <w:sz w:val="24"/>
    </w:rPr>
  </w:style>
  <w:style w:type="character" w:customStyle="1" w:styleId="50">
    <w:name w:val="正文A 字符"/>
    <w:link w:val="51"/>
    <w:qFormat/>
    <w:locked/>
    <w:uiPriority w:val="0"/>
    <w:rPr>
      <w:rFonts w:ascii="Arial" w:hAnsi="Arial" w:cs="宋体"/>
      <w:sz w:val="24"/>
    </w:rPr>
  </w:style>
  <w:style w:type="paragraph" w:customStyle="1" w:styleId="51">
    <w:name w:val="正文A"/>
    <w:basedOn w:val="1"/>
    <w:link w:val="50"/>
    <w:qFormat/>
    <w:uiPriority w:val="0"/>
    <w:pPr>
      <w:adjustRightInd w:val="0"/>
      <w:snapToGrid w:val="0"/>
      <w:spacing w:beforeLines="50"/>
      <w:ind w:firstLine="200" w:firstLineChars="200"/>
    </w:pPr>
    <w:rPr>
      <w:rFonts w:ascii="Arial" w:hAnsi="Arial" w:cs="宋体" w:eastAsiaTheme="minorEastAsia"/>
      <w:sz w:val="24"/>
      <w:szCs w:val="22"/>
    </w:rPr>
  </w:style>
  <w:style w:type="character" w:customStyle="1" w:styleId="52">
    <w:name w:val="标题 字符"/>
    <w:basedOn w:val="26"/>
    <w:link w:val="22"/>
    <w:qFormat/>
    <w:uiPriority w:val="0"/>
    <w:rPr>
      <w:rFonts w:ascii="等线 Light" w:hAnsi="等线 Light" w:eastAsia="宋体" w:cs="Times New Roman"/>
      <w:b/>
      <w:bCs/>
      <w:sz w:val="32"/>
      <w:szCs w:val="32"/>
    </w:rPr>
  </w:style>
  <w:style w:type="character" w:customStyle="1" w:styleId="53">
    <w:name w:val="标题 5 字符"/>
    <w:basedOn w:val="26"/>
    <w:link w:val="6"/>
    <w:qFormat/>
    <w:uiPriority w:val="9"/>
    <w:rPr>
      <w:rFonts w:ascii="Times New Roman" w:hAnsi="Times New Roman" w:eastAsia="宋体" w:cs="Times New Roman"/>
      <w:b/>
      <w:bCs/>
      <w:sz w:val="28"/>
      <w:szCs w:val="28"/>
    </w:rPr>
  </w:style>
  <w:style w:type="character" w:customStyle="1" w:styleId="54">
    <w:name w:val="正文缩进 字符"/>
    <w:link w:val="8"/>
    <w:semiHidden/>
    <w:qFormat/>
    <w:locked/>
    <w:uiPriority w:val="0"/>
    <w:rPr>
      <w:rFonts w:ascii="宋体" w:hAnsi="Times New Roman" w:eastAsia="宋体" w:cs="Times New Roman"/>
      <w:kern w:val="0"/>
      <w:szCs w:val="21"/>
    </w:rPr>
  </w:style>
  <w:style w:type="character" w:customStyle="1" w:styleId="55">
    <w:name w:val="批注文字 字符"/>
    <w:basedOn w:val="26"/>
    <w:link w:val="9"/>
    <w:semiHidden/>
    <w:qFormat/>
    <w:uiPriority w:val="99"/>
    <w:rPr>
      <w:kern w:val="2"/>
      <w:sz w:val="21"/>
      <w:szCs w:val="24"/>
    </w:rPr>
  </w:style>
  <w:style w:type="character" w:customStyle="1" w:styleId="56">
    <w:name w:val="批注主题 字符"/>
    <w:basedOn w:val="55"/>
    <w:link w:val="23"/>
    <w:semiHidden/>
    <w:qFormat/>
    <w:uiPriority w:val="99"/>
    <w:rPr>
      <w:b/>
      <w:bCs/>
      <w:kern w:val="2"/>
      <w:sz w:val="21"/>
      <w:szCs w:val="24"/>
    </w:rPr>
  </w:style>
  <w:style w:type="character" w:customStyle="1" w:styleId="57">
    <w:name w:val="批注框文本 字符"/>
    <w:basedOn w:val="26"/>
    <w:link w:val="13"/>
    <w:semiHidden/>
    <w:qFormat/>
    <w:uiPriority w:val="99"/>
    <w:rPr>
      <w:kern w:val="2"/>
      <w:sz w:val="18"/>
      <w:szCs w:val="18"/>
    </w:rPr>
  </w:style>
  <w:style w:type="paragraph" w:customStyle="1" w:styleId="58">
    <w:name w:val="正文：首行缩进2字符"/>
    <w:basedOn w:val="1"/>
    <w:qFormat/>
    <w:uiPriority w:val="0"/>
    <w:pPr>
      <w:spacing w:line="360" w:lineRule="atLeast"/>
      <w:ind w:firstLine="420" w:firstLineChars="200"/>
    </w:pPr>
    <w:rPr>
      <w:rFonts w:ascii="Arial" w:hAnsi="Arial" w:cs="宋体"/>
      <w:color w:val="0000FF"/>
      <w:szCs w:val="20"/>
    </w:rPr>
  </w:style>
  <w:style w:type="character" w:customStyle="1" w:styleId="59">
    <w:name w:val="font61"/>
    <w:basedOn w:val="26"/>
    <w:qFormat/>
    <w:uiPriority w:val="0"/>
    <w:rPr>
      <w:rFonts w:hint="eastAsia" w:ascii="微软雅黑" w:hAnsi="微软雅黑" w:eastAsia="微软雅黑" w:cs="微软雅黑"/>
      <w:color w:val="000000"/>
      <w:sz w:val="24"/>
      <w:szCs w:val="24"/>
      <w:u w:val="none"/>
    </w:rPr>
  </w:style>
  <w:style w:type="character" w:customStyle="1" w:styleId="60">
    <w:name w:val="font91"/>
    <w:basedOn w:val="26"/>
    <w:qFormat/>
    <w:uiPriority w:val="0"/>
    <w:rPr>
      <w:rFonts w:hint="eastAsia" w:ascii="微软雅黑" w:hAnsi="微软雅黑" w:eastAsia="微软雅黑" w:cs="微软雅黑"/>
      <w:color w:val="000000"/>
      <w:sz w:val="21"/>
      <w:szCs w:val="21"/>
      <w:u w:val="none"/>
    </w:rPr>
  </w:style>
  <w:style w:type="paragraph" w:customStyle="1" w:styleId="61">
    <w:name w:val="1"/>
    <w:basedOn w:val="2"/>
    <w:link w:val="62"/>
    <w:qFormat/>
    <w:uiPriority w:val="0"/>
    <w:pPr>
      <w:spacing w:before="120" w:beforeLines="0" w:after="120" w:line="500" w:lineRule="exact"/>
      <w:jc w:val="left"/>
    </w:pPr>
    <w:rPr>
      <w:rFonts w:eastAsia="黑体"/>
      <w:sz w:val="30"/>
      <w:szCs w:val="72"/>
    </w:rPr>
  </w:style>
  <w:style w:type="character" w:customStyle="1" w:styleId="62">
    <w:name w:val="1 Char"/>
    <w:basedOn w:val="30"/>
    <w:link w:val="61"/>
    <w:qFormat/>
    <w:uiPriority w:val="0"/>
    <w:rPr>
      <w:rFonts w:ascii="Times New Roman" w:hAnsi="Times New Roman" w:eastAsia="黑体" w:cs="Times New Roman"/>
      <w:kern w:val="44"/>
      <w:sz w:val="30"/>
      <w:szCs w:val="72"/>
    </w:rPr>
  </w:style>
  <w:style w:type="paragraph" w:customStyle="1" w:styleId="63">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64">
    <w:name w:val="IBM 正文"/>
    <w:basedOn w:val="1"/>
    <w:qFormat/>
    <w:uiPriority w:val="0"/>
    <w:pPr>
      <w:spacing w:line="400" w:lineRule="exact"/>
      <w:ind w:firstLine="420" w:firstLineChars="200"/>
    </w:pPr>
    <w:rPr>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tyleName="APA" SelectedStyle="\APASixthEditionOfficeOnline.xsl"/>
</file>

<file path=customXml/itemProps1.xml><?xml version="1.0" encoding="utf-8"?>
<ds:datastoreItem xmlns:ds="http://schemas.openxmlformats.org/officeDocument/2006/customXml" ds:itemID="{87B73A51-2EED-4B2D-B545-BFCCA504B060}">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2005</Words>
  <Characters>2424</Characters>
  <Lines>59</Lines>
  <Paragraphs>16</Paragraphs>
  <TotalTime>4</TotalTime>
  <ScaleCrop>false</ScaleCrop>
  <LinksUpToDate>false</LinksUpToDate>
  <CharactersWithSpaces>2538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2023-01-13T23:57:00Z</dcterms:created>
  <dc:creator>纪锦超</dc:creator>
  <cp:lastModifiedBy>生活加减法</cp:lastModifiedBy>
  <dcterms:modified xsi:type="dcterms:W3CDTF">2025-02-20T00:44:35Z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9A2CB1A70D6247D9923B012189970D8A</vt:lpwstr>
  </property>
  <property fmtid="{D5CDD505-2E9C-101B-9397-08002B2CF9AE}" pid="4" name="KSOTemplateDocerSaveRecord">
    <vt:lpwstr>eyJoZGlkIjoiN2NhYmY2MWNjOTZmMjA4YWJhZGRiMTVjZTg2YTZlMzgiLCJ1c2VySWQiOiIxOTY5OTc5MzcifQ==</vt:lpwstr>
  </property>
</Properties>
</file>