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6C8D440">
      <w:pPr>
        <w:keepNext w:val="0"/>
        <w:keepLines w:val="0"/>
        <w:widowControl/>
        <w:suppressLineNumbers w:val="0"/>
        <w:jc w:val="both"/>
        <w:rPr>
          <w:rFonts w:hint="default" w:ascii="宋体" w:hAnsi="宋体" w:eastAsia="宋体" w:cs="宋体"/>
          <w:b/>
          <w:bCs/>
          <w:sz w:val="32"/>
          <w:szCs w:val="32"/>
          <w:highlight w:val="none"/>
          <w:lang w:val="en-US" w:eastAsia="zh-CN"/>
        </w:rPr>
      </w:pPr>
      <w:r>
        <w:rPr>
          <w:rFonts w:hint="default" w:ascii="Times New Roman" w:hAnsi="Times New Roman" w:eastAsia="仿宋_GB2312" w:cs="Times New Roman"/>
          <w:b w:val="0"/>
          <w:bCs w:val="0"/>
          <w:color w:val="auto"/>
          <w:sz w:val="28"/>
          <w:szCs w:val="28"/>
          <w:highlight w:val="none"/>
          <w:u w:val="none"/>
          <w:lang w:val="en-US" w:eastAsia="zh-CN"/>
        </w:rPr>
        <w:t>附件1 采购需求</w:t>
      </w:r>
    </w:p>
    <w:p w14:paraId="024CE954">
      <w:pPr>
        <w:jc w:val="center"/>
      </w:pPr>
      <w:r>
        <w:rPr>
          <w:rFonts w:hint="eastAsia" w:ascii="宋体" w:hAnsi="宋体" w:eastAsia="宋体" w:cs="宋体"/>
          <w:b/>
          <w:bCs/>
          <w:i w:val="0"/>
          <w:iCs w:val="0"/>
          <w:color w:val="000000"/>
          <w:kern w:val="0"/>
          <w:sz w:val="32"/>
          <w:szCs w:val="32"/>
          <w:u w:val="none"/>
          <w:lang w:val="en-US" w:eastAsia="zh-CN" w:bidi="ar"/>
        </w:rPr>
        <w:t>1.采购清单</w:t>
      </w:r>
    </w:p>
    <w:tbl>
      <w:tblPr>
        <w:tblStyle w:val="10"/>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autofit"/>
        <w:tblCellMar>
          <w:top w:w="0" w:type="dxa"/>
          <w:left w:w="108" w:type="dxa"/>
          <w:bottom w:w="0" w:type="dxa"/>
          <w:right w:w="108" w:type="dxa"/>
        </w:tblCellMar>
      </w:tblPr>
      <w:tblGrid>
        <w:gridCol w:w="417"/>
        <w:gridCol w:w="625"/>
        <w:gridCol w:w="3506"/>
        <w:gridCol w:w="418"/>
        <w:gridCol w:w="1115"/>
        <w:gridCol w:w="646"/>
        <w:gridCol w:w="540"/>
        <w:gridCol w:w="832"/>
        <w:gridCol w:w="423"/>
      </w:tblGrid>
      <w:tr w14:paraId="6251D9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trPr>
        <w:tc>
          <w:tcPr>
            <w:tcW w:w="244" w:type="pct"/>
            <w:tcBorders>
              <w:tl2br w:val="nil"/>
              <w:tr2bl w:val="nil"/>
            </w:tcBorders>
            <w:shd w:val="clear" w:color="auto" w:fill="auto"/>
            <w:vAlign w:val="center"/>
          </w:tcPr>
          <w:p w14:paraId="1B9EE6D3">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ascii="黑体" w:hAnsi="宋体" w:eastAsia="黑体" w:cs="黑体"/>
                <w:b/>
                <w:bCs/>
                <w:i w:val="0"/>
                <w:iCs w:val="0"/>
                <w:color w:val="000000"/>
                <w:sz w:val="20"/>
                <w:szCs w:val="20"/>
                <w:u w:val="none"/>
              </w:rPr>
            </w:pPr>
            <w:r>
              <w:rPr>
                <w:rFonts w:hint="eastAsia" w:ascii="黑体" w:hAnsi="宋体" w:eastAsia="黑体" w:cs="黑体"/>
                <w:b/>
                <w:bCs/>
                <w:i w:val="0"/>
                <w:iCs w:val="0"/>
                <w:color w:val="000000"/>
                <w:kern w:val="0"/>
                <w:sz w:val="20"/>
                <w:szCs w:val="20"/>
                <w:u w:val="none"/>
                <w:lang w:val="en-US" w:eastAsia="zh-CN" w:bidi="ar"/>
              </w:rPr>
              <w:t>序号</w:t>
            </w:r>
          </w:p>
        </w:tc>
        <w:tc>
          <w:tcPr>
            <w:tcW w:w="367" w:type="pct"/>
            <w:tcBorders>
              <w:tl2br w:val="nil"/>
              <w:tr2bl w:val="nil"/>
            </w:tcBorders>
            <w:shd w:val="clear" w:color="auto" w:fill="auto"/>
            <w:vAlign w:val="center"/>
          </w:tcPr>
          <w:p w14:paraId="60455691">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color w:val="000000"/>
                <w:kern w:val="0"/>
                <w:sz w:val="20"/>
                <w:szCs w:val="20"/>
                <w:u w:val="none"/>
                <w:lang w:val="en-US" w:eastAsia="zh-CN" w:bidi="ar"/>
              </w:rPr>
              <w:t>名称</w:t>
            </w:r>
          </w:p>
        </w:tc>
        <w:tc>
          <w:tcPr>
            <w:tcW w:w="2057" w:type="pct"/>
            <w:tcBorders>
              <w:tl2br w:val="nil"/>
              <w:tr2bl w:val="nil"/>
            </w:tcBorders>
            <w:shd w:val="clear" w:color="auto" w:fill="auto"/>
            <w:vAlign w:val="center"/>
          </w:tcPr>
          <w:p w14:paraId="18FE2193">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color w:val="000000"/>
                <w:kern w:val="0"/>
                <w:sz w:val="20"/>
                <w:szCs w:val="20"/>
                <w:u w:val="none"/>
                <w:lang w:val="en-US" w:eastAsia="zh-CN" w:bidi="ar"/>
              </w:rPr>
              <w:t>项目特征描述</w:t>
            </w:r>
          </w:p>
        </w:tc>
        <w:tc>
          <w:tcPr>
            <w:tcW w:w="245" w:type="pct"/>
            <w:tcBorders>
              <w:tl2br w:val="nil"/>
              <w:tr2bl w:val="nil"/>
            </w:tcBorders>
            <w:shd w:val="clear" w:color="auto" w:fill="auto"/>
            <w:vAlign w:val="center"/>
          </w:tcPr>
          <w:p w14:paraId="58370E48">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color w:val="000000"/>
                <w:kern w:val="0"/>
                <w:sz w:val="20"/>
                <w:szCs w:val="20"/>
                <w:u w:val="none"/>
                <w:lang w:val="en-US" w:eastAsia="zh-CN" w:bidi="ar"/>
              </w:rPr>
              <w:t>计量</w:t>
            </w:r>
            <w:r>
              <w:rPr>
                <w:rFonts w:hint="eastAsia" w:ascii="黑体" w:hAnsi="宋体" w:eastAsia="黑体" w:cs="黑体"/>
                <w:b/>
                <w:bCs/>
                <w:i w:val="0"/>
                <w:iCs w:val="0"/>
                <w:color w:val="000000"/>
                <w:kern w:val="0"/>
                <w:sz w:val="20"/>
                <w:szCs w:val="20"/>
                <w:u w:val="none"/>
                <w:lang w:val="en-US" w:eastAsia="zh-CN" w:bidi="ar"/>
              </w:rPr>
              <w:br w:type="textWrapping"/>
            </w:r>
            <w:r>
              <w:rPr>
                <w:rFonts w:hint="eastAsia" w:ascii="黑体" w:hAnsi="宋体" w:eastAsia="黑体" w:cs="黑体"/>
                <w:b/>
                <w:bCs/>
                <w:i w:val="0"/>
                <w:iCs w:val="0"/>
                <w:color w:val="000000"/>
                <w:kern w:val="0"/>
                <w:sz w:val="20"/>
                <w:szCs w:val="20"/>
                <w:u w:val="none"/>
                <w:lang w:val="en-US" w:eastAsia="zh-CN" w:bidi="ar"/>
              </w:rPr>
              <w:t>单位</w:t>
            </w:r>
          </w:p>
        </w:tc>
        <w:tc>
          <w:tcPr>
            <w:tcW w:w="654" w:type="pct"/>
            <w:tcBorders>
              <w:tl2br w:val="nil"/>
              <w:tr2bl w:val="nil"/>
            </w:tcBorders>
            <w:shd w:val="clear" w:color="auto" w:fill="auto"/>
            <w:vAlign w:val="center"/>
          </w:tcPr>
          <w:p w14:paraId="57829B19">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color w:val="000000"/>
                <w:kern w:val="0"/>
                <w:sz w:val="20"/>
                <w:szCs w:val="20"/>
                <w:u w:val="none"/>
                <w:lang w:val="en-US" w:eastAsia="zh-CN" w:bidi="ar"/>
              </w:rPr>
              <w:t>工程量</w:t>
            </w:r>
          </w:p>
        </w:tc>
        <w:tc>
          <w:tcPr>
            <w:tcW w:w="379" w:type="pct"/>
            <w:tcBorders>
              <w:tl2br w:val="nil"/>
              <w:tr2bl w:val="nil"/>
            </w:tcBorders>
            <w:shd w:val="clear" w:color="auto" w:fill="auto"/>
            <w:vAlign w:val="center"/>
          </w:tcPr>
          <w:p w14:paraId="0E2DB86B">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eastAsia" w:ascii="黑体" w:hAnsi="宋体" w:eastAsia="黑体" w:cs="黑体"/>
                <w:b/>
                <w:bCs/>
                <w:i w:val="0"/>
                <w:iCs w:val="0"/>
                <w:color w:val="000000"/>
                <w:kern w:val="0"/>
                <w:sz w:val="20"/>
                <w:szCs w:val="20"/>
                <w:u w:val="none"/>
                <w:lang w:val="en-US" w:eastAsia="zh-CN" w:bidi="ar"/>
              </w:rPr>
            </w:pPr>
            <w:r>
              <w:rPr>
                <w:rFonts w:hint="eastAsia" w:ascii="黑体" w:hAnsi="宋体" w:eastAsia="黑体" w:cs="黑体"/>
                <w:b/>
                <w:bCs/>
                <w:i w:val="0"/>
                <w:iCs w:val="0"/>
                <w:color w:val="000000"/>
                <w:kern w:val="0"/>
                <w:sz w:val="20"/>
                <w:szCs w:val="20"/>
                <w:u w:val="none"/>
                <w:lang w:val="en-US" w:eastAsia="zh-CN" w:bidi="ar"/>
              </w:rPr>
              <w:t>单价</w:t>
            </w:r>
          </w:p>
          <w:p w14:paraId="1222AD52">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eastAsia" w:ascii="黑体" w:hAnsi="宋体" w:eastAsia="黑体" w:cs="黑体"/>
                <w:b/>
                <w:bCs/>
                <w:i w:val="0"/>
                <w:iCs w:val="0"/>
                <w:color w:val="000000"/>
                <w:kern w:val="0"/>
                <w:sz w:val="20"/>
                <w:szCs w:val="20"/>
                <w:u w:val="none"/>
                <w:lang w:val="en-US" w:eastAsia="zh-CN" w:bidi="ar"/>
              </w:rPr>
            </w:pPr>
            <w:r>
              <w:rPr>
                <w:rFonts w:hint="eastAsia" w:ascii="黑体" w:hAnsi="宋体" w:eastAsia="黑体" w:cs="黑体"/>
                <w:b/>
                <w:bCs/>
                <w:i w:val="0"/>
                <w:iCs w:val="0"/>
                <w:color w:val="000000"/>
                <w:kern w:val="0"/>
                <w:sz w:val="20"/>
                <w:szCs w:val="20"/>
                <w:u w:val="none"/>
                <w:lang w:val="en-US" w:eastAsia="zh-CN" w:bidi="ar"/>
              </w:rPr>
              <w:t>（元/单位；含税）</w:t>
            </w:r>
          </w:p>
        </w:tc>
        <w:tc>
          <w:tcPr>
            <w:tcW w:w="316" w:type="pct"/>
            <w:tcBorders>
              <w:tl2br w:val="nil"/>
              <w:tr2bl w:val="nil"/>
            </w:tcBorders>
            <w:shd w:val="clear" w:color="auto" w:fill="auto"/>
            <w:vAlign w:val="center"/>
          </w:tcPr>
          <w:p w14:paraId="55C60356">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color w:val="000000"/>
                <w:kern w:val="0"/>
                <w:sz w:val="20"/>
                <w:szCs w:val="20"/>
                <w:u w:val="none"/>
                <w:lang w:val="en-US" w:eastAsia="zh-CN" w:bidi="ar"/>
              </w:rPr>
              <w:t>税率</w:t>
            </w:r>
          </w:p>
        </w:tc>
        <w:tc>
          <w:tcPr>
            <w:tcW w:w="488" w:type="pct"/>
            <w:tcBorders>
              <w:tl2br w:val="nil"/>
              <w:tr2bl w:val="nil"/>
            </w:tcBorders>
            <w:shd w:val="clear" w:color="auto" w:fill="auto"/>
            <w:vAlign w:val="center"/>
          </w:tcPr>
          <w:p w14:paraId="2B49DEF0">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eastAsia" w:ascii="黑体" w:hAnsi="宋体" w:eastAsia="黑体" w:cs="黑体"/>
                <w:b/>
                <w:bCs/>
                <w:i w:val="0"/>
                <w:iCs w:val="0"/>
                <w:color w:val="000000"/>
                <w:kern w:val="0"/>
                <w:sz w:val="20"/>
                <w:szCs w:val="20"/>
                <w:u w:val="none"/>
                <w:lang w:val="en-US" w:eastAsia="zh-CN" w:bidi="ar"/>
              </w:rPr>
            </w:pPr>
            <w:r>
              <w:rPr>
                <w:rFonts w:hint="eastAsia" w:ascii="黑体" w:hAnsi="宋体" w:eastAsia="黑体" w:cs="黑体"/>
                <w:b/>
                <w:bCs/>
                <w:i w:val="0"/>
                <w:iCs w:val="0"/>
                <w:color w:val="000000"/>
                <w:kern w:val="0"/>
                <w:sz w:val="20"/>
                <w:szCs w:val="20"/>
                <w:u w:val="none"/>
                <w:lang w:val="en-US" w:eastAsia="zh-CN" w:bidi="ar"/>
              </w:rPr>
              <w:t>小计</w:t>
            </w:r>
          </w:p>
          <w:p w14:paraId="3A1D9B60">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eastAsia" w:ascii="黑体" w:hAnsi="宋体" w:eastAsia="黑体" w:cs="黑体"/>
                <w:b/>
                <w:bCs/>
                <w:i w:val="0"/>
                <w:iCs w:val="0"/>
                <w:color w:val="000000"/>
                <w:kern w:val="0"/>
                <w:sz w:val="20"/>
                <w:szCs w:val="20"/>
                <w:u w:val="none"/>
                <w:lang w:val="en-US" w:eastAsia="zh-CN" w:bidi="ar"/>
              </w:rPr>
            </w:pPr>
            <w:r>
              <w:rPr>
                <w:rFonts w:hint="eastAsia" w:ascii="黑体" w:hAnsi="宋体" w:eastAsia="黑体" w:cs="黑体"/>
                <w:b/>
                <w:bCs/>
                <w:i w:val="0"/>
                <w:iCs w:val="0"/>
                <w:color w:val="000000"/>
                <w:kern w:val="0"/>
                <w:sz w:val="20"/>
                <w:szCs w:val="20"/>
                <w:u w:val="none"/>
                <w:lang w:val="en-US" w:eastAsia="zh-CN" w:bidi="ar"/>
              </w:rPr>
              <w:t>（元；含税）</w:t>
            </w:r>
          </w:p>
        </w:tc>
        <w:tc>
          <w:tcPr>
            <w:tcW w:w="248" w:type="pct"/>
            <w:tcBorders>
              <w:tl2br w:val="nil"/>
              <w:tr2bl w:val="nil"/>
            </w:tcBorders>
            <w:shd w:val="clear" w:color="auto" w:fill="auto"/>
            <w:vAlign w:val="center"/>
          </w:tcPr>
          <w:p w14:paraId="798522AE">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color w:val="000000"/>
                <w:kern w:val="0"/>
                <w:sz w:val="20"/>
                <w:szCs w:val="20"/>
                <w:u w:val="none"/>
                <w:lang w:val="en-US" w:eastAsia="zh-CN" w:bidi="ar"/>
              </w:rPr>
              <w:t>备注</w:t>
            </w:r>
          </w:p>
        </w:tc>
      </w:tr>
      <w:tr w14:paraId="7EB235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trPr>
        <w:tc>
          <w:tcPr>
            <w:tcW w:w="244" w:type="pct"/>
            <w:tcBorders>
              <w:tl2br w:val="nil"/>
              <w:tr2bl w:val="nil"/>
            </w:tcBorders>
            <w:shd w:val="clear" w:color="auto" w:fill="auto"/>
            <w:vAlign w:val="center"/>
          </w:tcPr>
          <w:p w14:paraId="1A811C93">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367" w:type="pct"/>
            <w:tcBorders>
              <w:tl2br w:val="nil"/>
              <w:tr2bl w:val="nil"/>
            </w:tcBorders>
            <w:shd w:val="clear" w:color="auto" w:fill="auto"/>
            <w:vAlign w:val="center"/>
          </w:tcPr>
          <w:p w14:paraId="57B60AED">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储能柜</w:t>
            </w:r>
          </w:p>
        </w:tc>
        <w:tc>
          <w:tcPr>
            <w:tcW w:w="2057" w:type="pct"/>
            <w:tcBorders>
              <w:tl2br w:val="nil"/>
              <w:tr2bl w:val="nil"/>
            </w:tcBorders>
            <w:shd w:val="clear" w:color="auto" w:fill="auto"/>
            <w:vAlign w:val="center"/>
          </w:tcPr>
          <w:p w14:paraId="0514E9F1">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1、名称：储能柜</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2、规格：PCS 100kW/215kWh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3、其他未尽事宜详见图纸、采购文件、答疑文件、图集、政府相关文件及规范等其他文件</w:t>
            </w:r>
          </w:p>
        </w:tc>
        <w:tc>
          <w:tcPr>
            <w:tcW w:w="245" w:type="pct"/>
            <w:tcBorders>
              <w:tl2br w:val="nil"/>
              <w:tr2bl w:val="nil"/>
            </w:tcBorders>
            <w:shd w:val="clear" w:color="auto" w:fill="auto"/>
            <w:vAlign w:val="center"/>
          </w:tcPr>
          <w:p w14:paraId="63EBF50A">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654" w:type="pct"/>
            <w:tcBorders>
              <w:tl2br w:val="nil"/>
              <w:tr2bl w:val="nil"/>
            </w:tcBorders>
            <w:shd w:val="clear" w:color="auto" w:fill="auto"/>
            <w:vAlign w:val="center"/>
          </w:tcPr>
          <w:p w14:paraId="636AC3ED">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2.000</w:t>
            </w:r>
          </w:p>
        </w:tc>
        <w:tc>
          <w:tcPr>
            <w:tcW w:w="379" w:type="pct"/>
            <w:tcBorders>
              <w:tl2br w:val="nil"/>
              <w:tr2bl w:val="nil"/>
            </w:tcBorders>
            <w:shd w:val="clear" w:color="auto" w:fill="auto"/>
            <w:noWrap/>
            <w:vAlign w:val="bottom"/>
          </w:tcPr>
          <w:p w14:paraId="09994447">
            <w:pPr>
              <w:keepNext w:val="0"/>
              <w:keepLines w:val="0"/>
              <w:pageBreakBefore w:val="0"/>
              <w:widowControl w:val="0"/>
              <w:kinsoku/>
              <w:wordWrap/>
              <w:overflowPunct/>
              <w:topLinePunct w:val="0"/>
              <w:autoSpaceDE/>
              <w:autoSpaceDN/>
              <w:bidi w:val="0"/>
              <w:adjustRightInd/>
              <w:snapToGrid/>
              <w:jc w:val="center"/>
              <w:rPr>
                <w:rFonts w:hint="eastAsia" w:ascii="宋体" w:hAnsi="宋体" w:eastAsia="宋体" w:cs="宋体"/>
                <w:i w:val="0"/>
                <w:iCs w:val="0"/>
                <w:color w:val="000000"/>
                <w:sz w:val="20"/>
                <w:szCs w:val="20"/>
                <w:u w:val="none"/>
              </w:rPr>
            </w:pPr>
          </w:p>
        </w:tc>
        <w:tc>
          <w:tcPr>
            <w:tcW w:w="316" w:type="pct"/>
            <w:tcBorders>
              <w:tl2br w:val="nil"/>
              <w:tr2bl w:val="nil"/>
            </w:tcBorders>
            <w:shd w:val="clear" w:color="auto" w:fill="auto"/>
            <w:vAlign w:val="center"/>
          </w:tcPr>
          <w:p w14:paraId="6EF44FF3">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488" w:type="pct"/>
            <w:tcBorders>
              <w:tl2br w:val="nil"/>
              <w:tr2bl w:val="nil"/>
            </w:tcBorders>
            <w:shd w:val="clear" w:color="auto" w:fill="auto"/>
            <w:vAlign w:val="center"/>
          </w:tcPr>
          <w:p w14:paraId="58FA4295">
            <w:pPr>
              <w:keepNext w:val="0"/>
              <w:keepLines w:val="0"/>
              <w:pageBreakBefore w:val="0"/>
              <w:widowControl w:val="0"/>
              <w:kinsoku/>
              <w:wordWrap/>
              <w:overflowPunct/>
              <w:topLinePunct w:val="0"/>
              <w:autoSpaceDE/>
              <w:autoSpaceDN/>
              <w:bidi w:val="0"/>
              <w:adjustRightInd/>
              <w:snapToGrid/>
              <w:jc w:val="center"/>
              <w:rPr>
                <w:rFonts w:hint="eastAsia" w:ascii="宋体" w:hAnsi="宋体" w:eastAsia="宋体" w:cs="宋体"/>
                <w:i w:val="0"/>
                <w:iCs w:val="0"/>
                <w:color w:val="E54C5E"/>
                <w:sz w:val="20"/>
                <w:szCs w:val="20"/>
                <w:u w:val="none"/>
              </w:rPr>
            </w:pPr>
          </w:p>
        </w:tc>
        <w:tc>
          <w:tcPr>
            <w:tcW w:w="248" w:type="pct"/>
            <w:tcBorders>
              <w:tl2br w:val="nil"/>
              <w:tr2bl w:val="nil"/>
            </w:tcBorders>
            <w:shd w:val="clear" w:color="auto" w:fill="auto"/>
            <w:vAlign w:val="center"/>
          </w:tcPr>
          <w:p w14:paraId="36A9699E">
            <w:pPr>
              <w:keepNext w:val="0"/>
              <w:keepLines w:val="0"/>
              <w:pageBreakBefore w:val="0"/>
              <w:widowControl w:val="0"/>
              <w:kinsoku/>
              <w:wordWrap/>
              <w:overflowPunct/>
              <w:topLinePunct w:val="0"/>
              <w:autoSpaceDE/>
              <w:autoSpaceDN/>
              <w:bidi w:val="0"/>
              <w:adjustRightInd/>
              <w:snapToGrid/>
              <w:jc w:val="right"/>
              <w:rPr>
                <w:rFonts w:hint="eastAsia" w:ascii="宋体" w:hAnsi="宋体" w:eastAsia="宋体" w:cs="宋体"/>
                <w:i w:val="0"/>
                <w:iCs w:val="0"/>
                <w:color w:val="E54C5E"/>
                <w:sz w:val="20"/>
                <w:szCs w:val="20"/>
                <w:u w:val="none"/>
              </w:rPr>
            </w:pPr>
          </w:p>
        </w:tc>
      </w:tr>
      <w:tr w14:paraId="36186E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trPr>
        <w:tc>
          <w:tcPr>
            <w:tcW w:w="244" w:type="pct"/>
            <w:tcBorders>
              <w:tl2br w:val="nil"/>
              <w:tr2bl w:val="nil"/>
            </w:tcBorders>
            <w:shd w:val="clear" w:color="auto" w:fill="auto"/>
            <w:vAlign w:val="center"/>
          </w:tcPr>
          <w:p w14:paraId="3E92755F">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367" w:type="pct"/>
            <w:tcBorders>
              <w:tl2br w:val="nil"/>
              <w:tr2bl w:val="nil"/>
            </w:tcBorders>
            <w:shd w:val="clear" w:color="auto" w:fill="auto"/>
            <w:vAlign w:val="center"/>
          </w:tcPr>
          <w:p w14:paraId="2D3AB5FE">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储能汇流柜</w:t>
            </w:r>
          </w:p>
        </w:tc>
        <w:tc>
          <w:tcPr>
            <w:tcW w:w="2057" w:type="pct"/>
            <w:tcBorders>
              <w:tl2br w:val="nil"/>
              <w:tr2bl w:val="nil"/>
            </w:tcBorders>
            <w:shd w:val="clear" w:color="auto" w:fill="auto"/>
            <w:vAlign w:val="center"/>
          </w:tcPr>
          <w:p w14:paraId="28E520C0">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1、名称：储能汇流柜</w:t>
            </w:r>
            <w:bookmarkStart w:id="0" w:name="_GoBack"/>
            <w:bookmarkEnd w:id="0"/>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2、规格：E-hub 能源管理系统</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3、其他未尽事宜详见图纸、采购文件、答疑文件、图集、政府相关文件及规范等其他文件</w:t>
            </w:r>
          </w:p>
        </w:tc>
        <w:tc>
          <w:tcPr>
            <w:tcW w:w="245" w:type="pct"/>
            <w:tcBorders>
              <w:tl2br w:val="nil"/>
              <w:tr2bl w:val="nil"/>
            </w:tcBorders>
            <w:shd w:val="clear" w:color="auto" w:fill="auto"/>
            <w:vAlign w:val="center"/>
          </w:tcPr>
          <w:p w14:paraId="78713F64">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654" w:type="pct"/>
            <w:tcBorders>
              <w:tl2br w:val="nil"/>
              <w:tr2bl w:val="nil"/>
            </w:tcBorders>
            <w:shd w:val="clear" w:color="auto" w:fill="auto"/>
            <w:vAlign w:val="center"/>
          </w:tcPr>
          <w:p w14:paraId="4BBDCC42">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1.000</w:t>
            </w:r>
          </w:p>
        </w:tc>
        <w:tc>
          <w:tcPr>
            <w:tcW w:w="379" w:type="pct"/>
            <w:tcBorders>
              <w:tl2br w:val="nil"/>
              <w:tr2bl w:val="nil"/>
            </w:tcBorders>
            <w:shd w:val="clear" w:color="auto" w:fill="auto"/>
            <w:noWrap/>
            <w:vAlign w:val="bottom"/>
          </w:tcPr>
          <w:p w14:paraId="7F8C81DE">
            <w:pPr>
              <w:keepNext w:val="0"/>
              <w:keepLines w:val="0"/>
              <w:pageBreakBefore w:val="0"/>
              <w:widowControl w:val="0"/>
              <w:kinsoku/>
              <w:wordWrap/>
              <w:overflowPunct/>
              <w:topLinePunct w:val="0"/>
              <w:autoSpaceDE/>
              <w:autoSpaceDN/>
              <w:bidi w:val="0"/>
              <w:adjustRightInd/>
              <w:snapToGrid/>
              <w:jc w:val="center"/>
              <w:rPr>
                <w:rFonts w:hint="eastAsia" w:ascii="宋体" w:hAnsi="宋体" w:eastAsia="宋体" w:cs="宋体"/>
                <w:i w:val="0"/>
                <w:iCs w:val="0"/>
                <w:color w:val="000000"/>
                <w:sz w:val="20"/>
                <w:szCs w:val="20"/>
                <w:u w:val="none"/>
              </w:rPr>
            </w:pPr>
          </w:p>
        </w:tc>
        <w:tc>
          <w:tcPr>
            <w:tcW w:w="316" w:type="pct"/>
            <w:tcBorders>
              <w:tl2br w:val="nil"/>
              <w:tr2bl w:val="nil"/>
            </w:tcBorders>
            <w:shd w:val="clear" w:color="auto" w:fill="auto"/>
            <w:vAlign w:val="center"/>
          </w:tcPr>
          <w:p w14:paraId="48E246C9">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488" w:type="pct"/>
            <w:tcBorders>
              <w:tl2br w:val="nil"/>
              <w:tr2bl w:val="nil"/>
            </w:tcBorders>
            <w:shd w:val="clear" w:color="auto" w:fill="auto"/>
            <w:vAlign w:val="center"/>
          </w:tcPr>
          <w:p w14:paraId="262DFEF7">
            <w:pPr>
              <w:keepNext w:val="0"/>
              <w:keepLines w:val="0"/>
              <w:pageBreakBefore w:val="0"/>
              <w:widowControl w:val="0"/>
              <w:kinsoku/>
              <w:wordWrap/>
              <w:overflowPunct/>
              <w:topLinePunct w:val="0"/>
              <w:autoSpaceDE/>
              <w:autoSpaceDN/>
              <w:bidi w:val="0"/>
              <w:adjustRightInd/>
              <w:snapToGrid/>
              <w:jc w:val="center"/>
              <w:rPr>
                <w:rFonts w:hint="eastAsia" w:ascii="宋体" w:hAnsi="宋体" w:eastAsia="宋体" w:cs="宋体"/>
                <w:i w:val="0"/>
                <w:iCs w:val="0"/>
                <w:color w:val="000000"/>
                <w:sz w:val="20"/>
                <w:szCs w:val="20"/>
                <w:u w:val="none"/>
              </w:rPr>
            </w:pPr>
          </w:p>
        </w:tc>
        <w:tc>
          <w:tcPr>
            <w:tcW w:w="248" w:type="pct"/>
            <w:tcBorders>
              <w:tl2br w:val="nil"/>
              <w:tr2bl w:val="nil"/>
            </w:tcBorders>
            <w:shd w:val="clear" w:color="auto" w:fill="auto"/>
            <w:vAlign w:val="center"/>
          </w:tcPr>
          <w:p w14:paraId="7EEBEF00">
            <w:pPr>
              <w:keepNext w:val="0"/>
              <w:keepLines w:val="0"/>
              <w:pageBreakBefore w:val="0"/>
              <w:widowControl w:val="0"/>
              <w:kinsoku/>
              <w:wordWrap/>
              <w:overflowPunct/>
              <w:topLinePunct w:val="0"/>
              <w:autoSpaceDE/>
              <w:autoSpaceDN/>
              <w:bidi w:val="0"/>
              <w:adjustRightInd/>
              <w:snapToGrid/>
              <w:jc w:val="right"/>
              <w:rPr>
                <w:rFonts w:hint="eastAsia" w:ascii="宋体" w:hAnsi="宋体" w:eastAsia="宋体" w:cs="宋体"/>
                <w:i w:val="0"/>
                <w:iCs w:val="0"/>
                <w:color w:val="E54C5E"/>
                <w:sz w:val="20"/>
                <w:szCs w:val="20"/>
                <w:u w:val="none"/>
              </w:rPr>
            </w:pPr>
          </w:p>
        </w:tc>
      </w:tr>
      <w:tr w14:paraId="0C6C052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trPr>
        <w:tc>
          <w:tcPr>
            <w:tcW w:w="4263" w:type="pct"/>
            <w:gridSpan w:val="7"/>
            <w:tcBorders>
              <w:tl2br w:val="nil"/>
              <w:tr2bl w:val="nil"/>
            </w:tcBorders>
            <w:shd w:val="clear" w:color="auto" w:fill="auto"/>
            <w:vAlign w:val="center"/>
          </w:tcPr>
          <w:p w14:paraId="5F497ED8">
            <w:pPr>
              <w:keepNext w:val="0"/>
              <w:keepLines w:val="0"/>
              <w:pageBreakBefore w:val="0"/>
              <w:widowControl w:val="0"/>
              <w:kinsoku/>
              <w:wordWrap/>
              <w:overflowPunct/>
              <w:topLinePunct w:val="0"/>
              <w:autoSpaceDE/>
              <w:autoSpaceDN/>
              <w:bidi w:val="0"/>
              <w:adjustRightInd/>
              <w:snapToGrid/>
              <w:jc w:val="center"/>
              <w:rPr>
                <w:rFonts w:hint="default" w:ascii="Arial" w:hAnsi="Arial" w:eastAsia="宋体" w:cs="Arial"/>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合计（元；含税）</w:t>
            </w:r>
          </w:p>
        </w:tc>
        <w:tc>
          <w:tcPr>
            <w:tcW w:w="488" w:type="pct"/>
            <w:tcBorders>
              <w:tl2br w:val="nil"/>
              <w:tr2bl w:val="nil"/>
            </w:tcBorders>
            <w:shd w:val="clear" w:color="auto" w:fill="auto"/>
            <w:vAlign w:val="center"/>
          </w:tcPr>
          <w:p w14:paraId="04927F93">
            <w:pPr>
              <w:keepNext w:val="0"/>
              <w:keepLines w:val="0"/>
              <w:pageBreakBefore w:val="0"/>
              <w:widowControl w:val="0"/>
              <w:kinsoku/>
              <w:wordWrap/>
              <w:overflowPunct/>
              <w:topLinePunct w:val="0"/>
              <w:autoSpaceDE/>
              <w:autoSpaceDN/>
              <w:bidi w:val="0"/>
              <w:adjustRightInd/>
              <w:snapToGrid/>
              <w:jc w:val="right"/>
              <w:rPr>
                <w:rFonts w:hint="eastAsia" w:ascii="宋体" w:hAnsi="宋体" w:eastAsia="宋体" w:cs="宋体"/>
                <w:i w:val="0"/>
                <w:iCs w:val="0"/>
                <w:color w:val="000000"/>
                <w:sz w:val="20"/>
                <w:szCs w:val="20"/>
                <w:u w:val="none"/>
              </w:rPr>
            </w:pPr>
          </w:p>
        </w:tc>
        <w:tc>
          <w:tcPr>
            <w:tcW w:w="248" w:type="pct"/>
            <w:tcBorders>
              <w:tl2br w:val="nil"/>
              <w:tr2bl w:val="nil"/>
            </w:tcBorders>
            <w:shd w:val="clear" w:color="auto" w:fill="auto"/>
            <w:noWrap/>
            <w:vAlign w:val="bottom"/>
          </w:tcPr>
          <w:p w14:paraId="01868605">
            <w:pPr>
              <w:keepNext w:val="0"/>
              <w:keepLines w:val="0"/>
              <w:pageBreakBefore w:val="0"/>
              <w:widowControl w:val="0"/>
              <w:kinsoku/>
              <w:wordWrap/>
              <w:overflowPunct/>
              <w:topLinePunct w:val="0"/>
              <w:autoSpaceDE/>
              <w:autoSpaceDN/>
              <w:bidi w:val="0"/>
              <w:adjustRightInd/>
              <w:snapToGrid/>
              <w:jc w:val="left"/>
              <w:rPr>
                <w:rFonts w:hint="default" w:ascii="Arial" w:hAnsi="Arial" w:eastAsia="宋体" w:cs="Arial"/>
                <w:b/>
                <w:bCs/>
                <w:i w:val="0"/>
                <w:iCs w:val="0"/>
                <w:color w:val="000000"/>
                <w:sz w:val="20"/>
                <w:szCs w:val="20"/>
                <w:u w:val="none"/>
              </w:rPr>
            </w:pPr>
          </w:p>
        </w:tc>
      </w:tr>
    </w:tbl>
    <w:p w14:paraId="487D97CD">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both"/>
        <w:textAlignment w:val="auto"/>
        <w:rPr>
          <w:rFonts w:hint="eastAsia" w:ascii="Times New Roman" w:hAnsi="Times New Roman" w:cs="Times New Roman"/>
          <w:sz w:val="32"/>
          <w:szCs w:val="32"/>
          <w:lang w:val="en-US" w:eastAsia="zh-CN"/>
        </w:rPr>
      </w:pPr>
      <w:r>
        <w:rPr>
          <w:rFonts w:hint="eastAsia" w:ascii="Times New Roman" w:hAnsi="Times New Roman" w:cs="Times New Roman"/>
          <w:sz w:val="32"/>
          <w:szCs w:val="32"/>
          <w:lang w:val="en-US" w:eastAsia="zh-CN"/>
        </w:rPr>
        <w:t>2.物资材料验收时供应商需提供产品质量合格证明文件或第三方检测报告或出厂检测合格报告等能够证明产品质量合格的文件资料。</w:t>
      </w:r>
    </w:p>
    <w:p w14:paraId="2C149CF7">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both"/>
        <w:textAlignment w:val="auto"/>
        <w:rPr>
          <w:rFonts w:hint="eastAsia" w:ascii="Times New Roman" w:hAnsi="Times New Roman" w:cs="Times New Roman"/>
          <w:sz w:val="32"/>
          <w:szCs w:val="32"/>
          <w:lang w:val="en-US" w:eastAsia="zh-CN"/>
        </w:rPr>
      </w:pPr>
    </w:p>
    <w:p w14:paraId="740A6DB6">
      <w:pPr>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c3M2Y5NzIzMDFlZjAyY2Q4Njk5ODkyYjFjNzBiNTQifQ=="/>
    <w:docVar w:name="KSO_WPS_MARK_KEY" w:val="e25d235b-bfcb-4db4-8c3a-96cb41484f81"/>
  </w:docVars>
  <w:rsids>
    <w:rsidRoot w:val="2C8D55F1"/>
    <w:rsid w:val="0002117A"/>
    <w:rsid w:val="00702588"/>
    <w:rsid w:val="00773916"/>
    <w:rsid w:val="011871BF"/>
    <w:rsid w:val="015F4443"/>
    <w:rsid w:val="017936BE"/>
    <w:rsid w:val="01BB7833"/>
    <w:rsid w:val="0261662C"/>
    <w:rsid w:val="026659F0"/>
    <w:rsid w:val="034F7B48"/>
    <w:rsid w:val="0433224A"/>
    <w:rsid w:val="043438CC"/>
    <w:rsid w:val="043F474B"/>
    <w:rsid w:val="04416527"/>
    <w:rsid w:val="04445A59"/>
    <w:rsid w:val="07207C8B"/>
    <w:rsid w:val="073428F3"/>
    <w:rsid w:val="07CC09EB"/>
    <w:rsid w:val="08585DDB"/>
    <w:rsid w:val="0895702F"/>
    <w:rsid w:val="08C72F61"/>
    <w:rsid w:val="097035F9"/>
    <w:rsid w:val="098D7D07"/>
    <w:rsid w:val="09A47FE3"/>
    <w:rsid w:val="09B26493"/>
    <w:rsid w:val="09E963BD"/>
    <w:rsid w:val="09F90B7C"/>
    <w:rsid w:val="0A171CC6"/>
    <w:rsid w:val="0AB6423A"/>
    <w:rsid w:val="0B162F9D"/>
    <w:rsid w:val="0B25614D"/>
    <w:rsid w:val="0B57681E"/>
    <w:rsid w:val="0BFD4E9D"/>
    <w:rsid w:val="0C6C0213"/>
    <w:rsid w:val="0CCE634C"/>
    <w:rsid w:val="0D6E4355"/>
    <w:rsid w:val="0EDE1004"/>
    <w:rsid w:val="0F0D4362"/>
    <w:rsid w:val="10CD30DE"/>
    <w:rsid w:val="10D26947"/>
    <w:rsid w:val="111807FE"/>
    <w:rsid w:val="111B6540"/>
    <w:rsid w:val="12281DA0"/>
    <w:rsid w:val="1324792E"/>
    <w:rsid w:val="13C51BBF"/>
    <w:rsid w:val="14103A0E"/>
    <w:rsid w:val="143D67CD"/>
    <w:rsid w:val="14BB5B68"/>
    <w:rsid w:val="152F25B6"/>
    <w:rsid w:val="16C81358"/>
    <w:rsid w:val="16FD252F"/>
    <w:rsid w:val="184B4649"/>
    <w:rsid w:val="188744BB"/>
    <w:rsid w:val="1AE101ED"/>
    <w:rsid w:val="1C393D1E"/>
    <w:rsid w:val="1C6A3ED7"/>
    <w:rsid w:val="1D745FD8"/>
    <w:rsid w:val="1D8D4321"/>
    <w:rsid w:val="1DAA6C81"/>
    <w:rsid w:val="1EDD4E34"/>
    <w:rsid w:val="1FAF67D1"/>
    <w:rsid w:val="20174376"/>
    <w:rsid w:val="207254A1"/>
    <w:rsid w:val="20AE0304"/>
    <w:rsid w:val="20AF0487"/>
    <w:rsid w:val="218B501C"/>
    <w:rsid w:val="21EA1D42"/>
    <w:rsid w:val="21F10524"/>
    <w:rsid w:val="22041AC9"/>
    <w:rsid w:val="23046E34"/>
    <w:rsid w:val="239161EE"/>
    <w:rsid w:val="23AB5501"/>
    <w:rsid w:val="23FC3FAF"/>
    <w:rsid w:val="240415DF"/>
    <w:rsid w:val="24F15196"/>
    <w:rsid w:val="2563051A"/>
    <w:rsid w:val="257D4C7B"/>
    <w:rsid w:val="25AD14FF"/>
    <w:rsid w:val="25F211C5"/>
    <w:rsid w:val="265C5285"/>
    <w:rsid w:val="274624BC"/>
    <w:rsid w:val="28096C9A"/>
    <w:rsid w:val="290A14E0"/>
    <w:rsid w:val="290E5995"/>
    <w:rsid w:val="29A7676B"/>
    <w:rsid w:val="29E23D6D"/>
    <w:rsid w:val="29FD45DD"/>
    <w:rsid w:val="2A9F7442"/>
    <w:rsid w:val="2AE41B02"/>
    <w:rsid w:val="2B00322B"/>
    <w:rsid w:val="2BE94D47"/>
    <w:rsid w:val="2C11436F"/>
    <w:rsid w:val="2C567FD4"/>
    <w:rsid w:val="2C8D55F1"/>
    <w:rsid w:val="2DD37B2E"/>
    <w:rsid w:val="3054752A"/>
    <w:rsid w:val="30847806"/>
    <w:rsid w:val="31CD5CAD"/>
    <w:rsid w:val="31F938DC"/>
    <w:rsid w:val="320A1650"/>
    <w:rsid w:val="34452E08"/>
    <w:rsid w:val="345D2074"/>
    <w:rsid w:val="35245113"/>
    <w:rsid w:val="360931FD"/>
    <w:rsid w:val="361D53EC"/>
    <w:rsid w:val="36496DE4"/>
    <w:rsid w:val="368E10DD"/>
    <w:rsid w:val="36B87FCE"/>
    <w:rsid w:val="36D44917"/>
    <w:rsid w:val="36DA1F2E"/>
    <w:rsid w:val="36FE4905"/>
    <w:rsid w:val="38B13162"/>
    <w:rsid w:val="38F0795C"/>
    <w:rsid w:val="39F01A68"/>
    <w:rsid w:val="3AC76C6D"/>
    <w:rsid w:val="3AF31810"/>
    <w:rsid w:val="3B984165"/>
    <w:rsid w:val="3BAC5E63"/>
    <w:rsid w:val="3BD76142"/>
    <w:rsid w:val="3BDD1C9A"/>
    <w:rsid w:val="3C8972BE"/>
    <w:rsid w:val="3D962926"/>
    <w:rsid w:val="3DD31485"/>
    <w:rsid w:val="3E347140"/>
    <w:rsid w:val="3F03223E"/>
    <w:rsid w:val="3FA07A8C"/>
    <w:rsid w:val="40BB2DD0"/>
    <w:rsid w:val="40DB4CE3"/>
    <w:rsid w:val="41CA47A1"/>
    <w:rsid w:val="42445EF3"/>
    <w:rsid w:val="425F5043"/>
    <w:rsid w:val="42B06238"/>
    <w:rsid w:val="42CD0B98"/>
    <w:rsid w:val="42D47DE3"/>
    <w:rsid w:val="44A66906"/>
    <w:rsid w:val="45344316"/>
    <w:rsid w:val="456450B8"/>
    <w:rsid w:val="458614D2"/>
    <w:rsid w:val="464C7905"/>
    <w:rsid w:val="47370CD6"/>
    <w:rsid w:val="473E2065"/>
    <w:rsid w:val="474B4782"/>
    <w:rsid w:val="475E2707"/>
    <w:rsid w:val="47775577"/>
    <w:rsid w:val="48621D83"/>
    <w:rsid w:val="49521DF7"/>
    <w:rsid w:val="498D6D0C"/>
    <w:rsid w:val="49F17862"/>
    <w:rsid w:val="4A0C75E2"/>
    <w:rsid w:val="4A62606A"/>
    <w:rsid w:val="4A730277"/>
    <w:rsid w:val="4A856C92"/>
    <w:rsid w:val="4AAC3789"/>
    <w:rsid w:val="4BD9235C"/>
    <w:rsid w:val="4BED5E07"/>
    <w:rsid w:val="4C0A79EA"/>
    <w:rsid w:val="4C0F3FD0"/>
    <w:rsid w:val="4C63431C"/>
    <w:rsid w:val="503C55AF"/>
    <w:rsid w:val="5176689F"/>
    <w:rsid w:val="5314011E"/>
    <w:rsid w:val="535D1AC5"/>
    <w:rsid w:val="535F3A8F"/>
    <w:rsid w:val="53CA366B"/>
    <w:rsid w:val="545804DE"/>
    <w:rsid w:val="551C775D"/>
    <w:rsid w:val="55E305D4"/>
    <w:rsid w:val="56B23ED5"/>
    <w:rsid w:val="56CA4951"/>
    <w:rsid w:val="57C2639A"/>
    <w:rsid w:val="590C7EA4"/>
    <w:rsid w:val="591470C9"/>
    <w:rsid w:val="59457283"/>
    <w:rsid w:val="595B08A7"/>
    <w:rsid w:val="59A044B9"/>
    <w:rsid w:val="5A00764E"/>
    <w:rsid w:val="5A290952"/>
    <w:rsid w:val="5AB754A6"/>
    <w:rsid w:val="5AF56A87"/>
    <w:rsid w:val="5BE56AFB"/>
    <w:rsid w:val="5C4F6BD1"/>
    <w:rsid w:val="5C50666A"/>
    <w:rsid w:val="5C6E42B2"/>
    <w:rsid w:val="5C700ABB"/>
    <w:rsid w:val="5CF32339"/>
    <w:rsid w:val="5CFF3BED"/>
    <w:rsid w:val="5D445AA3"/>
    <w:rsid w:val="5D8977E8"/>
    <w:rsid w:val="5E2C27BF"/>
    <w:rsid w:val="60A61C0E"/>
    <w:rsid w:val="60B065B7"/>
    <w:rsid w:val="61B747E8"/>
    <w:rsid w:val="61DD0F07"/>
    <w:rsid w:val="62854B94"/>
    <w:rsid w:val="6378131D"/>
    <w:rsid w:val="63FB31EA"/>
    <w:rsid w:val="64135A89"/>
    <w:rsid w:val="64964E36"/>
    <w:rsid w:val="64B67287"/>
    <w:rsid w:val="679118E5"/>
    <w:rsid w:val="67CF26DD"/>
    <w:rsid w:val="69304F32"/>
    <w:rsid w:val="69D40201"/>
    <w:rsid w:val="6A274783"/>
    <w:rsid w:val="6A6C074C"/>
    <w:rsid w:val="6A752B16"/>
    <w:rsid w:val="6B0F5943"/>
    <w:rsid w:val="6B6D2669"/>
    <w:rsid w:val="6B8A44FA"/>
    <w:rsid w:val="6C890097"/>
    <w:rsid w:val="6DAD31F1"/>
    <w:rsid w:val="6DBB70A1"/>
    <w:rsid w:val="6E00031E"/>
    <w:rsid w:val="6F683AD2"/>
    <w:rsid w:val="6F6F72B0"/>
    <w:rsid w:val="6FC36CFC"/>
    <w:rsid w:val="70383246"/>
    <w:rsid w:val="70D46855"/>
    <w:rsid w:val="72F054D5"/>
    <w:rsid w:val="73790697"/>
    <w:rsid w:val="739369E5"/>
    <w:rsid w:val="73FE0302"/>
    <w:rsid w:val="74626AE3"/>
    <w:rsid w:val="74E449D9"/>
    <w:rsid w:val="7513602F"/>
    <w:rsid w:val="751F6782"/>
    <w:rsid w:val="75F95225"/>
    <w:rsid w:val="75F96FD3"/>
    <w:rsid w:val="760A3563"/>
    <w:rsid w:val="762F05C5"/>
    <w:rsid w:val="767D5622"/>
    <w:rsid w:val="76A930E3"/>
    <w:rsid w:val="76CA6BC2"/>
    <w:rsid w:val="785030F6"/>
    <w:rsid w:val="795A247F"/>
    <w:rsid w:val="79BA2F1D"/>
    <w:rsid w:val="79C8388C"/>
    <w:rsid w:val="7B446F42"/>
    <w:rsid w:val="7C556F2D"/>
    <w:rsid w:val="7C885A6A"/>
    <w:rsid w:val="7D250F7A"/>
    <w:rsid w:val="7D6769C4"/>
    <w:rsid w:val="7DC0201E"/>
    <w:rsid w:val="7FAC35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3"/>
    <w:qFormat/>
    <w:uiPriority w:val="0"/>
    <w:pPr>
      <w:keepNext/>
      <w:keepLines/>
      <w:spacing w:before="240" w:after="240" w:line="600" w:lineRule="auto"/>
      <w:jc w:val="center"/>
      <w:outlineLvl w:val="0"/>
    </w:pPr>
    <w:rPr>
      <w:rFonts w:ascii="仿宋" w:hAnsi="仿宋" w:eastAsia="仿宋"/>
      <w:b/>
      <w:bCs/>
      <w:color w:val="000000"/>
      <w:kern w:val="44"/>
      <w:sz w:val="32"/>
      <w:szCs w:val="44"/>
    </w:rPr>
  </w:style>
  <w:style w:type="paragraph" w:styleId="3">
    <w:name w:val="heading 2"/>
    <w:basedOn w:val="1"/>
    <w:next w:val="4"/>
    <w:qFormat/>
    <w:uiPriority w:val="9"/>
    <w:pPr>
      <w:keepNext/>
      <w:keepLines/>
      <w:spacing w:before="120" w:after="120"/>
      <w:outlineLvl w:val="1"/>
    </w:pPr>
    <w:rPr>
      <w:rFonts w:ascii="仿宋" w:hAnsi="仿宋" w:eastAsia="仿宋"/>
      <w:b/>
      <w:bCs/>
      <w:kern w:val="0"/>
      <w:sz w:val="28"/>
      <w:szCs w:val="28"/>
    </w:rPr>
  </w:style>
  <w:style w:type="paragraph" w:styleId="4">
    <w:name w:val="heading 3"/>
    <w:basedOn w:val="1"/>
    <w:next w:val="1"/>
    <w:qFormat/>
    <w:uiPriority w:val="0"/>
    <w:pPr>
      <w:keepNext/>
      <w:keepLines/>
      <w:spacing w:beforeLines="50" w:afterLines="50"/>
      <w:outlineLvl w:val="2"/>
    </w:pPr>
    <w:rPr>
      <w:rFonts w:ascii="仿宋" w:hAnsi="仿宋" w:eastAsia="仿宋"/>
      <w:b/>
      <w:bCs/>
      <w:kern w:val="0"/>
      <w:sz w:val="24"/>
      <w:szCs w:val="32"/>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5">
    <w:name w:val="Body Text"/>
    <w:basedOn w:val="1"/>
    <w:qFormat/>
    <w:uiPriority w:val="99"/>
    <w:pPr>
      <w:spacing w:after="120"/>
    </w:pPr>
    <w:rPr>
      <w:rFonts w:ascii="Times New Roman" w:hAnsi="Times New Roman"/>
      <w:kern w:val="0"/>
      <w:sz w:val="20"/>
      <w:szCs w:val="20"/>
    </w:rPr>
  </w:style>
  <w:style w:type="paragraph" w:styleId="6">
    <w:name w:val="Body Text Indent"/>
    <w:basedOn w:val="1"/>
    <w:semiHidden/>
    <w:unhideWhenUsed/>
    <w:qFormat/>
    <w:uiPriority w:val="99"/>
    <w:pPr>
      <w:spacing w:after="120"/>
      <w:ind w:left="420" w:leftChars="200"/>
    </w:pPr>
  </w:style>
  <w:style w:type="paragraph" w:styleId="7">
    <w:name w:val="footer"/>
    <w:basedOn w:val="1"/>
    <w:qFormat/>
    <w:uiPriority w:val="99"/>
    <w:pPr>
      <w:tabs>
        <w:tab w:val="center" w:pos="4153"/>
        <w:tab w:val="right" w:pos="8306"/>
      </w:tabs>
      <w:snapToGrid w:val="0"/>
      <w:jc w:val="left"/>
    </w:pPr>
    <w:rPr>
      <w:sz w:val="18"/>
      <w:szCs w:val="18"/>
    </w:rPr>
  </w:style>
  <w:style w:type="paragraph" w:styleId="8">
    <w:name w:val="envelope return"/>
    <w:basedOn w:val="1"/>
    <w:unhideWhenUsed/>
    <w:qFormat/>
    <w:uiPriority w:val="0"/>
    <w:pPr>
      <w:snapToGrid w:val="0"/>
    </w:pPr>
    <w:rPr>
      <w:rFonts w:hint="eastAsia" w:ascii="Arial" w:hAnsi="Arial"/>
    </w:rPr>
  </w:style>
  <w:style w:type="paragraph" w:styleId="9">
    <w:name w:val="Body Text First Indent 2"/>
    <w:basedOn w:val="6"/>
    <w:next w:val="1"/>
    <w:semiHidden/>
    <w:unhideWhenUsed/>
    <w:qFormat/>
    <w:uiPriority w:val="99"/>
    <w:pPr>
      <w:ind w:firstLine="420" w:firstLineChars="200"/>
    </w:p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3">
    <w:name w:val="标4"/>
    <w:basedOn w:val="1"/>
    <w:qFormat/>
    <w:uiPriority w:val="0"/>
    <w:pPr>
      <w:adjustRightInd w:val="0"/>
      <w:spacing w:before="240" w:after="360" w:line="240" w:lineRule="exact"/>
      <w:ind w:firstLine="0" w:firstLineChars="0"/>
      <w:outlineLvl w:val="3"/>
    </w:pPr>
    <w:rPr>
      <w:rFonts w:ascii="Arial" w:hAnsi="Arial" w:cs="Arial"/>
      <w:b/>
      <w:bCs/>
      <w:kern w:val="24"/>
    </w:rPr>
  </w:style>
  <w:style w:type="paragraph" w:customStyle="1" w:styleId="14">
    <w:name w:val="Heading1"/>
    <w:basedOn w:val="1"/>
    <w:next w:val="1"/>
    <w:qFormat/>
    <w:uiPriority w:val="0"/>
    <w:pPr>
      <w:keepNext/>
      <w:keepLines/>
      <w:spacing w:before="340" w:after="330" w:line="578" w:lineRule="auto"/>
      <w:jc w:val="center"/>
      <w:textAlignment w:val="baseline"/>
    </w:pPr>
    <w:rPr>
      <w:rFonts w:ascii="Calibri" w:hAnsi="Calibri" w:eastAsia="宋体" w:cs="Times New Roman"/>
      <w:b/>
      <w:bCs/>
      <w:kern w:val="44"/>
      <w:sz w:val="32"/>
      <w:szCs w:val="4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251</Words>
  <Characters>282</Characters>
  <Lines>0</Lines>
  <Paragraphs>0</Paragraphs>
  <TotalTime>0</TotalTime>
  <ScaleCrop>false</ScaleCrop>
  <LinksUpToDate>false</LinksUpToDate>
  <CharactersWithSpaces>286</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2022-06-20T00:25:00Z</dcterms:created>
  <dc:creator>19956735427</dc:creator>
  <cp:lastModifiedBy></cp:lastModifiedBy>
  <dcterms:modified xsi:type="dcterms:W3CDTF">2025-02-25T07:47:27Z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D3E5E762D49B444E819C0BA1D4D83412_13</vt:lpwstr>
  </property>
  <property fmtid="{D5CDD505-2E9C-101B-9397-08002B2CF9AE}" pid="4" name="KSOTemplateDocerSaveRecord">
    <vt:lpwstr>eyJoZGlkIjoiMzBhNTU3M2ZhM2FhNmQzODBlMGYwNDdiYzRlMTI3NGIiLCJ1c2VySWQiOiIyNjcyMzY4NTUifQ==</vt:lpwstr>
  </property>
</Properties>
</file>