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50C302">
      <w:pPr>
        <w:keepNext w:val="0"/>
        <w:keepLines w:val="0"/>
        <w:widowControl/>
        <w:suppressLineNumbers w:val="0"/>
        <w:jc w:val="both"/>
        <w:rPr>
          <w:rFonts w:hint="default" w:ascii="宋体" w:hAnsi="宋体" w:eastAsia="宋体" w:cs="宋体"/>
          <w:b/>
          <w:bCs/>
          <w:sz w:val="32"/>
          <w:szCs w:val="32"/>
          <w:highlight w:val="none"/>
          <w:lang w:val="en-US" w:eastAsia="zh-CN"/>
        </w:rPr>
      </w:pPr>
      <w:r>
        <w:rPr>
          <w:rFonts w:hint="default" w:ascii="Times New Roman" w:hAnsi="Times New Roman" w:eastAsia="仿宋_GB2312" w:cs="Times New Roman"/>
          <w:b w:val="0"/>
          <w:bCs w:val="0"/>
          <w:color w:val="auto"/>
          <w:sz w:val="28"/>
          <w:szCs w:val="28"/>
          <w:highlight w:val="none"/>
          <w:u w:val="none"/>
          <w:lang w:val="en-US" w:eastAsia="zh-CN"/>
        </w:rPr>
        <w:t>附件1 采购需求</w:t>
      </w:r>
    </w:p>
    <w:p w14:paraId="02431837">
      <w:pPr>
        <w:jc w:val="center"/>
      </w:pPr>
      <w:r>
        <w:rPr>
          <w:rFonts w:hint="eastAsia" w:ascii="宋体" w:hAnsi="宋体" w:eastAsia="宋体" w:cs="宋体"/>
          <w:b/>
          <w:bCs/>
          <w:i w:val="0"/>
          <w:iCs w:val="0"/>
          <w:color w:val="000000"/>
          <w:kern w:val="0"/>
          <w:sz w:val="32"/>
          <w:szCs w:val="32"/>
          <w:u w:val="none"/>
          <w:lang w:val="en-US" w:eastAsia="zh-CN" w:bidi="ar"/>
        </w:rPr>
        <w:t>1.</w:t>
      </w:r>
      <w:bookmarkStart w:id="0" w:name="_GoBack"/>
      <w:bookmarkEnd w:id="0"/>
      <w:r>
        <w:rPr>
          <w:rFonts w:hint="eastAsia" w:ascii="宋体" w:hAnsi="宋体" w:eastAsia="宋体" w:cs="宋体"/>
          <w:b/>
          <w:bCs/>
          <w:i w:val="0"/>
          <w:iCs w:val="0"/>
          <w:color w:val="000000"/>
          <w:kern w:val="0"/>
          <w:sz w:val="32"/>
          <w:szCs w:val="32"/>
          <w:u w:val="none"/>
          <w:lang w:val="en-US" w:eastAsia="zh-CN" w:bidi="ar"/>
        </w:rPr>
        <w:t>采购清单</w:t>
      </w:r>
    </w:p>
    <w:tbl>
      <w:tblPr>
        <w:tblStyle w:val="1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417"/>
        <w:gridCol w:w="589"/>
        <w:gridCol w:w="3484"/>
        <w:gridCol w:w="426"/>
        <w:gridCol w:w="1100"/>
        <w:gridCol w:w="635"/>
        <w:gridCol w:w="619"/>
        <w:gridCol w:w="829"/>
        <w:gridCol w:w="423"/>
      </w:tblGrid>
      <w:tr w14:paraId="767CB9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trPr>
        <w:tc>
          <w:tcPr>
            <w:tcW w:w="244" w:type="pct"/>
            <w:tcBorders>
              <w:tl2br w:val="nil"/>
              <w:tr2bl w:val="nil"/>
            </w:tcBorders>
            <w:shd w:val="clear" w:color="auto" w:fill="auto"/>
            <w:vAlign w:val="center"/>
          </w:tcPr>
          <w:p w14:paraId="38036CE2">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序号</w:t>
            </w:r>
          </w:p>
        </w:tc>
        <w:tc>
          <w:tcPr>
            <w:tcW w:w="346" w:type="pct"/>
            <w:tcBorders>
              <w:tl2br w:val="nil"/>
              <w:tr2bl w:val="nil"/>
            </w:tcBorders>
            <w:shd w:val="clear" w:color="auto" w:fill="auto"/>
            <w:vAlign w:val="center"/>
          </w:tcPr>
          <w:p w14:paraId="3B9E1C99">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名称</w:t>
            </w:r>
          </w:p>
        </w:tc>
        <w:tc>
          <w:tcPr>
            <w:tcW w:w="2044" w:type="pct"/>
            <w:tcBorders>
              <w:tl2br w:val="nil"/>
              <w:tr2bl w:val="nil"/>
            </w:tcBorders>
            <w:shd w:val="clear" w:color="auto" w:fill="auto"/>
            <w:vAlign w:val="center"/>
          </w:tcPr>
          <w:p w14:paraId="21393765">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项目特征描述</w:t>
            </w:r>
          </w:p>
        </w:tc>
        <w:tc>
          <w:tcPr>
            <w:tcW w:w="249" w:type="pct"/>
            <w:tcBorders>
              <w:tl2br w:val="nil"/>
              <w:tr2bl w:val="nil"/>
            </w:tcBorders>
            <w:shd w:val="clear" w:color="auto" w:fill="auto"/>
            <w:vAlign w:val="center"/>
          </w:tcPr>
          <w:p w14:paraId="2BDD29BB">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计量</w:t>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单位</w:t>
            </w:r>
          </w:p>
        </w:tc>
        <w:tc>
          <w:tcPr>
            <w:tcW w:w="646" w:type="pct"/>
            <w:tcBorders>
              <w:tl2br w:val="nil"/>
              <w:tr2bl w:val="nil"/>
            </w:tcBorders>
            <w:shd w:val="clear" w:color="auto" w:fill="auto"/>
            <w:vAlign w:val="center"/>
          </w:tcPr>
          <w:p w14:paraId="05E61735">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工程量</w:t>
            </w:r>
          </w:p>
        </w:tc>
        <w:tc>
          <w:tcPr>
            <w:tcW w:w="373" w:type="pct"/>
            <w:tcBorders>
              <w:tl2br w:val="nil"/>
              <w:tr2bl w:val="nil"/>
            </w:tcBorders>
            <w:shd w:val="clear" w:color="auto" w:fill="auto"/>
            <w:vAlign w:val="center"/>
          </w:tcPr>
          <w:p w14:paraId="2CF2B7F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kern w:val="0"/>
                <w:sz w:val="20"/>
                <w:szCs w:val="20"/>
                <w:u w:val="none"/>
                <w:lang w:val="en-US" w:eastAsia="zh-CN" w:bidi="ar"/>
              </w:rPr>
            </w:pPr>
            <w:r>
              <w:rPr>
                <w:rFonts w:hint="eastAsia" w:ascii="黑体" w:hAnsi="宋体" w:eastAsia="黑体" w:cs="黑体"/>
                <w:b/>
                <w:bCs/>
                <w:i w:val="0"/>
                <w:iCs w:val="0"/>
                <w:color w:val="000000"/>
                <w:kern w:val="0"/>
                <w:sz w:val="20"/>
                <w:szCs w:val="20"/>
                <w:u w:val="none"/>
                <w:lang w:val="en-US" w:eastAsia="zh-CN" w:bidi="ar"/>
              </w:rPr>
              <w:t>单价</w:t>
            </w:r>
          </w:p>
          <w:p w14:paraId="39A695FB">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kern w:val="0"/>
                <w:sz w:val="20"/>
                <w:szCs w:val="20"/>
                <w:u w:val="none"/>
                <w:lang w:val="en-US" w:eastAsia="zh-CN" w:bidi="ar"/>
              </w:rPr>
            </w:pPr>
            <w:r>
              <w:rPr>
                <w:rFonts w:hint="eastAsia" w:ascii="黑体" w:hAnsi="宋体" w:eastAsia="黑体" w:cs="黑体"/>
                <w:b/>
                <w:bCs/>
                <w:i w:val="0"/>
                <w:iCs w:val="0"/>
                <w:color w:val="000000"/>
                <w:kern w:val="0"/>
                <w:sz w:val="20"/>
                <w:szCs w:val="20"/>
                <w:u w:val="none"/>
                <w:lang w:val="en-US" w:eastAsia="zh-CN" w:bidi="ar"/>
              </w:rPr>
              <w:t>（元/单位；含税）</w:t>
            </w:r>
          </w:p>
        </w:tc>
        <w:tc>
          <w:tcPr>
            <w:tcW w:w="359" w:type="pct"/>
            <w:tcBorders>
              <w:tl2br w:val="nil"/>
              <w:tr2bl w:val="nil"/>
            </w:tcBorders>
            <w:shd w:val="clear" w:color="auto" w:fill="auto"/>
            <w:vAlign w:val="center"/>
          </w:tcPr>
          <w:p w14:paraId="0F10CF4E">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税率</w:t>
            </w:r>
          </w:p>
        </w:tc>
        <w:tc>
          <w:tcPr>
            <w:tcW w:w="486" w:type="pct"/>
            <w:tcBorders>
              <w:tl2br w:val="nil"/>
              <w:tr2bl w:val="nil"/>
            </w:tcBorders>
            <w:shd w:val="clear" w:color="auto" w:fill="auto"/>
            <w:vAlign w:val="center"/>
          </w:tcPr>
          <w:p w14:paraId="7E7AB9BC">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kern w:val="0"/>
                <w:sz w:val="20"/>
                <w:szCs w:val="20"/>
                <w:u w:val="none"/>
                <w:lang w:val="en-US" w:eastAsia="zh-CN" w:bidi="ar"/>
              </w:rPr>
            </w:pPr>
            <w:r>
              <w:rPr>
                <w:rFonts w:hint="eastAsia" w:ascii="黑体" w:hAnsi="宋体" w:eastAsia="黑体" w:cs="黑体"/>
                <w:b/>
                <w:bCs/>
                <w:i w:val="0"/>
                <w:iCs w:val="0"/>
                <w:color w:val="000000"/>
                <w:kern w:val="0"/>
                <w:sz w:val="20"/>
                <w:szCs w:val="20"/>
                <w:u w:val="none"/>
                <w:lang w:val="en-US" w:eastAsia="zh-CN" w:bidi="ar"/>
              </w:rPr>
              <w:t>小计</w:t>
            </w:r>
          </w:p>
          <w:p w14:paraId="7C85AA0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kern w:val="0"/>
                <w:sz w:val="20"/>
                <w:szCs w:val="20"/>
                <w:u w:val="none"/>
                <w:lang w:val="en-US" w:eastAsia="zh-CN" w:bidi="ar"/>
              </w:rPr>
            </w:pPr>
            <w:r>
              <w:rPr>
                <w:rFonts w:hint="eastAsia" w:ascii="黑体" w:hAnsi="宋体" w:eastAsia="黑体" w:cs="黑体"/>
                <w:b/>
                <w:bCs/>
                <w:i w:val="0"/>
                <w:iCs w:val="0"/>
                <w:color w:val="000000"/>
                <w:kern w:val="0"/>
                <w:sz w:val="20"/>
                <w:szCs w:val="20"/>
                <w:u w:val="none"/>
                <w:lang w:val="en-US" w:eastAsia="zh-CN" w:bidi="ar"/>
              </w:rPr>
              <w:t>（元；含税）</w:t>
            </w:r>
          </w:p>
        </w:tc>
        <w:tc>
          <w:tcPr>
            <w:tcW w:w="248" w:type="pct"/>
            <w:tcBorders>
              <w:tl2br w:val="nil"/>
              <w:tr2bl w:val="nil"/>
            </w:tcBorders>
            <w:shd w:val="clear" w:color="auto" w:fill="auto"/>
            <w:vAlign w:val="center"/>
          </w:tcPr>
          <w:p w14:paraId="3FCC29E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备注</w:t>
            </w:r>
          </w:p>
        </w:tc>
      </w:tr>
      <w:tr w14:paraId="37BC21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trPr>
        <w:tc>
          <w:tcPr>
            <w:tcW w:w="244" w:type="pct"/>
            <w:tcBorders>
              <w:tl2br w:val="nil"/>
              <w:tr2bl w:val="nil"/>
            </w:tcBorders>
            <w:shd w:val="clear" w:color="auto" w:fill="auto"/>
            <w:vAlign w:val="center"/>
          </w:tcPr>
          <w:p w14:paraId="42B50AB3">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46" w:type="pct"/>
            <w:tcBorders>
              <w:tl2br w:val="nil"/>
              <w:tr2bl w:val="nil"/>
            </w:tcBorders>
            <w:shd w:val="clear" w:color="auto" w:fill="auto"/>
            <w:vAlign w:val="center"/>
          </w:tcPr>
          <w:p w14:paraId="5BF9DFFD">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1"/>
                <w:szCs w:val="21"/>
                <w:u w:val="none"/>
                <w:lang w:val="en-US" w:eastAsia="zh-CN" w:bidi="ar"/>
              </w:rPr>
              <w:t>光伏组件</w:t>
            </w:r>
          </w:p>
        </w:tc>
        <w:tc>
          <w:tcPr>
            <w:tcW w:w="2044" w:type="pct"/>
            <w:tcBorders>
              <w:tl2br w:val="nil"/>
              <w:tr2bl w:val="nil"/>
            </w:tcBorders>
            <w:shd w:val="clear" w:color="auto" w:fill="auto"/>
            <w:vAlign w:val="center"/>
          </w:tcPr>
          <w:p w14:paraId="0952B5D0">
            <w:pPr>
              <w:keepNext w:val="0"/>
              <w:keepLines w:val="0"/>
              <w:widowControl/>
              <w:numPr>
                <w:ilvl w:val="0"/>
                <w:numId w:val="1"/>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名称：光伏组件620W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2．组件尺寸：2382×1134×30mm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3．规格：单块620Wp 双面双玻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4．安装部位：车棚上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5．说明：含采购、安装、辅材及附件、调试等与之相关的一切内容</w:t>
            </w:r>
          </w:p>
          <w:p w14:paraId="72851F95">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6.组件效率不低于23%</w:t>
            </w:r>
          </w:p>
        </w:tc>
        <w:tc>
          <w:tcPr>
            <w:tcW w:w="249" w:type="pct"/>
            <w:tcBorders>
              <w:tl2br w:val="nil"/>
              <w:tr2bl w:val="nil"/>
            </w:tcBorders>
            <w:shd w:val="clear" w:color="auto" w:fill="auto"/>
            <w:vAlign w:val="center"/>
          </w:tcPr>
          <w:p w14:paraId="0FD567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块</w:t>
            </w:r>
          </w:p>
        </w:tc>
        <w:tc>
          <w:tcPr>
            <w:tcW w:w="646" w:type="pct"/>
            <w:tcBorders>
              <w:tl2br w:val="nil"/>
              <w:tr2bl w:val="nil"/>
            </w:tcBorders>
            <w:shd w:val="clear" w:color="auto" w:fill="auto"/>
            <w:vAlign w:val="center"/>
          </w:tcPr>
          <w:p w14:paraId="1ABF423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1422.000</w:t>
            </w:r>
          </w:p>
        </w:tc>
        <w:tc>
          <w:tcPr>
            <w:tcW w:w="373" w:type="pct"/>
            <w:tcBorders>
              <w:tl2br w:val="nil"/>
              <w:tr2bl w:val="nil"/>
            </w:tcBorders>
            <w:shd w:val="clear" w:color="auto" w:fill="auto"/>
            <w:noWrap/>
            <w:vAlign w:val="bottom"/>
          </w:tcPr>
          <w:p w14:paraId="72D5DD1C">
            <w:pPr>
              <w:keepNext w:val="0"/>
              <w:keepLines w:val="0"/>
              <w:pageBreakBefore w:val="0"/>
              <w:widowControl w:val="0"/>
              <w:kinsoku/>
              <w:wordWrap/>
              <w:overflowPunct/>
              <w:topLinePunct w:val="0"/>
              <w:autoSpaceDE/>
              <w:autoSpaceDN/>
              <w:bidi w:val="0"/>
              <w:adjustRightInd/>
              <w:snapToGrid/>
              <w:jc w:val="center"/>
              <w:rPr>
                <w:rFonts w:hint="eastAsia" w:ascii="宋体" w:hAnsi="宋体" w:eastAsia="宋体" w:cs="宋体"/>
                <w:i w:val="0"/>
                <w:iCs w:val="0"/>
                <w:color w:val="000000"/>
                <w:sz w:val="20"/>
                <w:szCs w:val="20"/>
                <w:u w:val="none"/>
              </w:rPr>
            </w:pPr>
          </w:p>
        </w:tc>
        <w:tc>
          <w:tcPr>
            <w:tcW w:w="359" w:type="pct"/>
            <w:tcBorders>
              <w:tl2br w:val="nil"/>
              <w:tr2bl w:val="nil"/>
            </w:tcBorders>
            <w:shd w:val="clear" w:color="auto" w:fill="auto"/>
            <w:vAlign w:val="center"/>
          </w:tcPr>
          <w:p w14:paraId="53FAD6A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486" w:type="pct"/>
            <w:tcBorders>
              <w:tl2br w:val="nil"/>
              <w:tr2bl w:val="nil"/>
            </w:tcBorders>
            <w:shd w:val="clear" w:color="auto" w:fill="auto"/>
            <w:vAlign w:val="center"/>
          </w:tcPr>
          <w:p w14:paraId="7337E753">
            <w:pPr>
              <w:keepNext w:val="0"/>
              <w:keepLines w:val="0"/>
              <w:pageBreakBefore w:val="0"/>
              <w:widowControl w:val="0"/>
              <w:kinsoku/>
              <w:wordWrap/>
              <w:overflowPunct/>
              <w:topLinePunct w:val="0"/>
              <w:autoSpaceDE/>
              <w:autoSpaceDN/>
              <w:bidi w:val="0"/>
              <w:adjustRightInd/>
              <w:snapToGrid/>
              <w:jc w:val="center"/>
              <w:rPr>
                <w:rFonts w:hint="eastAsia" w:ascii="宋体" w:hAnsi="宋体" w:eastAsia="宋体" w:cs="宋体"/>
                <w:i w:val="0"/>
                <w:iCs w:val="0"/>
                <w:color w:val="E54C5E"/>
                <w:sz w:val="20"/>
                <w:szCs w:val="20"/>
                <w:u w:val="none"/>
              </w:rPr>
            </w:pPr>
          </w:p>
        </w:tc>
        <w:tc>
          <w:tcPr>
            <w:tcW w:w="248" w:type="pct"/>
            <w:tcBorders>
              <w:tl2br w:val="nil"/>
              <w:tr2bl w:val="nil"/>
            </w:tcBorders>
            <w:shd w:val="clear" w:color="auto" w:fill="auto"/>
            <w:vAlign w:val="center"/>
          </w:tcPr>
          <w:p w14:paraId="1FC66504">
            <w:pPr>
              <w:keepNext w:val="0"/>
              <w:keepLines w:val="0"/>
              <w:pageBreakBefore w:val="0"/>
              <w:widowControl w:val="0"/>
              <w:kinsoku/>
              <w:wordWrap/>
              <w:overflowPunct/>
              <w:topLinePunct w:val="0"/>
              <w:autoSpaceDE/>
              <w:autoSpaceDN/>
              <w:bidi w:val="0"/>
              <w:adjustRightInd/>
              <w:snapToGrid/>
              <w:jc w:val="right"/>
              <w:rPr>
                <w:rFonts w:hint="eastAsia" w:ascii="宋体" w:hAnsi="宋体" w:eastAsia="宋体" w:cs="宋体"/>
                <w:i w:val="0"/>
                <w:iCs w:val="0"/>
                <w:color w:val="E54C5E"/>
                <w:sz w:val="20"/>
                <w:szCs w:val="20"/>
                <w:u w:val="none"/>
              </w:rPr>
            </w:pPr>
          </w:p>
        </w:tc>
      </w:tr>
      <w:tr w14:paraId="2C5517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trPr>
        <w:tc>
          <w:tcPr>
            <w:tcW w:w="244" w:type="pct"/>
            <w:tcBorders>
              <w:tl2br w:val="nil"/>
              <w:tr2bl w:val="nil"/>
            </w:tcBorders>
            <w:shd w:val="clear" w:color="auto" w:fill="auto"/>
            <w:vAlign w:val="center"/>
          </w:tcPr>
          <w:p w14:paraId="3ADA2B0B">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46" w:type="pct"/>
            <w:tcBorders>
              <w:tl2br w:val="nil"/>
              <w:tr2bl w:val="nil"/>
            </w:tcBorders>
            <w:shd w:val="clear" w:color="auto" w:fill="auto"/>
            <w:vAlign w:val="center"/>
          </w:tcPr>
          <w:p w14:paraId="097E1365">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1"/>
                <w:szCs w:val="21"/>
                <w:u w:val="none"/>
                <w:lang w:val="en-US" w:eastAsia="zh-CN" w:bidi="ar"/>
              </w:rPr>
              <w:t>光伏逆变器</w:t>
            </w:r>
          </w:p>
        </w:tc>
        <w:tc>
          <w:tcPr>
            <w:tcW w:w="2044" w:type="pct"/>
            <w:tcBorders>
              <w:tl2br w:val="nil"/>
              <w:tr2bl w:val="nil"/>
            </w:tcBorders>
            <w:shd w:val="clear" w:color="auto" w:fill="auto"/>
            <w:vAlign w:val="center"/>
          </w:tcPr>
          <w:p w14:paraId="7D4638CA">
            <w:pPr>
              <w:keepNext w:val="0"/>
              <w:keepLines w:val="0"/>
              <w:widowControl/>
              <w:numPr>
                <w:ilvl w:val="0"/>
                <w:numId w:val="2"/>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名称：逆变器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2．规格：110kW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3．说明：含焊压端子、箱体接地等全部内容</w:t>
            </w:r>
          </w:p>
          <w:p w14:paraId="348EEC88">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4.MPPT数量≥10路；最大效率≥98.6%，中国效率≥98.1%；防护等级不低于IP66。</w:t>
            </w:r>
          </w:p>
        </w:tc>
        <w:tc>
          <w:tcPr>
            <w:tcW w:w="249" w:type="pct"/>
            <w:tcBorders>
              <w:tl2br w:val="nil"/>
              <w:tr2bl w:val="nil"/>
            </w:tcBorders>
            <w:shd w:val="clear" w:color="auto" w:fill="auto"/>
            <w:vAlign w:val="center"/>
          </w:tcPr>
          <w:p w14:paraId="122F8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台</w:t>
            </w:r>
          </w:p>
        </w:tc>
        <w:tc>
          <w:tcPr>
            <w:tcW w:w="646" w:type="pct"/>
            <w:tcBorders>
              <w:tl2br w:val="nil"/>
              <w:tr2bl w:val="nil"/>
            </w:tcBorders>
            <w:shd w:val="clear" w:color="auto" w:fill="auto"/>
            <w:vAlign w:val="center"/>
          </w:tcPr>
          <w:p w14:paraId="433C66C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6.000</w:t>
            </w:r>
          </w:p>
        </w:tc>
        <w:tc>
          <w:tcPr>
            <w:tcW w:w="373" w:type="pct"/>
            <w:tcBorders>
              <w:tl2br w:val="nil"/>
              <w:tr2bl w:val="nil"/>
            </w:tcBorders>
            <w:shd w:val="clear" w:color="auto" w:fill="auto"/>
            <w:noWrap/>
            <w:vAlign w:val="bottom"/>
          </w:tcPr>
          <w:p w14:paraId="1B785D68">
            <w:pPr>
              <w:keepNext w:val="0"/>
              <w:keepLines w:val="0"/>
              <w:pageBreakBefore w:val="0"/>
              <w:widowControl w:val="0"/>
              <w:kinsoku/>
              <w:wordWrap/>
              <w:overflowPunct/>
              <w:topLinePunct w:val="0"/>
              <w:autoSpaceDE/>
              <w:autoSpaceDN/>
              <w:bidi w:val="0"/>
              <w:adjustRightInd/>
              <w:snapToGrid/>
              <w:jc w:val="center"/>
              <w:rPr>
                <w:rFonts w:hint="eastAsia" w:ascii="宋体" w:hAnsi="宋体" w:eastAsia="宋体" w:cs="宋体"/>
                <w:i w:val="0"/>
                <w:iCs w:val="0"/>
                <w:color w:val="000000"/>
                <w:sz w:val="20"/>
                <w:szCs w:val="20"/>
                <w:u w:val="none"/>
              </w:rPr>
            </w:pPr>
          </w:p>
        </w:tc>
        <w:tc>
          <w:tcPr>
            <w:tcW w:w="359" w:type="pct"/>
            <w:tcBorders>
              <w:tl2br w:val="nil"/>
              <w:tr2bl w:val="nil"/>
            </w:tcBorders>
            <w:shd w:val="clear" w:color="auto" w:fill="auto"/>
            <w:vAlign w:val="center"/>
          </w:tcPr>
          <w:p w14:paraId="22B1551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486" w:type="pct"/>
            <w:tcBorders>
              <w:tl2br w:val="nil"/>
              <w:tr2bl w:val="nil"/>
            </w:tcBorders>
            <w:shd w:val="clear" w:color="auto" w:fill="auto"/>
            <w:vAlign w:val="center"/>
          </w:tcPr>
          <w:p w14:paraId="5781CA03">
            <w:pPr>
              <w:keepNext w:val="0"/>
              <w:keepLines w:val="0"/>
              <w:pageBreakBefore w:val="0"/>
              <w:widowControl w:val="0"/>
              <w:kinsoku/>
              <w:wordWrap/>
              <w:overflowPunct/>
              <w:topLinePunct w:val="0"/>
              <w:autoSpaceDE/>
              <w:autoSpaceDN/>
              <w:bidi w:val="0"/>
              <w:adjustRightInd/>
              <w:snapToGrid/>
              <w:jc w:val="center"/>
              <w:rPr>
                <w:rFonts w:hint="eastAsia" w:ascii="宋体" w:hAnsi="宋体" w:eastAsia="宋体" w:cs="宋体"/>
                <w:i w:val="0"/>
                <w:iCs w:val="0"/>
                <w:color w:val="000000"/>
                <w:sz w:val="20"/>
                <w:szCs w:val="20"/>
                <w:u w:val="none"/>
              </w:rPr>
            </w:pPr>
          </w:p>
        </w:tc>
        <w:tc>
          <w:tcPr>
            <w:tcW w:w="248" w:type="pct"/>
            <w:tcBorders>
              <w:tl2br w:val="nil"/>
              <w:tr2bl w:val="nil"/>
            </w:tcBorders>
            <w:shd w:val="clear" w:color="auto" w:fill="auto"/>
            <w:vAlign w:val="center"/>
          </w:tcPr>
          <w:p w14:paraId="01B3D431">
            <w:pPr>
              <w:keepNext w:val="0"/>
              <w:keepLines w:val="0"/>
              <w:pageBreakBefore w:val="0"/>
              <w:widowControl w:val="0"/>
              <w:kinsoku/>
              <w:wordWrap/>
              <w:overflowPunct/>
              <w:topLinePunct w:val="0"/>
              <w:autoSpaceDE/>
              <w:autoSpaceDN/>
              <w:bidi w:val="0"/>
              <w:adjustRightInd/>
              <w:snapToGrid/>
              <w:jc w:val="right"/>
              <w:rPr>
                <w:rFonts w:hint="eastAsia" w:ascii="宋体" w:hAnsi="宋体" w:eastAsia="宋体" w:cs="宋体"/>
                <w:i w:val="0"/>
                <w:iCs w:val="0"/>
                <w:color w:val="E54C5E"/>
                <w:sz w:val="20"/>
                <w:szCs w:val="20"/>
                <w:u w:val="none"/>
              </w:rPr>
            </w:pPr>
          </w:p>
        </w:tc>
      </w:tr>
      <w:tr w14:paraId="2FDB16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trPr>
        <w:tc>
          <w:tcPr>
            <w:tcW w:w="244" w:type="pct"/>
            <w:tcBorders>
              <w:tl2br w:val="nil"/>
              <w:tr2bl w:val="nil"/>
            </w:tcBorders>
            <w:shd w:val="clear" w:color="auto" w:fill="auto"/>
            <w:vAlign w:val="center"/>
          </w:tcPr>
          <w:p w14:paraId="229199A0">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46" w:type="pct"/>
            <w:tcBorders>
              <w:tl2br w:val="nil"/>
              <w:tr2bl w:val="nil"/>
            </w:tcBorders>
            <w:shd w:val="clear" w:color="auto" w:fill="auto"/>
            <w:vAlign w:val="center"/>
          </w:tcPr>
          <w:p w14:paraId="48608D7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光伏逆变器</w:t>
            </w:r>
          </w:p>
        </w:tc>
        <w:tc>
          <w:tcPr>
            <w:tcW w:w="2044" w:type="pct"/>
            <w:tcBorders>
              <w:tl2br w:val="nil"/>
              <w:tr2bl w:val="nil"/>
            </w:tcBorders>
            <w:shd w:val="clear" w:color="auto" w:fill="auto"/>
            <w:vAlign w:val="center"/>
          </w:tcPr>
          <w:p w14:paraId="14B0F470">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名称：逆变器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2．规格：40kW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3．说明：含焊压端子、箱体接地等全部内容</w:t>
            </w:r>
          </w:p>
          <w:p w14:paraId="5452384D">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4.MPPT数量≥10路；最大效率≥98.6%，中国效率≥98.1%；防护等级不低于IP66。</w:t>
            </w:r>
          </w:p>
        </w:tc>
        <w:tc>
          <w:tcPr>
            <w:tcW w:w="249" w:type="pct"/>
            <w:tcBorders>
              <w:tl2br w:val="nil"/>
              <w:tr2bl w:val="nil"/>
            </w:tcBorders>
            <w:shd w:val="clear" w:color="auto" w:fill="auto"/>
            <w:vAlign w:val="center"/>
          </w:tcPr>
          <w:p w14:paraId="3D82D5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台</w:t>
            </w:r>
          </w:p>
        </w:tc>
        <w:tc>
          <w:tcPr>
            <w:tcW w:w="646" w:type="pct"/>
            <w:tcBorders>
              <w:tl2br w:val="nil"/>
              <w:tr2bl w:val="nil"/>
            </w:tcBorders>
            <w:shd w:val="clear" w:color="auto" w:fill="auto"/>
            <w:vAlign w:val="center"/>
          </w:tcPr>
          <w:p w14:paraId="153BA2F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1.000</w:t>
            </w:r>
          </w:p>
        </w:tc>
        <w:tc>
          <w:tcPr>
            <w:tcW w:w="373" w:type="pct"/>
            <w:tcBorders>
              <w:tl2br w:val="nil"/>
              <w:tr2bl w:val="nil"/>
            </w:tcBorders>
            <w:shd w:val="clear" w:color="auto" w:fill="auto"/>
            <w:noWrap/>
            <w:vAlign w:val="bottom"/>
          </w:tcPr>
          <w:p w14:paraId="7B8B9472">
            <w:pPr>
              <w:keepNext w:val="0"/>
              <w:keepLines w:val="0"/>
              <w:pageBreakBefore w:val="0"/>
              <w:widowControl w:val="0"/>
              <w:kinsoku/>
              <w:wordWrap/>
              <w:overflowPunct/>
              <w:topLinePunct w:val="0"/>
              <w:autoSpaceDE/>
              <w:autoSpaceDN/>
              <w:bidi w:val="0"/>
              <w:adjustRightInd/>
              <w:snapToGrid/>
              <w:jc w:val="center"/>
              <w:rPr>
                <w:rFonts w:hint="eastAsia" w:ascii="宋体" w:hAnsi="宋体" w:eastAsia="宋体" w:cs="宋体"/>
                <w:i w:val="0"/>
                <w:iCs w:val="0"/>
                <w:color w:val="000000"/>
                <w:sz w:val="20"/>
                <w:szCs w:val="20"/>
                <w:u w:val="none"/>
              </w:rPr>
            </w:pPr>
          </w:p>
        </w:tc>
        <w:tc>
          <w:tcPr>
            <w:tcW w:w="359" w:type="pct"/>
            <w:tcBorders>
              <w:tl2br w:val="nil"/>
              <w:tr2bl w:val="nil"/>
            </w:tcBorders>
            <w:shd w:val="clear" w:color="auto" w:fill="auto"/>
            <w:vAlign w:val="center"/>
          </w:tcPr>
          <w:p w14:paraId="7BC61BA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486" w:type="pct"/>
            <w:tcBorders>
              <w:tl2br w:val="nil"/>
              <w:tr2bl w:val="nil"/>
            </w:tcBorders>
            <w:shd w:val="clear" w:color="auto" w:fill="auto"/>
            <w:vAlign w:val="center"/>
          </w:tcPr>
          <w:p w14:paraId="26F7BA0E">
            <w:pPr>
              <w:keepNext w:val="0"/>
              <w:keepLines w:val="0"/>
              <w:pageBreakBefore w:val="0"/>
              <w:widowControl w:val="0"/>
              <w:kinsoku/>
              <w:wordWrap/>
              <w:overflowPunct/>
              <w:topLinePunct w:val="0"/>
              <w:autoSpaceDE/>
              <w:autoSpaceDN/>
              <w:bidi w:val="0"/>
              <w:adjustRightInd/>
              <w:snapToGrid/>
              <w:jc w:val="center"/>
              <w:rPr>
                <w:rFonts w:hint="eastAsia" w:ascii="宋体" w:hAnsi="宋体" w:eastAsia="宋体" w:cs="宋体"/>
                <w:i w:val="0"/>
                <w:iCs w:val="0"/>
                <w:color w:val="000000"/>
                <w:sz w:val="20"/>
                <w:szCs w:val="20"/>
                <w:u w:val="none"/>
              </w:rPr>
            </w:pPr>
          </w:p>
        </w:tc>
        <w:tc>
          <w:tcPr>
            <w:tcW w:w="248" w:type="pct"/>
            <w:tcBorders>
              <w:tl2br w:val="nil"/>
              <w:tr2bl w:val="nil"/>
            </w:tcBorders>
            <w:shd w:val="clear" w:color="auto" w:fill="auto"/>
            <w:vAlign w:val="center"/>
          </w:tcPr>
          <w:p w14:paraId="4A4B4ACA">
            <w:pPr>
              <w:keepNext w:val="0"/>
              <w:keepLines w:val="0"/>
              <w:pageBreakBefore w:val="0"/>
              <w:widowControl w:val="0"/>
              <w:kinsoku/>
              <w:wordWrap/>
              <w:overflowPunct/>
              <w:topLinePunct w:val="0"/>
              <w:autoSpaceDE/>
              <w:autoSpaceDN/>
              <w:bidi w:val="0"/>
              <w:adjustRightInd/>
              <w:snapToGrid/>
              <w:jc w:val="right"/>
              <w:rPr>
                <w:rFonts w:hint="eastAsia" w:ascii="宋体" w:hAnsi="宋体" w:eastAsia="宋体" w:cs="宋体"/>
                <w:i w:val="0"/>
                <w:iCs w:val="0"/>
                <w:color w:val="E54C5E"/>
                <w:sz w:val="20"/>
                <w:szCs w:val="20"/>
                <w:u w:val="none"/>
              </w:rPr>
            </w:pPr>
          </w:p>
        </w:tc>
      </w:tr>
      <w:tr w14:paraId="1958D3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244" w:type="pct"/>
            <w:tcBorders>
              <w:tl2br w:val="nil"/>
              <w:tr2bl w:val="nil"/>
            </w:tcBorders>
            <w:shd w:val="clear" w:color="auto" w:fill="auto"/>
            <w:vAlign w:val="center"/>
          </w:tcPr>
          <w:p w14:paraId="1BB2B601">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4</w:t>
            </w:r>
          </w:p>
        </w:tc>
        <w:tc>
          <w:tcPr>
            <w:tcW w:w="346" w:type="pct"/>
            <w:tcBorders>
              <w:tl2br w:val="nil"/>
              <w:tr2bl w:val="nil"/>
            </w:tcBorders>
            <w:shd w:val="clear" w:color="auto" w:fill="auto"/>
            <w:vAlign w:val="center"/>
          </w:tcPr>
          <w:p w14:paraId="2D881750">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1"/>
                <w:szCs w:val="21"/>
                <w:u w:val="none"/>
                <w:lang w:val="en-US" w:eastAsia="zh-CN" w:bidi="ar"/>
              </w:rPr>
              <w:t>光伏逆变器</w:t>
            </w:r>
          </w:p>
        </w:tc>
        <w:tc>
          <w:tcPr>
            <w:tcW w:w="2044" w:type="pct"/>
            <w:tcBorders>
              <w:tl2br w:val="nil"/>
              <w:tr2bl w:val="nil"/>
            </w:tcBorders>
            <w:shd w:val="clear" w:color="auto" w:fill="auto"/>
            <w:vAlign w:val="center"/>
          </w:tcPr>
          <w:p w14:paraId="25C630C7">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名称：逆变器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2．规格：30kW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3．说明：含焊压端子、箱体接地等全部内容</w:t>
            </w:r>
          </w:p>
          <w:p w14:paraId="432FF963">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4.MPPT数量≥10路；最大效率≥98.6%，中国效率≥98.1%；防护等级不低于IP66。</w:t>
            </w:r>
          </w:p>
        </w:tc>
        <w:tc>
          <w:tcPr>
            <w:tcW w:w="249" w:type="pct"/>
            <w:tcBorders>
              <w:tl2br w:val="nil"/>
              <w:tr2bl w:val="nil"/>
            </w:tcBorders>
            <w:shd w:val="clear" w:color="auto" w:fill="auto"/>
            <w:vAlign w:val="center"/>
          </w:tcPr>
          <w:p w14:paraId="196B977D">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646" w:type="pct"/>
            <w:tcBorders>
              <w:tl2br w:val="nil"/>
              <w:tr2bl w:val="nil"/>
            </w:tcBorders>
            <w:shd w:val="clear" w:color="auto" w:fill="auto"/>
            <w:vAlign w:val="center"/>
          </w:tcPr>
          <w:p w14:paraId="72A1718C">
            <w:pPr>
              <w:keepNext w:val="0"/>
              <w:keepLines w:val="0"/>
              <w:widowControl/>
              <w:suppressLineNumbers w:val="0"/>
              <w:jc w:val="righ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373" w:type="pct"/>
            <w:tcBorders>
              <w:tl2br w:val="nil"/>
              <w:tr2bl w:val="nil"/>
            </w:tcBorders>
            <w:shd w:val="clear" w:color="auto" w:fill="auto"/>
            <w:vAlign w:val="bottom"/>
          </w:tcPr>
          <w:p w14:paraId="1B53A645">
            <w:pPr>
              <w:keepNext w:val="0"/>
              <w:keepLines w:val="0"/>
              <w:pageBreakBefore w:val="0"/>
              <w:widowControl w:val="0"/>
              <w:kinsoku/>
              <w:wordWrap/>
              <w:overflowPunct/>
              <w:topLinePunct w:val="0"/>
              <w:autoSpaceDE/>
              <w:autoSpaceDN/>
              <w:bidi w:val="0"/>
              <w:adjustRightInd/>
              <w:snapToGrid/>
              <w:jc w:val="center"/>
              <w:rPr>
                <w:rFonts w:hint="eastAsia" w:ascii="宋体" w:hAnsi="宋体" w:eastAsia="宋体" w:cs="宋体"/>
                <w:i w:val="0"/>
                <w:iCs w:val="0"/>
                <w:color w:val="000000"/>
                <w:kern w:val="2"/>
                <w:sz w:val="20"/>
                <w:szCs w:val="20"/>
                <w:u w:val="none"/>
                <w:lang w:val="en-US" w:eastAsia="zh-CN" w:bidi="ar-SA"/>
              </w:rPr>
            </w:pPr>
          </w:p>
        </w:tc>
        <w:tc>
          <w:tcPr>
            <w:tcW w:w="359" w:type="pct"/>
            <w:tcBorders>
              <w:tl2br w:val="nil"/>
              <w:tr2bl w:val="nil"/>
            </w:tcBorders>
            <w:shd w:val="clear" w:color="auto" w:fill="auto"/>
            <w:vAlign w:val="center"/>
          </w:tcPr>
          <w:p w14:paraId="3AAC78D6">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13%</w:t>
            </w:r>
          </w:p>
        </w:tc>
        <w:tc>
          <w:tcPr>
            <w:tcW w:w="486" w:type="pct"/>
            <w:tcBorders>
              <w:tl2br w:val="nil"/>
              <w:tr2bl w:val="nil"/>
            </w:tcBorders>
            <w:shd w:val="clear" w:color="auto" w:fill="auto"/>
            <w:vAlign w:val="center"/>
          </w:tcPr>
          <w:p w14:paraId="12948CB7">
            <w:pPr>
              <w:keepNext w:val="0"/>
              <w:keepLines w:val="0"/>
              <w:pageBreakBefore w:val="0"/>
              <w:widowControl w:val="0"/>
              <w:kinsoku/>
              <w:wordWrap/>
              <w:overflowPunct/>
              <w:topLinePunct w:val="0"/>
              <w:autoSpaceDE/>
              <w:autoSpaceDN/>
              <w:bidi w:val="0"/>
              <w:adjustRightInd/>
              <w:snapToGrid/>
              <w:jc w:val="right"/>
              <w:rPr>
                <w:rFonts w:hint="eastAsia" w:ascii="宋体" w:hAnsi="宋体" w:eastAsia="宋体" w:cs="宋体"/>
                <w:i w:val="0"/>
                <w:iCs w:val="0"/>
                <w:color w:val="000000"/>
                <w:sz w:val="20"/>
                <w:szCs w:val="20"/>
                <w:u w:val="none"/>
              </w:rPr>
            </w:pPr>
          </w:p>
        </w:tc>
        <w:tc>
          <w:tcPr>
            <w:tcW w:w="248" w:type="pct"/>
            <w:tcBorders>
              <w:tl2br w:val="nil"/>
              <w:tr2bl w:val="nil"/>
            </w:tcBorders>
            <w:shd w:val="clear" w:color="auto" w:fill="auto"/>
            <w:noWrap/>
            <w:vAlign w:val="bottom"/>
          </w:tcPr>
          <w:p w14:paraId="460B2173">
            <w:pPr>
              <w:keepNext w:val="0"/>
              <w:keepLines w:val="0"/>
              <w:pageBreakBefore w:val="0"/>
              <w:widowControl w:val="0"/>
              <w:kinsoku/>
              <w:wordWrap/>
              <w:overflowPunct/>
              <w:topLinePunct w:val="0"/>
              <w:autoSpaceDE/>
              <w:autoSpaceDN/>
              <w:bidi w:val="0"/>
              <w:adjustRightInd/>
              <w:snapToGrid/>
              <w:jc w:val="left"/>
              <w:rPr>
                <w:rFonts w:hint="default" w:ascii="Arial" w:hAnsi="Arial" w:eastAsia="宋体" w:cs="Arial"/>
                <w:b/>
                <w:bCs/>
                <w:i w:val="0"/>
                <w:iCs w:val="0"/>
                <w:color w:val="000000"/>
                <w:sz w:val="20"/>
                <w:szCs w:val="20"/>
                <w:u w:val="none"/>
              </w:rPr>
            </w:pPr>
          </w:p>
        </w:tc>
      </w:tr>
      <w:tr w14:paraId="1DE6A8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trPr>
        <w:tc>
          <w:tcPr>
            <w:tcW w:w="244" w:type="pct"/>
            <w:tcBorders>
              <w:tl2br w:val="nil"/>
              <w:tr2bl w:val="nil"/>
            </w:tcBorders>
            <w:shd w:val="clear" w:color="auto" w:fill="auto"/>
            <w:vAlign w:val="center"/>
          </w:tcPr>
          <w:p w14:paraId="242D8759">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w:t>
            </w:r>
          </w:p>
        </w:tc>
        <w:tc>
          <w:tcPr>
            <w:tcW w:w="346" w:type="pct"/>
            <w:tcBorders>
              <w:tl2br w:val="nil"/>
              <w:tr2bl w:val="nil"/>
            </w:tcBorders>
            <w:shd w:val="clear" w:color="auto" w:fill="auto"/>
            <w:vAlign w:val="center"/>
          </w:tcPr>
          <w:p w14:paraId="2BCD1457">
            <w:pPr>
              <w:keepNext w:val="0"/>
              <w:keepLines w:val="0"/>
              <w:widowControl/>
              <w:suppressLineNumbers w:val="0"/>
              <w:jc w:val="lef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1"/>
                <w:szCs w:val="21"/>
                <w:u w:val="none"/>
                <w:lang w:val="en-US" w:eastAsia="zh-CN" w:bidi="ar"/>
              </w:rPr>
              <w:t>光伏逆变器</w:t>
            </w:r>
          </w:p>
        </w:tc>
        <w:tc>
          <w:tcPr>
            <w:tcW w:w="2044" w:type="pct"/>
            <w:tcBorders>
              <w:tl2br w:val="nil"/>
              <w:tr2bl w:val="nil"/>
            </w:tcBorders>
            <w:shd w:val="clear" w:color="auto" w:fill="auto"/>
            <w:vAlign w:val="center"/>
          </w:tcPr>
          <w:p w14:paraId="5B6A22D1">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名称：逆变器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2．规格：20kW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3．说明：含焊压端子、箱体接地等全部内容</w:t>
            </w:r>
          </w:p>
          <w:p w14:paraId="6D2277CF">
            <w:pPr>
              <w:keepNext w:val="0"/>
              <w:keepLines w:val="0"/>
              <w:widowControl/>
              <w:numPr>
                <w:ilvl w:val="0"/>
                <w:numId w:val="0"/>
              </w:numPr>
              <w:suppressLineNumbers w:val="0"/>
              <w:ind w:left="0" w:leftChars="0" w:firstLine="0" w:firstLineChars="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4.MPPT数量≥10路；最大效率≥98.6%，中国效率≥98.1%；防护等级不低于IP66。</w:t>
            </w:r>
          </w:p>
        </w:tc>
        <w:tc>
          <w:tcPr>
            <w:tcW w:w="249" w:type="pct"/>
            <w:tcBorders>
              <w:tl2br w:val="nil"/>
              <w:tr2bl w:val="nil"/>
            </w:tcBorders>
            <w:shd w:val="clear" w:color="auto" w:fill="auto"/>
            <w:vAlign w:val="center"/>
          </w:tcPr>
          <w:p w14:paraId="6A935321">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646" w:type="pct"/>
            <w:tcBorders>
              <w:tl2br w:val="nil"/>
              <w:tr2bl w:val="nil"/>
            </w:tcBorders>
            <w:shd w:val="clear" w:color="auto" w:fill="auto"/>
            <w:vAlign w:val="center"/>
          </w:tcPr>
          <w:p w14:paraId="037ED14B">
            <w:pPr>
              <w:keepNext w:val="0"/>
              <w:keepLines w:val="0"/>
              <w:widowControl/>
              <w:suppressLineNumbers w:val="0"/>
              <w:jc w:val="right"/>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373" w:type="pct"/>
            <w:tcBorders>
              <w:tl2br w:val="nil"/>
              <w:tr2bl w:val="nil"/>
            </w:tcBorders>
            <w:shd w:val="clear" w:color="auto" w:fill="auto"/>
            <w:vAlign w:val="bottom"/>
          </w:tcPr>
          <w:p w14:paraId="18C07F73">
            <w:pPr>
              <w:keepNext w:val="0"/>
              <w:keepLines w:val="0"/>
              <w:pageBreakBefore w:val="0"/>
              <w:widowControl w:val="0"/>
              <w:kinsoku/>
              <w:wordWrap/>
              <w:overflowPunct/>
              <w:topLinePunct w:val="0"/>
              <w:autoSpaceDE/>
              <w:autoSpaceDN/>
              <w:bidi w:val="0"/>
              <w:adjustRightInd/>
              <w:snapToGrid/>
              <w:jc w:val="center"/>
              <w:rPr>
                <w:rFonts w:hint="default" w:ascii="宋体" w:hAnsi="宋体" w:eastAsia="宋体" w:cs="宋体"/>
                <w:i w:val="0"/>
                <w:iCs w:val="0"/>
                <w:color w:val="000000"/>
                <w:kern w:val="2"/>
                <w:sz w:val="20"/>
                <w:szCs w:val="20"/>
                <w:u w:val="none"/>
                <w:lang w:val="en-US" w:eastAsia="zh-CN" w:bidi="ar-SA"/>
              </w:rPr>
            </w:pPr>
          </w:p>
        </w:tc>
        <w:tc>
          <w:tcPr>
            <w:tcW w:w="359" w:type="pct"/>
            <w:tcBorders>
              <w:tl2br w:val="nil"/>
              <w:tr2bl w:val="nil"/>
            </w:tcBorders>
            <w:shd w:val="clear" w:color="auto" w:fill="auto"/>
            <w:vAlign w:val="center"/>
          </w:tcPr>
          <w:p w14:paraId="2383D644">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13%</w:t>
            </w:r>
          </w:p>
        </w:tc>
        <w:tc>
          <w:tcPr>
            <w:tcW w:w="486" w:type="pct"/>
            <w:tcBorders>
              <w:tl2br w:val="nil"/>
              <w:tr2bl w:val="nil"/>
            </w:tcBorders>
            <w:shd w:val="clear" w:color="auto" w:fill="auto"/>
            <w:vAlign w:val="center"/>
          </w:tcPr>
          <w:p w14:paraId="3DCF3EA3">
            <w:pPr>
              <w:keepNext w:val="0"/>
              <w:keepLines w:val="0"/>
              <w:pageBreakBefore w:val="0"/>
              <w:widowControl w:val="0"/>
              <w:kinsoku/>
              <w:wordWrap/>
              <w:overflowPunct/>
              <w:topLinePunct w:val="0"/>
              <w:autoSpaceDE/>
              <w:autoSpaceDN/>
              <w:bidi w:val="0"/>
              <w:adjustRightInd/>
              <w:snapToGrid/>
              <w:jc w:val="right"/>
              <w:rPr>
                <w:rFonts w:hint="eastAsia" w:ascii="宋体" w:hAnsi="宋体" w:eastAsia="宋体" w:cs="宋体"/>
                <w:i w:val="0"/>
                <w:iCs w:val="0"/>
                <w:color w:val="000000"/>
                <w:sz w:val="20"/>
                <w:szCs w:val="20"/>
                <w:u w:val="none"/>
              </w:rPr>
            </w:pPr>
          </w:p>
        </w:tc>
        <w:tc>
          <w:tcPr>
            <w:tcW w:w="248" w:type="pct"/>
            <w:tcBorders>
              <w:tl2br w:val="nil"/>
              <w:tr2bl w:val="nil"/>
            </w:tcBorders>
            <w:shd w:val="clear" w:color="auto" w:fill="auto"/>
            <w:noWrap/>
            <w:vAlign w:val="bottom"/>
          </w:tcPr>
          <w:p w14:paraId="629C62A9">
            <w:pPr>
              <w:keepNext w:val="0"/>
              <w:keepLines w:val="0"/>
              <w:pageBreakBefore w:val="0"/>
              <w:widowControl w:val="0"/>
              <w:kinsoku/>
              <w:wordWrap/>
              <w:overflowPunct/>
              <w:topLinePunct w:val="0"/>
              <w:autoSpaceDE/>
              <w:autoSpaceDN/>
              <w:bidi w:val="0"/>
              <w:adjustRightInd/>
              <w:snapToGrid/>
              <w:jc w:val="left"/>
              <w:rPr>
                <w:rFonts w:hint="default" w:ascii="Arial" w:hAnsi="Arial" w:eastAsia="宋体" w:cs="Arial"/>
                <w:b/>
                <w:bCs/>
                <w:i w:val="0"/>
                <w:iCs w:val="0"/>
                <w:color w:val="000000"/>
                <w:sz w:val="20"/>
                <w:szCs w:val="20"/>
                <w:u w:val="none"/>
              </w:rPr>
            </w:pPr>
          </w:p>
        </w:tc>
      </w:tr>
      <w:tr w14:paraId="2B9A76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265" w:type="pct"/>
            <w:gridSpan w:val="7"/>
            <w:tcBorders>
              <w:tl2br w:val="nil"/>
              <w:tr2bl w:val="nil"/>
            </w:tcBorders>
            <w:shd w:val="clear" w:color="auto" w:fill="auto"/>
            <w:vAlign w:val="center"/>
          </w:tcPr>
          <w:p w14:paraId="2A7A0F00">
            <w:pPr>
              <w:keepNext w:val="0"/>
              <w:keepLines w:val="0"/>
              <w:pageBreakBefore w:val="0"/>
              <w:widowControl w:val="0"/>
              <w:kinsoku/>
              <w:wordWrap/>
              <w:overflowPunct/>
              <w:topLinePunct w:val="0"/>
              <w:autoSpaceDE/>
              <w:autoSpaceDN/>
              <w:bidi w:val="0"/>
              <w:adjustRightInd/>
              <w:snapToGrid/>
              <w:jc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合计（元；含税）</w:t>
            </w:r>
          </w:p>
        </w:tc>
        <w:tc>
          <w:tcPr>
            <w:tcW w:w="486" w:type="pct"/>
            <w:tcBorders>
              <w:tl2br w:val="nil"/>
              <w:tr2bl w:val="nil"/>
            </w:tcBorders>
            <w:shd w:val="clear" w:color="auto" w:fill="auto"/>
            <w:vAlign w:val="center"/>
          </w:tcPr>
          <w:p w14:paraId="55BC3EBB">
            <w:pPr>
              <w:keepNext w:val="0"/>
              <w:keepLines w:val="0"/>
              <w:pageBreakBefore w:val="0"/>
              <w:widowControl w:val="0"/>
              <w:kinsoku/>
              <w:wordWrap/>
              <w:overflowPunct/>
              <w:topLinePunct w:val="0"/>
              <w:autoSpaceDE/>
              <w:autoSpaceDN/>
              <w:bidi w:val="0"/>
              <w:adjustRightInd/>
              <w:snapToGrid/>
              <w:jc w:val="right"/>
              <w:rPr>
                <w:rFonts w:hint="eastAsia" w:ascii="宋体" w:hAnsi="宋体" w:eastAsia="宋体" w:cs="宋体"/>
                <w:i w:val="0"/>
                <w:iCs w:val="0"/>
                <w:color w:val="000000"/>
                <w:kern w:val="2"/>
                <w:sz w:val="20"/>
                <w:szCs w:val="20"/>
                <w:u w:val="none"/>
                <w:lang w:val="en-US" w:eastAsia="zh-CN" w:bidi="ar-SA"/>
              </w:rPr>
            </w:pPr>
          </w:p>
        </w:tc>
        <w:tc>
          <w:tcPr>
            <w:tcW w:w="248" w:type="pct"/>
            <w:tcBorders>
              <w:tl2br w:val="nil"/>
              <w:tr2bl w:val="nil"/>
            </w:tcBorders>
            <w:shd w:val="clear" w:color="auto" w:fill="auto"/>
            <w:noWrap/>
            <w:vAlign w:val="bottom"/>
          </w:tcPr>
          <w:p w14:paraId="7DBC4868">
            <w:pPr>
              <w:keepNext w:val="0"/>
              <w:keepLines w:val="0"/>
              <w:pageBreakBefore w:val="0"/>
              <w:widowControl w:val="0"/>
              <w:kinsoku/>
              <w:wordWrap/>
              <w:overflowPunct/>
              <w:topLinePunct w:val="0"/>
              <w:autoSpaceDE/>
              <w:autoSpaceDN/>
              <w:bidi w:val="0"/>
              <w:adjustRightInd/>
              <w:snapToGrid/>
              <w:jc w:val="left"/>
              <w:rPr>
                <w:rFonts w:hint="default" w:ascii="Arial" w:hAnsi="Arial" w:eastAsia="宋体" w:cs="Arial"/>
                <w:b/>
                <w:bCs/>
                <w:i w:val="0"/>
                <w:iCs w:val="0"/>
                <w:color w:val="000000"/>
                <w:kern w:val="2"/>
                <w:sz w:val="20"/>
                <w:szCs w:val="20"/>
                <w:u w:val="none"/>
                <w:lang w:val="en-US" w:eastAsia="zh-CN" w:bidi="ar-SA"/>
              </w:rPr>
            </w:pPr>
          </w:p>
        </w:tc>
      </w:tr>
    </w:tbl>
    <w:p w14:paraId="7064FFC9">
      <w:pPr>
        <w:rPr>
          <w:color w:val="auto"/>
        </w:rPr>
      </w:pPr>
      <w:r>
        <w:rPr>
          <w:rStyle w:val="15"/>
          <w:color w:val="auto"/>
          <w:lang w:val="en-US" w:eastAsia="zh-CN" w:bidi="ar"/>
        </w:rPr>
        <w:t>备注：采购数量为暂定数量，具体使用数量以实际采购使用为准，据实结算；发票类型为增值税专用发票，以上单价报价采购人认为报价人已充分考虑采购所有采购要求，包括但不限于以下费用：人工费、材料费、装车费</w:t>
      </w:r>
      <w:r>
        <w:rPr>
          <w:rStyle w:val="16"/>
          <w:color w:val="auto"/>
          <w:lang w:val="en-US" w:eastAsia="zh-CN" w:bidi="ar"/>
        </w:rPr>
        <w:t>、装车</w:t>
      </w:r>
      <w:r>
        <w:rPr>
          <w:rStyle w:val="15"/>
          <w:color w:val="auto"/>
          <w:lang w:val="en-US" w:eastAsia="zh-CN" w:bidi="ar"/>
        </w:rPr>
        <w:t>至</w:t>
      </w:r>
      <w:r>
        <w:rPr>
          <w:rStyle w:val="16"/>
          <w:color w:val="auto"/>
          <w:lang w:val="en-US" w:eastAsia="zh-CN" w:bidi="ar"/>
        </w:rPr>
        <w:t>采购人</w:t>
      </w:r>
      <w:r>
        <w:rPr>
          <w:rStyle w:val="15"/>
          <w:color w:val="auto"/>
          <w:lang w:val="en-US" w:eastAsia="zh-CN" w:bidi="ar"/>
        </w:rPr>
        <w:t>指定工地现场运输费、</w:t>
      </w:r>
      <w:r>
        <w:rPr>
          <w:rStyle w:val="16"/>
          <w:color w:val="auto"/>
          <w:lang w:val="en-US" w:eastAsia="zh-CN" w:bidi="ar"/>
        </w:rPr>
        <w:t>采购人</w:t>
      </w:r>
      <w:r>
        <w:rPr>
          <w:rStyle w:val="15"/>
          <w:color w:val="auto"/>
          <w:lang w:val="en-US" w:eastAsia="zh-CN" w:bidi="ar"/>
        </w:rPr>
        <w:t>指定地卸车费、超时等候费用、税金、保险费、利润、检测费、协调费、风险金等所有费用。</w:t>
      </w:r>
    </w:p>
    <w:p w14:paraId="12A352AC">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2.</w:t>
      </w:r>
      <w:r>
        <w:rPr>
          <w:rFonts w:hint="eastAsia" w:ascii="Times New Roman" w:hAnsi="Times New Roman" w:cs="Times New Roman"/>
          <w:sz w:val="32"/>
          <w:szCs w:val="32"/>
          <w:lang w:val="en-US" w:eastAsia="zh-CN"/>
        </w:rPr>
        <w:t>物资材料验收时供应商需提供产品质量合格证明文件或第三方检测报告或出厂检测合格报告等能够证明产品质量合格的文件资料；</w:t>
      </w:r>
    </w:p>
    <w:p w14:paraId="06F6B860">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 xml:space="preserve">3.逆变器推荐厂家：华为技术有限公司、阳光电源股份有限公司、江苏固德威电源科技股份有限公司、锦浪科技股份有限公司、科华数据股份有限公司、立讯新能源安徽有限公司。 </w:t>
      </w:r>
    </w:p>
    <w:p w14:paraId="43CEFB8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4.光伏组件推荐厂家：隆基绿能科技股份有限公司、晶科能源控股有限公司、晶澳太阳能科技股份有限公司、天合光能股份有限公司、安徽华晟新能源科技有限公司、阿特斯阳光电力有限公司、安徽晶智新能源有限公司、东方日升新能源股份有限公司、宏润建设集团股份有限公司。</w:t>
      </w:r>
    </w:p>
    <w:p w14:paraId="4B00E6A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Times New Roman" w:hAnsi="Times New Roman" w:cs="Times New Roman" w:eastAsiaTheme="minorEastAsia"/>
          <w:sz w:val="32"/>
          <w:szCs w:val="32"/>
          <w:lang w:val="en-US" w:eastAsia="zh-CN"/>
        </w:rPr>
      </w:pPr>
      <w:r>
        <w:rPr>
          <w:rFonts w:hint="eastAsia" w:ascii="Times New Roman" w:hAnsi="Times New Roman" w:cs="Times New Roman"/>
          <w:sz w:val="32"/>
          <w:szCs w:val="32"/>
        </w:rPr>
        <w:t>供应商可自行选择其他品牌（或型号）响应，但供应商应当在响应文件中提供技术证明材料，以证明响应产品的质量、性能、参数等相当于或优于推荐品牌 （或推荐型号），否则其响应无效</w:t>
      </w:r>
      <w:r>
        <w:rPr>
          <w:rFonts w:hint="eastAsia" w:ascii="Times New Roman" w:hAnsi="Times New Roman" w:cs="Times New Roman"/>
          <w:sz w:val="32"/>
          <w:szCs w:val="32"/>
          <w:lang w:eastAsia="zh-CN"/>
        </w:rPr>
        <w:t>。</w:t>
      </w:r>
    </w:p>
    <w:p w14:paraId="28A08A22">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E0502D"/>
    <w:multiLevelType w:val="singleLevel"/>
    <w:tmpl w:val="90E0502D"/>
    <w:lvl w:ilvl="0" w:tentative="0">
      <w:start w:val="1"/>
      <w:numFmt w:val="decimal"/>
      <w:suff w:val="nothing"/>
      <w:lvlText w:val="%1．"/>
      <w:lvlJc w:val="left"/>
    </w:lvl>
  </w:abstractNum>
  <w:abstractNum w:abstractNumId="1">
    <w:nsid w:val="435E657A"/>
    <w:multiLevelType w:val="singleLevel"/>
    <w:tmpl w:val="435E657A"/>
    <w:lvl w:ilvl="0" w:tentative="0">
      <w:start w:val="1"/>
      <w:numFmt w:val="decimal"/>
      <w:suff w:val="nothing"/>
      <w:lvlText w:val="%1．"/>
      <w:lvlJc w:val="left"/>
    </w:lvl>
  </w:abstractNum>
  <w:abstractNum w:abstractNumId="2">
    <w:nsid w:val="5DDBDC5A"/>
    <w:multiLevelType w:val="singleLevel"/>
    <w:tmpl w:val="5DDBDC5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 w:name="KSO_WPS_MARK_KEY" w:val="e25d235b-bfcb-4db4-8c3a-96cb41484f81"/>
  </w:docVars>
  <w:rsids>
    <w:rsidRoot w:val="2C8D55F1"/>
    <w:rsid w:val="0002117A"/>
    <w:rsid w:val="00702588"/>
    <w:rsid w:val="00773916"/>
    <w:rsid w:val="011871BF"/>
    <w:rsid w:val="015F4443"/>
    <w:rsid w:val="017936BE"/>
    <w:rsid w:val="01BB7833"/>
    <w:rsid w:val="0261662C"/>
    <w:rsid w:val="026659F0"/>
    <w:rsid w:val="034F7B48"/>
    <w:rsid w:val="0433224A"/>
    <w:rsid w:val="043438CC"/>
    <w:rsid w:val="043F474B"/>
    <w:rsid w:val="04416527"/>
    <w:rsid w:val="04445A59"/>
    <w:rsid w:val="07207C8B"/>
    <w:rsid w:val="073428F3"/>
    <w:rsid w:val="07CC09EB"/>
    <w:rsid w:val="08585DDB"/>
    <w:rsid w:val="0895702F"/>
    <w:rsid w:val="08C72F61"/>
    <w:rsid w:val="097035F9"/>
    <w:rsid w:val="098D7D07"/>
    <w:rsid w:val="09A47FE3"/>
    <w:rsid w:val="09B26493"/>
    <w:rsid w:val="09E963BD"/>
    <w:rsid w:val="09F90B7C"/>
    <w:rsid w:val="0A171CC6"/>
    <w:rsid w:val="0AB6423A"/>
    <w:rsid w:val="0B162F9D"/>
    <w:rsid w:val="0B25614D"/>
    <w:rsid w:val="0B57681E"/>
    <w:rsid w:val="0BFD4E9D"/>
    <w:rsid w:val="0C6C0213"/>
    <w:rsid w:val="0CCE634C"/>
    <w:rsid w:val="0D6E4355"/>
    <w:rsid w:val="0EDE1004"/>
    <w:rsid w:val="0F0D4362"/>
    <w:rsid w:val="10CD30DE"/>
    <w:rsid w:val="10D26947"/>
    <w:rsid w:val="111807FE"/>
    <w:rsid w:val="111B6540"/>
    <w:rsid w:val="12281DA0"/>
    <w:rsid w:val="1324792E"/>
    <w:rsid w:val="13C51BBF"/>
    <w:rsid w:val="14103A0E"/>
    <w:rsid w:val="143D67CD"/>
    <w:rsid w:val="14BB5B68"/>
    <w:rsid w:val="152F25B6"/>
    <w:rsid w:val="16C81358"/>
    <w:rsid w:val="16FD252F"/>
    <w:rsid w:val="184B4649"/>
    <w:rsid w:val="188744BB"/>
    <w:rsid w:val="1AE101ED"/>
    <w:rsid w:val="1C393D1E"/>
    <w:rsid w:val="1C6A3ED7"/>
    <w:rsid w:val="1D745FD8"/>
    <w:rsid w:val="1D8D4321"/>
    <w:rsid w:val="1DAA6C81"/>
    <w:rsid w:val="1EDD4E34"/>
    <w:rsid w:val="1FAF67D1"/>
    <w:rsid w:val="20174376"/>
    <w:rsid w:val="207254A1"/>
    <w:rsid w:val="20AE0304"/>
    <w:rsid w:val="20AF0487"/>
    <w:rsid w:val="218B501C"/>
    <w:rsid w:val="21EA1D42"/>
    <w:rsid w:val="21F10524"/>
    <w:rsid w:val="22041AC9"/>
    <w:rsid w:val="23046E34"/>
    <w:rsid w:val="239161EE"/>
    <w:rsid w:val="23AB5501"/>
    <w:rsid w:val="23FC3FAF"/>
    <w:rsid w:val="240415DF"/>
    <w:rsid w:val="24F15196"/>
    <w:rsid w:val="2563051A"/>
    <w:rsid w:val="257D4C7B"/>
    <w:rsid w:val="25AD14FF"/>
    <w:rsid w:val="25F211C5"/>
    <w:rsid w:val="265C5285"/>
    <w:rsid w:val="274624BC"/>
    <w:rsid w:val="28096C9A"/>
    <w:rsid w:val="290A14E0"/>
    <w:rsid w:val="290E5995"/>
    <w:rsid w:val="29A7676B"/>
    <w:rsid w:val="29E23D6D"/>
    <w:rsid w:val="29FD45DD"/>
    <w:rsid w:val="2A9F7442"/>
    <w:rsid w:val="2AE41B02"/>
    <w:rsid w:val="2B00322B"/>
    <w:rsid w:val="2BE94D47"/>
    <w:rsid w:val="2C11436F"/>
    <w:rsid w:val="2C567FD4"/>
    <w:rsid w:val="2C8D55F1"/>
    <w:rsid w:val="2DD37B2E"/>
    <w:rsid w:val="3054752A"/>
    <w:rsid w:val="30847806"/>
    <w:rsid w:val="31CD5CAD"/>
    <w:rsid w:val="31F938DC"/>
    <w:rsid w:val="320A1650"/>
    <w:rsid w:val="34452E08"/>
    <w:rsid w:val="345D2074"/>
    <w:rsid w:val="35245113"/>
    <w:rsid w:val="360931FD"/>
    <w:rsid w:val="361D53EC"/>
    <w:rsid w:val="36496DE4"/>
    <w:rsid w:val="366206F5"/>
    <w:rsid w:val="368E10DD"/>
    <w:rsid w:val="36B87FCE"/>
    <w:rsid w:val="36D44917"/>
    <w:rsid w:val="36DA1F2E"/>
    <w:rsid w:val="36FE4905"/>
    <w:rsid w:val="38B13162"/>
    <w:rsid w:val="38F0795C"/>
    <w:rsid w:val="39F01A68"/>
    <w:rsid w:val="3AC76C6D"/>
    <w:rsid w:val="3AF31810"/>
    <w:rsid w:val="3B984165"/>
    <w:rsid w:val="3BAC5E63"/>
    <w:rsid w:val="3BD76142"/>
    <w:rsid w:val="3BDD1C9A"/>
    <w:rsid w:val="3C8972BE"/>
    <w:rsid w:val="3D962926"/>
    <w:rsid w:val="3DD31485"/>
    <w:rsid w:val="3E347140"/>
    <w:rsid w:val="3F03223E"/>
    <w:rsid w:val="3FA07A8C"/>
    <w:rsid w:val="40BB2DD0"/>
    <w:rsid w:val="40DB4CE3"/>
    <w:rsid w:val="41CA47A1"/>
    <w:rsid w:val="42445EF3"/>
    <w:rsid w:val="425F5043"/>
    <w:rsid w:val="42B06238"/>
    <w:rsid w:val="42CD0B98"/>
    <w:rsid w:val="42D47DE3"/>
    <w:rsid w:val="44A66906"/>
    <w:rsid w:val="45344316"/>
    <w:rsid w:val="456450B8"/>
    <w:rsid w:val="458614D2"/>
    <w:rsid w:val="464C7905"/>
    <w:rsid w:val="47370CD6"/>
    <w:rsid w:val="473E2065"/>
    <w:rsid w:val="474B4782"/>
    <w:rsid w:val="475E2707"/>
    <w:rsid w:val="47775577"/>
    <w:rsid w:val="48621D83"/>
    <w:rsid w:val="49521DF7"/>
    <w:rsid w:val="498D6D0C"/>
    <w:rsid w:val="49F17862"/>
    <w:rsid w:val="4A0C75E2"/>
    <w:rsid w:val="4A62606A"/>
    <w:rsid w:val="4A730277"/>
    <w:rsid w:val="4A856C92"/>
    <w:rsid w:val="4AAC3789"/>
    <w:rsid w:val="4BD9235C"/>
    <w:rsid w:val="4BED5E07"/>
    <w:rsid w:val="4C0A79EA"/>
    <w:rsid w:val="4C0F3FD0"/>
    <w:rsid w:val="4C63431C"/>
    <w:rsid w:val="503C55AF"/>
    <w:rsid w:val="5176689F"/>
    <w:rsid w:val="5314011E"/>
    <w:rsid w:val="535D1AC5"/>
    <w:rsid w:val="535F3A8F"/>
    <w:rsid w:val="545804DE"/>
    <w:rsid w:val="551C775D"/>
    <w:rsid w:val="55E305D4"/>
    <w:rsid w:val="56B23ED5"/>
    <w:rsid w:val="56CA4951"/>
    <w:rsid w:val="57C2639A"/>
    <w:rsid w:val="590C7EA4"/>
    <w:rsid w:val="591470C9"/>
    <w:rsid w:val="59457283"/>
    <w:rsid w:val="595B08A7"/>
    <w:rsid w:val="59A044B9"/>
    <w:rsid w:val="5A00764E"/>
    <w:rsid w:val="5A290952"/>
    <w:rsid w:val="5AB754A6"/>
    <w:rsid w:val="5AF56A87"/>
    <w:rsid w:val="5BE56AFB"/>
    <w:rsid w:val="5C4F6BD1"/>
    <w:rsid w:val="5C50666A"/>
    <w:rsid w:val="5C6E42B2"/>
    <w:rsid w:val="5C700ABB"/>
    <w:rsid w:val="5CF32339"/>
    <w:rsid w:val="5CFF3BED"/>
    <w:rsid w:val="5D445AA3"/>
    <w:rsid w:val="5D8977E8"/>
    <w:rsid w:val="5E2C27BF"/>
    <w:rsid w:val="60A61C0E"/>
    <w:rsid w:val="60B065B7"/>
    <w:rsid w:val="61B747E8"/>
    <w:rsid w:val="61DD0F07"/>
    <w:rsid w:val="62854B94"/>
    <w:rsid w:val="6378131D"/>
    <w:rsid w:val="63FB31EA"/>
    <w:rsid w:val="64135A89"/>
    <w:rsid w:val="64964E36"/>
    <w:rsid w:val="64B67287"/>
    <w:rsid w:val="679118E5"/>
    <w:rsid w:val="67CF26DD"/>
    <w:rsid w:val="69304F32"/>
    <w:rsid w:val="69D40201"/>
    <w:rsid w:val="6A274783"/>
    <w:rsid w:val="6A6C074C"/>
    <w:rsid w:val="6A752B16"/>
    <w:rsid w:val="6B0F5943"/>
    <w:rsid w:val="6B6D2669"/>
    <w:rsid w:val="6B8A44FA"/>
    <w:rsid w:val="6C890097"/>
    <w:rsid w:val="6DAD31F1"/>
    <w:rsid w:val="6DBB70A1"/>
    <w:rsid w:val="6E00031E"/>
    <w:rsid w:val="6F683AD2"/>
    <w:rsid w:val="6F6F72B0"/>
    <w:rsid w:val="6FC36CFC"/>
    <w:rsid w:val="70383246"/>
    <w:rsid w:val="70D46855"/>
    <w:rsid w:val="72F054D5"/>
    <w:rsid w:val="73790697"/>
    <w:rsid w:val="739369E5"/>
    <w:rsid w:val="73FE0302"/>
    <w:rsid w:val="74626AE3"/>
    <w:rsid w:val="74E449D9"/>
    <w:rsid w:val="7513602F"/>
    <w:rsid w:val="751F6782"/>
    <w:rsid w:val="75F95225"/>
    <w:rsid w:val="75F96FD3"/>
    <w:rsid w:val="760A3563"/>
    <w:rsid w:val="762F05C5"/>
    <w:rsid w:val="767D5622"/>
    <w:rsid w:val="76A930E3"/>
    <w:rsid w:val="76CA6BC2"/>
    <w:rsid w:val="785030F6"/>
    <w:rsid w:val="795A247F"/>
    <w:rsid w:val="79BA2F1D"/>
    <w:rsid w:val="79C8388C"/>
    <w:rsid w:val="7B446F42"/>
    <w:rsid w:val="7C556F2D"/>
    <w:rsid w:val="7C885A6A"/>
    <w:rsid w:val="7D250F7A"/>
    <w:rsid w:val="7D6769C4"/>
    <w:rsid w:val="7DC0201E"/>
    <w:rsid w:val="7FAC3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spacing w:before="240" w:after="240" w:line="600" w:lineRule="auto"/>
      <w:jc w:val="center"/>
      <w:outlineLvl w:val="0"/>
    </w:pPr>
    <w:rPr>
      <w:rFonts w:ascii="仿宋" w:hAnsi="仿宋" w:eastAsia="仿宋"/>
      <w:b/>
      <w:bCs/>
      <w:color w:val="000000"/>
      <w:kern w:val="44"/>
      <w:sz w:val="32"/>
      <w:szCs w:val="44"/>
    </w:rPr>
  </w:style>
  <w:style w:type="paragraph" w:styleId="3">
    <w:name w:val="heading 2"/>
    <w:basedOn w:val="1"/>
    <w:next w:val="4"/>
    <w:qFormat/>
    <w:uiPriority w:val="9"/>
    <w:pPr>
      <w:keepNext/>
      <w:keepLines/>
      <w:spacing w:before="120" w:after="120"/>
      <w:outlineLvl w:val="1"/>
    </w:pPr>
    <w:rPr>
      <w:rFonts w:ascii="仿宋" w:hAnsi="仿宋" w:eastAsia="仿宋"/>
      <w:b/>
      <w:bCs/>
      <w:kern w:val="0"/>
      <w:sz w:val="28"/>
      <w:szCs w:val="28"/>
    </w:rPr>
  </w:style>
  <w:style w:type="paragraph" w:styleId="4">
    <w:name w:val="heading 3"/>
    <w:basedOn w:val="1"/>
    <w:next w:val="1"/>
    <w:qFormat/>
    <w:uiPriority w:val="0"/>
    <w:pPr>
      <w:keepNext/>
      <w:keepLines/>
      <w:spacing w:beforeLines="50" w:afterLines="50"/>
      <w:outlineLvl w:val="2"/>
    </w:pPr>
    <w:rPr>
      <w:rFonts w:ascii="仿宋" w:hAnsi="仿宋" w:eastAsia="仿宋"/>
      <w:b/>
      <w:bCs/>
      <w:kern w:val="0"/>
      <w:sz w:val="24"/>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99"/>
    <w:pPr>
      <w:spacing w:after="120"/>
    </w:pPr>
    <w:rPr>
      <w:rFonts w:ascii="Times New Roman" w:hAnsi="Times New Roman"/>
      <w:kern w:val="0"/>
      <w:sz w:val="20"/>
      <w:szCs w:val="20"/>
    </w:rPr>
  </w:style>
  <w:style w:type="paragraph" w:styleId="6">
    <w:name w:val="Body Text Indent"/>
    <w:basedOn w:val="1"/>
    <w:semiHidden/>
    <w:unhideWhenUsed/>
    <w:qFormat/>
    <w:uiPriority w:val="99"/>
    <w:pPr>
      <w:spacing w:after="120"/>
      <w:ind w:left="420" w:leftChars="2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envelope return"/>
    <w:basedOn w:val="1"/>
    <w:unhideWhenUsed/>
    <w:qFormat/>
    <w:uiPriority w:val="0"/>
    <w:pPr>
      <w:snapToGrid w:val="0"/>
    </w:pPr>
    <w:rPr>
      <w:rFonts w:hint="eastAsia" w:ascii="Arial" w:hAnsi="Arial"/>
    </w:rPr>
  </w:style>
  <w:style w:type="paragraph" w:styleId="9">
    <w:name w:val="Body Text First Indent 2"/>
    <w:basedOn w:val="6"/>
    <w:next w:val="1"/>
    <w:semiHidden/>
    <w:unhideWhenUsed/>
    <w:qFormat/>
    <w:uiPriority w:val="99"/>
    <w:pPr>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 w:type="paragraph" w:customStyle="1" w:styleId="14">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character" w:customStyle="1" w:styleId="15">
    <w:name w:val="font01"/>
    <w:basedOn w:val="12"/>
    <w:qFormat/>
    <w:uiPriority w:val="0"/>
    <w:rPr>
      <w:rFonts w:hint="eastAsia" w:ascii="宋体" w:hAnsi="宋体" w:eastAsia="宋体" w:cs="宋体"/>
      <w:color w:val="000000"/>
      <w:sz w:val="20"/>
      <w:szCs w:val="20"/>
      <w:u w:val="none"/>
    </w:rPr>
  </w:style>
  <w:style w:type="character" w:customStyle="1" w:styleId="16">
    <w:name w:val="font121"/>
    <w:basedOn w:val="12"/>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251</Words>
  <Characters>282</Characters>
  <Lines>0</Lines>
  <Paragraphs>0</Paragraphs>
  <TotalTime>0</TotalTime>
  <ScaleCrop>false</ScaleCrop>
  <LinksUpToDate>false</LinksUpToDate>
  <CharactersWithSpaces>286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2022-06-20T00:25:00Z</dcterms:created>
  <dc:creator>19956735427</dc:creator>
  <cp:lastModifiedBy></cp:lastModifiedBy>
  <dcterms:modified xsi:type="dcterms:W3CDTF">2025-02-25T07:27:19Z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D3E5E762D49B444E819C0BA1D4D83412_13</vt:lpwstr>
  </property>
  <property fmtid="{D5CDD505-2E9C-101B-9397-08002B2CF9AE}" pid="4" name="KSOTemplateDocerSaveRecord">
    <vt:lpwstr>eyJoZGlkIjoiMzBhNTU3M2ZhM2FhNmQzODBlMGYwNDdiYzRlMTI3NGIiLCJ1c2VySWQiOiIyNjcyMzY4NTUifQ==</vt:lpwstr>
  </property>
</Properties>
</file>