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EBD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196DC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亳州逸合府项目北区工程建设全周期内检测工程（三次）</w:t>
      </w:r>
    </w:p>
    <w:p w14:paraId="512BAD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715F4C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3F2C97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招</w:t>
      </w:r>
    </w:p>
    <w:p w14:paraId="7A07BF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标</w:t>
      </w:r>
    </w:p>
    <w:p w14:paraId="4A0811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文</w:t>
      </w:r>
    </w:p>
    <w:p w14:paraId="20551A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件</w:t>
      </w:r>
    </w:p>
    <w:p w14:paraId="23D7C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28"/>
          <w:szCs w:val="28"/>
          <w:highlight w:val="none"/>
          <w:lang w:val="en-US" w:eastAsia="zh-CN"/>
        </w:rPr>
      </w:pPr>
    </w:p>
    <w:p w14:paraId="7695843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003</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21676C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31D82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p>
    <w:p w14:paraId="0555B5EB">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p>
    <w:p w14:paraId="63C2BF0C">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亳州通恒置业有限公司</w:t>
      </w:r>
      <w:permEnd w:id="1"/>
    </w:p>
    <w:p w14:paraId="465269ED">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2025年2</w:t>
      </w:r>
      <w:r>
        <w:rPr>
          <w:rFonts w:hint="eastAsia" w:ascii="Times New Roman" w:hAnsi="Times New Roman" w:eastAsia="楷体" w:cs="Times New Roman"/>
          <w:color w:val="auto"/>
          <w:kern w:val="0"/>
          <w:sz w:val="32"/>
          <w:szCs w:val="32"/>
          <w:highlight w:val="none"/>
          <w:u w:val="none"/>
          <w:shd w:val="clear" w:color="auto" w:fill="auto"/>
          <w:lang w:val="en-US" w:eastAsia="zh-CN"/>
        </w:rPr>
        <w:t>月13日</w:t>
      </w:r>
      <w:permEnd w:id="2"/>
    </w:p>
    <w:p w14:paraId="22026D53">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2B5BC2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63B2F0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D2C525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第一章 招标公告.......................................................................1</w:t>
      </w:r>
    </w:p>
    <w:p w14:paraId="09EC07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14:paraId="3C3F1F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46D8DE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14:paraId="0033B2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35</w:t>
      </w:r>
    </w:p>
    <w:p w14:paraId="069000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p>
    <w:permEnd w:id="3"/>
    <w:p w14:paraId="0725AF5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158BE1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010EE3B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537A5A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4FC2CB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EC1F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32838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28EA062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46E6544C">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6159C5F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1E5C92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招标公告</w:t>
      </w:r>
    </w:p>
    <w:p w14:paraId="6008A0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FC6C5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u w:val="single"/>
          <w:lang w:val="en-US" w:eastAsia="zh-CN"/>
        </w:rPr>
        <w:t>亳州逸合府项目北区工程建设全周期内检测工程（三次）</w:t>
      </w:r>
      <w:r>
        <w:rPr>
          <w:rFonts w:hint="eastAsia" w:ascii="Times New Roman" w:hAnsi="Times New Roman" w:eastAsia="黑体" w:cs="Times New Roman"/>
          <w:color w:val="auto"/>
          <w:sz w:val="28"/>
          <w:szCs w:val="28"/>
          <w:highlight w:val="none"/>
          <w:lang w:val="en-US" w:eastAsia="zh-CN"/>
        </w:rPr>
        <w:t>招标公告</w:t>
      </w:r>
    </w:p>
    <w:p w14:paraId="6F52FB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79632536"/>
      <w:bookmarkStart w:id="1" w:name="_Toc144974487"/>
      <w:bookmarkStart w:id="2" w:name="_Toc296602410"/>
      <w:bookmarkStart w:id="3" w:name="_Toc152042295"/>
      <w:bookmarkStart w:id="4" w:name="_Toc152045519"/>
      <w:bookmarkStart w:id="5" w:name="_Toc246996909"/>
      <w:bookmarkStart w:id="6" w:name="_Toc247085680"/>
      <w:bookmarkStart w:id="7" w:name="_Toc246996166"/>
    </w:p>
    <w:bookmarkEnd w:id="0"/>
    <w:bookmarkEnd w:id="1"/>
    <w:bookmarkEnd w:id="2"/>
    <w:bookmarkEnd w:id="3"/>
    <w:bookmarkEnd w:id="4"/>
    <w:bookmarkEnd w:id="5"/>
    <w:bookmarkEnd w:id="6"/>
    <w:bookmarkEnd w:id="7"/>
    <w:p w14:paraId="7DE40C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r>
        <w:rPr>
          <w:rFonts w:hint="default" w:ascii="Times New Roman" w:hAnsi="Times New Roman" w:eastAsia="仿宋_GB2312" w:cs="Times New Roman"/>
          <w:color w:val="auto"/>
          <w:sz w:val="28"/>
          <w:szCs w:val="28"/>
          <w:highlight w:val="none"/>
          <w:lang w:val="en-US" w:eastAsia="zh-CN"/>
        </w:rPr>
        <w:tab/>
      </w:r>
    </w:p>
    <w:p w14:paraId="1B1663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bookmarkStart w:id="8" w:name="_Toc152045520"/>
      <w:bookmarkStart w:id="9" w:name="_Toc247085681"/>
      <w:bookmarkStart w:id="10" w:name="_Toc152042296"/>
      <w:bookmarkStart w:id="11" w:name="_Toc246996910"/>
      <w:bookmarkStart w:id="12" w:name="_Toc246996167"/>
      <w:bookmarkStart w:id="13" w:name="_Toc144974488"/>
      <w:bookmarkStart w:id="14" w:name="_Toc296602411"/>
      <w:bookmarkStart w:id="15" w:name="_Toc179632537"/>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4" w:edGrp="everyone"/>
      <w:r>
        <w:rPr>
          <w:rFonts w:hint="eastAsia" w:asciiTheme="minorEastAsia" w:hAnsiTheme="minorEastAsia" w:cstheme="minorEastAsia"/>
          <w:color w:val="auto"/>
          <w:sz w:val="28"/>
          <w:szCs w:val="28"/>
          <w:highlight w:val="none"/>
          <w:lang w:val="en-US" w:eastAsia="zh-CN"/>
        </w:rPr>
        <w:t>亳州逸合府项目北区工程建设全周期内检测工程（三次）</w:t>
      </w:r>
    </w:p>
    <w:permEnd w:id="4"/>
    <w:p w14:paraId="7E2F7A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5" w:edGrp="everyone"/>
      <w:r>
        <w:rPr>
          <w:rFonts w:hint="eastAsia" w:asciiTheme="minorEastAsia" w:hAnsiTheme="minorEastAsia" w:cstheme="minorEastAsia"/>
          <w:color w:val="auto"/>
          <w:sz w:val="28"/>
          <w:szCs w:val="28"/>
          <w:highlight w:val="none"/>
          <w:lang w:val="en-US" w:eastAsia="zh-CN"/>
        </w:rPr>
        <w:t>BZJK-2025-</w:t>
      </w:r>
      <w:r>
        <w:rPr>
          <w:rFonts w:hint="eastAsia" w:asciiTheme="minorEastAsia" w:hAnsiTheme="minorEastAsia" w:cstheme="minorEastAsia"/>
          <w:color w:val="auto"/>
          <w:sz w:val="28"/>
          <w:szCs w:val="28"/>
          <w:highlight w:val="none"/>
          <w:u w:val="none"/>
          <w:lang w:val="en-US" w:eastAsia="zh-CN"/>
        </w:rPr>
        <w:t>003</w:t>
      </w:r>
      <w:r>
        <w:rPr>
          <w:rFonts w:hint="eastAsia" w:asciiTheme="minorEastAsia" w:hAnsiTheme="minorEastAsia" w:cstheme="minorEastAsia"/>
          <w:color w:val="auto"/>
          <w:sz w:val="28"/>
          <w:szCs w:val="28"/>
          <w:highlight w:val="none"/>
          <w:lang w:val="en-US" w:eastAsia="zh-CN"/>
        </w:rPr>
        <w:t>号</w:t>
      </w:r>
      <w:permEnd w:id="5"/>
    </w:p>
    <w:p w14:paraId="10F09E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6" w:edGrp="everyone"/>
      <w:r>
        <w:rPr>
          <w:rFonts w:hint="eastAsia" w:asciiTheme="minorEastAsia" w:hAnsiTheme="minorEastAsia" w:cstheme="minorEastAsia"/>
          <w:color w:val="auto"/>
          <w:sz w:val="28"/>
          <w:szCs w:val="28"/>
          <w:highlight w:val="none"/>
          <w:lang w:val="en-US" w:eastAsia="zh-CN"/>
        </w:rPr>
        <w:t>企业自筹</w:t>
      </w:r>
    </w:p>
    <w:permEnd w:id="6"/>
    <w:p w14:paraId="15145C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7" w:edGrp="everyone"/>
      <w:r>
        <w:rPr>
          <w:rFonts w:hint="eastAsia" w:asciiTheme="minorEastAsia" w:hAnsiTheme="minorEastAsia" w:cstheme="minorEastAsia"/>
          <w:color w:val="auto"/>
          <w:sz w:val="28"/>
          <w:szCs w:val="28"/>
          <w:highlight w:val="none"/>
          <w:lang w:val="en-US" w:eastAsia="zh-CN"/>
        </w:rPr>
        <w:t>亳州通恒置业有限公司</w:t>
      </w:r>
    </w:p>
    <w:permEnd w:id="7"/>
    <w:p w14:paraId="4A3C91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14:paraId="34BE3C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0BE02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488610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default" w:asciiTheme="minorEastAsia" w:hAnsiTheme="minorEastAsia" w:eastAsiaTheme="minorEastAsia" w:cstheme="minorEastAsia"/>
          <w:color w:val="auto"/>
          <w:sz w:val="28"/>
          <w:szCs w:val="28"/>
          <w:highlight w:val="none"/>
          <w:lang w:val="en-US" w:eastAsia="zh-CN"/>
        </w:rPr>
        <w:t>全周期内工程建设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专项检测包括但不限于主体结构工程现场检测、建筑节能检测、室内环境检测（不含桩基检测、消防检测、人防检测）。</w:t>
      </w:r>
    </w:p>
    <w:p w14:paraId="13DEF2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cstheme="minorEastAsia"/>
          <w:color w:val="auto"/>
          <w:sz w:val="28"/>
          <w:szCs w:val="28"/>
          <w:highlight w:val="none"/>
          <w:lang w:val="en-US" w:eastAsia="zh-CN"/>
        </w:rPr>
        <w:t>服务</w:t>
      </w:r>
      <w:r>
        <w:rPr>
          <w:rFonts w:hint="eastAsia" w:asciiTheme="minorEastAsia" w:hAnsiTheme="minorEastAsia" w:eastAsiaTheme="minorEastAsia" w:cstheme="minorEastAsia"/>
          <w:color w:val="auto"/>
          <w:sz w:val="28"/>
          <w:szCs w:val="28"/>
          <w:highlight w:val="none"/>
          <w:lang w:val="en-US" w:eastAsia="zh-CN"/>
        </w:rPr>
        <w:t>标准：</w:t>
      </w:r>
      <w:permStart w:id="8" w:edGrp="everyone"/>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符合有关试验检测规范、操作规程</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并对试验结果承担责任</w:t>
      </w:r>
      <w:r>
        <w:rPr>
          <w:rFonts w:hint="eastAsia" w:asciiTheme="minorEastAsia" w:hAnsiTheme="minorEastAsia" w:cstheme="minorEastAsia"/>
          <w:color w:val="auto"/>
          <w:sz w:val="28"/>
          <w:szCs w:val="28"/>
          <w:highlight w:val="none"/>
          <w:lang w:val="en-US" w:eastAsia="zh-CN"/>
        </w:rPr>
        <w:t>。</w:t>
      </w:r>
      <w:permEnd w:id="8"/>
    </w:p>
    <w:p w14:paraId="447709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default" w:asciiTheme="minorEastAsia" w:hAnsiTheme="minorEastAsia" w:eastAsiaTheme="minorEastAsia" w:cstheme="minorEastAsia"/>
          <w:color w:val="auto"/>
          <w:sz w:val="28"/>
          <w:szCs w:val="28"/>
          <w:highlight w:val="none"/>
          <w:lang w:val="en-US" w:eastAsia="zh-CN"/>
        </w:rPr>
        <w:t>自合同签订之日起至项目竣工验收通过</w:t>
      </w:r>
      <w:r>
        <w:rPr>
          <w:rFonts w:hint="eastAsia" w:asciiTheme="minorEastAsia" w:hAnsiTheme="minorEastAsia" w:eastAsiaTheme="minorEastAsia" w:cstheme="minorEastAsia"/>
          <w:color w:val="auto"/>
          <w:sz w:val="28"/>
          <w:szCs w:val="28"/>
          <w:highlight w:val="none"/>
          <w:lang w:val="en-US" w:eastAsia="zh-CN"/>
        </w:rPr>
        <w:t>。</w:t>
      </w:r>
      <w:permEnd w:id="9"/>
    </w:p>
    <w:p w14:paraId="6461B1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（五）最高投标限价</w:t>
      </w:r>
      <w:permStart w:id="10" w:edGrp="everyone"/>
      <w:r>
        <w:rPr>
          <w:rFonts w:hint="eastAsia" w:asciiTheme="minorEastAsia" w:hAnsiTheme="minorEastAsia" w:cstheme="minorEastAsia"/>
          <w:color w:val="auto"/>
          <w:sz w:val="28"/>
          <w:szCs w:val="28"/>
          <w:highlight w:val="none"/>
          <w:lang w:val="en-US" w:eastAsia="zh-CN"/>
        </w:rPr>
        <w:t>（含税6%）</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u w:val="single"/>
          <w:lang w:val="en-US" w:eastAsia="zh-CN"/>
        </w:rPr>
        <w:t>430000元</w:t>
      </w:r>
      <w:permEnd w:id="11"/>
      <w:r>
        <w:rPr>
          <w:rFonts w:hint="eastAsia" w:asciiTheme="minorEastAsia" w:hAnsiTheme="minorEastAsia" w:cstheme="minorEastAsia"/>
          <w:color w:val="auto"/>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lang w:val="en-US" w:eastAsia="zh-CN"/>
        </w:rPr>
        <w:t>按</w:t>
      </w:r>
      <w:permStart w:id="12"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2"/>
      <w:r>
        <w:rPr>
          <w:rFonts w:hint="eastAsia" w:asciiTheme="minorEastAsia" w:hAnsiTheme="minorEastAsia" w:cstheme="minorEastAsia"/>
          <w:color w:val="auto"/>
          <w:sz w:val="28"/>
          <w:szCs w:val="28"/>
          <w:highlight w:val="none"/>
          <w:lang w:val="en-US" w:eastAsia="zh-CN"/>
        </w:rPr>
        <w:t>投标报</w:t>
      </w:r>
      <w:r>
        <w:rPr>
          <w:rFonts w:hint="eastAsia" w:asciiTheme="minorEastAsia" w:hAnsiTheme="minorEastAsia" w:eastAsiaTheme="minorEastAsia" w:cstheme="minorEastAsia"/>
          <w:color w:val="auto"/>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24E96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2AC1EB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3" w:edGrp="everyone"/>
      <w:r>
        <w:rPr>
          <w:rFonts w:hint="eastAsia" w:asciiTheme="minorEastAsia" w:hAnsiTheme="minorEastAsia" w:eastAsiaTheme="minorEastAsia" w:cstheme="minorEastAsia"/>
          <w:color w:val="auto"/>
          <w:sz w:val="28"/>
          <w:szCs w:val="28"/>
          <w:highlight w:val="none"/>
          <w:u w:val="single"/>
          <w:lang w:val="en-US" w:eastAsia="zh-CN"/>
        </w:rPr>
        <w:t>独立</w:t>
      </w:r>
      <w:r>
        <w:rPr>
          <w:rFonts w:hint="eastAsia" w:asciiTheme="minorEastAsia" w:hAnsiTheme="minorEastAsia" w:cstheme="minorEastAsia"/>
          <w:color w:val="auto"/>
          <w:sz w:val="28"/>
          <w:szCs w:val="28"/>
          <w:highlight w:val="none"/>
          <w:u w:val="single"/>
          <w:lang w:val="en-US" w:eastAsia="zh-CN"/>
        </w:rPr>
        <w:t>承担民事责任的能力</w:t>
      </w:r>
      <w:permEnd w:id="13"/>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22545C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u w:val="single"/>
          <w:lang w:val="en-US" w:eastAsia="zh-CN"/>
        </w:rPr>
      </w:pPr>
      <w:r>
        <w:rPr>
          <w:rFonts w:hint="eastAsia" w:asciiTheme="minorEastAsia" w:hAnsiTheme="minorEastAsia" w:cstheme="minorEastAsia"/>
          <w:color w:val="auto"/>
          <w:sz w:val="28"/>
          <w:szCs w:val="28"/>
          <w:highlight w:val="none"/>
          <w:lang w:val="en-US" w:eastAsia="zh-CN"/>
        </w:rPr>
        <w:t>（二）</w:t>
      </w:r>
      <w:permStart w:id="14" w:edGrp="everyone"/>
      <w:r>
        <w:rPr>
          <w:rFonts w:hint="eastAsia" w:asciiTheme="minorEastAsia" w:hAnsiTheme="minorEastAsia" w:cstheme="minorEastAsia"/>
          <w:color w:val="auto"/>
          <w:sz w:val="28"/>
          <w:szCs w:val="28"/>
          <w:highlight w:val="none"/>
          <w:u w:val="single"/>
          <w:lang w:val="en-US" w:eastAsia="zh-CN"/>
        </w:rPr>
        <w:t>同时具备以下①和②：</w:t>
      </w:r>
    </w:p>
    <w:p w14:paraId="0B213D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single"/>
          <w:lang w:val="en-US" w:eastAsia="zh-CN"/>
        </w:rPr>
      </w:pPr>
      <w:r>
        <w:rPr>
          <w:rFonts w:hint="default" w:asciiTheme="minorEastAsia" w:hAnsiTheme="minorEastAsia" w:cstheme="minorEastAsia"/>
          <w:color w:val="auto"/>
          <w:sz w:val="28"/>
          <w:szCs w:val="28"/>
          <w:highlight w:val="none"/>
          <w:u w:val="single"/>
          <w:lang w:val="en-US" w:eastAsia="zh-CN"/>
        </w:rPr>
        <w:t>①投标人须具备建设行政主管部门颁发的在有效期内的</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或根据建设行政主管部门有关规定延期后仍在有效期内的</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建设工程质量检测机构资质证书</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检测范围须包含见证取样检测、主体结构工程现场检测</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或建设工程质量检测机构综合资质证书或专项资质证书</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包含主体结构及装饰装修检测、建筑节能检测、建筑材料及构配件</w:t>
      </w:r>
      <w:r>
        <w:rPr>
          <w:rFonts w:hint="eastAsia" w:asciiTheme="minorEastAsia" w:hAnsiTheme="minorEastAsia" w:cstheme="minorEastAsia"/>
          <w:color w:val="auto"/>
          <w:sz w:val="28"/>
          <w:szCs w:val="28"/>
          <w:highlight w:val="none"/>
          <w:u w:val="single"/>
          <w:lang w:val="en-US" w:eastAsia="zh-CN"/>
        </w:rPr>
        <w:t>）；</w:t>
      </w:r>
    </w:p>
    <w:p w14:paraId="768B1E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cstheme="minorEastAsia"/>
          <w:color w:val="auto"/>
          <w:sz w:val="28"/>
          <w:szCs w:val="28"/>
          <w:highlight w:val="none"/>
          <w:u w:val="single"/>
          <w:lang w:val="en-US" w:eastAsia="zh-CN"/>
        </w:rPr>
        <w:t>②投标人须具备有效的CMA计量认证证书</w:t>
      </w:r>
      <w:permEnd w:id="14"/>
      <w:r>
        <w:rPr>
          <w:rFonts w:hint="eastAsia" w:asciiTheme="minorEastAsia" w:hAnsiTheme="minorEastAsia" w:cstheme="minorEastAsia"/>
          <w:color w:val="auto"/>
          <w:sz w:val="28"/>
          <w:szCs w:val="28"/>
          <w:highlight w:val="none"/>
          <w:lang w:val="en-US" w:eastAsia="zh-CN"/>
        </w:rPr>
        <w:t>；</w:t>
      </w:r>
    </w:p>
    <w:p w14:paraId="202D69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permStart w:id="15" w:edGrp="everyone"/>
      <w:r>
        <w:rPr>
          <w:rFonts w:hint="eastAsia" w:asciiTheme="minorEastAsia" w:hAnsiTheme="minorEastAsia" w:cstheme="minorEastAsia"/>
          <w:color w:val="auto"/>
          <w:sz w:val="28"/>
          <w:szCs w:val="28"/>
          <w:highlight w:val="none"/>
          <w:u w:val="single"/>
          <w:lang w:val="en-US" w:eastAsia="zh-CN"/>
        </w:rPr>
        <w:t>建筑工程类中级及以上职称和检测人员岗位证书</w:t>
      </w:r>
      <w:permEnd w:id="15"/>
      <w:r>
        <w:rPr>
          <w:rFonts w:hint="eastAsia" w:asciiTheme="minorEastAsia" w:hAnsiTheme="minorEastAsia" w:eastAsiaTheme="minorEastAsia" w:cstheme="minorEastAsia"/>
          <w:color w:val="auto"/>
          <w:sz w:val="28"/>
          <w:szCs w:val="28"/>
          <w:highlight w:val="none"/>
          <w:lang w:val="en-US" w:eastAsia="zh-CN"/>
        </w:rPr>
        <w:t>执业资格</w:t>
      </w:r>
      <w:r>
        <w:rPr>
          <w:rFonts w:hint="eastAsia" w:asciiTheme="minorEastAsia" w:hAnsiTheme="minorEastAsia" w:cstheme="minorEastAsia"/>
          <w:color w:val="auto"/>
          <w:sz w:val="28"/>
          <w:szCs w:val="28"/>
          <w:highlight w:val="none"/>
          <w:lang w:val="en-US" w:eastAsia="zh-CN"/>
        </w:rPr>
        <w:t>；</w:t>
      </w:r>
    </w:p>
    <w:p w14:paraId="48FD59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）提供</w:t>
      </w:r>
      <w:permStart w:id="16" w:edGrp="everyone"/>
      <w:r>
        <w:rPr>
          <w:rFonts w:hint="eastAsia" w:asciiTheme="minorEastAsia" w:hAnsiTheme="minorEastAsia" w:cstheme="minorEastAsia"/>
          <w:color w:val="auto"/>
          <w:sz w:val="28"/>
          <w:szCs w:val="28"/>
          <w:highlight w:val="none"/>
          <w:u w:val="single"/>
          <w:lang w:val="en-US" w:eastAsia="zh-CN"/>
        </w:rPr>
        <w:t>2021</w:t>
      </w:r>
      <w:permEnd w:id="16"/>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permStart w:id="17" w:edGrp="everyone"/>
      <w:r>
        <w:rPr>
          <w:rFonts w:hint="eastAsia" w:asciiTheme="minorEastAsia" w:hAnsiTheme="minorEastAsia" w:cstheme="minorEastAsia"/>
          <w:color w:val="auto"/>
          <w:sz w:val="28"/>
          <w:szCs w:val="28"/>
          <w:highlight w:val="none"/>
          <w:u w:val="single"/>
          <w:lang w:val="en-US" w:eastAsia="zh-CN"/>
        </w:rPr>
        <w:t>1</w:t>
      </w:r>
      <w:permEnd w:id="17"/>
      <w:r>
        <w:rPr>
          <w:rFonts w:hint="eastAsia" w:asciiTheme="minorEastAsia" w:hAnsiTheme="minorEastAsia" w:eastAsiaTheme="minorEastAsia" w:cstheme="minorEastAsia"/>
          <w:color w:val="auto"/>
          <w:sz w:val="28"/>
          <w:szCs w:val="28"/>
          <w:highlight w:val="none"/>
          <w:lang w:val="en-US" w:eastAsia="zh-CN"/>
        </w:rPr>
        <w:t>个，以</w:t>
      </w:r>
      <w:permStart w:id="18" w:edGrp="everyone"/>
      <w:r>
        <w:rPr>
          <w:rFonts w:hint="eastAsia" w:asciiTheme="minorEastAsia" w:hAnsiTheme="minorEastAsia" w:cstheme="minorEastAsia"/>
          <w:color w:val="auto"/>
          <w:sz w:val="28"/>
          <w:szCs w:val="28"/>
          <w:highlight w:val="none"/>
          <w:u w:val="single"/>
          <w:lang w:val="en-US" w:eastAsia="zh-CN"/>
        </w:rPr>
        <w:t>合同签订</w:t>
      </w:r>
      <w:r>
        <w:rPr>
          <w:rFonts w:hint="eastAsia" w:asciiTheme="minorEastAsia" w:hAnsiTheme="minorEastAsia" w:eastAsiaTheme="minorEastAsia" w:cstheme="minorEastAsia"/>
          <w:color w:val="auto"/>
          <w:sz w:val="28"/>
          <w:szCs w:val="28"/>
          <w:highlight w:val="none"/>
          <w:u w:val="single"/>
          <w:lang w:val="en-US" w:eastAsia="zh-CN"/>
        </w:rPr>
        <w:t>时间</w:t>
      </w:r>
      <w:permEnd w:id="18"/>
      <w:r>
        <w:rPr>
          <w:rFonts w:hint="eastAsia" w:asciiTheme="minorEastAsia" w:hAnsiTheme="minorEastAsia" w:eastAsiaTheme="minorEastAsia" w:cstheme="minorEastAsia"/>
          <w:color w:val="auto"/>
          <w:sz w:val="28"/>
          <w:szCs w:val="28"/>
          <w:highlight w:val="none"/>
          <w:lang w:val="en-US" w:eastAsia="zh-CN"/>
        </w:rPr>
        <w:t>为准。类似项目业绩指：</w:t>
      </w:r>
      <w:permStart w:id="19" w:edGrp="everyone"/>
      <w:r>
        <w:rPr>
          <w:rFonts w:hint="eastAsia" w:asciiTheme="minorEastAsia" w:hAnsiTheme="minorEastAsia" w:eastAsiaTheme="minorEastAsia" w:cstheme="minorEastAsia"/>
          <w:color w:val="auto"/>
          <w:sz w:val="28"/>
          <w:szCs w:val="28"/>
          <w:highlight w:val="none"/>
          <w:u w:val="single"/>
          <w:lang w:val="en-US" w:eastAsia="zh-CN"/>
        </w:rPr>
        <w:t>单项合同金额不少于30万元或总建筑面积不少于12万㎡的建筑工程第三方检测或交竣工检测业绩</w:t>
      </w:r>
      <w:permEnd w:id="19"/>
      <w:r>
        <w:rPr>
          <w:rFonts w:hint="eastAsia" w:asciiTheme="minorEastAsia" w:hAnsiTheme="minorEastAsia" w:eastAsiaTheme="minorEastAsia" w:cstheme="minorEastAsia"/>
          <w:color w:val="auto"/>
          <w:sz w:val="28"/>
          <w:szCs w:val="28"/>
          <w:highlight w:val="none"/>
          <w:lang w:val="en-US" w:eastAsia="zh-CN"/>
        </w:rPr>
        <w:t>；</w:t>
      </w:r>
    </w:p>
    <w:p w14:paraId="4B4588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0"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ermEnd w:id="20"/>
      <w:r>
        <w:rPr>
          <w:rFonts w:hint="default" w:asciiTheme="minorEastAsia" w:hAnsiTheme="minorEastAsia" w:eastAsiaTheme="minorEastAsia" w:cstheme="minorEastAsia"/>
          <w:color w:val="auto"/>
          <w:sz w:val="28"/>
          <w:szCs w:val="28"/>
          <w:highlight w:val="none"/>
          <w:lang w:val="en-US" w:eastAsia="zh-CN"/>
        </w:rPr>
        <w:t>。</w:t>
      </w:r>
    </w:p>
    <w:p w14:paraId="17F7605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14:paraId="20070CB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14:paraId="5DC5285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14:paraId="308BAFC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14:paraId="52E3BCA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注：以上情形以“信用中国”（www.creditchina.gov.cn）发布的为准，有限制期限的按规定期限执行（以现场查询为准）。</w:t>
      </w:r>
    </w:p>
    <w:p w14:paraId="7294753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（六）投标人如在以往承接交控集团及下属企业项目过程中被记入“黑名单”，不得参加本次招标投标活动；</w:t>
      </w:r>
    </w:p>
    <w:p w14:paraId="1EC27CF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（七）本次招标</w:t>
      </w:r>
      <w:permStart w:id="21" w:edGrp="everyone"/>
      <w:r>
        <w:rPr>
          <w:rFonts w:hint="eastAsia" w:asciiTheme="minorEastAsia" w:hAnsiTheme="minorEastAsia" w:eastAsiaTheme="minorEastAsia" w:cstheme="minorEastAsia"/>
          <w:color w:val="auto"/>
          <w:sz w:val="28"/>
          <w:szCs w:val="28"/>
          <w:highlight w:val="none"/>
          <w:lang w:val="en-US" w:eastAsia="zh-CN"/>
        </w:rPr>
        <w:t>不接受</w:t>
      </w:r>
      <w:permEnd w:id="21"/>
      <w:r>
        <w:rPr>
          <w:rFonts w:hint="eastAsia" w:asciiTheme="minorEastAsia" w:hAnsiTheme="minorEastAsia" w:eastAsiaTheme="minorEastAsia" w:cstheme="minorEastAsia"/>
          <w:color w:val="auto"/>
          <w:sz w:val="28"/>
          <w:szCs w:val="28"/>
          <w:highlight w:val="none"/>
          <w:lang w:val="en-US" w:eastAsia="zh-CN"/>
        </w:rPr>
        <w:t>联合体投标。</w:t>
      </w:r>
    </w:p>
    <w:p w14:paraId="0D19A16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2" w:edGrp="everyone"/>
      <w:r>
        <w:rPr>
          <w:rFonts w:hint="eastAsia" w:asciiTheme="minorEastAsia" w:hAnsiTheme="minorEastAsia" w:eastAsiaTheme="minorEastAsia" w:cstheme="minorEastAsia"/>
          <w:color w:val="auto"/>
          <w:sz w:val="28"/>
          <w:szCs w:val="28"/>
          <w:highlight w:val="none"/>
          <w:lang w:val="en-US" w:eastAsia="zh-CN"/>
        </w:rPr>
        <w:t>2024年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permEnd w:id="22"/>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14:paraId="692124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14:paraId="1B370C8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2D848C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14:paraId="68E768D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permStart w:id="23"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i w:val="0"/>
          <w:iCs w:val="0"/>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2</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20</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23"/>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19D7B0A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14:paraId="7DC256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14:paraId="1EE470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w:t>
      </w:r>
      <w:permStart w:id="24" w:edGrp="everyone"/>
      <w:r>
        <w:rPr>
          <w:rFonts w:hint="eastAsia" w:asciiTheme="minorEastAsia" w:hAnsiTheme="minorEastAsia" w:cstheme="minorEastAsia"/>
          <w:color w:val="auto"/>
          <w:sz w:val="28"/>
          <w:szCs w:val="28"/>
          <w:highlight w:val="none"/>
          <w:lang w:val="en-US" w:eastAsia="zh-CN"/>
        </w:rPr>
        <w:t>不允许</w:t>
      </w:r>
      <w:permEnd w:id="24"/>
      <w:r>
        <w:rPr>
          <w:rFonts w:hint="default" w:asciiTheme="minorEastAsia" w:hAnsiTheme="minorEastAsia" w:eastAsiaTheme="minorEastAsia" w:cstheme="minorEastAsia"/>
          <w:color w:val="auto"/>
          <w:sz w:val="28"/>
          <w:szCs w:val="28"/>
          <w:highlight w:val="none"/>
          <w:lang w:val="en-US" w:eastAsia="zh-CN"/>
        </w:rPr>
        <w:t>投标人以邮寄方式递交投标文件。</w:t>
      </w:r>
    </w:p>
    <w:p w14:paraId="62B1A5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14:paraId="421E49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permStart w:id="25" w:edGrp="everyone"/>
      <w:r>
        <w:rPr>
          <w:rFonts w:hint="eastAsia" w:asciiTheme="minorEastAsia" w:hAnsiTheme="minorEastAsia" w:cstheme="minorEastAsia"/>
          <w:color w:val="auto"/>
          <w:sz w:val="28"/>
          <w:szCs w:val="28"/>
          <w:highlight w:val="none"/>
          <w:u w:val="single"/>
          <w:lang w:val="en-US" w:eastAsia="zh-CN"/>
        </w:rPr>
        <w:t>8000元</w:t>
      </w:r>
      <w:r>
        <w:rPr>
          <w:rFonts w:hint="default" w:asciiTheme="minorEastAsia" w:hAnsiTheme="minorEastAsia" w:eastAsiaTheme="minorEastAsia" w:cstheme="minorEastAsia"/>
          <w:color w:val="auto"/>
          <w:sz w:val="28"/>
          <w:szCs w:val="28"/>
          <w:highlight w:val="none"/>
          <w:lang w:val="en-US" w:eastAsia="zh-CN"/>
        </w:rPr>
        <w:t>（人民币）</w:t>
      </w:r>
      <w:permEnd w:id="25"/>
      <w:r>
        <w:rPr>
          <w:rFonts w:hint="default" w:asciiTheme="minorEastAsia" w:hAnsiTheme="minorEastAsia" w:eastAsiaTheme="minorEastAsia" w:cstheme="minorEastAsia"/>
          <w:color w:val="auto"/>
          <w:sz w:val="28"/>
          <w:szCs w:val="28"/>
          <w:highlight w:val="none"/>
          <w:lang w:val="en-US" w:eastAsia="zh-CN"/>
        </w:rPr>
        <w:t>，缴纳方式详见招标文件。</w:t>
      </w:r>
    </w:p>
    <w:p w14:paraId="613832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D9641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6" w:edGrp="everyone"/>
      <w:r>
        <w:rPr>
          <w:rFonts w:hint="eastAsia" w:asciiTheme="minorEastAsia" w:hAnsiTheme="minorEastAsia" w:cstheme="minorEastAsia"/>
          <w:color w:val="auto"/>
          <w:sz w:val="28"/>
          <w:szCs w:val="28"/>
          <w:highlight w:val="none"/>
          <w:lang w:val="en-US" w:eastAsia="zh-CN"/>
        </w:rPr>
        <w:t>亳州通恒置业有限公司</w:t>
      </w:r>
    </w:p>
    <w:permEnd w:id="26"/>
    <w:p w14:paraId="68E6E2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7" w:edGrp="everyone"/>
      <w:r>
        <w:rPr>
          <w:rFonts w:hint="eastAsia" w:asciiTheme="minorEastAsia" w:hAnsiTheme="minorEastAsia" w:cstheme="minorEastAsia"/>
          <w:color w:val="auto"/>
          <w:sz w:val="28"/>
          <w:szCs w:val="28"/>
          <w:highlight w:val="none"/>
          <w:lang w:val="en-US" w:eastAsia="zh-CN"/>
        </w:rPr>
        <w:t>安徽省亳州市谯城区药都路1289号</w:t>
      </w:r>
      <w:permEnd w:id="27"/>
    </w:p>
    <w:p w14:paraId="0922AC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8" w:edGrp="everyone"/>
      <w:r>
        <w:rPr>
          <w:rFonts w:hint="eastAsia" w:asciiTheme="minorEastAsia" w:hAnsiTheme="minorEastAsia" w:cstheme="minorEastAsia"/>
          <w:color w:val="auto"/>
          <w:sz w:val="28"/>
          <w:szCs w:val="28"/>
          <w:highlight w:val="none"/>
          <w:lang w:val="en-US" w:eastAsia="zh-CN"/>
        </w:rPr>
        <w:t>孙工</w:t>
      </w:r>
      <w:permEnd w:id="28"/>
    </w:p>
    <w:p w14:paraId="4F7C8D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9" w:edGrp="everyone"/>
      <w:r>
        <w:rPr>
          <w:rFonts w:hint="eastAsia" w:asciiTheme="minorEastAsia" w:hAnsiTheme="minorEastAsia" w:cstheme="minorEastAsia"/>
          <w:color w:val="auto"/>
          <w:sz w:val="28"/>
          <w:szCs w:val="28"/>
          <w:highlight w:val="none"/>
          <w:lang w:val="en-US" w:eastAsia="zh-CN"/>
        </w:rPr>
        <w:t>0558-5585196</w:t>
      </w:r>
      <w:permEnd w:id="29"/>
    </w:p>
    <w:p w14:paraId="5130C60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44A0E7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招标平台：亳州交控集团招投标中心</w:t>
      </w:r>
    </w:p>
    <w:p w14:paraId="4F7B8F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址：亳州市谯城区药都大道1289号</w:t>
      </w:r>
    </w:p>
    <w:p w14:paraId="294B49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54CB5D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
    <w:p w14:paraId="4C2BB38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（温馨提示：工作日上午8：00-12：00，下午2：30-5：30）</w:t>
      </w:r>
    </w:p>
    <w:p w14:paraId="73834E4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1842DBA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38605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30" w:edGrp="everyone"/>
      <w:r>
        <w:rPr>
          <w:rFonts w:hint="eastAsia" w:asciiTheme="minorEastAsia" w:hAnsiTheme="minorEastAsia" w:cstheme="minorEastAsia"/>
          <w:color w:val="auto"/>
          <w:sz w:val="28"/>
          <w:szCs w:val="28"/>
          <w:highlight w:val="none"/>
          <w:lang w:val="en-US" w:eastAsia="zh-CN"/>
        </w:rPr>
        <w:t>亳州通恒置业有限公司</w:t>
      </w:r>
    </w:p>
    <w:p w14:paraId="1BBF4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val="en-US" w:eastAsia="zh-CN"/>
        </w:rPr>
        <w:t>日</w:t>
      </w:r>
      <w:permEnd w:id="30"/>
      <w:r>
        <w:rPr>
          <w:rFonts w:hint="default" w:ascii="Times New Roman" w:hAnsi="Times New Roman" w:eastAsia="仿宋_GB2312" w:cs="Times New Roman"/>
          <w:color w:val="auto"/>
          <w:kern w:val="0"/>
          <w:sz w:val="32"/>
          <w:szCs w:val="32"/>
          <w:highlight w:val="none"/>
          <w:lang w:val="en-US" w:eastAsia="zh-CN"/>
        </w:rPr>
        <w:br w:type="page"/>
      </w:r>
    </w:p>
    <w:p w14:paraId="328176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14:paraId="693F2AB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5167E5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p w14:paraId="149B17B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2B54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EEF1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8C0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FAB2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51BDD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A7D0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12EB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AC03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4E5FE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4DED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30DD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59C4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B2E8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ED31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D5F0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599E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36B2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514F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F8BC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建设</w:t>
            </w:r>
            <w:r>
              <w:rPr>
                <w:rFonts w:hint="default" w:ascii="Times New Roman" w:hAnsi="Times New Roman" w:cs="Times New Roman"/>
                <w:color w:val="auto"/>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2BEF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585F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7202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1AC9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71F9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8869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AB95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D975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E7DC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36642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7F6E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D7F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1C18D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14:paraId="26D5B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AB726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6752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ADBF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14:paraId="2571D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628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3F24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B5D8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434EE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224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65F6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371B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2304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497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88EB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质量</w:t>
            </w:r>
            <w:r>
              <w:rPr>
                <w:rFonts w:hint="eastAsia" w:ascii="Times New Roman" w:hAnsi="Times New Roman" w:cs="Times New Roman"/>
                <w:color w:val="auto"/>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BFAB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1B76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D4A7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83F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AC6E472">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14:paraId="6C1D7B26">
            <w:pPr>
              <w:autoSpaceDE w:val="0"/>
              <w:autoSpaceDN w:val="0"/>
              <w:adjustRightInd w:val="0"/>
              <w:snapToGrid w:val="0"/>
              <w:spacing w:line="440" w:lineRule="exact"/>
              <w:jc w:val="left"/>
              <w:rPr>
                <w:rFonts w:hint="eastAsia" w:hAnsi="宋体"/>
                <w:color w:val="auto"/>
                <w:szCs w:val="21"/>
              </w:rPr>
            </w:pPr>
            <w:permStart w:id="31" w:edGrp="everyone"/>
            <w:r>
              <w:rPr>
                <w:rFonts w:hint="eastAsia" w:hAnsi="宋体"/>
                <w:color w:val="auto"/>
                <w:szCs w:val="21"/>
                <w:lang w:val="en-US" w:eastAsia="zh-CN"/>
              </w:rPr>
              <w:t>2</w:t>
            </w:r>
            <w:r>
              <w:rPr>
                <w:rFonts w:hint="eastAsia" w:hAnsi="宋体"/>
                <w:color w:val="auto"/>
                <w:szCs w:val="21"/>
              </w:rPr>
              <w:t>、财务要求：</w:t>
            </w:r>
          </w:p>
          <w:p w14:paraId="22A1415D">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14:paraId="1567F189">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1"/>
          <w:p w14:paraId="2CE0F097">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14:paraId="49C4E644">
            <w:pPr>
              <w:pStyle w:val="6"/>
              <w:topLinePunct/>
              <w:spacing w:line="440" w:lineRule="exact"/>
              <w:ind w:firstLine="420" w:firstLineChars="200"/>
              <w:rPr>
                <w:rFonts w:hint="default" w:ascii="Times New Roman" w:hAnsi="Times New Roman" w:cs="Times New Roman"/>
                <w:color w:val="auto"/>
                <w:szCs w:val="21"/>
                <w:highlight w:val="none"/>
              </w:rPr>
            </w:pPr>
            <w:permStart w:id="32" w:edGrp="everyone"/>
            <w:r>
              <w:rPr>
                <w:rFonts w:hint="eastAsia" w:hAnsi="宋体"/>
                <w:color w:val="auto"/>
                <w:sz w:val="21"/>
                <w:szCs w:val="21"/>
                <w:lang w:val="en-US" w:eastAsia="zh-CN"/>
              </w:rPr>
              <w:t>/</w:t>
            </w:r>
            <w:permEnd w:id="32"/>
          </w:p>
        </w:tc>
      </w:tr>
      <w:tr w14:paraId="4B133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EFE8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ED12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C330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permStart w:id="33"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接受</w:t>
            </w:r>
          </w:p>
          <w:p w14:paraId="669AD26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3"/>
          </w:p>
        </w:tc>
      </w:tr>
      <w:tr w14:paraId="2675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5623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9C58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624D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4" w:edGrp="everyone"/>
            <w:r>
              <w:rPr>
                <w:rFonts w:hint="eastAsia" w:hAnsi="宋体"/>
                <w:color w:val="auto"/>
                <w:sz w:val="21"/>
                <w:szCs w:val="21"/>
                <w:lang w:val="en-US" w:eastAsia="zh-CN"/>
              </w:rPr>
              <w:t>/</w:t>
            </w:r>
            <w:permEnd w:id="34"/>
          </w:p>
        </w:tc>
      </w:tr>
      <w:tr w14:paraId="75AE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517A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5" w:edGrp="everyone" w:colFirst="2" w:colLast="2"/>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3589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D3F81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3592F84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p>
        </w:tc>
      </w:tr>
      <w:permEnd w:id="35"/>
      <w:tr w14:paraId="689B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2F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6" w:edGrp="everyone" w:colFirst="2" w:colLast="2"/>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B33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9777A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p>
          <w:p w14:paraId="67ECDFA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36"/>
      <w:tr w14:paraId="142E7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2F4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3A18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FFECB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6E91A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4383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A143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B8D84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7CED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995F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5598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C2F9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7"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3ADE4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14:paraId="51209CE3">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14:paraId="23A98C40">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37"/>
          </w:p>
        </w:tc>
      </w:tr>
      <w:tr w14:paraId="0A511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5F5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C1E1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BB95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38" w:edGrp="everyone"/>
            <w:r>
              <w:rPr>
                <w:rFonts w:hint="eastAsia" w:hAnsi="宋体"/>
                <w:color w:val="auto"/>
                <w:sz w:val="21"/>
                <w:szCs w:val="21"/>
                <w:lang w:val="en-US" w:eastAsia="zh-CN"/>
              </w:rPr>
              <w:t>详见第一章招标公告、第四章合同条款及格式、第五章发包人要求。</w:t>
            </w:r>
            <w:r>
              <w:rPr>
                <w:rFonts w:hint="eastAsia" w:ascii="Times New Roman" w:hAnsi="Times New Roman" w:cs="Times New Roman"/>
                <w:color w:val="auto"/>
                <w:sz w:val="21"/>
                <w:szCs w:val="21"/>
                <w:highlight w:val="none"/>
                <w:lang w:val="en-US" w:eastAsia="zh-CN"/>
              </w:rPr>
              <w:t xml:space="preserve"> </w:t>
            </w:r>
            <w:permEnd w:id="38"/>
          </w:p>
        </w:tc>
      </w:tr>
      <w:tr w14:paraId="4F718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584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1AFD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78DB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14:paraId="636B2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4910192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2E77E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62B7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18</w:t>
            </w:r>
            <w:r>
              <w:rPr>
                <w:rFonts w:hint="eastAsia" w:ascii="Times New Roman" w:hAnsi="Times New Roman" w:cs="Times New Roman"/>
                <w:color w:val="auto"/>
                <w:szCs w:val="21"/>
                <w:highlight w:val="none"/>
                <w:u w:val="none"/>
                <w:lang w:val="en-US" w:eastAsia="zh-CN"/>
              </w:rPr>
              <w:t>日前，投标人应仔细阅读和检查招标文件的全部内容。如发现缺页或附件不全，应及时向招标人提出，以便补齐。</w:t>
            </w:r>
          </w:p>
        </w:tc>
      </w:tr>
      <w:tr w14:paraId="216DF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836E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280CF1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66C5C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4DC4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C9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9B3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DDA2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投标截止时间前，招标文件的澄清将在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6AC7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0F3F22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222B0A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CC2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上的发布时间，视为投标人确认收到招标文件澄清的时间。</w:t>
            </w:r>
          </w:p>
        </w:tc>
      </w:tr>
      <w:tr w14:paraId="6FD89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50998D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4BCE3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593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66C8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D6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16C1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E9D3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AA6F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43188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0C876B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3D91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14:paraId="3EAB1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6305F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A4EFD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A490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700BC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16E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F894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B18D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投标人的书面澄清、说明和补正（但不得改变投标文件的实质性内容）。</w:t>
            </w:r>
          </w:p>
        </w:tc>
      </w:tr>
      <w:tr w14:paraId="3DFB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283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D82C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B0DD3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14:paraId="0F60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945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9DD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12C3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6EC7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E84F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FDA7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CBA99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permStart w:id="39" w:edGrp="everyone"/>
            <w:r>
              <w:rPr>
                <w:rFonts w:hint="eastAsia" w:ascii="Times New Roman" w:hAnsi="Times New Roman" w:cs="Times New Roman"/>
                <w:color w:val="auto"/>
                <w:szCs w:val="21"/>
                <w:highlight w:val="none"/>
                <w:u w:val="none"/>
                <w:lang w:val="en-US" w:eastAsia="zh-CN"/>
              </w:rPr>
              <w:t>详见第一章招标公告。</w:t>
            </w:r>
            <w:r>
              <w:rPr>
                <w:rFonts w:hint="eastAsia" w:ascii="Times New Roman" w:hAnsi="Times New Roman" w:cs="Times New Roman"/>
                <w:color w:val="auto"/>
                <w:kern w:val="2"/>
                <w:sz w:val="21"/>
                <w:szCs w:val="21"/>
                <w:highlight w:val="none"/>
                <w:u w:val="single"/>
                <w:lang w:val="en-US" w:eastAsia="zh-CN" w:bidi="ar-SA"/>
              </w:rPr>
              <w:t xml:space="preserve"> </w:t>
            </w:r>
            <w:permEnd w:id="39"/>
          </w:p>
        </w:tc>
      </w:tr>
      <w:tr w14:paraId="2856A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2E26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68CC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714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120</w:t>
            </w:r>
            <w:r>
              <w:rPr>
                <w:rFonts w:hint="default" w:ascii="Times New Roman" w:hAnsi="Times New Roman" w:cs="Times New Roman"/>
                <w:color w:val="auto"/>
                <w:szCs w:val="21"/>
                <w:highlight w:val="none"/>
              </w:rPr>
              <w:t>天</w:t>
            </w:r>
          </w:p>
        </w:tc>
      </w:tr>
      <w:tr w14:paraId="22510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45E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E35B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88F7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14:paraId="6301D5E7">
            <w:pPr>
              <w:autoSpaceDE w:val="0"/>
              <w:autoSpaceDN w:val="0"/>
              <w:adjustRightInd w:val="0"/>
              <w:snapToGrid w:val="0"/>
              <w:spacing w:line="440" w:lineRule="exact"/>
              <w:jc w:val="left"/>
              <w:rPr>
                <w:rFonts w:hint="eastAsia" w:hAnsi="宋体"/>
                <w:color w:val="auto"/>
                <w:szCs w:val="21"/>
              </w:rPr>
            </w:pPr>
            <w:permStart w:id="40" w:edGrp="everyone"/>
            <w:r>
              <w:rPr>
                <w:rFonts w:hint="eastAsia" w:hAnsi="宋体"/>
                <w:color w:val="auto"/>
                <w:szCs w:val="21"/>
              </w:rPr>
              <w:t>不需要</w:t>
            </w:r>
            <w:r>
              <w:rPr>
                <w:rFonts w:hint="eastAsia" w:hAnsi="宋体"/>
                <w:color w:val="auto"/>
                <w:szCs w:val="21"/>
              </w:rPr>
              <w:sym w:font="Wingdings 2" w:char="00A3"/>
            </w:r>
          </w:p>
          <w:p w14:paraId="7B9FDFB5">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 xml:space="preserve">需 </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ermEnd w:id="40"/>
          <w:p w14:paraId="64BDB0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1" w:edGrp="everyone"/>
            <w:r>
              <w:rPr>
                <w:rFonts w:hint="default" w:ascii="Times New Roman" w:hAnsi="Times New Roman" w:cs="Times New Roman"/>
                <w:color w:val="auto"/>
                <w:szCs w:val="21"/>
                <w:highlight w:val="none"/>
              </w:rPr>
              <w:t>银行汇款或转账</w:t>
            </w:r>
            <w:permEnd w:id="41"/>
          </w:p>
          <w:p w14:paraId="469381D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8000元</w:t>
            </w:r>
            <w:permEnd w:id="42"/>
          </w:p>
          <w:p w14:paraId="2B2548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14:paraId="1534FE3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1E2FA52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193F5D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09A41C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417307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3" w:edGrp="everyone"/>
            <w:r>
              <w:rPr>
                <w:rFonts w:hint="eastAsia" w:ascii="Times New Roman" w:hAnsi="Times New Roman" w:cs="Times New Roman"/>
                <w:color w:val="auto"/>
                <w:szCs w:val="21"/>
                <w:highlight w:val="none"/>
                <w:lang w:val="en-US" w:eastAsia="zh-CN"/>
              </w:rPr>
              <w:t>BZJK-2025-003号保证金</w:t>
            </w:r>
            <w:permEnd w:id="43"/>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0F81CC2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608D5A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177F42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p w14:paraId="416FCE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w:t>
            </w:r>
            <w:r>
              <w:rPr>
                <w:rFonts w:hint="eastAsia" w:ascii="Times New Roman" w:hAnsi="Times New Roman" w:cs="Times New Roman"/>
                <w:color w:val="auto"/>
                <w:szCs w:val="21"/>
                <w:highlight w:val="none"/>
                <w:lang w:val="en-US" w:eastAsia="zh-CN"/>
              </w:rPr>
              <w:t>候</w:t>
            </w:r>
            <w:r>
              <w:rPr>
                <w:rFonts w:hint="default" w:ascii="Times New Roman" w:hAnsi="Times New Roman" w:cs="Times New Roman"/>
                <w:color w:val="auto"/>
                <w:szCs w:val="21"/>
                <w:highlight w:val="none"/>
              </w:rPr>
              <w:t>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tc>
      </w:tr>
      <w:tr w14:paraId="0755A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3A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8692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1D706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14:paraId="6F1FF9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投标人采用不正当手段（串通投标、弄虚作假、行贿等）骗取中标的；</w:t>
            </w:r>
          </w:p>
          <w:p w14:paraId="4C2561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14:paraId="63E5115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14:paraId="3CFFB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69609E">
            <w:pPr>
              <w:spacing w:line="382" w:lineRule="auto"/>
              <w:jc w:val="center"/>
              <w:rPr>
                <w:rFonts w:ascii="Arial"/>
                <w:color w:val="auto"/>
                <w:sz w:val="21"/>
              </w:rPr>
            </w:pPr>
          </w:p>
          <w:p w14:paraId="0D1DBBF5">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087405">
            <w:pPr>
              <w:pStyle w:val="29"/>
              <w:spacing w:before="68" w:line="221" w:lineRule="auto"/>
              <w:jc w:val="center"/>
              <w:rPr>
                <w:rFonts w:hint="eastAsia" w:ascii="Times New Roman" w:hAnsi="Times New Roman" w:cs="Times New Roman"/>
                <w:color w:val="auto"/>
                <w:szCs w:val="21"/>
                <w:highlight w:val="none"/>
                <w:lang w:val="en-US" w:eastAsia="zh-CN"/>
              </w:rPr>
            </w:pPr>
            <w:r>
              <w:rPr>
                <w:color w:val="auto"/>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23184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4" w:edGrp="everyone"/>
            <w:r>
              <w:rPr>
                <w:rFonts w:hint="eastAsia" w:asciiTheme="minorEastAsia" w:hAnsiTheme="minorEastAsia" w:cstheme="minorEastAsia"/>
                <w:color w:val="auto"/>
                <w:szCs w:val="21"/>
                <w:highlight w:val="none"/>
                <w:lang w:val="en-US" w:eastAsia="zh-CN"/>
              </w:rPr>
              <w:t>☑无</w:t>
            </w:r>
          </w:p>
          <w:p w14:paraId="429596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heme="minorEastAsia" w:hAnsiTheme="minorEastAsia" w:cstheme="minorEastAsia"/>
                <w:color w:val="auto"/>
                <w:szCs w:val="21"/>
                <w:highlight w:val="none"/>
                <w:lang w:val="en-US" w:eastAsia="zh-CN"/>
              </w:rPr>
              <w:t>□有，具体要求：</w:t>
            </w:r>
            <w:permEnd w:id="44"/>
          </w:p>
        </w:tc>
      </w:tr>
      <w:tr w14:paraId="1A463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B0CBE2">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3528F">
            <w:pPr>
              <w:pStyle w:val="29"/>
              <w:spacing w:before="69" w:line="221" w:lineRule="auto"/>
              <w:jc w:val="center"/>
              <w:rPr>
                <w:rFonts w:hint="eastAsia" w:ascii="Times New Roman" w:hAnsi="Times New Roman" w:cs="Times New Roman"/>
                <w:color w:val="auto"/>
                <w:szCs w:val="21"/>
                <w:highlight w:val="none"/>
                <w:lang w:val="en-US" w:eastAsia="zh-CN"/>
              </w:rPr>
            </w:pPr>
            <w:r>
              <w:rPr>
                <w:color w:val="auto"/>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3C6C4C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5" w:edGrp="everyone"/>
            <w:r>
              <w:rPr>
                <w:rFonts w:hint="eastAsia" w:asciiTheme="minorEastAsia" w:hAnsiTheme="minorEastAsia" w:cstheme="minorEastAsia"/>
                <w:color w:val="auto"/>
                <w:szCs w:val="21"/>
                <w:highlight w:val="none"/>
                <w:lang w:val="en-US" w:eastAsia="zh-CN"/>
              </w:rPr>
              <w:t>/年至/年</w:t>
            </w:r>
            <w:permEnd w:id="45"/>
          </w:p>
        </w:tc>
      </w:tr>
      <w:tr w14:paraId="44E3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03FA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81A00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C16F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详见第一章招标公告。</w:t>
            </w:r>
          </w:p>
        </w:tc>
      </w:tr>
      <w:tr w14:paraId="69FD8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57A0B">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317721">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9C5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6" w:edGrp="everyone"/>
            <w:r>
              <w:rPr>
                <w:rFonts w:hint="eastAsia" w:asciiTheme="minorEastAsia" w:hAnsiTheme="minorEastAsia" w:cstheme="minorEastAsia"/>
                <w:color w:val="auto"/>
                <w:szCs w:val="21"/>
                <w:highlight w:val="none"/>
                <w:lang w:val="en-US" w:eastAsia="zh-CN"/>
              </w:rPr>
              <w:t>/年至/年</w:t>
            </w:r>
            <w:permEnd w:id="46"/>
          </w:p>
        </w:tc>
      </w:tr>
      <w:tr w14:paraId="3F77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C3C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D237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7E5C9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7"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14:paraId="420A03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允许</w:t>
            </w:r>
            <w:permEnd w:id="47"/>
          </w:p>
        </w:tc>
      </w:tr>
      <w:tr w14:paraId="5FE4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1EE8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F243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7F1C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w:t>
            </w:r>
            <w:r>
              <w:rPr>
                <w:rFonts w:hint="eastAsia" w:ascii="Times New Roman" w:hAnsi="Times New Roman" w:cs="Times New Roman"/>
                <w:color w:val="auto"/>
                <w:szCs w:val="21"/>
                <w:highlight w:val="none"/>
                <w:lang w:val="en-US" w:eastAsia="zh-CN"/>
              </w:rPr>
              <w:t>他</w:t>
            </w:r>
            <w:r>
              <w:rPr>
                <w:rFonts w:hint="default" w:ascii="Times New Roman" w:hAnsi="Times New Roman" w:cs="Times New Roman"/>
                <w:color w:val="auto"/>
                <w:szCs w:val="21"/>
                <w:highlight w:val="none"/>
              </w:rPr>
              <w:t>如带有“专用章”、“合同章”、“财务章”、“业务章”、下属单位或分支机构印章代替，否则其投标无效；</w:t>
            </w:r>
          </w:p>
          <w:p w14:paraId="70897C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14:paraId="0338E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EEBD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8F39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471F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14:paraId="532A3B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48" w:edGrp="everyone"/>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11CA4B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ermEnd w:id="48"/>
          </w:p>
          <w:p w14:paraId="4D1EAB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0EA510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14:paraId="3D12BC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14:paraId="74E23E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14:paraId="2E0D0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6940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724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73E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49"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14:paraId="6E3480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49"/>
          </w:p>
        </w:tc>
      </w:tr>
      <w:tr w14:paraId="1A4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7DDE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6394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6EFA1">
            <w:pPr>
              <w:keepNext w:val="0"/>
              <w:keepLines w:val="0"/>
              <w:pageBreakBefore w:val="0"/>
              <w:widowControl w:val="0"/>
              <w:kinsoku/>
              <w:wordWrap/>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0" w:edGrp="everyone"/>
            <w:r>
              <w:rPr>
                <w:rFonts w:hint="eastAsia" w:ascii="Times New Roman" w:hAnsi="Times New Roman" w:cs="Times New Roman"/>
                <w:color w:val="auto"/>
                <w:szCs w:val="21"/>
                <w:highlight w:val="none"/>
                <w:lang w:val="en-US" w:eastAsia="zh-CN"/>
              </w:rPr>
              <w:t>开标地址：亳州交通投资控股集团有限公司15楼开标室（药都大道与希夷大道交叉口东北角15楼）</w:t>
            </w:r>
          </w:p>
          <w:p w14:paraId="6336E2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14:paraId="7108DD6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亳州逸合府项目北区工程建设全周期内检测工程（三次）</w:t>
            </w:r>
            <w:r>
              <w:rPr>
                <w:rFonts w:hint="eastAsia" w:ascii="Times New Roman" w:hAnsi="Times New Roman" w:cs="Times New Roman"/>
                <w:color w:val="auto"/>
                <w:szCs w:val="21"/>
                <w:highlight w:val="none"/>
                <w:lang w:val="en-US" w:eastAsia="zh-CN"/>
              </w:rPr>
              <w:t>投标文件</w:t>
            </w:r>
          </w:p>
          <w:p w14:paraId="16FBD6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none"/>
                <w:lang w:val="en-US" w:eastAsia="zh-CN"/>
              </w:rPr>
              <w:t>-003号</w:t>
            </w:r>
          </w:p>
          <w:p w14:paraId="6BE0E5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bookmarkStart w:id="146" w:name="_GoBack"/>
            <w:r>
              <w:rPr>
                <w:rFonts w:hint="eastAsia" w:ascii="Times New Roman" w:hAnsi="Times New Roman" w:cs="Times New Roman"/>
                <w:color w:val="auto"/>
                <w:szCs w:val="21"/>
                <w:highlight w:val="none"/>
                <w:u w:val="single"/>
                <w:lang w:val="en-US" w:eastAsia="zh-CN"/>
              </w:rPr>
              <w:t>2025</w:t>
            </w:r>
            <w:bookmarkEnd w:id="146"/>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20</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0"/>
          </w:p>
        </w:tc>
      </w:tr>
      <w:tr w14:paraId="731E5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E4B1">
            <w:pPr>
              <w:spacing w:before="212" w:line="187" w:lineRule="auto"/>
              <w:jc w:val="center"/>
              <w:rPr>
                <w:rFonts w:hint="eastAsia"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ECD2BC">
            <w:pPr>
              <w:pStyle w:val="29"/>
              <w:spacing w:before="174" w:line="221" w:lineRule="auto"/>
              <w:jc w:val="center"/>
              <w:rPr>
                <w:rFonts w:hint="eastAsia" w:ascii="宋体" w:hAnsi="宋体" w:eastAsia="宋体" w:cs="宋体"/>
                <w:color w:val="auto"/>
                <w:kern w:val="2"/>
                <w:sz w:val="21"/>
                <w:szCs w:val="21"/>
                <w:lang w:val="en-US" w:eastAsia="zh-CN" w:bidi="ar-SA"/>
              </w:rPr>
            </w:pPr>
            <w:r>
              <w:rPr>
                <w:color w:val="auto"/>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C0CED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6533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4F77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6886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54FC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14:paraId="261B8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578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7965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7D7A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14:paraId="062D2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532D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0DBB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9285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14:paraId="1A5775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14:paraId="017DBDE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b/>
                <w:bCs/>
                <w:color w:val="auto"/>
                <w:szCs w:val="21"/>
                <w:highlight w:val="none"/>
                <w:lang w:val="en-US" w:eastAsia="zh-CN"/>
              </w:rPr>
              <w:t>注：投标人代表应持授权委托书及有效身份证件递交投标文件，否则招标平台有权拒收，有效身份证件是指中华人民共和国第二代居民身份证，其他证明无效。</w:t>
            </w:r>
          </w:p>
        </w:tc>
      </w:tr>
      <w:tr w14:paraId="4B0E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25D1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74AB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8735B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permStart w:id="51" w:edGrp="everyone"/>
            <w:r>
              <w:rPr>
                <w:rFonts w:hint="eastAsia" w:ascii="Times New Roman" w:hAnsi="Times New Roman" w:cs="Times New Roman"/>
                <w:color w:val="auto"/>
                <w:szCs w:val="21"/>
                <w:highlight w:val="none"/>
                <w:lang w:val="en-US" w:eastAsia="zh-CN"/>
              </w:rPr>
              <w:t>由投标人代表或招标平台工作人员检查确认。</w:t>
            </w:r>
            <w:permEnd w:id="51"/>
          </w:p>
          <w:p w14:paraId="5A9A9E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开标顺序：按签到正顺序开标。</w:t>
            </w:r>
          </w:p>
        </w:tc>
      </w:tr>
      <w:tr w14:paraId="5BAAB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3E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AC57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18697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评标委员会组建：按有关规定组建。</w:t>
            </w:r>
          </w:p>
        </w:tc>
      </w:tr>
      <w:tr w14:paraId="403EF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45A4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49FF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78BD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1—3人</w:t>
            </w:r>
          </w:p>
        </w:tc>
      </w:tr>
      <w:tr w14:paraId="5735C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CA51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4625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4BD1C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sym w:font="Wingdings" w:char="00FE"/>
            </w:r>
            <w:r>
              <w:rPr>
                <w:rFonts w:hint="eastAsia" w:ascii="Times New Roman" w:hAnsi="Times New Roman" w:cs="Times New Roman"/>
                <w:color w:val="auto"/>
                <w:szCs w:val="21"/>
                <w:highlight w:val="none"/>
                <w:u w:val="none"/>
                <w:lang w:val="en-US" w:eastAsia="zh-CN"/>
              </w:rPr>
              <w:t>否</w:t>
            </w:r>
          </w:p>
        </w:tc>
      </w:tr>
      <w:tr w14:paraId="03CB8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5AE3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19E4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8110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41F07AD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14:paraId="4C1C5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D57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BB7B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192F8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7968E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DB12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38DD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联系人：</w:t>
            </w:r>
            <w:r>
              <w:rPr>
                <w:rFonts w:hint="default" w:ascii="Times New Roman" w:hAnsi="Times New Roman" w:cs="Times New Roman"/>
                <w:color w:val="auto"/>
                <w:szCs w:val="21"/>
                <w:highlight w:val="none"/>
                <w:u w:val="single"/>
                <w:lang w:val="en-US" w:eastAsia="zh-CN"/>
              </w:rPr>
              <w:t>亳州交控集团招投标中心 张工、田工</w:t>
            </w:r>
            <w:r>
              <w:rPr>
                <w:rFonts w:hint="default" w:ascii="Times New Roman" w:hAnsi="Times New Roman" w:cs="Times New Roman"/>
                <w:color w:val="auto"/>
                <w:szCs w:val="21"/>
                <w:highlight w:val="none"/>
                <w:lang w:val="en-US" w:eastAsia="zh-CN"/>
              </w:rPr>
              <w:t xml:space="preserve">  </w:t>
            </w:r>
          </w:p>
          <w:p w14:paraId="5E935F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联系方式：</w:t>
            </w:r>
            <w:r>
              <w:rPr>
                <w:rFonts w:hint="default"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u w:val="single"/>
                <w:lang w:val="en-US" w:eastAsia="zh-CN"/>
              </w:rPr>
              <w:t>亳州市谯城区药都大道1289号</w:t>
            </w:r>
          </w:p>
          <w:p w14:paraId="6C99C32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其他：投标人或其他利害关系人应按照招标文件规定的程序提出异议，否则视为无效异议，不予受理。</w:t>
            </w:r>
          </w:p>
        </w:tc>
      </w:tr>
      <w:tr w14:paraId="7B658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6145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D4A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（5）已经作出处理决定，并且投诉人没有提出新的证据的；</w:t>
            </w:r>
          </w:p>
          <w:p w14:paraId="4FE91D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（6）投诉事项应先提出异议没有提出异议、已进入行政复议或行政诉讼程序的。</w:t>
            </w:r>
          </w:p>
        </w:tc>
      </w:tr>
      <w:tr w14:paraId="0EAB1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B7AE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DEB4D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4631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permStart w:id="52" w:edGrp="everyone"/>
            <w:r>
              <w:rPr>
                <w:rFonts w:hint="default" w:ascii="Times New Roman" w:hAnsi="Times New Roman" w:cs="Times New Roman"/>
                <w:color w:val="auto"/>
                <w:szCs w:val="21"/>
                <w:highlight w:val="none"/>
                <w:lang w:val="en-US" w:eastAsia="zh-CN"/>
              </w:rPr>
              <w:t xml:space="preserve">不补偿 </w:t>
            </w:r>
            <w:permEnd w:id="52"/>
          </w:p>
        </w:tc>
      </w:tr>
      <w:tr w14:paraId="5904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B5D0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A497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10C4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14:paraId="489F18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Cs w:val="21"/>
                <w:highlight w:val="none"/>
                <w:lang w:val="en-US" w:eastAsia="zh-CN"/>
              </w:rPr>
              <w:t>不要求</w:t>
            </w:r>
          </w:p>
          <w:p w14:paraId="1D2CC7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要求</w:t>
            </w:r>
          </w:p>
          <w:permEnd w:id="53"/>
          <w:p w14:paraId="697CA4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收</w:t>
            </w:r>
            <w:r>
              <w:rPr>
                <w:rFonts w:hint="default" w:ascii="Times New Roman" w:hAnsi="Times New Roman" w:cs="Times New Roman"/>
                <w:color w:val="auto"/>
                <w:szCs w:val="21"/>
                <w:highlight w:val="none"/>
              </w:rPr>
              <w:t>取履约保证金的账户信息：</w:t>
            </w:r>
          </w:p>
          <w:p w14:paraId="16CF5E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r>
              <w:rPr>
                <w:rFonts w:hint="default" w:ascii="Times New Roman" w:hAnsi="Times New Roman" w:cs="Times New Roman"/>
                <w:color w:val="auto"/>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r>
              <w:rPr>
                <w:rFonts w:hint="default" w:ascii="Times New Roman" w:hAnsi="Times New Roman" w:cs="Times New Roman"/>
                <w:color w:val="auto"/>
                <w:szCs w:val="21"/>
                <w:highlight w:val="none"/>
                <w:lang w:val="en-US" w:eastAsia="zh-CN"/>
              </w:rPr>
              <w:t>建行亳州市分行</w:t>
            </w:r>
          </w:p>
          <w:p w14:paraId="639DD4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r>
              <w:rPr>
                <w:rFonts w:hint="default" w:ascii="Times New Roman" w:hAnsi="Times New Roman" w:cs="Times New Roman"/>
                <w:color w:val="auto"/>
                <w:szCs w:val="21"/>
                <w:highlight w:val="none"/>
                <w:lang w:val="en-US" w:eastAsia="zh-CN"/>
              </w:rPr>
              <w:t>34050188860800002404</w:t>
            </w:r>
          </w:p>
          <w:p w14:paraId="59281E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4"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4"/>
          </w:p>
          <w:p w14:paraId="25C85E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5" w:edGrp="everyone"/>
            <w:r>
              <w:rPr>
                <w:rFonts w:hint="eastAsia" w:ascii="Times New Roman" w:hAnsi="Times New Roman" w:cs="Times New Roman"/>
                <w:b/>
                <w:bCs/>
                <w:color w:val="auto"/>
                <w:szCs w:val="21"/>
                <w:highlight w:val="none"/>
                <w:lang w:val="en-US" w:eastAsia="zh-CN"/>
              </w:rPr>
              <w:t>中标价款的10%</w:t>
            </w:r>
            <w:permEnd w:id="55"/>
          </w:p>
          <w:p w14:paraId="2B9B81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6"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6"/>
          </w:p>
        </w:tc>
      </w:tr>
      <w:tr w14:paraId="72E4B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8016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D5D3A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4E27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63C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4DC9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2840A1">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285A8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129B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57D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80453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DA5D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58FD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0A68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511C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57C42ED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14:paraId="4CAD98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14:paraId="103F5B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14:paraId="58C4182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14:paraId="402522B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14:paraId="30F498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14:paraId="4375D8C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14:paraId="3562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14:paraId="129CCA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14:paraId="3831764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14:paraId="7681726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14:paraId="4988A56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14:paraId="6346FEA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14:paraId="0F6B0D0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14:paraId="2A014CD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14:paraId="713F5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E567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B484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04480CD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6" w:name="_Toc296602420"/>
      <w:bookmarkStart w:id="17" w:name="_Toc246996175"/>
      <w:bookmarkStart w:id="18" w:name="_Toc246996918"/>
      <w:bookmarkStart w:id="19" w:name="_Toc152042305"/>
      <w:bookmarkStart w:id="20" w:name="_Toc144974497"/>
      <w:bookmarkStart w:id="21" w:name="_Toc247085689"/>
      <w:bookmarkStart w:id="22" w:name="_Toc152045529"/>
      <w:bookmarkStart w:id="23" w:name="_Toc179632546"/>
      <w:r>
        <w:rPr>
          <w:rFonts w:hint="eastAsia"/>
          <w:color w:val="auto"/>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lang w:val="en-US" w:eastAsia="zh-CN"/>
        </w:rPr>
      </w:pPr>
      <w:r>
        <w:rPr>
          <w:rFonts w:hint="eastAsia"/>
          <w:color w:val="auto"/>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招标人计划将资金的一部分用于支付本次招标项目的合同款项</w:t>
      </w:r>
      <w:r>
        <w:rPr>
          <w:rFonts w:hint="eastAsia"/>
          <w:color w:val="auto"/>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招标将以国内公开招标方式进行</w:t>
      </w:r>
      <w:r>
        <w:rPr>
          <w:rFonts w:hint="eastAsia"/>
          <w:color w:val="auto"/>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3.</w:t>
      </w:r>
      <w:r>
        <w:rPr>
          <w:rFonts w:hint="eastAsia"/>
          <w:color w:val="auto"/>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3.1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区的获得一般纳税人的法人均为合格投标人</w:t>
      </w:r>
      <w:r>
        <w:rPr>
          <w:rFonts w:hint="eastAsia"/>
          <w:color w:val="auto"/>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3.2投标人不得与本次招标项下编制设计、技术规格和其他文件的公司或提咨询服务的公司包括其附属机构有任何关联</w:t>
      </w:r>
      <w:r>
        <w:rPr>
          <w:rFonts w:hint="eastAsia"/>
          <w:color w:val="auto"/>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3.3 投标人之间如果存在下列情形之一的</w:t>
      </w:r>
      <w:r>
        <w:rPr>
          <w:rFonts w:hint="eastAsia"/>
          <w:color w:val="auto"/>
          <w:lang w:eastAsia="zh-CN"/>
        </w:rPr>
        <w:t>，</w:t>
      </w:r>
      <w:r>
        <w:rPr>
          <w:rFonts w:hint="eastAsia"/>
          <w:color w:val="auto"/>
        </w:rPr>
        <w:t>不得同时参加本项目投标</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（1）与招标人存在利害关系且可能影响招标公正性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）与本招标项目的其他投标人为同一个法定代表人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）与本招标项目的其他投标人存在控股、管理关系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）为本招标项目的招标代理机构</w:t>
      </w:r>
      <w:r>
        <w:rPr>
          <w:rFonts w:hint="eastAsia"/>
          <w:color w:val="auto"/>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）法律法规或投标人须知前附表及招标公告规定的其他情形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4.</w:t>
      </w:r>
      <w:r>
        <w:rPr>
          <w:rFonts w:hint="eastAsia"/>
          <w:color w:val="auto"/>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投标人应承担所有与准备和参加投标有关的费用</w:t>
      </w:r>
      <w:r>
        <w:rPr>
          <w:rFonts w:hint="eastAsia"/>
          <w:color w:val="auto"/>
          <w:lang w:eastAsia="zh-CN"/>
        </w:rPr>
        <w:t>。</w:t>
      </w:r>
      <w:r>
        <w:rPr>
          <w:rFonts w:hint="eastAsia"/>
          <w:color w:val="auto"/>
        </w:rPr>
        <w:t>无论投标的结果如何</w:t>
      </w:r>
      <w:r>
        <w:rPr>
          <w:rFonts w:hint="eastAsia"/>
          <w:color w:val="auto"/>
          <w:lang w:eastAsia="zh-CN"/>
        </w:rPr>
        <w:t>，</w:t>
      </w:r>
      <w:r>
        <w:rPr>
          <w:rFonts w:hint="eastAsia"/>
          <w:color w:val="auto"/>
        </w:rPr>
        <w:t>或项目因故取消</w:t>
      </w:r>
      <w:r>
        <w:rPr>
          <w:rFonts w:hint="eastAsia"/>
          <w:color w:val="auto"/>
          <w:lang w:eastAsia="zh-CN"/>
        </w:rPr>
        <w:t>，</w:t>
      </w:r>
      <w:r>
        <w:rPr>
          <w:rFonts w:hint="eastAsia"/>
          <w:color w:val="auto"/>
        </w:rPr>
        <w:t>招标人和招标代理机构对上述费用不承担任何责任和义务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5</w:t>
      </w:r>
      <w:r>
        <w:rPr>
          <w:rFonts w:hint="eastAsia"/>
          <w:color w:val="auto"/>
        </w:rPr>
        <w:t>.保密</w:t>
      </w:r>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参与招标投标活动的各方应对招标文件和投标文件中的商业和技术等秘密保密，违者应对由此造成的后果承担法律责任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6</w:t>
      </w:r>
      <w:r>
        <w:rPr>
          <w:rFonts w:hint="eastAsia"/>
          <w:color w:val="auto"/>
        </w:rPr>
        <w:t>.语言文字</w:t>
      </w:r>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招标投标文件使用的语言文字为中文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二</w:t>
      </w:r>
      <w:r>
        <w:rPr>
          <w:rFonts w:hint="eastAsia"/>
          <w:color w:val="auto"/>
          <w:lang w:eastAsia="zh-CN"/>
        </w:rPr>
        <w:t>、</w:t>
      </w:r>
      <w:r>
        <w:rPr>
          <w:rFonts w:hint="eastAsia"/>
          <w:color w:val="auto"/>
        </w:rPr>
        <w:t>招标文件</w:t>
      </w:r>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7.</w:t>
      </w:r>
      <w:r>
        <w:rPr>
          <w:rFonts w:hint="eastAsia"/>
          <w:color w:val="auto"/>
        </w:rPr>
        <w:t>招标文件的组成</w:t>
      </w:r>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投标人应检查招标文件中所有的须知、格式、条款、技术规格和其他资料</w:t>
      </w:r>
      <w:r>
        <w:rPr>
          <w:rFonts w:hint="eastAsia"/>
          <w:color w:val="auto"/>
          <w:lang w:eastAsia="zh-CN"/>
        </w:rPr>
        <w:t>。</w:t>
      </w:r>
      <w:r>
        <w:rPr>
          <w:rFonts w:hint="eastAsia"/>
          <w:color w:val="auto"/>
        </w:rPr>
        <w:t>如果投标人没有按照招标文件的要求提交全部资料，或者提交的资料没有对招标文件在各方面作出实质性响应</w:t>
      </w:r>
      <w:r>
        <w:rPr>
          <w:rFonts w:hint="eastAsia"/>
          <w:color w:val="auto"/>
          <w:lang w:eastAsia="zh-CN"/>
        </w:rPr>
        <w:t>，</w:t>
      </w:r>
      <w:r>
        <w:rPr>
          <w:rFonts w:hint="eastAsia"/>
          <w:color w:val="auto"/>
        </w:rPr>
        <w:t>可能导致其投标被拒绝</w:t>
      </w:r>
      <w:r>
        <w:rPr>
          <w:rFonts w:hint="eastAsia"/>
          <w:color w:val="auto"/>
          <w:lang w:eastAsia="zh-CN"/>
        </w:rPr>
        <w:t>，</w:t>
      </w:r>
      <w:r>
        <w:rPr>
          <w:rFonts w:hint="eastAsia"/>
          <w:color w:val="auto"/>
        </w:rPr>
        <w:t>该风险由投标人承担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8.</w:t>
      </w:r>
      <w:r>
        <w:rPr>
          <w:rFonts w:hint="eastAsia"/>
          <w:color w:val="auto"/>
        </w:rPr>
        <w:t xml:space="preserve">招标文件的澄清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8.1</w:t>
      </w:r>
      <w:r>
        <w:rPr>
          <w:rFonts w:hint="eastAsia"/>
          <w:color w:val="auto"/>
        </w:rPr>
        <w:t>投标人要求对招标文件进行澄清的</w:t>
      </w:r>
      <w:r>
        <w:rPr>
          <w:rFonts w:hint="eastAsia"/>
          <w:color w:val="auto"/>
          <w:lang w:eastAsia="zh-CN"/>
        </w:rPr>
        <w:t>，</w:t>
      </w:r>
      <w:r>
        <w:rPr>
          <w:rFonts w:hint="eastAsia"/>
          <w:color w:val="auto"/>
        </w:rPr>
        <w:t>应以书面或扫描电邮方式通知招标人/招标代理机构</w:t>
      </w:r>
      <w:r>
        <w:rPr>
          <w:rFonts w:hint="eastAsia"/>
          <w:color w:val="auto"/>
          <w:lang w:eastAsia="zh-CN"/>
        </w:rPr>
        <w:t>。</w:t>
      </w:r>
      <w:r>
        <w:rPr>
          <w:rFonts w:hint="eastAsia"/>
          <w:color w:val="auto"/>
        </w:rPr>
        <w:t>对前附表规定的时间以前收到的对招标文件的澄清要求</w:t>
      </w:r>
      <w:r>
        <w:rPr>
          <w:rFonts w:hint="eastAsia"/>
          <w:color w:val="auto"/>
          <w:lang w:eastAsia="zh-CN"/>
        </w:rPr>
        <w:t>，</w:t>
      </w:r>
      <w:r>
        <w:rPr>
          <w:rFonts w:hint="eastAsia"/>
          <w:color w:val="auto"/>
        </w:rPr>
        <w:t>招标人/招标代理机构予以答复</w:t>
      </w:r>
      <w:r>
        <w:rPr>
          <w:rFonts w:hint="eastAsia"/>
          <w:color w:val="auto"/>
          <w:lang w:eastAsia="zh-CN"/>
        </w:rPr>
        <w:t>。</w:t>
      </w:r>
      <w:r>
        <w:rPr>
          <w:rFonts w:hint="eastAsia"/>
          <w:color w:val="auto"/>
        </w:rPr>
        <w:t>投标人应当在投标截止时间之前自行查看</w:t>
      </w:r>
      <w:r>
        <w:rPr>
          <w:rFonts w:hint="eastAsia"/>
          <w:color w:val="auto"/>
          <w:lang w:eastAsia="zh-CN"/>
        </w:rPr>
        <w:t>，</w:t>
      </w:r>
      <w:r>
        <w:rPr>
          <w:rFonts w:hint="eastAsia"/>
          <w:color w:val="auto"/>
        </w:rPr>
        <w:t>如有遗漏</w:t>
      </w:r>
      <w:r>
        <w:rPr>
          <w:rFonts w:hint="eastAsia"/>
          <w:color w:val="auto"/>
          <w:lang w:eastAsia="zh-CN"/>
        </w:rPr>
        <w:t>，</w:t>
      </w:r>
      <w:r>
        <w:rPr>
          <w:rFonts w:hint="eastAsia"/>
          <w:color w:val="auto"/>
        </w:rPr>
        <w:t>投标人自行承担责任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8</w:t>
      </w:r>
      <w:r>
        <w:rPr>
          <w:rFonts w:hint="eastAsia"/>
          <w:color w:val="auto"/>
        </w:rPr>
        <w:t>.2投标人要求对招标文件的澄清必须在投标人须知前附表规定的时间内提出</w:t>
      </w:r>
      <w:r>
        <w:rPr>
          <w:rFonts w:hint="eastAsia"/>
          <w:color w:val="auto"/>
          <w:lang w:eastAsia="zh-CN"/>
        </w:rPr>
        <w:t>。</w:t>
      </w:r>
      <w:r>
        <w:rPr>
          <w:rFonts w:hint="eastAsia"/>
          <w:color w:val="auto"/>
        </w:rPr>
        <w:t>招标人/招标代理机构有权不接收逾期提出的异议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9.</w:t>
      </w:r>
      <w:r>
        <w:rPr>
          <w:rFonts w:hint="eastAsia"/>
          <w:color w:val="auto"/>
        </w:rPr>
        <w:t>招标文件的修改</w:t>
      </w:r>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9.1招标人或招标代理机构可以因任何原因</w:t>
      </w:r>
      <w:r>
        <w:rPr>
          <w:rFonts w:hint="eastAsia"/>
          <w:color w:val="auto"/>
          <w:lang w:eastAsia="zh-CN"/>
        </w:rPr>
        <w:t>，</w:t>
      </w:r>
      <w:r>
        <w:rPr>
          <w:rFonts w:hint="eastAsia"/>
          <w:color w:val="auto"/>
        </w:rPr>
        <w:t>在投标截止期前对招标文件进行修改</w:t>
      </w:r>
      <w:r>
        <w:rPr>
          <w:rFonts w:hint="eastAsia"/>
          <w:color w:val="auto"/>
          <w:lang w:eastAsia="zh-CN"/>
        </w:rPr>
        <w:t>，</w:t>
      </w:r>
      <w:r>
        <w:rPr>
          <w:rFonts w:hint="eastAsia"/>
          <w:color w:val="auto"/>
        </w:rPr>
        <w:t>并通知所有获取招标文件的投标人</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9.2招标文件的修改内容将作为招标文件的组成部分</w:t>
      </w:r>
      <w:r>
        <w:rPr>
          <w:rFonts w:hint="eastAsia"/>
          <w:color w:val="auto"/>
          <w:lang w:eastAsia="zh-CN"/>
        </w:rPr>
        <w:t>，</w:t>
      </w:r>
      <w:r>
        <w:rPr>
          <w:rFonts w:hint="eastAsia"/>
          <w:color w:val="auto"/>
        </w:rPr>
        <w:t>对投标人具有同样约束力</w:t>
      </w:r>
      <w:r>
        <w:rPr>
          <w:rFonts w:hint="eastAsia"/>
          <w:color w:val="auto"/>
          <w:lang w:eastAsia="zh-CN"/>
        </w:rPr>
        <w:t>。</w:t>
      </w:r>
      <w:r>
        <w:rPr>
          <w:rFonts w:hint="eastAsia"/>
          <w:color w:val="auto"/>
        </w:rPr>
        <w:t>当招标文件的答疑、澄清、变更、通知或补充等在同一内容的表述上不一致时以最后发出的书面文件为准</w:t>
      </w:r>
      <w:r>
        <w:rPr>
          <w:rFonts w:hint="eastAsia"/>
          <w:color w:val="auto"/>
          <w:lang w:eastAsia="zh-CN"/>
        </w:rPr>
        <w:t>。</w:t>
      </w:r>
      <w:r>
        <w:rPr>
          <w:rFonts w:hint="eastAsia"/>
          <w:color w:val="auto"/>
        </w:rPr>
        <w:t>投标人应主动查询</w:t>
      </w:r>
      <w:r>
        <w:rPr>
          <w:rFonts w:hint="eastAsia"/>
          <w:color w:val="auto"/>
          <w:lang w:eastAsia="zh-CN"/>
        </w:rPr>
        <w:t>。</w:t>
      </w:r>
      <w:r>
        <w:rPr>
          <w:rFonts w:hint="eastAsia"/>
          <w:color w:val="auto"/>
        </w:rPr>
        <w:t>招标人/招标代理机构不承担投标人未及时关注相关信息引发的相关责任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9.3招标文件的修改应考虑给予投标人合理的时间制作相应的投标文件</w:t>
      </w:r>
      <w:r>
        <w:rPr>
          <w:rFonts w:hint="eastAsia"/>
          <w:color w:val="auto"/>
          <w:lang w:eastAsia="zh-CN"/>
        </w:rPr>
        <w:t>。</w:t>
      </w:r>
      <w:r>
        <w:rPr>
          <w:rFonts w:hint="eastAsia"/>
          <w:color w:val="auto"/>
        </w:rPr>
        <w:t>招标人/招标代理机构可酌情延长投标截止日期</w:t>
      </w:r>
      <w:r>
        <w:rPr>
          <w:rFonts w:hint="eastAsia"/>
          <w:color w:val="auto"/>
          <w:lang w:eastAsia="zh-CN"/>
        </w:rPr>
        <w:t>，</w:t>
      </w:r>
      <w:r>
        <w:rPr>
          <w:rFonts w:hint="eastAsia"/>
          <w:color w:val="auto"/>
        </w:rPr>
        <w:t>并通知招标文件</w:t>
      </w:r>
      <w:r>
        <w:rPr>
          <w:rFonts w:hint="eastAsia"/>
          <w:color w:val="auto"/>
          <w:lang w:val="en-US" w:eastAsia="zh-CN"/>
        </w:rPr>
        <w:t>获取</w:t>
      </w:r>
      <w:r>
        <w:rPr>
          <w:rFonts w:hint="eastAsia"/>
          <w:color w:val="auto"/>
        </w:rPr>
        <w:t>人</w:t>
      </w:r>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三、</w:t>
      </w:r>
      <w:r>
        <w:rPr>
          <w:rFonts w:hint="eastAsia"/>
          <w:color w:val="auto"/>
        </w:rPr>
        <w:t>投标文件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r>
        <w:rPr>
          <w:rFonts w:hint="eastAsia"/>
          <w:color w:val="auto"/>
          <w:lang w:val="en-US" w:eastAsia="zh-CN"/>
        </w:rPr>
        <w:t>10.</w:t>
      </w:r>
      <w:r>
        <w:rPr>
          <w:rFonts w:hint="eastAsia"/>
          <w:color w:val="auto"/>
        </w:rPr>
        <w:t>投标文件的</w:t>
      </w:r>
      <w:r>
        <w:rPr>
          <w:rFonts w:hint="eastAsia"/>
          <w:color w:val="auto"/>
          <w:lang w:val="en-US" w:eastAsia="zh-CN"/>
        </w:rPr>
        <w:t>构</w:t>
      </w:r>
      <w:r>
        <w:rPr>
          <w:rFonts w:hint="eastAsia"/>
          <w:color w:val="auto"/>
        </w:rPr>
        <w:t>成</w:t>
      </w:r>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1</w:t>
      </w:r>
      <w:r>
        <w:rPr>
          <w:rFonts w:hint="eastAsia"/>
          <w:color w:val="auto"/>
        </w:rPr>
        <w:t>投标文件的构成</w:t>
      </w:r>
      <w:r>
        <w:rPr>
          <w:rFonts w:hint="eastAsia"/>
          <w:color w:val="auto"/>
          <w:lang w:eastAsia="zh-CN"/>
        </w:rPr>
        <w:t>：</w:t>
      </w:r>
      <w:r>
        <w:rPr>
          <w:rFonts w:hint="eastAsia"/>
          <w:color w:val="auto"/>
        </w:rPr>
        <w:t>投标方应按照</w:t>
      </w:r>
      <w:r>
        <w:rPr>
          <w:rFonts w:hint="eastAsia"/>
          <w:color w:val="auto"/>
          <w:lang w:val="en-US" w:eastAsia="zh-CN"/>
        </w:rPr>
        <w:t>第八</w:t>
      </w:r>
      <w:r>
        <w:rPr>
          <w:rFonts w:hint="eastAsia"/>
          <w:color w:val="auto"/>
        </w:rPr>
        <w:t>章所述投标文件格式的要求装订并连续编写页码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w:t>
      </w:r>
      <w:r>
        <w:rPr>
          <w:rFonts w:hint="eastAsia"/>
          <w:color w:val="auto"/>
        </w:rPr>
        <w:t>投标文件如未按照本条要求提供相应材料可能导致其投标被否决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w:t>
      </w:r>
      <w:r>
        <w:rPr>
          <w:rFonts w:hint="eastAsia"/>
          <w:color w:val="auto"/>
        </w:rPr>
        <w:t>2如投标人无详细说明对招标文件的商务和技术不响应或者没有填写商务技术偏离表</w:t>
      </w:r>
      <w:r>
        <w:rPr>
          <w:rFonts w:hint="eastAsia"/>
          <w:color w:val="auto"/>
          <w:lang w:eastAsia="zh-CN"/>
        </w:rPr>
        <w:t>，</w:t>
      </w:r>
      <w:r>
        <w:rPr>
          <w:rFonts w:hint="eastAsia"/>
          <w:color w:val="auto"/>
        </w:rPr>
        <w:t>则视为投标人默认响应招标文件的商务和技术全部要求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视其投标无效并不予退还投标担保</w:t>
      </w:r>
      <w:r>
        <w:rPr>
          <w:rFonts w:hint="eastAsia"/>
          <w:color w:val="auto"/>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10.4不接受电话、传真等形式的投标</w:t>
      </w:r>
      <w:r>
        <w:rPr>
          <w:rFonts w:hint="eastAsia"/>
          <w:color w:val="auto"/>
          <w:lang w:eastAsia="zh-CN"/>
        </w:rPr>
        <w:t>，</w:t>
      </w:r>
      <w:r>
        <w:rPr>
          <w:rFonts w:hint="eastAsia"/>
          <w:color w:val="auto"/>
        </w:rPr>
        <w:t>投标文件不退回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r>
        <w:rPr>
          <w:rFonts w:hint="eastAsia"/>
          <w:color w:val="auto"/>
          <w:lang w:val="en-US" w:eastAsia="zh-CN"/>
        </w:rPr>
        <w:t>11.</w:t>
      </w:r>
      <w:r>
        <w:rPr>
          <w:rFonts w:hint="eastAsia"/>
          <w:color w:val="auto"/>
        </w:rPr>
        <w:t>投标</w:t>
      </w:r>
      <w:r>
        <w:rPr>
          <w:rFonts w:hint="eastAsia"/>
          <w:color w:val="auto"/>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11.1根据招标文件规定的供货和责任范围</w:t>
      </w:r>
      <w:r>
        <w:rPr>
          <w:rFonts w:hint="eastAsia"/>
          <w:color w:val="auto"/>
          <w:lang w:eastAsia="zh-CN"/>
        </w:rPr>
        <w:t>，</w:t>
      </w:r>
      <w:r>
        <w:rPr>
          <w:rFonts w:hint="eastAsia"/>
          <w:color w:val="auto"/>
        </w:rPr>
        <w:t>投标人的报价应包含所投服务、</w:t>
      </w:r>
      <w:r>
        <w:rPr>
          <w:rFonts w:hint="eastAsia"/>
          <w:color w:val="auto"/>
          <w:lang w:val="en-US" w:eastAsia="zh-CN"/>
        </w:rPr>
        <w:t>保</w:t>
      </w:r>
      <w:r>
        <w:rPr>
          <w:rFonts w:hint="eastAsia"/>
          <w:color w:val="auto"/>
        </w:rPr>
        <w:t>险、税费、免费后续服务等工作所发生的一切应有费用</w:t>
      </w:r>
      <w:r>
        <w:rPr>
          <w:rFonts w:hint="eastAsia"/>
          <w:color w:val="auto"/>
          <w:lang w:eastAsia="zh-CN"/>
        </w:rPr>
        <w:t>。</w:t>
      </w:r>
      <w:r>
        <w:rPr>
          <w:rFonts w:hint="eastAsia"/>
          <w:color w:val="auto"/>
        </w:rPr>
        <w:t>投标报价为签订合同的依据投标人应按开标一览表和分项价格表指定的格式报出现场交货的人民币分项价格总价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w:t>
      </w:r>
      <w:r>
        <w:rPr>
          <w:rFonts w:hint="eastAsia"/>
          <w:color w:val="auto"/>
        </w:rPr>
        <w:t>投标人不接受此种修正</w:t>
      </w:r>
      <w:r>
        <w:rPr>
          <w:rFonts w:hint="eastAsia"/>
          <w:color w:val="auto"/>
          <w:lang w:eastAsia="zh-CN"/>
        </w:rPr>
        <w:t>，</w:t>
      </w:r>
      <w:r>
        <w:rPr>
          <w:rFonts w:hint="eastAsia"/>
          <w:color w:val="auto"/>
        </w:rPr>
        <w:t>评标委员会有权否决其投标</w:t>
      </w:r>
      <w:r>
        <w:rPr>
          <w:rFonts w:hint="eastAsia"/>
          <w:color w:val="auto"/>
          <w:lang w:eastAsia="zh-CN"/>
        </w:rPr>
        <w:t>（</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11.2投标人应按照招标文件规定的商务、合同和技术责任进行报价</w:t>
      </w:r>
      <w:r>
        <w:rPr>
          <w:rFonts w:hint="eastAsia"/>
          <w:color w:val="auto"/>
          <w:lang w:eastAsia="zh-CN"/>
        </w:rPr>
        <w:t>。</w:t>
      </w:r>
      <w:r>
        <w:rPr>
          <w:rFonts w:hint="eastAsia"/>
          <w:color w:val="auto"/>
        </w:rPr>
        <w:t>如投标作出商务和技术的偏离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视为全部满足本招标文件的要求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11.3投标人所报的价格在合同执行过程中是固定的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11.4除投标人须知前附表有特殊规定外</w:t>
      </w:r>
      <w:r>
        <w:rPr>
          <w:rFonts w:hint="eastAsia"/>
          <w:color w:val="auto"/>
          <w:lang w:eastAsia="zh-CN"/>
        </w:rPr>
        <w:t>，</w:t>
      </w:r>
      <w:r>
        <w:rPr>
          <w:rFonts w:hint="eastAsia"/>
          <w:color w:val="auto"/>
        </w:rPr>
        <w:t>不接受备选方案或者2个及以上报方案</w:t>
      </w:r>
      <w:r>
        <w:rPr>
          <w:rFonts w:hint="eastAsia"/>
          <w:color w:val="auto"/>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11.5本项目为交钥匙工程</w:t>
      </w:r>
      <w:r>
        <w:rPr>
          <w:rFonts w:hint="eastAsia"/>
          <w:color w:val="auto"/>
          <w:lang w:eastAsia="zh-CN"/>
        </w:rPr>
        <w:t>，</w:t>
      </w:r>
      <w:r>
        <w:rPr>
          <w:rFonts w:hint="eastAsia"/>
          <w:color w:val="auto"/>
        </w:rPr>
        <w:t>报价应包括外购、外协、配套件</w:t>
      </w:r>
      <w:r>
        <w:rPr>
          <w:rFonts w:hint="eastAsia"/>
          <w:color w:val="auto"/>
          <w:lang w:eastAsia="zh-CN"/>
        </w:rPr>
        <w:t>，</w:t>
      </w:r>
      <w:r>
        <w:rPr>
          <w:rFonts w:hint="eastAsia"/>
          <w:color w:val="auto"/>
        </w:rPr>
        <w:t>原材料及生产制造检验、出成品、包装</w:t>
      </w:r>
      <w:r>
        <w:rPr>
          <w:rFonts w:hint="eastAsia"/>
          <w:color w:val="auto"/>
          <w:lang w:eastAsia="zh-CN"/>
        </w:rPr>
        <w:t>，</w:t>
      </w:r>
      <w:r>
        <w:rPr>
          <w:rFonts w:hint="eastAsia"/>
          <w:color w:val="auto"/>
        </w:rPr>
        <w:t>保险、利税、关税、管理、运费、装卸、安装、调试、检测</w:t>
      </w:r>
      <w:r>
        <w:rPr>
          <w:rFonts w:hint="eastAsia"/>
          <w:color w:val="auto"/>
          <w:lang w:eastAsia="zh-CN"/>
        </w:rPr>
        <w:t>，</w:t>
      </w:r>
      <w:r>
        <w:rPr>
          <w:rFonts w:hint="eastAsia"/>
          <w:color w:val="auto"/>
        </w:rPr>
        <w:t>软件、硬件质量技术监督部门检测费</w:t>
      </w:r>
      <w:r>
        <w:rPr>
          <w:rFonts w:hint="eastAsia"/>
          <w:color w:val="auto"/>
          <w:lang w:eastAsia="zh-CN"/>
        </w:rPr>
        <w:t>，</w:t>
      </w:r>
      <w:r>
        <w:rPr>
          <w:rFonts w:hint="eastAsia"/>
          <w:color w:val="auto"/>
        </w:rPr>
        <w:t>取证</w:t>
      </w:r>
      <w:r>
        <w:rPr>
          <w:rFonts w:hint="eastAsia"/>
          <w:color w:val="auto"/>
          <w:lang w:eastAsia="zh-CN"/>
        </w:rPr>
        <w:t>（</w:t>
      </w:r>
      <w:r>
        <w:rPr>
          <w:rFonts w:hint="eastAsia"/>
          <w:color w:val="auto"/>
        </w:rPr>
        <w:t>如有</w:t>
      </w:r>
      <w:r>
        <w:rPr>
          <w:rFonts w:hint="eastAsia"/>
          <w:color w:val="auto"/>
          <w:lang w:eastAsia="zh-CN"/>
        </w:rPr>
        <w:t>）</w:t>
      </w:r>
      <w:r>
        <w:rPr>
          <w:rFonts w:hint="eastAsia"/>
          <w:color w:val="auto"/>
        </w:rPr>
        <w:t>以及所有项目下装修施工等直至交钥匙工所发生的全部费用</w:t>
      </w:r>
      <w:r>
        <w:rPr>
          <w:rFonts w:hint="eastAsia"/>
          <w:color w:val="auto"/>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11.6最低报价不能作为中标的保证</w:t>
      </w:r>
      <w:r>
        <w:rPr>
          <w:rFonts w:hint="eastAsia"/>
          <w:color w:val="auto"/>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11.7安装和/或装饰工程费用的计价</w:t>
      </w:r>
      <w:r>
        <w:rPr>
          <w:rFonts w:hint="eastAsia"/>
          <w:color w:val="auto"/>
          <w:lang w:eastAsia="zh-CN"/>
        </w:rPr>
        <w:t>（</w:t>
      </w:r>
      <w:r>
        <w:rPr>
          <w:rFonts w:hint="eastAsia"/>
          <w:color w:val="auto"/>
        </w:rPr>
        <w:t>如有</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投标人应依据《安徽省建设工程工程量清单计价规范》</w:t>
      </w:r>
      <w:r>
        <w:rPr>
          <w:rFonts w:hint="eastAsia"/>
          <w:color w:val="auto"/>
          <w:lang w:eastAsia="zh-CN"/>
        </w:rPr>
        <w:t>（</w:t>
      </w:r>
      <w:r>
        <w:rPr>
          <w:rFonts w:hint="eastAsia"/>
          <w:color w:val="auto"/>
        </w:rPr>
        <w:t>DBJ34/T-206-2018</w:t>
      </w:r>
      <w:r>
        <w:rPr>
          <w:rFonts w:hint="eastAsia"/>
          <w:color w:val="auto"/>
          <w:lang w:eastAsia="zh-CN"/>
        </w:rPr>
        <w:t>）</w:t>
      </w:r>
      <w:r>
        <w:rPr>
          <w:rFonts w:hint="eastAsia"/>
          <w:color w:val="auto"/>
        </w:rPr>
        <w:t>及其配套定额规定</w:t>
      </w:r>
      <w:r>
        <w:rPr>
          <w:rFonts w:hint="eastAsia"/>
          <w:color w:val="auto"/>
          <w:lang w:eastAsia="zh-CN"/>
        </w:rPr>
        <w:t>，</w:t>
      </w:r>
      <w:r>
        <w:rPr>
          <w:rFonts w:hint="eastAsia"/>
          <w:color w:val="auto"/>
        </w:rPr>
        <w:t>并结合省市最新的计价规范性文件</w:t>
      </w:r>
      <w:r>
        <w:rPr>
          <w:rFonts w:hint="eastAsia"/>
          <w:color w:val="auto"/>
          <w:lang w:eastAsia="zh-CN"/>
        </w:rPr>
        <w:t>，</w:t>
      </w:r>
      <w:r>
        <w:rPr>
          <w:rFonts w:hint="eastAsia"/>
          <w:color w:val="auto"/>
        </w:rPr>
        <w:t>足额计取最新规定的各类规费和不可竞争费</w:t>
      </w:r>
      <w:r>
        <w:rPr>
          <w:rFonts w:hint="eastAsia"/>
          <w:color w:val="auto"/>
          <w:lang w:eastAsia="zh-CN"/>
        </w:rPr>
        <w:t>，</w:t>
      </w:r>
      <w:r>
        <w:rPr>
          <w:rFonts w:hint="eastAsia"/>
          <w:color w:val="auto"/>
        </w:rPr>
        <w:t>并考虑专项工程的各种报建报审报验等费用</w:t>
      </w:r>
      <w:r>
        <w:rPr>
          <w:rFonts w:hint="eastAsia"/>
          <w:color w:val="auto"/>
          <w:lang w:eastAsia="zh-CN"/>
        </w:rPr>
        <w:t>。</w:t>
      </w:r>
      <w:r>
        <w:rPr>
          <w:rFonts w:hint="eastAsia"/>
          <w:color w:val="auto"/>
        </w:rPr>
        <w:t>投标人若获得中标资格</w:t>
      </w:r>
      <w:r>
        <w:rPr>
          <w:rFonts w:hint="eastAsia"/>
          <w:color w:val="auto"/>
          <w:lang w:eastAsia="zh-CN"/>
        </w:rPr>
        <w:t>，</w:t>
      </w:r>
      <w:r>
        <w:rPr>
          <w:rFonts w:hint="eastAsia"/>
          <w:color w:val="auto"/>
        </w:rPr>
        <w:t>不得就上述因素向招标人提出任何补偿费用</w:t>
      </w:r>
      <w:r>
        <w:rPr>
          <w:rFonts w:hint="eastAsia"/>
          <w:color w:val="auto"/>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11.8现场踏勘</w:t>
      </w:r>
      <w:r>
        <w:rPr>
          <w:rFonts w:hint="eastAsia"/>
          <w:color w:val="auto"/>
          <w:lang w:eastAsia="zh-CN"/>
        </w:rPr>
        <w:t>：</w:t>
      </w:r>
      <w:r>
        <w:rPr>
          <w:rFonts w:hint="eastAsia"/>
          <w:color w:val="auto"/>
        </w:rPr>
        <w:t>除投标人须知前附表有规定外</w:t>
      </w:r>
      <w:r>
        <w:rPr>
          <w:rFonts w:hint="eastAsia"/>
          <w:color w:val="auto"/>
          <w:lang w:eastAsia="zh-CN"/>
        </w:rPr>
        <w:t>，</w:t>
      </w:r>
      <w:r>
        <w:rPr>
          <w:rFonts w:hint="eastAsia"/>
          <w:color w:val="auto"/>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12.</w:t>
      </w:r>
      <w:r>
        <w:rPr>
          <w:rFonts w:hint="eastAsia"/>
          <w:color w:val="auto"/>
        </w:rPr>
        <w:t>投标</w:t>
      </w:r>
      <w:r>
        <w:rPr>
          <w:rFonts w:hint="eastAsia"/>
          <w:color w:val="auto"/>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12.1 投标人应按照招标文件的相关规定提交投标担保</w:t>
      </w:r>
      <w:r>
        <w:rPr>
          <w:rFonts w:hint="eastAsia"/>
          <w:color w:val="auto"/>
          <w:lang w:eastAsia="zh-CN"/>
        </w:rPr>
        <w:t>，</w:t>
      </w:r>
      <w:r>
        <w:rPr>
          <w:rFonts w:hint="eastAsia"/>
          <w:color w:val="auto"/>
        </w:rPr>
        <w:t>并作为其投标文件的组成部分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12.2 投标人以现金方式提交投标担保的</w:t>
      </w:r>
      <w:r>
        <w:rPr>
          <w:rFonts w:hint="eastAsia"/>
          <w:color w:val="auto"/>
          <w:lang w:eastAsia="zh-CN"/>
        </w:rPr>
        <w:t>，</w:t>
      </w:r>
      <w:r>
        <w:rPr>
          <w:rFonts w:hint="eastAsia"/>
          <w:color w:val="auto"/>
        </w:rPr>
        <w:t>须从投标人本单位账户汇出，不接受其他单位或个人代缴的投标担保</w:t>
      </w:r>
      <w:r>
        <w:rPr>
          <w:rFonts w:hint="eastAsia"/>
          <w:color w:val="auto"/>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12.3 未按照招标文件的规定提交投标担保的</w:t>
      </w:r>
      <w:r>
        <w:rPr>
          <w:rFonts w:hint="eastAsia"/>
          <w:color w:val="auto"/>
          <w:lang w:eastAsia="zh-CN"/>
        </w:rPr>
        <w:t>，</w:t>
      </w:r>
      <w:r>
        <w:rPr>
          <w:rFonts w:hint="eastAsia"/>
          <w:color w:val="auto"/>
        </w:rPr>
        <w:t>其投标将被否决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12.4投标人以现金方式提交的投标担保将一律按电汇或转账方式退还至投标人单位账户，不退至个人，不退纸币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12.5下列任何情况发生时</w:t>
      </w:r>
      <w:r>
        <w:rPr>
          <w:rFonts w:hint="eastAsia"/>
          <w:color w:val="auto"/>
          <w:lang w:eastAsia="zh-CN"/>
        </w:rPr>
        <w:t>，</w:t>
      </w:r>
      <w:r>
        <w:rPr>
          <w:rFonts w:hint="eastAsia"/>
          <w:color w:val="auto"/>
        </w:rPr>
        <w:t>投标担保将不予退还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投标人在投标有效期内撤销其投标</w:t>
      </w:r>
      <w:r>
        <w:rPr>
          <w:rFonts w:hint="eastAsia"/>
          <w:color w:val="auto"/>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中标人未能在规定的时间内签署合同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投标人未按规定缴纳中标服务费</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5</w:t>
      </w:r>
      <w:r>
        <w:rPr>
          <w:rFonts w:hint="eastAsia"/>
          <w:color w:val="auto"/>
          <w:lang w:eastAsia="zh-CN"/>
        </w:rPr>
        <w:t>）</w:t>
      </w:r>
      <w:r>
        <w:rPr>
          <w:rFonts w:hint="eastAsia"/>
          <w:color w:val="auto"/>
        </w:rPr>
        <w:t>投标人在投标文件中提供虚假材料或有串标、围标等恶意行为的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6</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13.</w:t>
      </w:r>
      <w:r>
        <w:rPr>
          <w:rFonts w:hint="eastAsia"/>
          <w:color w:val="auto"/>
        </w:rPr>
        <w:t>投标</w:t>
      </w:r>
      <w:r>
        <w:rPr>
          <w:rFonts w:hint="eastAsia"/>
          <w:color w:val="auto"/>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13.1投标文件应在投标文件有效期内有效</w:t>
      </w:r>
      <w:r>
        <w:rPr>
          <w:rFonts w:hint="eastAsia"/>
          <w:color w:val="auto"/>
          <w:lang w:eastAsia="zh-CN"/>
        </w:rPr>
        <w:t>。</w:t>
      </w:r>
      <w:r>
        <w:rPr>
          <w:rFonts w:hint="eastAsia"/>
          <w:color w:val="auto"/>
        </w:rPr>
        <w:t>投标文件有效期短于招标文件规定的投标有效期的</w:t>
      </w:r>
      <w:r>
        <w:rPr>
          <w:rFonts w:hint="eastAsia"/>
          <w:color w:val="auto"/>
          <w:lang w:eastAsia="zh-CN"/>
        </w:rPr>
        <w:t>，</w:t>
      </w:r>
      <w:r>
        <w:rPr>
          <w:rFonts w:hint="eastAsia"/>
          <w:color w:val="auto"/>
        </w:rPr>
        <w:t>其投标将被否决</w:t>
      </w:r>
      <w:r>
        <w:rPr>
          <w:rFonts w:hint="eastAsia"/>
          <w:color w:val="auto"/>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color w:val="auto"/>
          <w:szCs w:val="21"/>
          <w:lang w:eastAsia="zh-CN"/>
        </w:rPr>
      </w:pPr>
      <w:r>
        <w:rPr>
          <w:rFonts w:hint="eastAsia"/>
          <w:color w:val="auto"/>
        </w:rPr>
        <w:t>13.2特殊情况下</w:t>
      </w:r>
      <w:r>
        <w:rPr>
          <w:rFonts w:hint="eastAsia"/>
          <w:color w:val="auto"/>
          <w:lang w:eastAsia="zh-CN"/>
        </w:rPr>
        <w:t>，</w:t>
      </w:r>
      <w:r>
        <w:rPr>
          <w:rFonts w:hint="eastAsia"/>
          <w:color w:val="auto"/>
        </w:rPr>
        <w:t>在投标有效期截止之前</w:t>
      </w:r>
      <w:r>
        <w:rPr>
          <w:rFonts w:hint="eastAsia"/>
          <w:color w:val="auto"/>
          <w:lang w:eastAsia="zh-CN"/>
        </w:rPr>
        <w:t>，</w:t>
      </w:r>
      <w:r>
        <w:rPr>
          <w:rFonts w:hint="eastAsia"/>
          <w:color w:val="auto"/>
        </w:rPr>
        <w:t>招标人或招标代理机构可要求投标人同意延长投标有效期</w:t>
      </w:r>
      <w:r>
        <w:rPr>
          <w:rFonts w:hint="eastAsia"/>
          <w:color w:val="auto"/>
          <w:lang w:eastAsia="zh-CN"/>
        </w:rPr>
        <w:t>，</w:t>
      </w:r>
      <w:r>
        <w:rPr>
          <w:rFonts w:hint="eastAsia"/>
          <w:color w:val="auto"/>
        </w:rPr>
        <w:t>这种要求与答复均应以书面形式提交</w:t>
      </w:r>
      <w:r>
        <w:rPr>
          <w:rFonts w:hint="eastAsia"/>
          <w:color w:val="auto"/>
          <w:lang w:eastAsia="zh-CN"/>
        </w:rPr>
        <w:t>，</w:t>
      </w:r>
      <w:r>
        <w:rPr>
          <w:rFonts w:hint="eastAsia"/>
          <w:color w:val="auto"/>
        </w:rPr>
        <w:t>投标人可拒绝</w:t>
      </w:r>
      <w:r>
        <w:rPr>
          <w:rFonts w:hint="eastAsia"/>
          <w:color w:val="auto"/>
          <w:lang w:eastAsia="zh-CN"/>
        </w:rPr>
        <w:t>，</w:t>
      </w:r>
      <w:r>
        <w:rPr>
          <w:rFonts w:hint="eastAsia"/>
          <w:color w:val="auto"/>
        </w:rPr>
        <w:t>但应当退还其投标担保</w:t>
      </w:r>
      <w:r>
        <w:rPr>
          <w:rFonts w:hint="eastAsia"/>
          <w:color w:val="auto"/>
          <w:lang w:eastAsia="zh-CN"/>
        </w:rPr>
        <w:t>。</w:t>
      </w:r>
      <w:r>
        <w:rPr>
          <w:rFonts w:hint="eastAsia"/>
          <w:color w:val="auto"/>
        </w:rPr>
        <w:t>同意延长投标有效期的投标人将相应地延长其投标担保的有效期</w:t>
      </w:r>
      <w:r>
        <w:rPr>
          <w:rFonts w:hint="eastAsia"/>
          <w:color w:val="auto"/>
          <w:lang w:eastAsia="zh-CN"/>
        </w:rPr>
        <w:t>，</w:t>
      </w:r>
      <w:r>
        <w:rPr>
          <w:rFonts w:hint="eastAsia"/>
          <w:color w:val="auto"/>
        </w:rPr>
        <w:t>但不得修正投标文件的其他内容</w:t>
      </w:r>
      <w:r>
        <w:rPr>
          <w:rFonts w:hint="eastAsia"/>
          <w:color w:val="auto"/>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14.</w:t>
      </w:r>
      <w:r>
        <w:rPr>
          <w:rFonts w:hint="eastAsia"/>
          <w:color w:val="auto"/>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1</w:t>
      </w:r>
      <w:r>
        <w:rPr>
          <w:rFonts w:hint="eastAsia"/>
          <w:color w:val="auto"/>
        </w:rPr>
        <w:t>投标人应按照投标人须知前附表的要求准备投标文件</w:t>
      </w:r>
      <w:r>
        <w:rPr>
          <w:rFonts w:hint="eastAsia"/>
          <w:color w:val="auto"/>
          <w:lang w:eastAsia="zh-CN"/>
        </w:rPr>
        <w:t>（</w:t>
      </w:r>
      <w:r>
        <w:rPr>
          <w:rFonts w:hint="eastAsia"/>
          <w:color w:val="auto"/>
        </w:rPr>
        <w:t>包含电子版</w:t>
      </w:r>
      <w:r>
        <w:rPr>
          <w:rFonts w:hint="eastAsia"/>
          <w:color w:val="auto"/>
          <w:lang w:val="en-US" w:eastAsia="zh-CN"/>
        </w:rPr>
        <w:t>投标文件</w:t>
      </w:r>
      <w:r>
        <w:rPr>
          <w:rFonts w:hint="eastAsia"/>
          <w:color w:val="auto"/>
          <w:lang w:eastAsia="zh-CN"/>
        </w:rPr>
        <w:t>），</w:t>
      </w:r>
      <w:r>
        <w:rPr>
          <w:rFonts w:hint="eastAsia"/>
          <w:color w:val="auto"/>
        </w:rPr>
        <w:t>并在封而上注明“正本”和“副本”字样</w:t>
      </w:r>
      <w:r>
        <w:rPr>
          <w:rFonts w:hint="eastAsia"/>
          <w:color w:val="auto"/>
          <w:lang w:eastAsia="zh-CN"/>
        </w:rPr>
        <w:t>。</w:t>
      </w:r>
      <w:r>
        <w:rPr>
          <w:rFonts w:hint="eastAsia"/>
          <w:color w:val="auto"/>
        </w:rPr>
        <w:t>投标文件的副本可采用正本的</w:t>
      </w:r>
      <w:r>
        <w:rPr>
          <w:rFonts w:hint="eastAsia"/>
          <w:color w:val="auto"/>
          <w:lang w:val="en-US" w:eastAsia="zh-CN"/>
        </w:rPr>
        <w:t>复印件。为</w:t>
      </w:r>
      <w:r>
        <w:rPr>
          <w:rFonts w:hint="eastAsia"/>
          <w:color w:val="auto"/>
        </w:rPr>
        <w:t>节约</w:t>
      </w:r>
      <w:r>
        <w:rPr>
          <w:rFonts w:hint="eastAsia"/>
          <w:color w:val="auto"/>
          <w:lang w:val="en-US" w:eastAsia="zh-CN"/>
        </w:rPr>
        <w:t>纸张</w:t>
      </w:r>
      <w:r>
        <w:rPr>
          <w:rFonts w:hint="eastAsia"/>
          <w:color w:val="auto"/>
          <w:lang w:eastAsia="zh-CN"/>
        </w:rPr>
        <w:t>，</w:t>
      </w:r>
      <w:r>
        <w:rPr>
          <w:rFonts w:hint="eastAsia"/>
          <w:color w:val="auto"/>
        </w:rPr>
        <w:t>建议双面打印并简装投标文件</w:t>
      </w:r>
      <w:r>
        <w:rPr>
          <w:rFonts w:hint="eastAsia"/>
          <w:color w:val="auto"/>
          <w:lang w:eastAsia="zh-CN"/>
        </w:rPr>
        <w:t>。</w:t>
      </w:r>
      <w:r>
        <w:rPr>
          <w:rFonts w:hint="eastAsia"/>
          <w:color w:val="auto"/>
        </w:rPr>
        <w:t>投标文件的正本与副本如有不</w:t>
      </w:r>
      <w:r>
        <w:rPr>
          <w:rFonts w:hint="eastAsia"/>
          <w:color w:val="auto"/>
          <w:lang w:val="en-US" w:eastAsia="zh-CN"/>
        </w:rPr>
        <w:t>一</w:t>
      </w:r>
      <w:r>
        <w:rPr>
          <w:rFonts w:hint="eastAsia"/>
          <w:color w:val="auto"/>
        </w:rPr>
        <w:t>致</w:t>
      </w:r>
      <w:r>
        <w:rPr>
          <w:rFonts w:hint="eastAsia"/>
          <w:color w:val="auto"/>
          <w:lang w:val="en-US" w:eastAsia="zh-CN"/>
        </w:rPr>
        <w:t>之</w:t>
      </w:r>
      <w:r>
        <w:rPr>
          <w:rFonts w:hint="eastAsia"/>
          <w:color w:val="auto"/>
        </w:rPr>
        <w:t>处</w:t>
      </w:r>
      <w:r>
        <w:rPr>
          <w:rFonts w:hint="eastAsia"/>
          <w:color w:val="auto"/>
          <w:lang w:eastAsia="zh-CN"/>
        </w:rPr>
        <w:t>。</w:t>
      </w:r>
      <w:r>
        <w:rPr>
          <w:rFonts w:hint="eastAsia"/>
          <w:color w:val="auto"/>
        </w:rPr>
        <w:t>以正本为准</w:t>
      </w:r>
      <w:r>
        <w:rPr>
          <w:rFonts w:hint="eastAsia"/>
          <w:color w:val="auto"/>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w:t>
      </w:r>
      <w:r>
        <w:rPr>
          <w:rFonts w:hint="eastAsia"/>
          <w:color w:val="auto"/>
        </w:rPr>
        <w:t>2</w:t>
      </w:r>
      <w:r>
        <w:rPr>
          <w:rFonts w:hint="eastAsia"/>
          <w:color w:val="auto"/>
          <w:lang w:val="en-US" w:eastAsia="zh-CN"/>
        </w:rPr>
        <w:t>若项目</w:t>
      </w:r>
      <w:r>
        <w:rPr>
          <w:rFonts w:hint="eastAsia"/>
          <w:color w:val="auto"/>
        </w:rPr>
        <w:t>分包</w:t>
      </w:r>
      <w:r>
        <w:rPr>
          <w:rFonts w:hint="eastAsia"/>
          <w:color w:val="auto"/>
          <w:lang w:eastAsia="zh-CN"/>
        </w:rPr>
        <w:t>，</w:t>
      </w:r>
      <w:r>
        <w:rPr>
          <w:rFonts w:hint="eastAsia"/>
          <w:color w:val="auto"/>
        </w:rPr>
        <w:t>投标文件按包分别制作</w:t>
      </w:r>
      <w:r>
        <w:rPr>
          <w:rFonts w:hint="eastAsia"/>
          <w:color w:val="auto"/>
          <w:lang w:eastAsia="zh-CN"/>
        </w:rPr>
        <w:t>，</w:t>
      </w:r>
      <w:r>
        <w:rPr>
          <w:rFonts w:hint="eastAsia"/>
          <w:color w:val="auto"/>
        </w:rPr>
        <w:t>采用非活页方式装订</w:t>
      </w:r>
      <w:r>
        <w:rPr>
          <w:rFonts w:hint="eastAsia"/>
          <w:color w:val="auto"/>
          <w:lang w:eastAsia="zh-CN"/>
        </w:rPr>
        <w:t>。</w:t>
      </w:r>
      <w:r>
        <w:rPr>
          <w:rFonts w:hint="eastAsia"/>
          <w:color w:val="auto"/>
        </w:rPr>
        <w:t>若投标人为需要附产品样本等资料的</w:t>
      </w:r>
      <w:r>
        <w:rPr>
          <w:rFonts w:hint="eastAsia"/>
          <w:color w:val="auto"/>
          <w:lang w:eastAsia="zh-CN"/>
        </w:rPr>
        <w:t>，</w:t>
      </w:r>
      <w:r>
        <w:rPr>
          <w:rFonts w:hint="eastAsia"/>
          <w:color w:val="auto"/>
        </w:rPr>
        <w:t>相关资料不得散装</w:t>
      </w:r>
      <w:r>
        <w:rPr>
          <w:rFonts w:hint="eastAsia"/>
          <w:color w:val="auto"/>
          <w:lang w:eastAsia="zh-CN"/>
        </w:rPr>
        <w:t>，</w:t>
      </w:r>
      <w:r>
        <w:rPr>
          <w:rFonts w:hint="eastAsia"/>
          <w:color w:val="auto"/>
        </w:rPr>
        <w:t>可装订在投标文件的最后部分</w:t>
      </w:r>
      <w:r>
        <w:rPr>
          <w:rFonts w:hint="eastAsia"/>
          <w:color w:val="auto"/>
          <w:lang w:eastAsia="zh-CN"/>
        </w:rPr>
        <w:t>（</w:t>
      </w:r>
      <w:r>
        <w:rPr>
          <w:rFonts w:hint="eastAsia"/>
          <w:color w:val="auto"/>
        </w:rPr>
        <w:t>殊规格的图纸、方案、图片、资料除外</w:t>
      </w:r>
      <w:r>
        <w:rPr>
          <w:rFonts w:hint="eastAsia"/>
          <w:color w:val="auto"/>
          <w:lang w:eastAsia="zh-CN"/>
        </w:rPr>
        <w:t>）。</w:t>
      </w:r>
      <w:r>
        <w:rPr>
          <w:rFonts w:hint="eastAsia"/>
          <w:color w:val="auto"/>
        </w:rPr>
        <w:t>投标文件如采用不牢固装订，不牢固装</w:t>
      </w:r>
      <w:r>
        <w:rPr>
          <w:rFonts w:hint="eastAsia"/>
          <w:color w:val="auto"/>
          <w:lang w:val="en-US" w:eastAsia="zh-CN"/>
        </w:rPr>
        <w:t>订包</w:t>
      </w:r>
      <w:r>
        <w:rPr>
          <w:rFonts w:hint="eastAsia"/>
          <w:color w:val="auto"/>
        </w:rPr>
        <w:t>括但不限于各种活页夹、文件夹、塑料方便式书籍</w:t>
      </w:r>
      <w:r>
        <w:rPr>
          <w:rFonts w:hint="eastAsia"/>
          <w:color w:val="auto"/>
          <w:lang w:eastAsia="zh-CN"/>
        </w:rPr>
        <w:t>（</w:t>
      </w:r>
      <w:r>
        <w:rPr>
          <w:rFonts w:hint="eastAsia"/>
          <w:color w:val="auto"/>
        </w:rPr>
        <w:t>插人式或穿孔式</w:t>
      </w:r>
      <w:r>
        <w:rPr>
          <w:rFonts w:hint="eastAsia"/>
          <w:color w:val="auto"/>
          <w:lang w:eastAsia="zh-CN"/>
        </w:rPr>
        <w:t>）</w:t>
      </w:r>
      <w:r>
        <w:rPr>
          <w:rFonts w:hint="eastAsia"/>
          <w:color w:val="auto"/>
        </w:rPr>
        <w:t>等</w:t>
      </w:r>
      <w:r>
        <w:rPr>
          <w:rFonts w:hint="eastAsia"/>
          <w:color w:val="auto"/>
          <w:lang w:eastAsia="zh-CN"/>
        </w:rPr>
        <w:t>，</w:t>
      </w:r>
      <w:r>
        <w:rPr>
          <w:rFonts w:hint="eastAsia"/>
          <w:color w:val="auto"/>
        </w:rPr>
        <w:t>导致</w:t>
      </w:r>
      <w:r>
        <w:rPr>
          <w:rFonts w:hint="eastAsia"/>
          <w:color w:val="auto"/>
          <w:lang w:val="en-US" w:eastAsia="zh-CN"/>
        </w:rPr>
        <w:t>投标</w:t>
      </w:r>
      <w:r>
        <w:rPr>
          <w:rFonts w:hint="eastAsia"/>
          <w:color w:val="auto"/>
        </w:rPr>
        <w:t>文件不完整、影响评审的，一切后果由投标人自行承担</w:t>
      </w:r>
      <w:r>
        <w:rPr>
          <w:rFonts w:hint="eastAsia"/>
          <w:color w:val="auto"/>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14.3每份投标文件正本和所有副本均需打印</w:t>
      </w:r>
      <w:r>
        <w:rPr>
          <w:rFonts w:hint="eastAsia"/>
          <w:color w:val="auto"/>
          <w:lang w:eastAsia="zh-CN"/>
        </w:rPr>
        <w:t>，</w:t>
      </w:r>
      <w:r>
        <w:rPr>
          <w:rFonts w:hint="eastAsia"/>
          <w:color w:val="auto"/>
        </w:rPr>
        <w:t>且用不褪色墨水书写</w:t>
      </w:r>
      <w:r>
        <w:rPr>
          <w:rFonts w:hint="eastAsia"/>
          <w:color w:val="auto"/>
          <w:lang w:eastAsia="zh-CN"/>
        </w:rPr>
        <w:t>，</w:t>
      </w:r>
      <w:r>
        <w:rPr>
          <w:rFonts w:hint="eastAsia"/>
          <w:color w:val="auto"/>
        </w:rPr>
        <w:t>并由投人法定代表人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或经其授权的授权代表签字或盖单位章</w:t>
      </w:r>
      <w:r>
        <w:rPr>
          <w:rFonts w:hint="eastAsia"/>
          <w:color w:val="auto"/>
          <w:lang w:eastAsia="zh-CN"/>
        </w:rPr>
        <w:t>。</w:t>
      </w:r>
      <w:r>
        <w:rPr>
          <w:rFonts w:hint="eastAsia"/>
          <w:color w:val="auto"/>
        </w:rPr>
        <w:t>投标人须按投标文件格式的规定出具《法定代表人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授权书》</w:t>
      </w:r>
      <w:r>
        <w:rPr>
          <w:rFonts w:hint="eastAsia"/>
          <w:color w:val="auto"/>
          <w:lang w:eastAsia="zh-CN"/>
        </w:rPr>
        <w:t>，</w:t>
      </w:r>
      <w:r>
        <w:rPr>
          <w:rFonts w:hint="eastAsia"/>
          <w:color w:val="auto"/>
        </w:rPr>
        <w:t>并附在投标文件中</w:t>
      </w:r>
      <w:r>
        <w:rPr>
          <w:rFonts w:hint="eastAsia"/>
          <w:color w:val="auto"/>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rPr>
        <w:t>14.4投标文件中尽量避免行间插字、涂改和增删</w:t>
      </w:r>
      <w:r>
        <w:rPr>
          <w:rFonts w:hint="eastAsia"/>
          <w:color w:val="auto"/>
          <w:lang w:eastAsia="zh-CN"/>
        </w:rPr>
        <w:t>。</w:t>
      </w:r>
      <w:r>
        <w:rPr>
          <w:rFonts w:hint="eastAsia"/>
          <w:color w:val="auto"/>
        </w:rPr>
        <w:t>如果出现上述情况</w:t>
      </w:r>
      <w:r>
        <w:rPr>
          <w:rFonts w:hint="eastAsia"/>
          <w:color w:val="auto"/>
          <w:lang w:eastAsia="zh-CN"/>
        </w:rPr>
        <w:t>，</w:t>
      </w:r>
      <w:r>
        <w:rPr>
          <w:rFonts w:hint="eastAsia"/>
          <w:color w:val="auto"/>
        </w:rPr>
        <w:t>必须投标人的法定代表人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或其授权的授权代表签字或盖单位</w:t>
      </w:r>
      <w:r>
        <w:rPr>
          <w:rFonts w:hint="eastAsia"/>
          <w:color w:val="auto"/>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四</w:t>
      </w:r>
      <w:r>
        <w:rPr>
          <w:rFonts w:hint="eastAsia"/>
          <w:color w:val="auto"/>
          <w:lang w:eastAsia="zh-CN"/>
        </w:rPr>
        <w:t>、</w:t>
      </w:r>
      <w:r>
        <w:rPr>
          <w:rFonts w:hint="eastAsia"/>
          <w:color w:val="auto"/>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15.</w:t>
      </w:r>
      <w:r>
        <w:rPr>
          <w:rFonts w:hint="eastAsia"/>
          <w:color w:val="auto"/>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15.1投标文件正本和所有的副本须密封装在单独的包装中</w:t>
      </w:r>
      <w:r>
        <w:rPr>
          <w:rFonts w:hint="eastAsia"/>
          <w:color w:val="auto"/>
          <w:lang w:eastAsia="zh-CN"/>
        </w:rPr>
        <w:t>，</w:t>
      </w:r>
      <w:r>
        <w:rPr>
          <w:rFonts w:hint="eastAsia"/>
          <w:color w:val="auto"/>
        </w:rPr>
        <w:t>包装上正确标明“正本”“副本”字样</w:t>
      </w:r>
      <w:r>
        <w:rPr>
          <w:rFonts w:hint="eastAsia"/>
          <w:color w:val="auto"/>
          <w:lang w:eastAsia="zh-CN"/>
        </w:rPr>
        <w:t>。</w:t>
      </w:r>
      <w:r>
        <w:rPr>
          <w:rFonts w:hint="eastAsia"/>
          <w:color w:val="auto"/>
        </w:rPr>
        <w:t>若项目分包</w:t>
      </w:r>
      <w:r>
        <w:rPr>
          <w:rFonts w:hint="eastAsia"/>
          <w:color w:val="auto"/>
          <w:lang w:eastAsia="zh-CN"/>
        </w:rPr>
        <w:t>，</w:t>
      </w:r>
      <w:r>
        <w:rPr>
          <w:rFonts w:hint="eastAsia"/>
          <w:color w:val="auto"/>
        </w:rPr>
        <w:t>投标人参加多个包号投标的</w:t>
      </w:r>
      <w:r>
        <w:rPr>
          <w:rFonts w:hint="eastAsia"/>
          <w:color w:val="auto"/>
          <w:lang w:eastAsia="zh-CN"/>
        </w:rPr>
        <w:t>，</w:t>
      </w:r>
      <w:r>
        <w:rPr>
          <w:rFonts w:hint="eastAsia"/>
          <w:color w:val="auto"/>
        </w:rPr>
        <w:t>投标文件按包号分别密封和标示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15.2</w:t>
      </w:r>
      <w:r>
        <w:rPr>
          <w:rFonts w:hint="eastAsia"/>
          <w:color w:val="auto"/>
        </w:rPr>
        <w:t>如果包装未按规定标记并密封</w:t>
      </w:r>
      <w:r>
        <w:rPr>
          <w:rFonts w:hint="eastAsia"/>
          <w:color w:val="auto"/>
          <w:lang w:eastAsia="zh-CN"/>
        </w:rPr>
        <w:t>，</w:t>
      </w:r>
      <w:r>
        <w:rPr>
          <w:rFonts w:hint="eastAsia"/>
          <w:color w:val="auto"/>
        </w:rPr>
        <w:t>招标人或招标代理机构将不承担错放或</w:t>
      </w:r>
      <w:r>
        <w:rPr>
          <w:rFonts w:hint="eastAsia"/>
          <w:color w:val="auto"/>
          <w:lang w:val="en-US" w:eastAsia="zh-CN"/>
        </w:rPr>
        <w:t>提前启封的责任。</w:t>
      </w:r>
    </w:p>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16.1投标文件应于规定的投标截止日期之前送达规定的地点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16.2招标人和招标代理机构可以依照法律规定延长投标截止期</w:t>
      </w:r>
      <w:r>
        <w:rPr>
          <w:rFonts w:hint="eastAsia"/>
          <w:color w:val="auto"/>
          <w:lang w:eastAsia="zh-CN"/>
        </w:rPr>
        <w:t>。</w:t>
      </w:r>
      <w:r>
        <w:rPr>
          <w:rFonts w:hint="eastAsia"/>
          <w:color w:val="auto"/>
        </w:rPr>
        <w:t>在此情况下招标代理机构和投标人受投标截止期制约的所有权利和义务均应延长至新的截止日期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color w:val="auto"/>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17.</w:t>
      </w:r>
      <w:r>
        <w:rPr>
          <w:rFonts w:hint="eastAsia"/>
          <w:color w:val="auto"/>
        </w:rPr>
        <w:t>投标文件的修改与撤回</w:t>
      </w:r>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17.1投标人在提交投标文件后</w:t>
      </w:r>
      <w:r>
        <w:rPr>
          <w:rFonts w:hint="eastAsia"/>
          <w:color w:val="auto"/>
          <w:lang w:eastAsia="zh-CN"/>
        </w:rPr>
        <w:t>，</w:t>
      </w:r>
      <w:r>
        <w:rPr>
          <w:rFonts w:hint="eastAsia"/>
          <w:color w:val="auto"/>
        </w:rPr>
        <w:t>可以修改或撤回其投标</w:t>
      </w:r>
      <w:r>
        <w:rPr>
          <w:rFonts w:hint="eastAsia"/>
          <w:color w:val="auto"/>
          <w:lang w:eastAsia="zh-CN"/>
        </w:rPr>
        <w:t>，</w:t>
      </w:r>
      <w:r>
        <w:rPr>
          <w:rFonts w:hint="eastAsia"/>
          <w:color w:val="auto"/>
        </w:rPr>
        <w:t>但这种修改和撤回，必须在规定的投标截止时间前</w:t>
      </w:r>
      <w:r>
        <w:rPr>
          <w:rFonts w:hint="eastAsia"/>
          <w:color w:val="auto"/>
          <w:lang w:eastAsia="zh-CN"/>
        </w:rPr>
        <w:t>，</w:t>
      </w:r>
      <w:r>
        <w:rPr>
          <w:rFonts w:hint="eastAsia"/>
          <w:color w:val="auto"/>
        </w:rPr>
        <w:t>并以书面形式通知招标代理机构</w:t>
      </w:r>
      <w:r>
        <w:rPr>
          <w:rFonts w:hint="eastAsia"/>
          <w:color w:val="auto"/>
          <w:lang w:eastAsia="zh-CN"/>
        </w:rPr>
        <w:t>。</w:t>
      </w:r>
      <w:r>
        <w:rPr>
          <w:rFonts w:hint="eastAsia"/>
          <w:color w:val="auto"/>
        </w:rPr>
        <w:t>在投标截止时间后</w:t>
      </w:r>
      <w:r>
        <w:rPr>
          <w:rFonts w:hint="eastAsia"/>
          <w:color w:val="auto"/>
          <w:lang w:eastAsia="zh-CN"/>
        </w:rPr>
        <w:t>，</w:t>
      </w:r>
      <w:r>
        <w:rPr>
          <w:rFonts w:hint="eastAsia"/>
          <w:color w:val="auto"/>
        </w:rPr>
        <w:t>投标人不得再要求修改或撤销其投标文件</w:t>
      </w:r>
      <w:r>
        <w:rPr>
          <w:rFonts w:hint="eastAsia"/>
          <w:color w:val="auto"/>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17.2投标人的修改或撤回通知应按照投标人须知相关的规定</w:t>
      </w:r>
      <w:r>
        <w:rPr>
          <w:rFonts w:hint="eastAsia"/>
          <w:color w:val="auto"/>
          <w:lang w:eastAsia="zh-CN"/>
        </w:rPr>
        <w:t>，</w:t>
      </w:r>
      <w:r>
        <w:rPr>
          <w:rFonts w:hint="eastAsia"/>
          <w:color w:val="auto"/>
        </w:rPr>
        <w:t>进行编制、签章、密封、标记和提交</w:t>
      </w:r>
      <w:r>
        <w:rPr>
          <w:rFonts w:hint="eastAsia"/>
          <w:color w:val="auto"/>
          <w:lang w:eastAsia="zh-CN"/>
        </w:rPr>
        <w:t>，</w:t>
      </w:r>
      <w:r>
        <w:rPr>
          <w:rFonts w:hint="eastAsia"/>
          <w:color w:val="auto"/>
        </w:rPr>
        <w:t>并在外装信封上明显标明“投标文件修改书’或“投标文件撤回通知”字样</w:t>
      </w:r>
      <w:r>
        <w:rPr>
          <w:rFonts w:hint="eastAsia"/>
          <w:color w:val="auto"/>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17.3从投标截止期至投标文件有效期结束为止</w:t>
      </w:r>
      <w:r>
        <w:rPr>
          <w:rFonts w:hint="eastAsia"/>
          <w:color w:val="auto"/>
          <w:lang w:eastAsia="zh-CN"/>
        </w:rPr>
        <w:t>，</w:t>
      </w:r>
      <w:r>
        <w:rPr>
          <w:rFonts w:hint="eastAsia"/>
          <w:color w:val="auto"/>
        </w:rPr>
        <w:t>投标人不得撤销其投标，否则将不予退还其投标担保</w:t>
      </w:r>
      <w:r>
        <w:rPr>
          <w:rFonts w:hint="eastAsia"/>
          <w:color w:val="auto"/>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五</w:t>
      </w:r>
      <w:r>
        <w:rPr>
          <w:rFonts w:hint="eastAsia"/>
          <w:color w:val="auto"/>
          <w:lang w:eastAsia="zh-CN"/>
        </w:rPr>
        <w:t>、</w:t>
      </w:r>
      <w:r>
        <w:rPr>
          <w:rFonts w:hint="eastAsia"/>
          <w:color w:val="auto"/>
        </w:rPr>
        <w:t>开标</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开标时间和地点</w:t>
      </w:r>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18.1招标代理机构在投标人须知前附表规定的时间和地点公开开标</w:t>
      </w:r>
      <w:r>
        <w:rPr>
          <w:rFonts w:hint="eastAsia"/>
          <w:color w:val="auto"/>
          <w:lang w:eastAsia="zh-CN"/>
        </w:rPr>
        <w:t>。</w:t>
      </w:r>
      <w:r>
        <w:rPr>
          <w:rFonts w:hint="eastAsia"/>
          <w:color w:val="auto"/>
        </w:rPr>
        <w:t>出席开标仪式的投标人的授权代表携带身份证明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在评审结束前，未得到招标人或招标代理机构的允许</w:t>
      </w:r>
      <w:r>
        <w:rPr>
          <w:rFonts w:hint="eastAsia"/>
          <w:color w:val="auto"/>
          <w:lang w:eastAsia="zh-CN"/>
        </w:rPr>
        <w:t>，</w:t>
      </w:r>
      <w:r>
        <w:rPr>
          <w:rFonts w:hint="eastAsia"/>
          <w:color w:val="auto"/>
        </w:rPr>
        <w:t>投标人授权代表不得离开开标现场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18.2在开标时</w:t>
      </w:r>
      <w:r>
        <w:rPr>
          <w:rFonts w:hint="eastAsia"/>
          <w:color w:val="auto"/>
          <w:lang w:eastAsia="zh-CN"/>
        </w:rPr>
        <w:t>，</w:t>
      </w:r>
      <w:r>
        <w:rPr>
          <w:rFonts w:hint="eastAsia"/>
          <w:color w:val="auto"/>
        </w:rPr>
        <w:t>招标代理机构宣读投标人名称、投标价格</w:t>
      </w:r>
      <w:r>
        <w:rPr>
          <w:rFonts w:hint="eastAsia"/>
          <w:color w:val="auto"/>
          <w:lang w:eastAsia="zh-CN"/>
        </w:rPr>
        <w:t>，</w:t>
      </w:r>
      <w:r>
        <w:rPr>
          <w:rFonts w:hint="eastAsia"/>
          <w:color w:val="auto"/>
        </w:rPr>
        <w:t>以及招标代理机构认为合适的其他内容</w:t>
      </w:r>
      <w:r>
        <w:rPr>
          <w:rFonts w:hint="eastAsia"/>
          <w:color w:val="auto"/>
          <w:lang w:eastAsia="zh-CN"/>
        </w:rPr>
        <w:t>。</w:t>
      </w:r>
      <w:r>
        <w:rPr>
          <w:rFonts w:hint="eastAsia"/>
          <w:color w:val="auto"/>
        </w:rPr>
        <w:t>开标结束后</w:t>
      </w:r>
      <w:r>
        <w:rPr>
          <w:rFonts w:hint="eastAsia"/>
          <w:color w:val="auto"/>
          <w:lang w:eastAsia="zh-CN"/>
        </w:rPr>
        <w:t>，</w:t>
      </w:r>
      <w:r>
        <w:rPr>
          <w:rFonts w:hint="eastAsia"/>
          <w:color w:val="auto"/>
        </w:rPr>
        <w:t>所有被开封唱标的投标文件</w:t>
      </w:r>
      <w:r>
        <w:rPr>
          <w:rFonts w:hint="eastAsia"/>
          <w:color w:val="auto"/>
          <w:lang w:eastAsia="zh-CN"/>
        </w:rPr>
        <w:t>，</w:t>
      </w:r>
      <w:r>
        <w:rPr>
          <w:rFonts w:hint="eastAsia"/>
          <w:color w:val="auto"/>
        </w:rPr>
        <w:t>均提交评标委员会评审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19.</w:t>
      </w:r>
      <w:r>
        <w:rPr>
          <w:rFonts w:hint="eastAsia"/>
          <w:color w:val="auto"/>
        </w:rPr>
        <w:t>开标程序</w:t>
      </w:r>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19.2评标委员会成员有下列情形之一的，应当回避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w:t>
      </w:r>
      <w:r>
        <w:rPr>
          <w:rFonts w:hint="default" w:eastAsiaTheme="minorEastAsia"/>
          <w:color w:val="auto"/>
          <w:lang w:val="en-US" w:eastAsia="zh-CN"/>
        </w:rPr>
        <w:t>投标人或投标人主要负责人的近亲属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与投标人有经济利益关系</w:t>
      </w:r>
      <w:r>
        <w:rPr>
          <w:rFonts w:hint="eastAsia"/>
          <w:color w:val="auto"/>
          <w:lang w:val="en-US" w:eastAsia="zh-CN"/>
        </w:rPr>
        <w:t>，</w:t>
      </w:r>
      <w:r>
        <w:rPr>
          <w:rFonts w:hint="default" w:eastAsiaTheme="minorEastAsia"/>
          <w:color w:val="auto"/>
          <w:lang w:val="en-US" w:eastAsia="zh-CN"/>
        </w:rPr>
        <w:t>可能影响对投标公正评审的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曾因在招标、评标以及其他与招标投标有关活动中从事违法行为而受过谷政处罚或刑事处罚的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与投标人有其他利害关系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19.3评标过程中</w:t>
      </w:r>
      <w:r>
        <w:rPr>
          <w:rFonts w:hint="eastAsia"/>
          <w:color w:val="auto"/>
          <w:lang w:val="en-US" w:eastAsia="zh-CN"/>
        </w:rPr>
        <w:t>，</w:t>
      </w:r>
      <w:r>
        <w:rPr>
          <w:rFonts w:hint="default" w:eastAsiaTheme="minorEastAsia"/>
          <w:color w:val="auto"/>
          <w:lang w:val="en-US" w:eastAsia="zh-CN"/>
        </w:rPr>
        <w:t>评标委员会成员有回避事由、擅离职守或者因健康等原因不能继续评标的</w:t>
      </w:r>
      <w:r>
        <w:rPr>
          <w:rFonts w:hint="eastAsia"/>
          <w:color w:val="auto"/>
          <w:lang w:val="en-US" w:eastAsia="zh-CN"/>
        </w:rPr>
        <w:t>，</w:t>
      </w:r>
      <w:r>
        <w:rPr>
          <w:rFonts w:hint="default" w:eastAsiaTheme="minorEastAsia"/>
          <w:color w:val="auto"/>
          <w:lang w:val="en-US" w:eastAsia="zh-CN"/>
        </w:rPr>
        <w:t>招标人有权更换</w:t>
      </w:r>
      <w:r>
        <w:rPr>
          <w:rFonts w:hint="eastAsia"/>
          <w:color w:val="auto"/>
          <w:lang w:val="en-US" w:eastAsia="zh-CN"/>
        </w:rPr>
        <w:t>。</w:t>
      </w:r>
      <w:r>
        <w:rPr>
          <w:rFonts w:hint="default" w:eastAsiaTheme="minorEastAsia"/>
          <w:color w:val="auto"/>
          <w:lang w:val="en-US" w:eastAsia="zh-CN"/>
        </w:rPr>
        <w:t>被更换的评标委员会成员作出的评审结论无效</w:t>
      </w:r>
      <w:r>
        <w:rPr>
          <w:rFonts w:hint="eastAsia"/>
          <w:color w:val="auto"/>
          <w:lang w:val="en-US" w:eastAsia="zh-CN"/>
        </w:rPr>
        <w:t>，</w:t>
      </w:r>
      <w:r>
        <w:rPr>
          <w:rFonts w:hint="default" w:eastAsiaTheme="minorEastAsia"/>
          <w:color w:val="auto"/>
          <w:lang w:val="en-US" w:eastAsia="zh-CN"/>
        </w:rPr>
        <w:t>更换后的评标委员会成员重新进行评审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19.4评标委员会对投标文件响应性的判定基于投标文件本身的内容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即使投标人开标时携带了材料的原件</w:t>
      </w:r>
      <w:r>
        <w:rPr>
          <w:rFonts w:hint="eastAsia"/>
          <w:color w:val="auto"/>
          <w:lang w:val="en-US" w:eastAsia="zh-CN"/>
        </w:rPr>
        <w:t>，</w:t>
      </w:r>
      <w:r>
        <w:rPr>
          <w:rFonts w:hint="default" w:eastAsiaTheme="minorEastAsia"/>
          <w:color w:val="auto"/>
          <w:lang w:val="en-US" w:eastAsia="zh-CN"/>
        </w:rPr>
        <w:t>但在投标文件</w:t>
      </w:r>
      <w:r>
        <w:rPr>
          <w:rFonts w:hint="eastAsia"/>
          <w:color w:val="auto"/>
          <w:lang w:val="en-US" w:eastAsia="zh-CN"/>
        </w:rPr>
        <w:t>中</w:t>
      </w:r>
      <w:r>
        <w:rPr>
          <w:rFonts w:hint="default" w:eastAsiaTheme="minorEastAsia"/>
          <w:color w:val="auto"/>
          <w:lang w:val="en-US" w:eastAsia="zh-CN"/>
        </w:rPr>
        <w:t>未提供与之内容完全一致的复制件的</w:t>
      </w:r>
      <w:r>
        <w:rPr>
          <w:rFonts w:hint="eastAsia"/>
          <w:color w:val="auto"/>
          <w:lang w:val="en-US" w:eastAsia="zh-CN"/>
        </w:rPr>
        <w:t>，</w:t>
      </w:r>
      <w:r>
        <w:rPr>
          <w:rFonts w:hint="default" w:eastAsiaTheme="minorEastAsia"/>
          <w:color w:val="auto"/>
          <w:lang w:val="en-US" w:eastAsia="zh-CN"/>
        </w:rPr>
        <w:t>评标委员会可视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19.5如果投标没有实质性响应招标文件的要求</w:t>
      </w:r>
      <w:r>
        <w:rPr>
          <w:rFonts w:hint="eastAsia"/>
          <w:color w:val="auto"/>
          <w:lang w:val="en-US" w:eastAsia="zh-CN"/>
        </w:rPr>
        <w:t>，</w:t>
      </w:r>
      <w:r>
        <w:rPr>
          <w:rFonts w:hint="default" w:eastAsiaTheme="minorEastAsia"/>
          <w:color w:val="auto"/>
          <w:lang w:val="en-US" w:eastAsia="zh-CN"/>
        </w:rPr>
        <w:t>其投标将被否决</w:t>
      </w:r>
      <w:r>
        <w:rPr>
          <w:rFonts w:hint="eastAsia"/>
          <w:color w:val="auto"/>
          <w:lang w:val="en-US" w:eastAsia="zh-CN"/>
        </w:rPr>
        <w:t>。</w:t>
      </w:r>
      <w:r>
        <w:rPr>
          <w:rFonts w:hint="default" w:eastAsiaTheme="minorEastAsia"/>
          <w:color w:val="auto"/>
          <w:lang w:val="en-US" w:eastAsia="zh-CN"/>
        </w:rPr>
        <w:t>投标人不</w:t>
      </w:r>
      <w:r>
        <w:rPr>
          <w:rFonts w:hint="eastAsia"/>
          <w:color w:val="auto"/>
          <w:lang w:val="en-US" w:eastAsia="zh-CN"/>
        </w:rPr>
        <w:t>得</w:t>
      </w:r>
      <w:r>
        <w:rPr>
          <w:rFonts w:hint="default" w:eastAsiaTheme="minorEastAsia"/>
          <w:color w:val="auto"/>
          <w:lang w:val="en-US" w:eastAsia="zh-CN"/>
        </w:rPr>
        <w:t>通过修正或撤销不合要求的偏离或保留从而使其投标成为实质性响应的投标</w:t>
      </w:r>
      <w:r>
        <w:rPr>
          <w:rFonts w:hint="eastAsia"/>
          <w:color w:val="auto"/>
          <w:lang w:val="en-US" w:eastAsia="zh-CN"/>
        </w:rPr>
        <w:t>。</w:t>
      </w:r>
      <w:r>
        <w:rPr>
          <w:rFonts w:hint="default" w:eastAsiaTheme="minorEastAsia"/>
          <w:color w:val="auto"/>
          <w:lang w:val="en-US" w:eastAsia="zh-CN"/>
        </w:rPr>
        <w:t>如现有下列情形之一的，其投标将被否决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20.</w:t>
      </w:r>
      <w:r>
        <w:rPr>
          <w:rFonts w:hint="eastAsia"/>
          <w:color w:val="auto"/>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20.1对于投标文件中含义不明确、同类问题表述不一致或者有明显文字和计算错误的内容</w:t>
      </w:r>
      <w:r>
        <w:rPr>
          <w:rFonts w:hint="eastAsia"/>
          <w:color w:val="auto"/>
          <w:lang w:eastAsia="zh-CN"/>
        </w:rPr>
        <w:t>，</w:t>
      </w:r>
      <w:r>
        <w:rPr>
          <w:rFonts w:hint="eastAsia"/>
          <w:color w:val="auto"/>
        </w:rPr>
        <w:t>评标委员会应当以书面形式要求投标人作出必要的澄清、说明或者补正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rPr>
        <w:t>20.2投标人的澄清、说明或者补正应当采用书面形式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w:t>
      </w:r>
      <w:r>
        <w:rPr>
          <w:rFonts w:hint="eastAsia"/>
          <w:color w:val="auto"/>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21.</w:t>
      </w:r>
      <w:r>
        <w:rPr>
          <w:rFonts w:hint="eastAsia"/>
          <w:color w:val="auto"/>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21.1在初步评审中</w:t>
      </w:r>
      <w:r>
        <w:rPr>
          <w:rFonts w:hint="eastAsia"/>
          <w:color w:val="auto"/>
          <w:lang w:eastAsia="zh-CN"/>
        </w:rPr>
        <w:t>，</w:t>
      </w:r>
      <w:r>
        <w:rPr>
          <w:rFonts w:hint="eastAsia"/>
          <w:color w:val="auto"/>
        </w:rPr>
        <w:t>若评标委员会成员对同一投标人的评审结论不一致的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w:t>
      </w:r>
      <w:r>
        <w:rPr>
          <w:rFonts w:hint="eastAsia"/>
          <w:color w:val="auto"/>
        </w:rPr>
        <w:t>评标委员会只对通过初步评审的投标文件进行详细评审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21.2投标人投标报价修正</w:t>
      </w:r>
      <w:r>
        <w:rPr>
          <w:rFonts w:hint="eastAsia"/>
          <w:color w:val="auto"/>
          <w:lang w:eastAsia="zh-CN"/>
        </w:rPr>
        <w:t>。</w:t>
      </w:r>
      <w:r>
        <w:rPr>
          <w:rFonts w:hint="eastAsia"/>
          <w:color w:val="auto"/>
        </w:rPr>
        <w:t>由评标委员会根据招标文件的要求，以招标文件规定的</w:t>
      </w:r>
      <w:r>
        <w:rPr>
          <w:rFonts w:hint="eastAsia"/>
          <w:color w:val="auto"/>
          <w:lang w:val="en-US" w:eastAsia="zh-CN"/>
        </w:rPr>
        <w:t>招标</w:t>
      </w:r>
      <w:r>
        <w:rPr>
          <w:rFonts w:hint="eastAsia"/>
          <w:color w:val="auto"/>
        </w:rPr>
        <w:t>范围为基准</w:t>
      </w:r>
      <w:r>
        <w:rPr>
          <w:rFonts w:hint="eastAsia"/>
          <w:color w:val="auto"/>
          <w:lang w:eastAsia="zh-CN"/>
        </w:rPr>
        <w:t>，</w:t>
      </w:r>
      <w:r>
        <w:rPr>
          <w:rFonts w:hint="eastAsia"/>
          <w:color w:val="auto"/>
        </w:rPr>
        <w:t>对各投标人的报价内容和范围进行核定</w:t>
      </w:r>
      <w:r>
        <w:rPr>
          <w:rFonts w:hint="eastAsia"/>
          <w:color w:val="auto"/>
          <w:lang w:eastAsia="zh-CN"/>
        </w:rPr>
        <w:t>，</w:t>
      </w:r>
      <w:r>
        <w:rPr>
          <w:rFonts w:hint="eastAsia"/>
          <w:color w:val="auto"/>
        </w:rPr>
        <w:t>以确定其投标报价总价的合理性和有效性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投标人缺报、漏报项的，</w:t>
      </w:r>
      <w:r>
        <w:rPr>
          <w:rFonts w:hint="eastAsia"/>
          <w:color w:val="auto"/>
        </w:rPr>
        <w:t>将以其他投标人所报该项目的最高价增加该投标人的</w:t>
      </w:r>
      <w:r>
        <w:rPr>
          <w:rFonts w:hint="eastAsia"/>
          <w:color w:val="auto"/>
          <w:lang w:val="en-US" w:eastAsia="zh-CN"/>
        </w:rPr>
        <w:t>评标价。该评标</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评标</w:t>
      </w:r>
      <w:r>
        <w:rPr>
          <w:rFonts w:hint="eastAsia"/>
          <w:color w:val="auto"/>
        </w:rPr>
        <w:t>比较之用，投标人的投标价仍然不变</w:t>
      </w:r>
      <w:r>
        <w:rPr>
          <w:rFonts w:hint="eastAsia"/>
          <w:color w:val="auto"/>
          <w:lang w:eastAsia="zh-CN"/>
        </w:rPr>
        <w:t>。</w:t>
      </w:r>
      <w:r>
        <w:rPr>
          <w:rFonts w:hint="eastAsia"/>
          <w:color w:val="auto"/>
        </w:rPr>
        <w:t>若投标人提供了</w:t>
      </w:r>
      <w:r>
        <w:rPr>
          <w:rFonts w:hint="eastAsia"/>
          <w:color w:val="auto"/>
          <w:lang w:val="en-US" w:eastAsia="zh-CN"/>
        </w:rPr>
        <w:t>超过招标文件要求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评审后的投标报价总价作为价格评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w:t>
      </w:r>
      <w:r>
        <w:rPr>
          <w:rFonts w:hint="eastAsia"/>
          <w:color w:val="auto"/>
          <w:lang w:eastAsia="zh-CN"/>
        </w:rPr>
        <w:t>.</w:t>
      </w:r>
      <w:r>
        <w:rPr>
          <w:rFonts w:hint="eastAsia"/>
          <w:color w:val="auto"/>
        </w:rPr>
        <w:t>3投标文件报价出现前后不一致的</w:t>
      </w:r>
      <w:r>
        <w:rPr>
          <w:rFonts w:hint="eastAsia"/>
          <w:color w:val="auto"/>
          <w:lang w:eastAsia="zh-CN"/>
        </w:rPr>
        <w:t>，</w:t>
      </w:r>
      <w:r>
        <w:rPr>
          <w:rFonts w:hint="eastAsia"/>
          <w:color w:val="auto"/>
        </w:rPr>
        <w:t>除投标人须知前附表另有规定外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投标文件中开标一览表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内容与投标文件中相应内容不一致的</w:t>
      </w:r>
      <w:r>
        <w:rPr>
          <w:rFonts w:hint="eastAsia"/>
          <w:color w:val="auto"/>
          <w:lang w:eastAsia="zh-CN"/>
        </w:rPr>
        <w:t>，</w:t>
      </w:r>
      <w:r>
        <w:rPr>
          <w:rFonts w:hint="eastAsia"/>
          <w:color w:val="auto"/>
        </w:rPr>
        <w:t>下列规定修正</w:t>
      </w:r>
      <w:r>
        <w:rPr>
          <w:rFonts w:hint="eastAsia"/>
          <w:color w:val="auto"/>
          <w:lang w:eastAsia="zh-CN"/>
        </w:rPr>
        <w:t>：</w:t>
      </w:r>
      <w:r>
        <w:rPr>
          <w:rFonts w:hint="eastAsia"/>
          <w:color w:val="auto"/>
        </w:rPr>
        <w:t>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以开标一览表的总价为准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修正后的报价经投标人确认后产生约束力</w:t>
      </w:r>
      <w:r>
        <w:rPr>
          <w:rFonts w:hint="eastAsia"/>
          <w:color w:val="auto"/>
          <w:lang w:eastAsia="zh-CN"/>
        </w:rPr>
        <w:t>，</w:t>
      </w:r>
      <w:r>
        <w:rPr>
          <w:rFonts w:hint="eastAsia"/>
          <w:color w:val="auto"/>
        </w:rPr>
        <w:t>投标人不确认的</w:t>
      </w:r>
      <w:r>
        <w:rPr>
          <w:rFonts w:hint="eastAsia"/>
          <w:color w:val="auto"/>
          <w:lang w:eastAsia="zh-CN"/>
        </w:rPr>
        <w:t>，</w:t>
      </w:r>
      <w:r>
        <w:rPr>
          <w:rFonts w:hint="eastAsia"/>
          <w:color w:val="auto"/>
        </w:rPr>
        <w:t>其投标将被否决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21.4投标人不足3家处理预案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投标文件提交截止时间后投标人不足3家的</w:t>
      </w:r>
      <w:r>
        <w:rPr>
          <w:rFonts w:hint="eastAsia"/>
          <w:color w:val="auto"/>
          <w:lang w:eastAsia="zh-CN"/>
        </w:rPr>
        <w:t>，</w:t>
      </w:r>
      <w:r>
        <w:rPr>
          <w:rFonts w:hint="eastAsia"/>
          <w:color w:val="auto"/>
        </w:rPr>
        <w:t>招标人可以因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或在征得现场投标人同意下转为其他采购方式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22.</w:t>
      </w:r>
      <w:r>
        <w:rPr>
          <w:rFonts w:hint="eastAsia"/>
          <w:color w:val="auto"/>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22.1除按评标委员会要求的澄清外</w:t>
      </w:r>
      <w:r>
        <w:rPr>
          <w:rFonts w:hint="eastAsia"/>
          <w:color w:val="auto"/>
          <w:lang w:eastAsia="zh-CN"/>
        </w:rPr>
        <w:t>，</w:t>
      </w:r>
      <w:r>
        <w:rPr>
          <w:rFonts w:hint="eastAsia"/>
          <w:color w:val="auto"/>
        </w:rPr>
        <w:t>从开标到签署合同期间</w:t>
      </w:r>
      <w:r>
        <w:rPr>
          <w:rFonts w:hint="eastAsia"/>
          <w:color w:val="auto"/>
          <w:lang w:eastAsia="zh-CN"/>
        </w:rPr>
        <w:t>，</w:t>
      </w:r>
      <w:r>
        <w:rPr>
          <w:rFonts w:hint="eastAsia"/>
          <w:color w:val="auto"/>
        </w:rPr>
        <w:t>投标人不得就与其投标有关的任何事项与招标代理机构、招标人和评标委员会联系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22.2投标人试图对招标代理机构、招标人和评标委员会的评标、确定中标人或签署合同的决定进行影响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22.3.1如对招标文件内容有异议</w:t>
      </w:r>
      <w:r>
        <w:rPr>
          <w:rFonts w:hint="eastAsia"/>
          <w:color w:val="auto"/>
          <w:lang w:eastAsia="zh-CN"/>
        </w:rPr>
        <w:t>，</w:t>
      </w:r>
      <w:r>
        <w:rPr>
          <w:rFonts w:hint="eastAsia"/>
          <w:color w:val="auto"/>
        </w:rPr>
        <w:t>请在《投标人须知》前附表规定的时间前提出</w:t>
      </w:r>
      <w:r>
        <w:rPr>
          <w:rFonts w:hint="eastAsia"/>
          <w:color w:val="auto"/>
          <w:lang w:eastAsia="zh-CN"/>
        </w:rPr>
        <w:t>。</w:t>
      </w:r>
      <w:r>
        <w:rPr>
          <w:rFonts w:hint="eastAsia"/>
          <w:color w:val="auto"/>
        </w:rPr>
        <w:t>招标人及代理机构有权不接受逾期提出的异议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rPr>
        <w:t>22.3.2对开标环节有异议的</w:t>
      </w:r>
      <w:r>
        <w:rPr>
          <w:rFonts w:hint="eastAsia"/>
          <w:color w:val="auto"/>
          <w:lang w:eastAsia="zh-CN"/>
        </w:rPr>
        <w:t>，</w:t>
      </w:r>
      <w:r>
        <w:rPr>
          <w:rFonts w:hint="eastAsia"/>
          <w:color w:val="auto"/>
        </w:rPr>
        <w:t>投标人须在开评标现场提出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六</w:t>
      </w:r>
      <w:r>
        <w:rPr>
          <w:rFonts w:hint="eastAsia"/>
          <w:color w:val="auto"/>
          <w:lang w:eastAsia="zh-CN"/>
        </w:rPr>
        <w:t>、</w:t>
      </w:r>
      <w:r>
        <w:rPr>
          <w:rFonts w:hint="eastAsia"/>
          <w:color w:val="auto"/>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23.</w:t>
      </w:r>
      <w:r>
        <w:rPr>
          <w:rFonts w:hint="eastAsia"/>
          <w:color w:val="auto"/>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23.1中标候选人的经营、财务状况发生较大变化或者存在违法行为</w:t>
      </w:r>
      <w:r>
        <w:rPr>
          <w:rFonts w:hint="eastAsia"/>
          <w:color w:val="auto"/>
          <w:lang w:eastAsia="zh-CN"/>
        </w:rPr>
        <w:t>，</w:t>
      </w:r>
      <w:r>
        <w:rPr>
          <w:rFonts w:hint="eastAsia"/>
          <w:color w:val="auto"/>
        </w:rPr>
        <w:t>招标人认为可能影响其履约能力的</w:t>
      </w:r>
      <w:r>
        <w:rPr>
          <w:rFonts w:hint="eastAsia"/>
          <w:color w:val="auto"/>
          <w:lang w:eastAsia="zh-CN"/>
        </w:rPr>
        <w:t>，</w:t>
      </w:r>
      <w:r>
        <w:rPr>
          <w:rFonts w:hint="eastAsia"/>
          <w:color w:val="auto"/>
        </w:rPr>
        <w:t>应当在发出中标通知书前由原评标委员会按照招标文件规定的标准和方法审查确认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23.2如审查第一中标候选人不符合中标条件</w:t>
      </w:r>
      <w:r>
        <w:rPr>
          <w:rFonts w:hint="eastAsia"/>
          <w:color w:val="auto"/>
          <w:lang w:eastAsia="zh-CN"/>
        </w:rPr>
        <w:t>，</w:t>
      </w:r>
      <w:r>
        <w:rPr>
          <w:rFonts w:hint="eastAsia"/>
          <w:color w:val="auto"/>
        </w:rPr>
        <w:t>招标人有权取消其中标资格</w:t>
      </w:r>
      <w:r>
        <w:rPr>
          <w:rFonts w:hint="eastAsia"/>
          <w:color w:val="auto"/>
          <w:lang w:eastAsia="zh-CN"/>
        </w:rPr>
        <w:t>，</w:t>
      </w:r>
      <w:r>
        <w:rPr>
          <w:rFonts w:hint="eastAsia"/>
          <w:color w:val="auto"/>
        </w:rPr>
        <w:t>重新组织招标或者委托评标委员会按照排名依次审查确认其他中标候选人</w:t>
      </w:r>
      <w:r>
        <w:rPr>
          <w:rFonts w:hint="eastAsia"/>
          <w:color w:val="auto"/>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96602457"/>
      <w:r>
        <w:rPr>
          <w:rFonts w:hint="eastAsia"/>
          <w:color w:val="auto"/>
          <w:lang w:val="en-US" w:eastAsia="zh-CN"/>
        </w:rPr>
        <w:t>24.</w:t>
      </w:r>
      <w:bookmarkEnd w:id="24"/>
      <w:r>
        <w:rPr>
          <w:rFonts w:hint="eastAsia"/>
          <w:color w:val="auto"/>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评标委员会将根据招标文件确定的评分办法及评审标准对所有投标文件进行相同程序的评审和比较</w:t>
      </w:r>
      <w:r>
        <w:rPr>
          <w:rFonts w:hint="eastAsia"/>
          <w:color w:val="auto"/>
          <w:lang w:eastAsia="zh-CN"/>
        </w:rPr>
        <w:t>，</w:t>
      </w:r>
      <w:r>
        <w:rPr>
          <w:rFonts w:hint="eastAsia"/>
          <w:color w:val="auto"/>
        </w:rPr>
        <w:t>并根据评审结果推荐1~3名中标候选人</w:t>
      </w:r>
      <w:r>
        <w:rPr>
          <w:rFonts w:hint="eastAsia"/>
          <w:color w:val="auto"/>
          <w:lang w:eastAsia="zh-CN"/>
        </w:rPr>
        <w:t>，</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25.招标人的权利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招标人在中标通知发出之前的任何时候</w:t>
      </w:r>
      <w:r>
        <w:rPr>
          <w:rFonts w:hint="eastAsia"/>
          <w:color w:val="auto"/>
          <w:lang w:eastAsia="zh-CN"/>
        </w:rPr>
        <w:t>，</w:t>
      </w:r>
      <w:r>
        <w:rPr>
          <w:rFonts w:hint="eastAsia"/>
          <w:color w:val="auto"/>
        </w:rPr>
        <w:t>有取消本次招标或宣布投标无效或</w:t>
      </w:r>
      <w:r>
        <w:rPr>
          <w:rFonts w:hint="eastAsia"/>
          <w:color w:val="auto"/>
          <w:lang w:val="en-US" w:eastAsia="zh-CN"/>
        </w:rPr>
        <w:t>拒</w:t>
      </w:r>
      <w:r>
        <w:rPr>
          <w:rFonts w:hint="eastAsia"/>
          <w:color w:val="auto"/>
        </w:rPr>
        <w:t>绝所有投标的权利</w:t>
      </w:r>
      <w:r>
        <w:rPr>
          <w:rFonts w:hint="eastAsia"/>
          <w:color w:val="auto"/>
          <w:lang w:eastAsia="zh-CN"/>
        </w:rPr>
        <w:t>，</w:t>
      </w:r>
      <w:r>
        <w:rPr>
          <w:rFonts w:hint="eastAsia"/>
          <w:color w:val="auto"/>
        </w:rPr>
        <w:t>对因此而受影响的投标人不承担任何责任，也没有义务向受</w:t>
      </w:r>
      <w:r>
        <w:rPr>
          <w:rFonts w:hint="eastAsia"/>
          <w:color w:val="auto"/>
          <w:lang w:val="en-US" w:eastAsia="zh-CN"/>
        </w:rPr>
        <w:t>影</w:t>
      </w:r>
      <w:r>
        <w:rPr>
          <w:rFonts w:hint="eastAsia"/>
          <w:color w:val="auto"/>
        </w:rPr>
        <w:t>响的投标人解释采取这一行动的理由并不承担任何赔偿费用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26.中标通知书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在投标有效期满之前</w:t>
      </w:r>
      <w:r>
        <w:rPr>
          <w:rFonts w:hint="eastAsia"/>
          <w:color w:val="auto"/>
          <w:lang w:eastAsia="zh-CN"/>
        </w:rPr>
        <w:t>，</w:t>
      </w:r>
      <w:r>
        <w:rPr>
          <w:rFonts w:hint="eastAsia"/>
          <w:color w:val="auto"/>
        </w:rPr>
        <w:t>招标人向中标人发出中标通知书</w:t>
      </w:r>
      <w:r>
        <w:rPr>
          <w:rFonts w:hint="eastAsia"/>
          <w:color w:val="auto"/>
          <w:lang w:eastAsia="zh-CN"/>
        </w:rPr>
        <w:t>。</w:t>
      </w:r>
      <w:r>
        <w:rPr>
          <w:rFonts w:hint="eastAsia"/>
          <w:color w:val="auto"/>
        </w:rPr>
        <w:t>中标通知书将构成合同的一部分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七、合同的签署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27.合同的签署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27.1中标人应按法律法规及招标文件规定的时间与招标人签订合同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27.2采购双方必须严格按照招标文件、投标文件及有关承诺签订采购合同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合同的标的、价款、质量、履行期限等主要条款应当与招标文件和中标人的投标文件的内容一致</w:t>
      </w:r>
      <w:r>
        <w:rPr>
          <w:rFonts w:hint="eastAsia"/>
          <w:color w:val="auto"/>
          <w:lang w:eastAsia="zh-CN"/>
        </w:rPr>
        <w:t>，</w:t>
      </w:r>
      <w:r>
        <w:rPr>
          <w:rFonts w:hint="eastAsia"/>
          <w:color w:val="auto"/>
        </w:rPr>
        <w:t>招标人和中标人不得再行订立背离合同实质性内容的期他协议</w:t>
      </w:r>
      <w:r>
        <w:rPr>
          <w:rFonts w:hint="eastAsia"/>
          <w:color w:val="auto"/>
          <w:lang w:eastAsia="zh-CN"/>
        </w:rPr>
        <w:t>。</w:t>
      </w:r>
      <w:r>
        <w:rPr>
          <w:rFonts w:hint="eastAsia"/>
          <w:color w:val="auto"/>
        </w:rPr>
        <w:t>对任何因双方擅自变更合同实质性内容引起的问题，由双方通过其他法途径解决</w:t>
      </w:r>
      <w:r>
        <w:rPr>
          <w:rFonts w:hint="eastAsia"/>
          <w:color w:val="auto"/>
          <w:lang w:eastAsia="zh-CN"/>
        </w:rPr>
        <w:t>，</w:t>
      </w:r>
      <w:r>
        <w:rPr>
          <w:rFonts w:hint="eastAsia"/>
          <w:color w:val="auto"/>
        </w:rPr>
        <w:t>招标代理机构对此不承担责任，合同风险由双方自行承担</w:t>
      </w:r>
      <w:r>
        <w:rPr>
          <w:rFonts w:hint="eastAsia"/>
          <w:color w:val="auto"/>
          <w:lang w:eastAsia="zh-CN"/>
        </w:rPr>
        <w:t>。</w:t>
      </w:r>
    </w:p>
    <w:p w14:paraId="70794AD4">
      <w:pPr>
        <w:pStyle w:val="4"/>
        <w:spacing w:line="240" w:lineRule="auto"/>
        <w:rPr>
          <w:rFonts w:hint="eastAsia" w:eastAsiaTheme="minorEastAsia"/>
          <w:color w:val="auto"/>
          <w:lang w:eastAsia="zh-CN"/>
        </w:rPr>
      </w:pPr>
      <w:r>
        <w:rPr>
          <w:rFonts w:hint="eastAsia"/>
          <w:color w:val="auto"/>
          <w:lang w:val="en-US" w:eastAsia="zh-CN"/>
        </w:rPr>
        <w:t>28.履约担保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28.1中标人须按照投标人须知前附表中的规定提交履约担保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28.2招标人与中标人签订书面合同后</w:t>
      </w:r>
      <w:r>
        <w:rPr>
          <w:rFonts w:hint="eastAsia"/>
          <w:color w:val="auto"/>
          <w:lang w:eastAsia="zh-CN"/>
        </w:rPr>
        <w:t>，</w:t>
      </w:r>
      <w:r>
        <w:rPr>
          <w:rFonts w:hint="eastAsia"/>
          <w:color w:val="auto"/>
        </w:rPr>
        <w:t>招标代理机构将通知所有未中标的</w:t>
      </w:r>
      <w:r>
        <w:rPr>
          <w:rFonts w:hint="eastAsia"/>
          <w:color w:val="auto"/>
          <w:lang w:val="en-US" w:eastAsia="zh-CN"/>
        </w:rPr>
        <w:t>投标</w:t>
      </w:r>
      <w:r>
        <w:rPr>
          <w:rFonts w:hint="eastAsia"/>
          <w:color w:val="auto"/>
        </w:rPr>
        <w:t>人，并退还其投标担保</w:t>
      </w:r>
      <w:r>
        <w:rPr>
          <w:rFonts w:hint="eastAsia"/>
          <w:color w:val="auto"/>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28.3如果中标人没有遵守本章 27.1、28.1的规定</w:t>
      </w:r>
      <w:r>
        <w:rPr>
          <w:rFonts w:hint="eastAsia"/>
          <w:color w:val="auto"/>
          <w:lang w:eastAsia="zh-CN"/>
        </w:rPr>
        <w:t>，</w:t>
      </w:r>
      <w:r>
        <w:rPr>
          <w:rFonts w:hint="eastAsia"/>
          <w:color w:val="auto"/>
        </w:rPr>
        <w:t>或出现《招标投标法》及其实施条例规定的其他不符合中标条件的情形的</w:t>
      </w:r>
      <w:r>
        <w:rPr>
          <w:rFonts w:hint="eastAsia"/>
          <w:color w:val="auto"/>
          <w:lang w:eastAsia="zh-CN"/>
        </w:rPr>
        <w:t>，</w:t>
      </w:r>
      <w:r>
        <w:rPr>
          <w:rFonts w:hint="eastAsia"/>
          <w:color w:val="auto"/>
        </w:rPr>
        <w:t>招标人有权取消其中标资格、不予还其提交的投标担保</w:t>
      </w:r>
      <w:r>
        <w:rPr>
          <w:rFonts w:hint="eastAsia"/>
          <w:color w:val="auto"/>
          <w:lang w:eastAsia="zh-CN"/>
        </w:rPr>
        <w:t>。</w:t>
      </w:r>
      <w:r>
        <w:rPr>
          <w:rFonts w:hint="eastAsia"/>
          <w:color w:val="auto"/>
        </w:rPr>
        <w:t>在此情况下</w:t>
      </w:r>
      <w:r>
        <w:rPr>
          <w:rFonts w:hint="eastAsia"/>
          <w:color w:val="auto"/>
          <w:lang w:eastAsia="zh-CN"/>
        </w:rPr>
        <w:t>，</w:t>
      </w:r>
      <w:r>
        <w:rPr>
          <w:rFonts w:hint="eastAsia"/>
          <w:color w:val="auto"/>
        </w:rPr>
        <w:t>招标人可以确定下一个综合排名最高的投标人为中标人并授予其合同</w:t>
      </w:r>
      <w:r>
        <w:rPr>
          <w:rFonts w:hint="eastAsia"/>
          <w:color w:val="auto"/>
          <w:lang w:eastAsia="zh-CN"/>
        </w:rPr>
        <w:t>，</w:t>
      </w:r>
      <w:r>
        <w:rPr>
          <w:rFonts w:hint="eastAsia"/>
          <w:color w:val="auto"/>
        </w:rPr>
        <w:t>或重新招标</w:t>
      </w:r>
      <w:r>
        <w:rPr>
          <w:rFonts w:hint="eastAsia"/>
          <w:color w:val="auto"/>
          <w:lang w:eastAsia="zh-CN"/>
        </w:rPr>
        <w:t>。</w:t>
      </w:r>
    </w:p>
    <w:p w14:paraId="2A165E4C">
      <w:pPr>
        <w:pStyle w:val="4"/>
        <w:pageBreakBefore w:val="0"/>
        <w:widowControl/>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29.解释权</w:t>
      </w:r>
    </w:p>
    <w:p w14:paraId="30C64D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asciiTheme="minorHAnsi" w:hAnsiTheme="minorHAnsi" w:eastAsiaTheme="minorEastAsia"/>
          <w:b w:val="0"/>
          <w:bCs w:val="0"/>
          <w:color w:val="auto"/>
          <w:sz w:val="21"/>
          <w:szCs w:val="24"/>
        </w:rPr>
        <w:t>本招标文件的最终解释权归招标人所有</w:t>
      </w:r>
      <w:r>
        <w:rPr>
          <w:rFonts w:hint="eastAsia" w:asciiTheme="minorHAnsi" w:hAnsiTheme="minorHAnsi" w:eastAsiaTheme="minorEastAsia"/>
          <w:b w:val="0"/>
          <w:bCs w:val="0"/>
          <w:color w:val="auto"/>
          <w:sz w:val="21"/>
          <w:szCs w:val="24"/>
          <w:lang w:eastAsia="zh-CN"/>
        </w:rPr>
        <w:t>。</w:t>
      </w:r>
      <w:bookmarkEnd w:id="16"/>
      <w:bookmarkEnd w:id="17"/>
      <w:bookmarkEnd w:id="18"/>
      <w:bookmarkEnd w:id="19"/>
      <w:bookmarkEnd w:id="20"/>
      <w:bookmarkEnd w:id="21"/>
      <w:bookmarkEnd w:id="22"/>
      <w:bookmarkEnd w:id="23"/>
    </w:p>
    <w:p w14:paraId="5376A635">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3E62D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14:paraId="7DA226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1AB1EFB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p w14:paraId="43CF36B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48AF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D005D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52E8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C8F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8B1B5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50F84F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E7BC9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07F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D971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14:paraId="374781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D3268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2B95D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02B1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7BB0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60A276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58B9CB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DE1B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8E87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4E462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14:paraId="3AFD2E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A2203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A2CB7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8FED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0FE80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14:paraId="69DD49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F0527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57" w:edGrp="everyone" w:colFirst="3" w:colLast="3"/>
            <w:r>
              <w:rPr>
                <w:rFonts w:hint="eastAsia" w:ascii="Times New Roman" w:hAnsi="Times New Roman" w:cs="Times New Roman"/>
                <w:color w:val="auto"/>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3DCF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F1BF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BEA1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7"/>
      <w:tr w14:paraId="31C93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DEA43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4339BD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FDA13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601E7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8"/>
      <w:tr w14:paraId="6386C4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BBF83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0DB277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FD912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C445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9"/>
      <w:tr w14:paraId="2394A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6112F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3EF283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5426B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C7175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0"/>
      <w:tr w14:paraId="05C70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BCCA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72EF5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42AA1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E2D1BA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1"/>
      <w:tr w14:paraId="08A8A0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6AC16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14:paraId="203AB4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2D48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F26F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2"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62"/>
          </w:p>
        </w:tc>
      </w:tr>
      <w:tr w14:paraId="3028D9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07486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43FC69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BB79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787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permEnd w:id="63"/>
      <w:tr w14:paraId="508043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862CF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60C819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CA756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EACC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permEnd w:id="64"/>
      <w:tr w14:paraId="5FD86F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DDA6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55FFA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F025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A88C6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5"/>
      <w:tr w14:paraId="1A3AC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07EA74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66" w:edGrp="everyone" w:colFirst="3" w:colLast="3"/>
            <w:r>
              <w:rPr>
                <w:rFonts w:hint="eastAsia" w:ascii="Times New Roman" w:hAnsi="Times New Roman" w:cs="Times New Roman"/>
                <w:color w:val="auto"/>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F5BA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2B7F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284A1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permEnd w:id="66"/>
      <w:tr w14:paraId="2FA096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3306C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55815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8350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C1B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permEnd w:id="67"/>
      <w:tr w14:paraId="47D44B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9952A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4B463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A3A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563A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permEnd w:id="68"/>
      <w:tr w14:paraId="581A8F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BB286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6B4D44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A4E4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30EE7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permEnd w:id="69"/>
      <w:tr w14:paraId="6EAAA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FB7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7CDE79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0D18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CCB4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permEnd w:id="70"/>
      <w:tr w14:paraId="58021C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FA87A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64F0C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2F7C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2C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permEnd w:id="71"/>
      <w:tr w14:paraId="1E8B0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5052E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4473E7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F739A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9E5F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符合第二章“投标人须知”第1.12.1项规定和第四章“合同条款及格式”中的实质性要求和条件</w:t>
            </w:r>
          </w:p>
        </w:tc>
      </w:tr>
      <w:permEnd w:id="72"/>
      <w:tr w14:paraId="1AA95B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7CE608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3" w:edGrp="everyone" w:colFirst="3" w:colLast="3"/>
          </w:p>
        </w:tc>
        <w:tc>
          <w:tcPr>
            <w:tcW w:w="850" w:type="dxa"/>
            <w:vMerge w:val="continue"/>
            <w:tcBorders>
              <w:bottom w:val="single" w:color="auto" w:sz="4" w:space="0"/>
              <w:right w:val="single" w:color="auto" w:sz="4" w:space="0"/>
            </w:tcBorders>
            <w:noWrap w:val="0"/>
            <w:vAlign w:val="center"/>
          </w:tcPr>
          <w:p w14:paraId="07A32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D40C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028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3"/>
      <w:tr w14:paraId="5712D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0FCBB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25" w:name="_Toc247085747"/>
            <w:bookmarkStart w:id="26" w:name="_Toc144974556"/>
            <w:bookmarkStart w:id="27" w:name="_Toc246996232"/>
            <w:bookmarkStart w:id="28" w:name="_Toc152042366"/>
            <w:bookmarkStart w:id="29" w:name="_Toc152045589"/>
            <w:bookmarkStart w:id="30" w:name="_Toc246996975"/>
            <w:bookmarkStart w:id="31" w:name="_Toc179632607"/>
            <w:bookmarkStart w:id="32" w:name="_Toc296602477"/>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1780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6008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14:paraId="2AD698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31571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colFirst="2" w:colLast="2"/>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4C80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14:paraId="3FC14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A5541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34E6CF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64B0EB7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tc>
      </w:tr>
      <w:permEnd w:id="74"/>
      <w:tr w14:paraId="6950E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5F462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75" w:edGrp="everyone" w:colFirst="2" w:colLast="2"/>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317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284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以所有有效投标人投标报价的算术平均值作为评标基准价。</w:t>
            </w:r>
          </w:p>
        </w:tc>
      </w:tr>
      <w:permEnd w:id="75"/>
      <w:tr w14:paraId="51D7A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7B067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4D60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A516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14:paraId="031C13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20F0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06D6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1F0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35ECFA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DD6C8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6" w:edGrp="everyone" w:colFirst="1" w:colLast="1"/>
            <w:permStart w:id="77" w:edGrp="everyone" w:colFirst="2" w:colLast="2"/>
            <w:permStart w:id="78" w:edGrp="everyone" w:colFirst="3" w:colLast="3"/>
            <w:r>
              <w:rPr>
                <w:rFonts w:hint="eastAsia" w:ascii="Times New Roman" w:hAnsi="Times New Roman" w:cs="Times New Roman"/>
                <w:color w:val="auto"/>
                <w:kern w:val="0"/>
                <w:sz w:val="24"/>
                <w:szCs w:val="24"/>
                <w:highlight w:val="none"/>
                <w:lang w:val="en-US" w:eastAsia="zh-CN"/>
              </w:rPr>
              <w:t>2.2.4</w:t>
            </w:r>
          </w:p>
          <w:p w14:paraId="5764B5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资信业绩评分标准</w:t>
            </w:r>
          </w:p>
          <w:p w14:paraId="43845A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780614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yellow"/>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3CE3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rPr>
              <w:t>1、企业具有质量管理体系认证、环境管理体系认证、职业健康安全管理体系认证，且均在有效期内的，每个得1分， 满分3分。</w:t>
            </w:r>
          </w:p>
          <w:p w14:paraId="551311A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rPr>
              <w:t>2、投标人自202</w:t>
            </w:r>
            <w:r>
              <w:rPr>
                <w:rFonts w:hint="eastAsia" w:ascii="宋体" w:hAnsi="宋体" w:cs="Times New Roman"/>
                <w:color w:val="auto"/>
                <w:sz w:val="24"/>
                <w:lang w:val="en-US" w:eastAsia="zh-CN"/>
              </w:rPr>
              <w:t>1</w:t>
            </w:r>
            <w:r>
              <w:rPr>
                <w:rFonts w:hint="eastAsia" w:ascii="宋体" w:hAnsi="宋体" w:cs="Times New Roman"/>
                <w:color w:val="auto"/>
                <w:sz w:val="24"/>
              </w:rPr>
              <w:t>年1月1日以来（以获奖时间为准），获得省级及以上行业主管部门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lang w:eastAsia="zh-CN"/>
              </w:rPr>
              <w:t>，</w:t>
            </w:r>
            <w:r>
              <w:rPr>
                <w:rFonts w:hint="eastAsia" w:ascii="宋体" w:hAnsi="宋体" w:cs="Times New Roman"/>
                <w:color w:val="auto"/>
                <w:sz w:val="24"/>
              </w:rPr>
              <w:t>每个得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rPr>
              <w:t>获得地市级行业主管部门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rPr>
              <w:t>，每个得</w:t>
            </w:r>
            <w:r>
              <w:rPr>
                <w:rFonts w:hint="eastAsia" w:ascii="宋体" w:hAnsi="宋体" w:cs="Times New Roman"/>
                <w:color w:val="auto"/>
                <w:sz w:val="24"/>
                <w:lang w:val="en-US" w:eastAsia="zh-CN"/>
              </w:rPr>
              <w:t>1</w:t>
            </w:r>
            <w:r>
              <w:rPr>
                <w:rFonts w:hint="eastAsia" w:ascii="宋体" w:hAnsi="宋体" w:cs="Times New Roman"/>
                <w:color w:val="auto"/>
                <w:sz w:val="24"/>
              </w:rPr>
              <w:t>分。</w:t>
            </w:r>
            <w:r>
              <w:rPr>
                <w:rFonts w:hint="eastAsia" w:ascii="宋体" w:hAnsi="宋体" w:cs="Times New Roman"/>
                <w:color w:val="auto"/>
                <w:sz w:val="24"/>
                <w:lang w:val="en-US" w:eastAsia="zh-CN"/>
              </w:rPr>
              <w:t>本项</w:t>
            </w:r>
            <w:r>
              <w:rPr>
                <w:rFonts w:hint="eastAsia" w:ascii="宋体" w:hAnsi="宋体" w:cs="Times New Roman"/>
                <w:color w:val="auto"/>
                <w:sz w:val="24"/>
              </w:rPr>
              <w:t>满分得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lang w:val="en-US" w:eastAsia="zh-CN"/>
              </w:rPr>
              <w:t>多分不计</w:t>
            </w:r>
            <w:r>
              <w:rPr>
                <w:rFonts w:hint="eastAsia" w:ascii="宋体" w:hAnsi="宋体" w:cs="Times New Roman"/>
                <w:color w:val="auto"/>
                <w:sz w:val="24"/>
              </w:rPr>
              <w:t>。</w:t>
            </w:r>
          </w:p>
        </w:tc>
      </w:tr>
      <w:permEnd w:id="76"/>
      <w:permEnd w:id="77"/>
      <w:permEnd w:id="78"/>
      <w:tr w14:paraId="0951F2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0C2F5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14:paraId="3D8D0E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项目业绩</w:t>
            </w:r>
          </w:p>
          <w:p w14:paraId="2F16D7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6</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lang w:val="en-US" w:eastAsia="zh-CN"/>
              </w:rPr>
              <w:t>在满足投标人资格要求的基础上，投标人每额外提供一项</w:t>
            </w:r>
            <w:r>
              <w:rPr>
                <w:rFonts w:hint="eastAsia" w:ascii="宋体" w:hAnsi="宋体" w:cs="Times New Roman"/>
                <w:color w:val="auto"/>
                <w:sz w:val="24"/>
              </w:rPr>
              <w:t>20</w:t>
            </w:r>
            <w:r>
              <w:rPr>
                <w:rFonts w:hint="eastAsia" w:ascii="宋体" w:hAnsi="宋体" w:cs="Times New Roman"/>
                <w:color w:val="auto"/>
                <w:sz w:val="24"/>
                <w:lang w:val="en-US" w:eastAsia="zh-CN"/>
              </w:rPr>
              <w:t>21</w:t>
            </w:r>
            <w:r>
              <w:rPr>
                <w:rFonts w:hint="eastAsia" w:ascii="宋体" w:hAnsi="宋体" w:cs="Times New Roman"/>
                <w:color w:val="auto"/>
                <w:sz w:val="24"/>
              </w:rPr>
              <w:t>年1月1日以来</w:t>
            </w:r>
            <w:r>
              <w:rPr>
                <w:rFonts w:hint="eastAsia" w:ascii="宋体" w:hAnsi="宋体" w:cs="Times New Roman"/>
                <w:color w:val="auto"/>
                <w:sz w:val="24"/>
                <w:lang w:val="en-US" w:eastAsia="zh-CN"/>
              </w:rPr>
              <w:t>的企业</w:t>
            </w:r>
            <w:r>
              <w:rPr>
                <w:rFonts w:hint="eastAsia" w:ascii="宋体" w:hAnsi="宋体" w:cs="Times New Roman"/>
                <w:color w:val="auto"/>
                <w:sz w:val="24"/>
              </w:rPr>
              <w:t>类似项目业绩得</w:t>
            </w:r>
            <w:r>
              <w:rPr>
                <w:rFonts w:hint="eastAsia" w:ascii="宋体" w:hAnsi="宋体" w:cs="Times New Roman"/>
                <w:color w:val="auto"/>
                <w:sz w:val="24"/>
                <w:lang w:val="en-US" w:eastAsia="zh-CN"/>
              </w:rPr>
              <w:t>3</w:t>
            </w:r>
            <w:r>
              <w:rPr>
                <w:rFonts w:hint="eastAsia" w:ascii="宋体" w:hAnsi="宋体" w:cs="Times New Roman"/>
                <w:color w:val="auto"/>
                <w:sz w:val="24"/>
              </w:rPr>
              <w:t>分，满分</w:t>
            </w:r>
            <w:r>
              <w:rPr>
                <w:rFonts w:hint="eastAsia" w:ascii="宋体" w:hAnsi="宋体" w:cs="Times New Roman"/>
                <w:color w:val="auto"/>
                <w:sz w:val="24"/>
                <w:lang w:val="en-US" w:eastAsia="zh-CN"/>
              </w:rPr>
              <w:t>6</w:t>
            </w:r>
            <w:r>
              <w:rPr>
                <w:rFonts w:hint="eastAsia" w:ascii="宋体" w:hAnsi="宋体" w:cs="Times New Roman"/>
                <w:color w:val="auto"/>
                <w:sz w:val="24"/>
              </w:rPr>
              <w:t>分。</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auto"/>
                <w:sz w:val="24"/>
                <w:lang w:eastAsia="zh-CN"/>
              </w:rPr>
            </w:pPr>
            <w:r>
              <w:rPr>
                <w:rFonts w:hint="eastAsia" w:ascii="宋体" w:hAnsi="宋体" w:cs="Times New Roman"/>
                <w:color w:val="auto"/>
                <w:sz w:val="24"/>
              </w:rPr>
              <w:t>注：1、类似项</w:t>
            </w:r>
            <w:r>
              <w:rPr>
                <w:rFonts w:hint="eastAsia" w:ascii="宋体" w:hAnsi="宋体" w:cs="Times New Roman"/>
                <w:color w:val="auto"/>
                <w:sz w:val="24"/>
                <w:lang w:val="en-US" w:eastAsia="zh-CN"/>
              </w:rPr>
              <w:t>目业绩指：单项合同金额不少于30万元或总建筑面积不少于12万㎡的建筑工程第三方检测或交竣工检测业绩，</w:t>
            </w:r>
            <w:r>
              <w:rPr>
                <w:rFonts w:hint="eastAsia" w:ascii="宋体" w:hAnsi="宋体" w:cs="Times New Roman"/>
                <w:color w:val="auto"/>
                <w:sz w:val="24"/>
              </w:rPr>
              <w:t>时间以合同签订日期为准</w:t>
            </w:r>
            <w:r>
              <w:rPr>
                <w:rFonts w:hint="eastAsia" w:ascii="宋体" w:hAnsi="宋体" w:cs="Times New Roman"/>
                <w:color w:val="auto"/>
                <w:sz w:val="24"/>
                <w:lang w:eastAsia="zh-CN"/>
              </w:rPr>
              <w:t>。</w:t>
            </w:r>
          </w:p>
          <w:p w14:paraId="0DC7B4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s="Times New Roman"/>
                <w:color w:val="auto"/>
                <w:sz w:val="24"/>
              </w:rPr>
              <w:t>2、有效的业绩证明材料指：</w:t>
            </w:r>
            <w:r>
              <w:rPr>
                <w:rFonts w:hint="default" w:ascii="宋体" w:hAnsi="宋体" w:cs="Times New Roman"/>
                <w:color w:val="auto"/>
                <w:sz w:val="24"/>
                <w:lang w:val="en-US" w:eastAsia="zh-CN"/>
              </w:rPr>
              <w:t>提供业绩合同</w:t>
            </w:r>
            <w:r>
              <w:rPr>
                <w:rFonts w:hint="eastAsia" w:ascii="宋体" w:hAnsi="宋体" w:cs="Times New Roman"/>
                <w:color w:val="auto"/>
                <w:sz w:val="24"/>
                <w:lang w:val="en-US" w:eastAsia="zh-CN"/>
              </w:rPr>
              <w:t>等相关资料</w:t>
            </w:r>
            <w:r>
              <w:rPr>
                <w:rFonts w:hint="default" w:ascii="宋体" w:hAnsi="宋体" w:cs="Times New Roman"/>
                <w:color w:val="auto"/>
                <w:sz w:val="24"/>
                <w:lang w:val="en-US" w:eastAsia="zh-CN"/>
              </w:rPr>
              <w:t>复印件或扫描件装订入投标文件中</w:t>
            </w:r>
            <w:r>
              <w:rPr>
                <w:rFonts w:hint="eastAsia" w:ascii="宋体" w:hAnsi="宋体" w:cs="Times New Roman"/>
                <w:color w:val="auto"/>
                <w:sz w:val="24"/>
              </w:rPr>
              <w:t>。</w:t>
            </w:r>
          </w:p>
        </w:tc>
      </w:tr>
      <w:permEnd w:id="79"/>
      <w:permEnd w:id="80"/>
      <w:permEnd w:id="81"/>
      <w:tr w14:paraId="41A3C7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7D5D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14:paraId="702846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E980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p w14:paraId="4D7259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4B28DA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85A7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1、本项目负责人具有建筑工程类高级工程师职称证书，得2分；</w:t>
            </w:r>
          </w:p>
          <w:p w14:paraId="28FD7A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2、项目负责人每提供1项以项目负责人身份完成的单项合同金额不少于30万元或总建筑面积不少于12万㎡的建筑工程第三方检测或交竣工检测业绩得3分，满分3分。</w:t>
            </w:r>
          </w:p>
          <w:p w14:paraId="69A0EA5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注：须提供相关证书复印件及近半年（开标之日起上推6个月）投标人为其连续缴纳的3个月社保证明（社保管理单位出具），合同需体现项目负责人身份信息，如无，需委托单位出具证明并加盖公章。</w:t>
            </w:r>
          </w:p>
        </w:tc>
      </w:tr>
      <w:permEnd w:id="82"/>
      <w:permEnd w:id="83"/>
      <w:permEnd w:id="84"/>
      <w:tr w14:paraId="502CCD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FD8B6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bottom w:val="single" w:color="auto" w:sz="4" w:space="0"/>
              <w:right w:val="single" w:color="auto" w:sz="4" w:space="0"/>
            </w:tcBorders>
            <w:noWrap w:val="0"/>
            <w:vAlign w:val="center"/>
          </w:tcPr>
          <w:p w14:paraId="54B2F8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7353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其他主要人员</w:t>
            </w:r>
          </w:p>
          <w:p w14:paraId="08086F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7DF9D6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4</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3FC0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拟派的本项目服务的（除项目负责人外）项目组成员中：</w:t>
            </w:r>
          </w:p>
          <w:p w14:paraId="7F9D6B5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具有建筑类专业高级及以上技术职称人员，每人得2分，最多得4分；</w:t>
            </w:r>
          </w:p>
          <w:p w14:paraId="6895B09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注：须提供相关证书复印件及近半年（开标之日起上推6个月）投标人为其连续缴纳的3个月社保证明（社保管理单位出具），一人多证的每个人员只计取一个职称得分。</w:t>
            </w:r>
          </w:p>
        </w:tc>
      </w:tr>
      <w:permEnd w:id="85"/>
      <w:permEnd w:id="86"/>
      <w:permEnd w:id="87"/>
      <w:tr w14:paraId="508919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8123F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color w:val="auto"/>
                <w:kern w:val="0"/>
                <w:sz w:val="24"/>
                <w:szCs w:val="24"/>
                <w:highlight w:val="none"/>
                <w:lang w:val="en-US" w:eastAsia="zh-CN"/>
              </w:rPr>
              <w:t>2.2.4</w:t>
            </w:r>
          </w:p>
          <w:p w14:paraId="682815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服务方案评分标准</w:t>
            </w:r>
          </w:p>
          <w:p w14:paraId="07AB2A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30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87D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进度控制</w:t>
            </w:r>
          </w:p>
          <w:p w14:paraId="55A579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措施</w:t>
            </w:r>
          </w:p>
          <w:p w14:paraId="6C1C6C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7</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6A9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进度控制措施，综合评定：</w:t>
            </w:r>
          </w:p>
          <w:p w14:paraId="44A7DD0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1）合理可行且符合实际情况的酌情按照6.0-7.0分进行评分；</w:t>
            </w:r>
          </w:p>
          <w:p w14:paraId="06CA0AC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2）内容较详细，基本符合实际情况的酌情按照3.0-6.0分进行评分；</w:t>
            </w:r>
          </w:p>
          <w:p w14:paraId="597120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3）内容空洞，不符合实际情况的酌情按照0-3.0分进行评分；</w:t>
            </w:r>
          </w:p>
          <w:p w14:paraId="76A749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未提供的不得分。</w:t>
            </w:r>
          </w:p>
        </w:tc>
      </w:tr>
      <w:permEnd w:id="88"/>
      <w:permEnd w:id="89"/>
      <w:permEnd w:id="90"/>
      <w:tr w14:paraId="1991D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619583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14:paraId="5DE3D5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3F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质量、保密、安全等保证措施</w:t>
            </w:r>
          </w:p>
          <w:p w14:paraId="72D07A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8</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608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质量承诺、质量控制、保密、安全等保证措施及违反质量承诺的处罚措施合理具体。综合评定：</w:t>
            </w:r>
          </w:p>
          <w:p w14:paraId="289223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1）内容详实、表述清晰、奖惩措施合理的酌情按照6.0-8.0分进行评分；</w:t>
            </w:r>
          </w:p>
          <w:p w14:paraId="31C50D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2）内容详实、表述较清晰，奖惩措施较合理，酌情按照3.0-6.0分进行评分；</w:t>
            </w:r>
          </w:p>
          <w:p w14:paraId="429BF43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3）内容不完整、奖惩措施不完全的酌情按照0-3.0分进行评分；未提供的不得分。</w:t>
            </w:r>
          </w:p>
        </w:tc>
      </w:tr>
      <w:permEnd w:id="91"/>
      <w:permEnd w:id="92"/>
      <w:tr w14:paraId="273F58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5C94B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14:paraId="1D5D7B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F3A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应急响应措施</w:t>
            </w:r>
          </w:p>
          <w:p w14:paraId="1FDABD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6C4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投标人提供的应急响应措施评分：</w:t>
            </w:r>
          </w:p>
          <w:p w14:paraId="6C5D86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1）科学、合理、针对性强的酌情按照4.0-5.0分进行评分；</w:t>
            </w:r>
          </w:p>
          <w:p w14:paraId="3536EE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2）相对科学、合理的酌情按照2.0-4.0分进行评分；</w:t>
            </w:r>
          </w:p>
          <w:p w14:paraId="44DFEEC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3）内容不完整，措施不完全或内容差或者不提供的酌情按照0-2.0分进行评分。</w:t>
            </w:r>
          </w:p>
        </w:tc>
      </w:tr>
      <w:permEnd w:id="93"/>
      <w:permEnd w:id="94"/>
      <w:tr w14:paraId="53D93B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81CBD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5" w:edGrp="everyone" w:colFirst="2" w:colLast="2"/>
            <w:permStart w:id="96" w:edGrp="everyone" w:colFirst="3" w:colLast="3"/>
          </w:p>
        </w:tc>
        <w:tc>
          <w:tcPr>
            <w:tcW w:w="850" w:type="dxa"/>
            <w:vMerge w:val="continue"/>
            <w:tcBorders>
              <w:bottom w:val="single" w:color="auto" w:sz="4" w:space="0"/>
              <w:right w:val="single" w:color="auto" w:sz="4" w:space="0"/>
            </w:tcBorders>
            <w:noWrap w:val="0"/>
            <w:vAlign w:val="center"/>
          </w:tcPr>
          <w:p w14:paraId="46D5BC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D99F0B">
            <w:pPr>
              <w:spacing w:line="440" w:lineRule="exact"/>
              <w:jc w:val="center"/>
              <w:rPr>
                <w:rFonts w:ascii="宋体" w:hAnsi="宋体" w:cs="Times New Roman"/>
                <w:color w:val="auto"/>
                <w:sz w:val="24"/>
              </w:rPr>
            </w:pPr>
            <w:r>
              <w:rPr>
                <w:rFonts w:hint="eastAsia" w:ascii="宋体" w:hAnsi="宋体" w:cs="Times New Roman"/>
                <w:color w:val="auto"/>
                <w:sz w:val="24"/>
                <w:lang w:val="en-US" w:eastAsia="zh-CN"/>
              </w:rPr>
              <w:t>其他</w:t>
            </w:r>
            <w:r>
              <w:rPr>
                <w:rFonts w:hint="eastAsia" w:ascii="宋体" w:hAnsi="宋体" w:cs="Times New Roman"/>
                <w:color w:val="auto"/>
                <w:sz w:val="24"/>
              </w:rPr>
              <w:t>服务方案</w:t>
            </w:r>
          </w:p>
          <w:p w14:paraId="5DC48F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B398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投标人自行踏勘现场、并结合采购文件及相关资料自行编制本服务方案，由评标委员会进行综合评审。综合评审内容包括（但不仅限于）：</w:t>
            </w:r>
          </w:p>
          <w:p w14:paraId="05F2B7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①</w:t>
            </w:r>
            <w:r>
              <w:rPr>
                <w:rFonts w:hint="eastAsia" w:ascii="宋体" w:hAnsi="宋体" w:cs="Times New Roman"/>
                <w:color w:val="auto"/>
                <w:sz w:val="24"/>
                <w:lang w:val="en-US" w:eastAsia="zh-CN"/>
              </w:rPr>
              <w:tab/>
            </w:r>
            <w:r>
              <w:rPr>
                <w:rFonts w:hint="eastAsia" w:ascii="宋体" w:hAnsi="宋体" w:cs="Times New Roman"/>
                <w:color w:val="auto"/>
                <w:sz w:val="24"/>
                <w:lang w:val="en-US" w:eastAsia="zh-CN"/>
              </w:rPr>
              <w:t>检测方案：检测总体思路、检测方案内容完整性和编制水平；</w:t>
            </w:r>
          </w:p>
          <w:p w14:paraId="669463F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②拟投入的设备仪器配备：满足本项目检测配备要求；</w:t>
            </w:r>
          </w:p>
          <w:p w14:paraId="64B8D3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③服务工作重、难点分析及建议：对服务工作的重点、难点内容进行分析给出合理化建议；</w:t>
            </w:r>
          </w:p>
          <w:p w14:paraId="2F63792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综合上述，评委会根据响应单位针对本项目配备进行综合评定，评价优秀的得8.0-10.0分，评价良好的得5.0-8.0分，评价一般的得3.0-5.0分，差的得0-3.0分。</w:t>
            </w:r>
          </w:p>
        </w:tc>
      </w:tr>
      <w:permEnd w:id="95"/>
      <w:permEnd w:id="96"/>
      <w:tr w14:paraId="254A3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51988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7" w:edGrp="everyone" w:colFirst="1" w:colLast="1"/>
            <w:permStart w:id="98" w:edGrp="everyone" w:colFirst="2" w:colLast="2"/>
            <w:permStart w:id="99" w:edGrp="everyone" w:colFirst="3" w:colLast="3"/>
            <w:r>
              <w:rPr>
                <w:rFonts w:hint="eastAsia" w:ascii="Times New Roman" w:hAnsi="Times New Roman" w:cs="Times New Roman"/>
                <w:color w:val="auto"/>
                <w:kern w:val="0"/>
                <w:sz w:val="24"/>
                <w:szCs w:val="24"/>
                <w:highlight w:val="none"/>
                <w:lang w:val="en-US" w:eastAsia="zh-CN"/>
              </w:rPr>
              <w:t>2.2.4</w:t>
            </w:r>
          </w:p>
          <w:p w14:paraId="77F80E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投标报价评分标准</w:t>
            </w:r>
          </w:p>
          <w:p w14:paraId="4EF155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4D89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报价得分</w:t>
            </w:r>
          </w:p>
          <w:p w14:paraId="5F5D75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以所有有效投标人报价算术平均值作为基准价，公式如下：</w:t>
            </w:r>
          </w:p>
          <w:p w14:paraId="7F9FC2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投标报价等于基准价的，得满分</w:t>
            </w:r>
            <w:r>
              <w:rPr>
                <w:rFonts w:hint="eastAsia" w:ascii="宋体" w:hAnsi="宋体" w:cs="Times New Roman"/>
                <w:color w:val="auto"/>
                <w:sz w:val="24"/>
                <w:lang w:val="en-US" w:eastAsia="zh-CN"/>
              </w:rPr>
              <w:t>50</w:t>
            </w:r>
            <w:r>
              <w:rPr>
                <w:rFonts w:hint="default" w:ascii="宋体" w:hAnsi="宋体" w:cs="Times New Roman"/>
                <w:color w:val="auto"/>
                <w:sz w:val="24"/>
                <w:lang w:val="en-US" w:eastAsia="zh-CN"/>
              </w:rPr>
              <w:t>分。</w:t>
            </w:r>
          </w:p>
          <w:p w14:paraId="320A73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投标报价高于基准价的，报价得分计算公式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1</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4FC848D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default" w:ascii="宋体" w:hAnsi="宋体" w:cs="Times New Roman"/>
                <w:color w:val="auto"/>
                <w:sz w:val="24"/>
                <w:lang w:val="en-US" w:eastAsia="zh-CN"/>
              </w:rPr>
              <w:t>投标报价低于基准价的，报价得分计算公式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0.5</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24CC6E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宋体" w:hAnsi="宋体" w:cs="Times New Roman"/>
                <w:color w:val="auto"/>
                <w:sz w:val="24"/>
                <w:lang w:val="en-US" w:eastAsia="zh-CN"/>
              </w:rPr>
              <w:t>注</w:t>
            </w:r>
            <w:r>
              <w:rPr>
                <w:rFonts w:hint="eastAsia" w:ascii="宋体" w:hAnsi="宋体" w:cs="Times New Roman"/>
                <w:color w:val="auto"/>
                <w:sz w:val="24"/>
                <w:lang w:val="en-US" w:eastAsia="zh-CN"/>
              </w:rPr>
              <w:t>：投标报价得分最低扣至20分；</w:t>
            </w:r>
            <w:r>
              <w:rPr>
                <w:rFonts w:hint="default" w:ascii="宋体" w:hAnsi="宋体" w:cs="Times New Roman"/>
                <w:color w:val="auto"/>
                <w:sz w:val="24"/>
                <w:lang w:val="en-US" w:eastAsia="zh-CN"/>
              </w:rPr>
              <w:t>得分</w:t>
            </w:r>
            <w:r>
              <w:rPr>
                <w:rFonts w:hint="eastAsia" w:ascii="宋体" w:hAnsi="宋体" w:cs="Times New Roman"/>
                <w:color w:val="auto"/>
                <w:sz w:val="24"/>
                <w:lang w:val="en-US" w:eastAsia="zh-CN"/>
              </w:rPr>
              <w:t>保留</w:t>
            </w:r>
            <w:r>
              <w:rPr>
                <w:rFonts w:hint="default" w:ascii="宋体" w:hAnsi="宋体" w:cs="Times New Roman"/>
                <w:color w:val="auto"/>
                <w:sz w:val="24"/>
                <w:lang w:val="en-US" w:eastAsia="zh-CN"/>
              </w:rPr>
              <w:t>小数点后两位，第三位四舍五入。</w:t>
            </w:r>
          </w:p>
        </w:tc>
      </w:tr>
      <w:permEnd w:id="97"/>
      <w:permEnd w:id="98"/>
      <w:permEnd w:id="99"/>
    </w:tbl>
    <w:p w14:paraId="534432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color w:val="auto"/>
          <w:kern w:val="0"/>
          <w:sz w:val="28"/>
          <w:szCs w:val="28"/>
          <w:highlight w:val="none"/>
          <w:lang w:val="en-US"/>
        </w:rPr>
      </w:pPr>
      <w:r>
        <w:rPr>
          <w:rFonts w:hint="default" w:ascii="Times New Roman" w:hAnsi="Times New Roman" w:eastAsia="黑体" w:cs="Times New Roman"/>
          <w:color w:val="auto"/>
          <w:sz w:val="21"/>
          <w:szCs w:val="21"/>
          <w:u w:val="none"/>
          <w:lang w:val="en-US" w:eastAsia="zh-CN"/>
        </w:rPr>
        <w:t>说明</w:t>
      </w:r>
      <w:r>
        <w:rPr>
          <w:rFonts w:hint="default" w:ascii="Times New Roman" w:hAnsi="Times New Roman" w:cs="Times New Roman" w:eastAsiaTheme="minorEastAsia"/>
          <w:color w:val="auto"/>
          <w:sz w:val="21"/>
          <w:szCs w:val="21"/>
          <w:u w:val="none"/>
          <w:lang w:val="en-US" w:eastAsia="zh-CN"/>
        </w:rPr>
        <w:t>：评分区间一律按左闭右开</w:t>
      </w:r>
      <w:r>
        <w:rPr>
          <w:rFonts w:hint="default" w:ascii="Times New Roman" w:hAnsi="Times New Roman" w:cs="Times New Roman"/>
          <w:color w:val="auto"/>
          <w:sz w:val="21"/>
          <w:szCs w:val="21"/>
          <w:u w:val="none"/>
          <w:lang w:val="en-US" w:eastAsia="zh-CN"/>
        </w:rPr>
        <w:t>计算</w:t>
      </w:r>
      <w:r>
        <w:rPr>
          <w:rFonts w:hint="eastAsia" w:ascii="Times New Roman" w:hAnsi="Times New Roman" w:cs="Times New Roman"/>
          <w:color w:val="auto"/>
          <w:sz w:val="21"/>
          <w:szCs w:val="21"/>
          <w:u w:val="none"/>
          <w:lang w:val="en-US" w:eastAsia="zh-CN"/>
        </w:rPr>
        <w:t>，评分保留2位小数。</w:t>
      </w:r>
    </w:p>
    <w:p w14:paraId="6282734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p>
    <w:p w14:paraId="6EA4F736">
      <w:pPr>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1. 评标方法</w:t>
      </w:r>
    </w:p>
    <w:p w14:paraId="62FB2C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本次评标采用综合评估法。评标委员会</w:t>
      </w:r>
      <w:r>
        <w:rPr>
          <w:rFonts w:hint="eastAsia" w:ascii="Times New Roman" w:hAnsi="Times New Roman" w:cs="Times New Roman"/>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3C8406A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33" w:name="_Toc152045590"/>
      <w:bookmarkStart w:id="34" w:name="_Toc246996233"/>
      <w:bookmarkStart w:id="35" w:name="_Toc179632608"/>
      <w:bookmarkStart w:id="36" w:name="_Toc144974557"/>
      <w:bookmarkStart w:id="37" w:name="_Toc152042367"/>
      <w:bookmarkStart w:id="38" w:name="_Toc246996976"/>
      <w:bookmarkStart w:id="39" w:name="_Toc247085748"/>
      <w:bookmarkStart w:id="40" w:name="_Toc296602478"/>
      <w:r>
        <w:rPr>
          <w:rFonts w:hint="default" w:ascii="Times New Roman" w:hAnsi="Times New Roman" w:cs="Times New Roman" w:eastAsiaTheme="minorEastAsia"/>
          <w:b/>
          <w:bCs/>
          <w:color w:val="auto"/>
          <w:kern w:val="0"/>
          <w:sz w:val="28"/>
          <w:szCs w:val="28"/>
          <w:highlight w:val="none"/>
        </w:rPr>
        <w:t>2. 评审标准</w:t>
      </w:r>
      <w:bookmarkEnd w:id="33"/>
      <w:bookmarkEnd w:id="34"/>
      <w:bookmarkEnd w:id="35"/>
      <w:bookmarkEnd w:id="36"/>
      <w:bookmarkEnd w:id="37"/>
      <w:bookmarkEnd w:id="38"/>
      <w:bookmarkEnd w:id="39"/>
      <w:bookmarkEnd w:id="40"/>
    </w:p>
    <w:p w14:paraId="2F5075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41" w:name="_Toc246996234"/>
      <w:bookmarkStart w:id="42" w:name="_Toc246996977"/>
      <w:bookmarkStart w:id="43" w:name="_Toc144974558"/>
      <w:bookmarkStart w:id="44" w:name="_Toc179632609"/>
      <w:bookmarkStart w:id="45" w:name="_Toc152045591"/>
      <w:bookmarkStart w:id="46" w:name="_Toc296602479"/>
      <w:bookmarkStart w:id="47" w:name="_Toc247085749"/>
      <w:bookmarkStart w:id="48" w:name="_Toc152042368"/>
      <w:r>
        <w:rPr>
          <w:rFonts w:hint="default" w:ascii="Times New Roman" w:hAnsi="Times New Roman" w:cs="Times New Roman" w:eastAsiaTheme="minorEastAsia"/>
          <w:b/>
          <w:bCs/>
          <w:color w:val="auto"/>
          <w:kern w:val="0"/>
          <w:sz w:val="28"/>
          <w:szCs w:val="28"/>
          <w:highlight w:val="none"/>
        </w:rPr>
        <w:t xml:space="preserve">2.1 </w:t>
      </w:r>
      <w:r>
        <w:rPr>
          <w:rFonts w:hint="default" w:ascii="Times New Roman" w:hAnsi="Times New Roman" w:cs="Times New Roman"/>
          <w:b/>
          <w:bCs/>
          <w:color w:val="auto"/>
          <w:kern w:val="0"/>
          <w:sz w:val="28"/>
          <w:szCs w:val="28"/>
          <w:highlight w:val="none"/>
          <w:lang w:val="en-US" w:eastAsia="zh-CN"/>
        </w:rPr>
        <w:t>初步</w:t>
      </w:r>
      <w:r>
        <w:rPr>
          <w:rFonts w:hint="default" w:ascii="Times New Roman" w:hAnsi="Times New Roman" w:cs="Times New Roman" w:eastAsiaTheme="minorEastAsia"/>
          <w:b/>
          <w:bCs/>
          <w:color w:val="auto"/>
          <w:kern w:val="0"/>
          <w:sz w:val="28"/>
          <w:szCs w:val="28"/>
          <w:highlight w:val="none"/>
        </w:rPr>
        <w:t>评审标准</w:t>
      </w:r>
      <w:bookmarkEnd w:id="41"/>
      <w:bookmarkEnd w:id="42"/>
      <w:bookmarkEnd w:id="43"/>
      <w:bookmarkEnd w:id="44"/>
      <w:bookmarkEnd w:id="45"/>
      <w:bookmarkEnd w:id="46"/>
      <w:bookmarkEnd w:id="47"/>
      <w:bookmarkEnd w:id="48"/>
    </w:p>
    <w:p w14:paraId="2F04E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2.1.1 形式评审标准：见评标办法前附表。</w:t>
      </w:r>
    </w:p>
    <w:p w14:paraId="1F44B3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2.1.2 资格评审标准：见评标办法前附表。</w:t>
      </w:r>
    </w:p>
    <w:p w14:paraId="0AFB0A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2.1.3 响应性评审标准：见评标办法前附表。</w:t>
      </w:r>
    </w:p>
    <w:p w14:paraId="7F10C2D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rPr>
      </w:pPr>
      <w:bookmarkStart w:id="49" w:name="_Toc246996979"/>
      <w:bookmarkStart w:id="50" w:name="_Toc152045593"/>
      <w:bookmarkStart w:id="51" w:name="_Toc179632611"/>
      <w:bookmarkStart w:id="52" w:name="_Toc144974560"/>
      <w:bookmarkStart w:id="53" w:name="_Toc247085751"/>
      <w:bookmarkStart w:id="54" w:name="_Toc152042370"/>
      <w:bookmarkStart w:id="55" w:name="_Toc296602481"/>
      <w:bookmarkStart w:id="56" w:name="_Toc246996236"/>
      <w:r>
        <w:rPr>
          <w:rFonts w:hint="default" w:ascii="Times New Roman" w:hAnsi="Times New Roman" w:cs="Times New Roman" w:eastAsiaTheme="minorEastAsia"/>
          <w:b/>
          <w:bCs/>
          <w:color w:val="auto"/>
          <w:kern w:val="0"/>
          <w:sz w:val="28"/>
          <w:szCs w:val="28"/>
          <w:highlight w:val="none"/>
        </w:rPr>
        <w:t>2.</w:t>
      </w:r>
      <w:r>
        <w:rPr>
          <w:rFonts w:hint="default" w:ascii="Times New Roman" w:hAnsi="Times New Roman" w:cs="Times New Roman"/>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default" w:ascii="Times New Roman" w:hAnsi="Times New Roman" w:cs="Times New Roman"/>
          <w:b/>
          <w:bCs/>
          <w:color w:val="auto"/>
          <w:kern w:val="0"/>
          <w:sz w:val="28"/>
          <w:szCs w:val="28"/>
          <w:highlight w:val="none"/>
          <w:lang w:val="en-US" w:eastAsia="zh-CN"/>
        </w:rPr>
        <w:t>分值构成与评分标准</w:t>
      </w:r>
    </w:p>
    <w:p w14:paraId="3B73A9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2.2.1 分值构成</w:t>
      </w:r>
    </w:p>
    <w:p w14:paraId="7FE312A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0" w:edGrp="everyone"/>
      <w:r>
        <w:rPr>
          <w:rFonts w:hint="eastAsia" w:ascii="Times New Roman" w:hAnsi="Times New Roman" w:cs="Times New Roman"/>
          <w:color w:val="auto"/>
          <w:kern w:val="0"/>
          <w:sz w:val="24"/>
          <w:szCs w:val="24"/>
          <w:highlight w:val="none"/>
          <w:lang w:val="en-US" w:eastAsia="zh-CN"/>
        </w:rPr>
        <w:t>资信业绩</w:t>
      </w:r>
      <w:permEnd w:id="100"/>
      <w:r>
        <w:rPr>
          <w:rFonts w:hint="default" w:ascii="Times New Roman" w:hAnsi="Times New Roman" w:cs="Times New Roman" w:eastAsiaTheme="minorEastAsia"/>
          <w:color w:val="auto"/>
          <w:kern w:val="0"/>
          <w:sz w:val="24"/>
          <w:szCs w:val="24"/>
          <w:highlight w:val="none"/>
        </w:rPr>
        <w:t>：见评标办法前附表；</w:t>
      </w:r>
    </w:p>
    <w:p w14:paraId="0FBE2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1" w:edGrp="everyone"/>
      <w:r>
        <w:rPr>
          <w:rFonts w:hint="eastAsia" w:ascii="Times New Roman" w:hAnsi="Times New Roman" w:cs="Times New Roman"/>
          <w:color w:val="auto"/>
          <w:kern w:val="0"/>
          <w:sz w:val="24"/>
          <w:szCs w:val="24"/>
          <w:highlight w:val="none"/>
          <w:lang w:val="en-US" w:eastAsia="zh-CN"/>
        </w:rPr>
        <w:t>服务方案</w:t>
      </w:r>
      <w:permEnd w:id="101"/>
      <w:r>
        <w:rPr>
          <w:rFonts w:hint="default" w:ascii="Times New Roman" w:hAnsi="Times New Roman" w:cs="Times New Roman" w:eastAsiaTheme="minorEastAsia"/>
          <w:color w:val="auto"/>
          <w:kern w:val="0"/>
          <w:sz w:val="24"/>
          <w:szCs w:val="24"/>
          <w:highlight w:val="none"/>
        </w:rPr>
        <w:t>：见评标办法前附表；</w:t>
      </w:r>
    </w:p>
    <w:p w14:paraId="63C4624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2" w:edGrp="everyone"/>
      <w:r>
        <w:rPr>
          <w:rFonts w:hint="eastAsia" w:ascii="Times New Roman" w:hAnsi="Times New Roman" w:cs="Times New Roman" w:eastAsiaTheme="minorEastAsia"/>
          <w:color w:val="auto"/>
          <w:kern w:val="0"/>
          <w:sz w:val="24"/>
          <w:szCs w:val="24"/>
          <w:highlight w:val="none"/>
          <w:lang w:val="en-US" w:eastAsia="zh-CN"/>
        </w:rPr>
        <w:t>投标报价</w:t>
      </w:r>
      <w:permEnd w:id="102"/>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03CF29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14:paraId="72FF2F8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14:paraId="3640E1C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14:paraId="469AA8D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14:paraId="7F8EE8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14:paraId="7B63D05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3" w:edGrp="everyone"/>
      <w:r>
        <w:rPr>
          <w:rFonts w:hint="eastAsia" w:ascii="Times New Roman" w:hAnsi="Times New Roman" w:cs="Times New Roman"/>
          <w:color w:val="auto"/>
          <w:kern w:val="0"/>
          <w:sz w:val="24"/>
          <w:szCs w:val="24"/>
          <w:highlight w:val="none"/>
          <w:lang w:val="en-US" w:eastAsia="zh-CN"/>
        </w:rPr>
        <w:t>资信业绩</w:t>
      </w:r>
      <w:r>
        <w:rPr>
          <w:rFonts w:hint="eastAsia" w:ascii="Times New Roman" w:hAnsi="Times New Roman" w:cs="Times New Roman" w:eastAsiaTheme="minorEastAsia"/>
          <w:color w:val="auto"/>
          <w:kern w:val="0"/>
          <w:sz w:val="24"/>
          <w:szCs w:val="24"/>
          <w:highlight w:val="none"/>
          <w:lang w:val="en-US" w:eastAsia="zh-CN"/>
        </w:rPr>
        <w:t>评分标准</w:t>
      </w:r>
      <w:permEnd w:id="103"/>
      <w:r>
        <w:rPr>
          <w:rFonts w:hint="default" w:ascii="Times New Roman" w:hAnsi="Times New Roman" w:cs="Times New Roman" w:eastAsiaTheme="minorEastAsia"/>
          <w:color w:val="auto"/>
          <w:kern w:val="0"/>
          <w:sz w:val="24"/>
          <w:szCs w:val="24"/>
          <w:highlight w:val="none"/>
        </w:rPr>
        <w:t>：见评标办法前附表；</w:t>
      </w:r>
    </w:p>
    <w:p w14:paraId="76FA749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4" w:edGrp="everyone"/>
      <w:r>
        <w:rPr>
          <w:rFonts w:hint="eastAsia" w:ascii="Times New Roman" w:hAnsi="Times New Roman" w:cs="Times New Roman"/>
          <w:color w:val="auto"/>
          <w:kern w:val="0"/>
          <w:sz w:val="24"/>
          <w:szCs w:val="24"/>
          <w:highlight w:val="none"/>
          <w:lang w:val="en-US" w:eastAsia="zh-CN"/>
        </w:rPr>
        <w:t>服务方案</w:t>
      </w:r>
      <w:r>
        <w:rPr>
          <w:rFonts w:hint="eastAsia" w:ascii="Times New Roman" w:hAnsi="Times New Roman" w:cs="Times New Roman" w:eastAsiaTheme="minorEastAsia"/>
          <w:color w:val="auto"/>
          <w:kern w:val="0"/>
          <w:sz w:val="24"/>
          <w:szCs w:val="24"/>
          <w:highlight w:val="none"/>
          <w:lang w:val="en-US" w:eastAsia="zh-CN"/>
        </w:rPr>
        <w:t>评分标准</w:t>
      </w:r>
      <w:permEnd w:id="104"/>
      <w:r>
        <w:rPr>
          <w:rFonts w:hint="default" w:ascii="Times New Roman" w:hAnsi="Times New Roman" w:cs="Times New Roman" w:eastAsiaTheme="minorEastAsia"/>
          <w:color w:val="auto"/>
          <w:kern w:val="0"/>
          <w:sz w:val="24"/>
          <w:szCs w:val="24"/>
          <w:highlight w:val="none"/>
        </w:rPr>
        <w:t>：见评标办法前附表；</w:t>
      </w:r>
    </w:p>
    <w:p w14:paraId="0CBAAE9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5" w:edGrp="everyone"/>
      <w:r>
        <w:rPr>
          <w:rFonts w:hint="eastAsia" w:ascii="Times New Roman" w:hAnsi="Times New Roman" w:cs="Times New Roman" w:eastAsiaTheme="minorEastAsia"/>
          <w:color w:val="auto"/>
          <w:kern w:val="0"/>
          <w:sz w:val="24"/>
          <w:szCs w:val="24"/>
          <w:highlight w:val="none"/>
          <w:lang w:val="en-US" w:eastAsia="zh-CN"/>
        </w:rPr>
        <w:t>投标报价评分标准</w:t>
      </w:r>
      <w:permEnd w:id="105"/>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6793FB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 评标程序</w:t>
      </w:r>
      <w:bookmarkEnd w:id="49"/>
      <w:bookmarkEnd w:id="50"/>
      <w:bookmarkEnd w:id="51"/>
      <w:bookmarkEnd w:id="52"/>
      <w:bookmarkEnd w:id="53"/>
      <w:bookmarkEnd w:id="54"/>
      <w:bookmarkEnd w:id="55"/>
      <w:bookmarkEnd w:id="56"/>
    </w:p>
    <w:p w14:paraId="22F470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57" w:name="_Toc247085752"/>
      <w:bookmarkStart w:id="58" w:name="_Toc152045594"/>
      <w:bookmarkStart w:id="59" w:name="_Toc144974561"/>
      <w:bookmarkStart w:id="60" w:name="_Toc246996237"/>
      <w:bookmarkStart w:id="61" w:name="_Toc179632612"/>
      <w:bookmarkStart w:id="62" w:name="_Toc152042371"/>
      <w:bookmarkStart w:id="63" w:name="_Toc246996980"/>
      <w:bookmarkStart w:id="64" w:name="_Toc296602482"/>
      <w:r>
        <w:rPr>
          <w:rFonts w:hint="default" w:ascii="Times New Roman" w:hAnsi="Times New Roman" w:cs="Times New Roman" w:eastAsiaTheme="minorEastAsia"/>
          <w:b/>
          <w:bCs/>
          <w:color w:val="auto"/>
          <w:kern w:val="0"/>
          <w:sz w:val="28"/>
          <w:szCs w:val="28"/>
          <w:highlight w:val="none"/>
        </w:rPr>
        <w:t>3.1 初步评审</w:t>
      </w:r>
      <w:bookmarkEnd w:id="57"/>
      <w:bookmarkEnd w:id="58"/>
      <w:bookmarkEnd w:id="59"/>
      <w:bookmarkEnd w:id="60"/>
      <w:bookmarkEnd w:id="61"/>
      <w:bookmarkEnd w:id="62"/>
      <w:bookmarkEnd w:id="63"/>
      <w:bookmarkEnd w:id="64"/>
    </w:p>
    <w:p w14:paraId="1DC65A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3.1.1评标委员会可以要求投标人提交第二章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第3.5.1项至第3.5.4项规定的</w:t>
      </w:r>
      <w:r>
        <w:rPr>
          <w:rFonts w:hint="default" w:ascii="Times New Roman" w:hAnsi="Times New Roman" w:cs="Times New Roman" w:eastAsiaTheme="minorEastAsia"/>
          <w:color w:val="auto"/>
          <w:kern w:val="0"/>
          <w:sz w:val="24"/>
          <w:szCs w:val="24"/>
          <w:highlight w:val="none"/>
        </w:rPr>
        <w:t>有关证明和证件的原件，以便核验。评标委员会依据本章</w:t>
      </w:r>
      <w:r>
        <w:rPr>
          <w:rFonts w:hint="eastAsia" w:ascii="Times New Roman" w:hAnsi="Times New Roman" w:cs="Times New Roman"/>
          <w:color w:val="auto"/>
          <w:kern w:val="0"/>
          <w:sz w:val="24"/>
          <w:szCs w:val="24"/>
          <w:highlight w:val="none"/>
          <w:lang w:val="en-US" w:eastAsia="zh-CN"/>
        </w:rPr>
        <w:t>第2.1款</w:t>
      </w:r>
      <w:r>
        <w:rPr>
          <w:rFonts w:hint="default" w:ascii="Times New Roman" w:hAnsi="Times New Roman" w:cs="Times New Roman" w:eastAsiaTheme="minorEastAsia"/>
          <w:color w:val="auto"/>
          <w:kern w:val="0"/>
          <w:sz w:val="24"/>
          <w:szCs w:val="24"/>
          <w:highlight w:val="none"/>
        </w:rPr>
        <w:t>规定的标准对投标文件进行初步评审。有一项不符合评审标准的，评标委员会应当否决其投标。</w:t>
      </w:r>
    </w:p>
    <w:p w14:paraId="405D7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3.1.2 投标人有以下情形之一的，评标委员会应当否决其投标：</w:t>
      </w:r>
    </w:p>
    <w:p w14:paraId="78989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第二章“投标人须知”第1.4.2项、第1.4.3项规定的任何一种情形的；</w:t>
      </w:r>
    </w:p>
    <w:p w14:paraId="0249B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（2）串通投标或弄虚作假或有其他违法行为的；</w:t>
      </w:r>
    </w:p>
    <w:p w14:paraId="754EE7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）不按评标委员会要求澄清、说明或补正的。</w:t>
      </w:r>
    </w:p>
    <w:p w14:paraId="1282F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3.1.3投标报价有算术错误的，评标委员会按以下原则</w:t>
      </w:r>
      <w:r>
        <w:rPr>
          <w:rFonts w:hint="eastAsia" w:ascii="Times New Roman" w:hAnsi="Times New Roman" w:cs="Times New Roman"/>
          <w:color w:val="auto"/>
          <w:kern w:val="0"/>
          <w:sz w:val="24"/>
          <w:szCs w:val="24"/>
          <w:highlight w:val="none"/>
          <w:lang w:val="en-US" w:eastAsia="zh-CN"/>
        </w:rPr>
        <w:t>对投标报价进行修正，修正的价格经投标人书面确认后具有约束力。投标人不接受修正价格的，评标委员会应当否决其投标。</w:t>
      </w:r>
    </w:p>
    <w:p w14:paraId="6FE587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（1）投标文件中的大写金额与小写金额不一致的，以大写金额为准；</w:t>
      </w:r>
    </w:p>
    <w:p w14:paraId="5E65C5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32F0D1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65" w:name="_Toc144974562"/>
      <w:bookmarkStart w:id="66" w:name="_Toc246996238"/>
      <w:bookmarkStart w:id="67" w:name="_Toc246996981"/>
      <w:bookmarkStart w:id="68" w:name="_Toc247085753"/>
      <w:bookmarkStart w:id="69" w:name="_Toc179632613"/>
      <w:bookmarkStart w:id="70" w:name="_Toc152045595"/>
      <w:bookmarkStart w:id="71" w:name="_Toc152042372"/>
      <w:bookmarkStart w:id="72" w:name="_Toc296602483"/>
      <w:r>
        <w:rPr>
          <w:rFonts w:hint="default" w:ascii="Times New Roman" w:hAnsi="Times New Roman" w:cs="Times New Roman" w:eastAsiaTheme="minorEastAsia"/>
          <w:b/>
          <w:bCs/>
          <w:color w:val="auto"/>
          <w:kern w:val="0"/>
          <w:sz w:val="28"/>
          <w:szCs w:val="28"/>
          <w:highlight w:val="none"/>
        </w:rPr>
        <w:t>3.2 详细评审</w:t>
      </w:r>
      <w:bookmarkEnd w:id="65"/>
      <w:bookmarkEnd w:id="66"/>
      <w:bookmarkEnd w:id="67"/>
      <w:bookmarkEnd w:id="68"/>
      <w:bookmarkEnd w:id="69"/>
      <w:bookmarkEnd w:id="70"/>
      <w:bookmarkEnd w:id="71"/>
      <w:bookmarkEnd w:id="72"/>
    </w:p>
    <w:p w14:paraId="0411286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73" w:name="_Toc144974563"/>
      <w:bookmarkStart w:id="74" w:name="_Toc247085754"/>
      <w:bookmarkStart w:id="75" w:name="_Toc246996982"/>
      <w:bookmarkStart w:id="76" w:name="_Toc152045596"/>
      <w:bookmarkStart w:id="77" w:name="_Toc152042373"/>
      <w:bookmarkStart w:id="78" w:name="_Toc296602484"/>
      <w:bookmarkStart w:id="79" w:name="_Toc179632614"/>
      <w:bookmarkStart w:id="80" w:name="_Toc246996239"/>
      <w:r>
        <w:rPr>
          <w:rFonts w:hint="default" w:ascii="Times New Roman" w:hAnsi="Times New Roman" w:cs="Times New Roman" w:eastAsiaTheme="minorEastAsia"/>
          <w:color w:val="auto"/>
          <w:kern w:val="0"/>
          <w:sz w:val="24"/>
          <w:szCs w:val="24"/>
          <w:highlight w:val="none"/>
        </w:rPr>
        <w:t>3.2.1 评标委员会按本章</w:t>
      </w:r>
      <w:r>
        <w:rPr>
          <w:rFonts w:hint="eastAsia" w:ascii="Times New Roman" w:hAnsi="Times New Roman" w:cs="Times New Roman"/>
          <w:color w:val="auto"/>
          <w:kern w:val="0"/>
          <w:sz w:val="24"/>
          <w:szCs w:val="24"/>
          <w:highlight w:val="none"/>
          <w:lang w:val="en-US" w:eastAsia="zh-CN"/>
        </w:rPr>
        <w:t>第2.2款规定的</w:t>
      </w:r>
      <w:r>
        <w:rPr>
          <w:rFonts w:hint="default" w:ascii="Times New Roman" w:hAnsi="Times New Roman" w:cs="Times New Roman" w:eastAsiaTheme="minorEastAsia"/>
          <w:color w:val="auto"/>
          <w:kern w:val="0"/>
          <w:sz w:val="24"/>
          <w:szCs w:val="24"/>
          <w:highlight w:val="none"/>
        </w:rPr>
        <w:t>量化因素和分值进行打分，并计算出综合评估得分。</w:t>
      </w:r>
    </w:p>
    <w:p w14:paraId="43BC38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w:t>
      </w:r>
      <w:permStart w:id="106" w:edGrp="everyone"/>
      <w:r>
        <w:rPr>
          <w:rFonts w:hint="eastAsia" w:ascii="Times New Roman" w:hAnsi="Times New Roman" w:cs="Times New Roman"/>
          <w:color w:val="auto"/>
          <w:kern w:val="0"/>
          <w:sz w:val="24"/>
          <w:szCs w:val="24"/>
          <w:highlight w:val="none"/>
          <w:lang w:val="en-US" w:eastAsia="zh-CN"/>
        </w:rPr>
        <w:t>资信业绩</w:t>
      </w:r>
      <w:permEnd w:id="106"/>
      <w:r>
        <w:rPr>
          <w:rFonts w:hint="eastAsia" w:ascii="Times New Roman" w:hAnsi="Times New Roman" w:cs="Times New Roman"/>
          <w:color w:val="auto"/>
          <w:kern w:val="0"/>
          <w:sz w:val="24"/>
          <w:szCs w:val="24"/>
          <w:highlight w:val="none"/>
          <w:lang w:val="en-US" w:eastAsia="zh-CN"/>
        </w:rPr>
        <w:t>计算出得分A；</w:t>
      </w:r>
    </w:p>
    <w:p w14:paraId="71269E9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w:t>
      </w:r>
      <w:permStart w:id="107" w:edGrp="everyone"/>
      <w:r>
        <w:rPr>
          <w:rFonts w:hint="eastAsia" w:ascii="Times New Roman" w:hAnsi="Times New Roman" w:cs="Times New Roman"/>
          <w:color w:val="auto"/>
          <w:kern w:val="0"/>
          <w:sz w:val="24"/>
          <w:szCs w:val="24"/>
          <w:highlight w:val="none"/>
          <w:lang w:val="en-US" w:eastAsia="zh-CN"/>
        </w:rPr>
        <w:t>服务方案</w:t>
      </w:r>
      <w:permEnd w:id="107"/>
      <w:r>
        <w:rPr>
          <w:rFonts w:hint="eastAsia" w:ascii="Times New Roman" w:hAnsi="Times New Roman" w:cs="Times New Roman"/>
          <w:color w:val="auto"/>
          <w:kern w:val="0"/>
          <w:sz w:val="24"/>
          <w:szCs w:val="24"/>
          <w:highlight w:val="none"/>
          <w:lang w:val="en-US" w:eastAsia="zh-CN"/>
        </w:rPr>
        <w:t>计算出得分B；</w:t>
      </w:r>
    </w:p>
    <w:p w14:paraId="3931FED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w:t>
      </w:r>
      <w:permStart w:id="108" w:edGrp="everyone"/>
      <w:r>
        <w:rPr>
          <w:rFonts w:hint="eastAsia" w:ascii="Times New Roman" w:hAnsi="Times New Roman" w:cs="Times New Roman"/>
          <w:color w:val="auto"/>
          <w:kern w:val="0"/>
          <w:sz w:val="24"/>
          <w:szCs w:val="24"/>
          <w:highlight w:val="none"/>
          <w:lang w:val="en-US" w:eastAsia="zh-CN"/>
        </w:rPr>
        <w:t>投标报价</w:t>
      </w:r>
      <w:permEnd w:id="108"/>
      <w:r>
        <w:rPr>
          <w:rFonts w:hint="eastAsia" w:ascii="Times New Roman" w:hAnsi="Times New Roman" w:cs="Times New Roman"/>
          <w:color w:val="auto"/>
          <w:kern w:val="0"/>
          <w:sz w:val="24"/>
          <w:szCs w:val="24"/>
          <w:highlight w:val="none"/>
          <w:lang w:val="en-US" w:eastAsia="zh-CN"/>
        </w:rPr>
        <w:t>计算出得分C。</w:t>
      </w:r>
    </w:p>
    <w:p w14:paraId="2904D3A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3.2.2 评分分值计算保留小数点后两位，小数点后第三位</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四舍五入</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w:t>
      </w:r>
    </w:p>
    <w:p w14:paraId="2953CAE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color w:val="auto"/>
          <w:kern w:val="0"/>
          <w:sz w:val="24"/>
          <w:szCs w:val="24"/>
          <w:highlight w:val="none"/>
          <w:lang w:val="en-US" w:eastAsia="zh-CN"/>
        </w:rPr>
        <w:t>3.2.3 投标人得分=A+B+</w:t>
      </w:r>
      <w:r>
        <w:rPr>
          <w:rFonts w:hint="eastAsia" w:ascii="Times New Roman" w:hAnsi="Times New Roman" w:cs="Times New Roman"/>
          <w:color w:val="auto"/>
          <w:kern w:val="0"/>
          <w:sz w:val="24"/>
          <w:szCs w:val="24"/>
          <w:highlight w:val="none"/>
          <w:lang w:val="en-US" w:eastAsia="zh-CN"/>
        </w:rPr>
        <w:t>C</w:t>
      </w:r>
      <w:r>
        <w:rPr>
          <w:rFonts w:hint="default" w:ascii="Times New Roman" w:hAnsi="Times New Roman" w:cs="Times New Roman"/>
          <w:color w:val="auto"/>
          <w:kern w:val="0"/>
          <w:sz w:val="24"/>
          <w:szCs w:val="24"/>
          <w:highlight w:val="none"/>
          <w:lang w:val="en-US" w:eastAsia="zh-CN"/>
        </w:rPr>
        <w:t>。</w:t>
      </w:r>
    </w:p>
    <w:p w14:paraId="17C5433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3.2.4 评标委员会发现投标人的报价明显低于其他投标报价，</w:t>
      </w:r>
      <w:r>
        <w:rPr>
          <w:rFonts w:hint="eastAsia" w:ascii="Times New Roman" w:hAnsi="Times New Roman" w:cs="Times New Roman"/>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color w:val="auto"/>
          <w:kern w:val="0"/>
          <w:sz w:val="24"/>
          <w:szCs w:val="24"/>
          <w:highlight w:val="none"/>
        </w:rPr>
        <w:t>不能合理说明或者不能提供相应证明材料的，评标委员会应当认定该投标人以低于成本报价竞标，否决其投标。</w:t>
      </w:r>
    </w:p>
    <w:p w14:paraId="7ABD03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3.3 投标文件的澄清</w:t>
      </w:r>
      <w:bookmarkEnd w:id="73"/>
      <w:r>
        <w:rPr>
          <w:rFonts w:hint="default" w:ascii="Times New Roman" w:hAnsi="Times New Roman" w:cs="Times New Roman" w:eastAsiaTheme="minorEastAsia"/>
          <w:b/>
          <w:bCs/>
          <w:color w:val="auto"/>
          <w:kern w:val="0"/>
          <w:sz w:val="28"/>
          <w:szCs w:val="28"/>
          <w:highlight w:val="none"/>
        </w:rPr>
        <w:t>和补正</w:t>
      </w:r>
      <w:bookmarkEnd w:id="74"/>
      <w:bookmarkEnd w:id="75"/>
      <w:bookmarkEnd w:id="76"/>
      <w:bookmarkEnd w:id="77"/>
      <w:bookmarkEnd w:id="78"/>
      <w:bookmarkEnd w:id="79"/>
      <w:bookmarkEnd w:id="80"/>
    </w:p>
    <w:p w14:paraId="1F6E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3.3.1 在评标过程中，评标委员会可以书面形式要求投标人对</w:t>
      </w:r>
      <w:r>
        <w:rPr>
          <w:rFonts w:hint="eastAsia" w:ascii="Times New Roman" w:hAnsi="Times New Roman" w:cs="Times New Roman"/>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3584F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改变投标文件的实质性内容。投标人的书面澄清、说明和补正属于投标文件的组成部分。</w:t>
      </w:r>
    </w:p>
    <w:p w14:paraId="090EE8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3.3.3 评标委员会对投标人提交的澄清、说明或补正有疑问的，可以要求投标人进一步澄清、说明或补正，直至满足评标委员会的要求。</w:t>
      </w:r>
    </w:p>
    <w:p w14:paraId="11AD50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3.4 特殊情况处理</w:t>
      </w:r>
    </w:p>
    <w:p w14:paraId="2FF318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37366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所有有效投标报价低于招标控制价，且竞标人报价没有明显高于市场价或采购人预期。</w:t>
      </w:r>
    </w:p>
    <w:p w14:paraId="64347AC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w:t>
      </w:r>
      <w:r>
        <w:rPr>
          <w:rFonts w:hint="eastAsia" w:ascii="Times New Roman" w:hAnsi="Times New Roman" w:cs="Times New Roman"/>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rPr>
        <w:t xml:space="preserve"> 评标结果</w:t>
      </w:r>
    </w:p>
    <w:p w14:paraId="2D7EC9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前附表授权直接确定中标人外，评标委员会按照</w:t>
      </w:r>
      <w:r>
        <w:rPr>
          <w:rFonts w:hint="eastAsia" w:ascii="Times New Roman" w:hAnsi="Times New Roman" w:cs="Times New Roman"/>
          <w:color w:val="auto"/>
          <w:kern w:val="0"/>
          <w:sz w:val="24"/>
          <w:szCs w:val="24"/>
          <w:highlight w:val="none"/>
          <w:lang w:val="en-US" w:eastAsia="zh-CN"/>
        </w:rPr>
        <w:t>本招标文件的规定推荐中标候选人。</w:t>
      </w:r>
    </w:p>
    <w:p w14:paraId="645A85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3.5.2 评标委员会完成评标后，应当向招标人提交书面评标报告。</w:t>
      </w:r>
    </w:p>
    <w:p w14:paraId="0750AF81">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br w:type="page"/>
      </w:r>
    </w:p>
    <w:p w14:paraId="60B9A5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40F2E3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6F876E02">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outlineLvl w:val="9"/>
        <w:rPr>
          <w:rFonts w:hint="eastAsia" w:asciiTheme="majorEastAsia" w:hAnsiTheme="majorEastAsia" w:eastAsiaTheme="majorEastAsia" w:cstheme="majorEastAsia"/>
          <w:b w:val="0"/>
          <w:bCs w:val="0"/>
          <w:color w:val="auto"/>
          <w:sz w:val="32"/>
          <w:szCs w:val="32"/>
          <w:highlight w:val="none"/>
          <w:lang w:val="en-US" w:eastAsia="zh-CN"/>
        </w:rPr>
      </w:pPr>
      <w:r>
        <w:rPr>
          <w:rFonts w:hint="eastAsia" w:asciiTheme="majorEastAsia" w:hAnsiTheme="majorEastAsia" w:eastAsiaTheme="majorEastAsia" w:cstheme="majorEastAsia"/>
          <w:b w:val="0"/>
          <w:bCs w:val="0"/>
          <w:color w:val="auto"/>
          <w:sz w:val="32"/>
          <w:szCs w:val="32"/>
          <w:highlight w:val="none"/>
          <w:lang w:val="en-US" w:eastAsia="zh-CN"/>
        </w:rPr>
        <w:t xml:space="preserve">工程编号：   </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eastAsia" w:asciiTheme="majorEastAsia" w:hAnsiTheme="majorEastAsia" w:eastAsiaTheme="majorEastAsia" w:cstheme="majorEastAsia"/>
          <w:b w:val="0"/>
          <w:bCs w:val="0"/>
          <w:color w:val="auto"/>
          <w:sz w:val="32"/>
          <w:szCs w:val="32"/>
          <w:highlight w:val="none"/>
          <w:lang w:val="en-US" w:eastAsia="zh-CN"/>
        </w:rPr>
        <w:t>合同编号：</w:t>
      </w:r>
    </w:p>
    <w:p w14:paraId="581531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AC835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D35BC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B0283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1A895D5">
      <w:pPr>
        <w:keepNext w:val="0"/>
        <w:keepLines w:val="0"/>
        <w:pageBreakBefore w:val="0"/>
        <w:widowControl w:val="0"/>
        <w:kinsoku/>
        <w:wordWrap w:val="0"/>
        <w:overflowPunct/>
        <w:topLinePunct w:val="0"/>
        <w:autoSpaceDE/>
        <w:autoSpaceDN/>
        <w:bidi w:val="0"/>
        <w:adjustRightInd/>
        <w:snapToGrid/>
        <w:spacing w:line="440" w:lineRule="exact"/>
        <w:ind w:firstLine="1353"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Calibri" w:hAnsi="Calibri" w:eastAsia="华文中宋" w:cs="Times New Roman"/>
          <w:b/>
          <w:bCs/>
          <w:color w:val="auto"/>
          <w:spacing w:val="98"/>
          <w:sz w:val="48"/>
          <w:szCs w:val="48"/>
          <w:lang w:val="en-US" w:eastAsia="zh-CN"/>
        </w:rPr>
        <w:t>建设工程检测合同</w:t>
      </w:r>
    </w:p>
    <w:p w14:paraId="3F77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8EFF9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EED84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20B7A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05CE5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579A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C3EFB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A9EBFB7">
      <w:pPr>
        <w:spacing w:line="500" w:lineRule="exact"/>
        <w:ind w:firstLine="562" w:firstLineChars="200"/>
        <w:jc w:val="center"/>
        <w:rPr>
          <w:rFonts w:hint="eastAsia" w:ascii="宋体" w:hAnsi="宋体" w:eastAsia="宋体" w:cs="宋体"/>
          <w:b/>
          <w:bCs/>
          <w:color w:val="auto"/>
          <w:sz w:val="28"/>
          <w:szCs w:val="28"/>
          <w:u w:val="none"/>
          <w:lang w:val="en-US" w:eastAsia="zh-CN"/>
        </w:rPr>
      </w:pPr>
      <w:r>
        <w:rPr>
          <w:rFonts w:hint="eastAsia" w:ascii="宋体" w:hAnsi="宋体" w:eastAsia="宋体" w:cs="宋体"/>
          <w:b/>
          <w:bCs/>
          <w:color w:val="auto"/>
          <w:sz w:val="28"/>
          <w:szCs w:val="28"/>
          <w:u w:val="none"/>
          <w:lang w:val="en-US" w:eastAsia="zh-CN"/>
        </w:rPr>
        <w:t>工 程 概 况</w:t>
      </w:r>
    </w:p>
    <w:p w14:paraId="0E9AEEE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工程性质：   </w:t>
      </w:r>
      <w:r>
        <w:rPr>
          <w:rFonts w:hint="eastAsia" w:ascii="宋体" w:hAnsi="宋体" w:eastAsia="宋体" w:cs="宋体"/>
          <w:color w:val="auto"/>
          <w:sz w:val="28"/>
          <w:szCs w:val="28"/>
          <w:u w:val="single"/>
          <w:lang w:val="en-US" w:eastAsia="zh-CN"/>
        </w:rPr>
        <w:sym w:font="Wingdings" w:char="F0FE"/>
      </w:r>
      <w:r>
        <w:rPr>
          <w:rFonts w:hint="eastAsia" w:ascii="宋体" w:hAnsi="宋体" w:eastAsia="宋体" w:cs="宋体"/>
          <w:color w:val="auto"/>
          <w:sz w:val="28"/>
          <w:szCs w:val="28"/>
          <w:u w:val="single"/>
          <w:lang w:val="en-US" w:eastAsia="zh-CN"/>
        </w:rPr>
        <w:t xml:space="preserve"> 房建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市政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其他</w:t>
      </w:r>
    </w:p>
    <w:p w14:paraId="42F850C4">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建设单位：亳州通恒置业有限公司 </w:t>
      </w:r>
    </w:p>
    <w:p w14:paraId="59C28712">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施工单位：安徽通康建设工程有限公司 </w:t>
      </w:r>
    </w:p>
    <w:p w14:paraId="766007E5">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监理单位：安徽南巽建设项目管理投资工程有限公司 </w:t>
      </w:r>
    </w:p>
    <w:p w14:paraId="7086A1D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设计单位：中建工程设计有限公司   </w:t>
      </w:r>
    </w:p>
    <w:p w14:paraId="5358D5A0">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建筑面积：180222.64㎡，工程造价：3.93亿元 </w:t>
      </w:r>
    </w:p>
    <w:p w14:paraId="18886EA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结构类型：框架剪力墙结构  </w:t>
      </w:r>
    </w:p>
    <w:p w14:paraId="5DEB1E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EAA33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6E1D8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38387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8C6E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44213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711FE5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14E103">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第一条  检测范围</w:t>
      </w:r>
    </w:p>
    <w:p w14:paraId="13BB28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674FD67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第二条  双方主要义务</w:t>
      </w:r>
    </w:p>
    <w:p w14:paraId="03A6A1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1.甲方的主要义务：</w:t>
      </w:r>
    </w:p>
    <w:p w14:paraId="2F076A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（1）按照本合同约定支付费用；</w:t>
      </w:r>
    </w:p>
    <w:p w14:paraId="0F7BB6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（2）指定送样、见证人员，保证样品取样符合有关标准的规定，对样品的真实性、代表性负责，并认真详细填写委托单；</w:t>
      </w:r>
    </w:p>
    <w:p w14:paraId="2BF20F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提供施工图纸等与现场检测有关的工程技术资料；</w:t>
      </w:r>
    </w:p>
    <w:p w14:paraId="3CD96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（4）现场检测项目，应提前三个工作日通知乙方。涉及结构工程质量的检测，应通知见证人员到现场见证。</w:t>
      </w:r>
    </w:p>
    <w:p w14:paraId="1FD5B0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（5）为乙方提供必要的检测工作条件，如水电供应、工作照明、操作平台或脚手架等，并在现场检测时提供必要的协助。</w:t>
      </w:r>
    </w:p>
    <w:p w14:paraId="5B95A0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（6）不得以任何方式要求乙方修改检测数据出具虚假检测报告；</w:t>
      </w:r>
    </w:p>
    <w:p w14:paraId="30BEB4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（7）因甲方责任造成检测工作的重复，甲方须另行支付检测费；</w:t>
      </w:r>
    </w:p>
    <w:p w14:paraId="31E5E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（8）当本合同中所列工程信息以及委托的检测项目等发生变化时，甲方应及时办理变更手续。</w:t>
      </w:r>
    </w:p>
    <w:p w14:paraId="023C94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2.乙方的主要义务：</w:t>
      </w:r>
    </w:p>
    <w:p w14:paraId="610D77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（1）依照甲方及招标文件第五章发包人要求，按照有关检测标准对甲方提供的样品（或指定部件）进行检验，并按约定时限提交真实、准确的检测报告；</w:t>
      </w:r>
    </w:p>
    <w:p w14:paraId="76750A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（2）严格按照国家规范、标准进行检测，确保数据工作、准确；必要时，配合甲方制定检测方案，或向甲方提供必要的检测咨询服务；</w:t>
      </w:r>
    </w:p>
    <w:p w14:paraId="074179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（3）对甲方工程的试验检测数据进行必要的保密；</w:t>
      </w:r>
    </w:p>
    <w:p w14:paraId="0EF0F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（4）到现场检测作业人员必须遵守施工现场的安全管理及文明施工有关规定，遵守检测行业工作标准，保证检测人员的正常操作和设备仪器的安全。</w:t>
      </w:r>
    </w:p>
    <w:p w14:paraId="24FB02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（5）如在检测中发现不合格的检查结果，要第一时间通知甲方，以使甲方能及时采取措施。</w:t>
      </w:r>
    </w:p>
    <w:p w14:paraId="69947B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第三条  合同价款及支付方式</w:t>
      </w:r>
    </w:p>
    <w:p w14:paraId="7A592E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1.本工程实行检测费包干，建筑面积180222.64㎡，注：甲方付款前，乙方应按照国家税收有关规定开具等额增值税专用发票（6%），否则甲方有权暂停付款。</w:t>
      </w:r>
    </w:p>
    <w:p w14:paraId="220F51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 根据此项目产值支付合同价款，项目完成产值5000万，15个工作日内支付至合同总金额的15%；项目完成产值1亿，15个工作日内支付至合同总金额的30%；项目完成产值1.5亿，15个工作日内支付至合同总金额的45%；项目完成产值2亿，15个工作日内支付至合同总金额的60%；项目完成产值2.5亿，15个工作日内支付至合同总金额的75%；竣工验收合格后15个工作日内支付至实际合同总金额100%。</w:t>
      </w:r>
    </w:p>
    <w:p w14:paraId="696C2B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3、无违约行为发生或违约行为已处理的情况下，服务期满后退还全部履约保证金（本金无息） 。</w:t>
      </w:r>
    </w:p>
    <w:p w14:paraId="6E19C013">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宋体" w:hAnsi="宋体" w:eastAsia="宋体" w:cs="宋体"/>
          <w:b/>
          <w:color w:val="auto"/>
          <w:sz w:val="28"/>
          <w:szCs w:val="28"/>
          <w:lang w:val="en-US" w:eastAsia="zh-CN"/>
        </w:rPr>
        <w:t>第四条  检测报告的交付</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5372EA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1.本工程的检测工作自工程送检之日始，对委托人委托的试样、试件在标准、规范规定的实验时间内完成检测，并在 3 个工作日内出具检测报告。</w:t>
      </w:r>
    </w:p>
    <w:p w14:paraId="1B728F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2.检测工作如遇特殊情况（设计变更、工作量变化、不可抗力影响以及非乙方原因造成的停、窝工等）时，检测报告的发放日期可顺延。</w:t>
      </w:r>
    </w:p>
    <w:p w14:paraId="6E8A0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3.乙方应及时向甲方出具检测报告，并对检测数据的真实性负责。</w:t>
      </w:r>
    </w:p>
    <w:p w14:paraId="496537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第五条  违约责任</w:t>
      </w:r>
    </w:p>
    <w:p w14:paraId="4DCC55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1.由于乙方原因造成的检测报告数据失真、失实，不能满足技术要求的返工检测费用由乙方承担。</w:t>
      </w:r>
    </w:p>
    <w:p w14:paraId="2A595E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合同履行期间，由于工程停建而终止合同时，甲方已委托，乙方未进行检测工作的，不退还甲方已委托的款项；最终甲乙双方以实际发生检验试验费结算，多余预付款如实退还，但乙方需对已建工程出具检测报告，否则乙方将退还甲方已支付的所有费用。</w:t>
      </w:r>
    </w:p>
    <w:p w14:paraId="741B8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3.本合同签订之后，甲方不履行合同时，无权要求返还预付款，乙方不履行合同时，无条件返还双倍预付款。</w:t>
      </w:r>
    </w:p>
    <w:p w14:paraId="1CE3D2C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第六条  争议的解决方式</w:t>
      </w:r>
    </w:p>
    <w:p w14:paraId="386C0A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本合同发生争议时，甲乙双方应及时协商解决，协商不成时，甲乙双方同意由甲方所在地有管辖权的法院诉讼解决。</w:t>
      </w:r>
    </w:p>
    <w:p w14:paraId="2A3AE105">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第七条  附则</w:t>
      </w:r>
    </w:p>
    <w:p w14:paraId="3B734E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1.本合同未尽事宜，经甲乙双方协商一致，签订补充协议，补充协议与本合同具有同等效力。</w:t>
      </w:r>
    </w:p>
    <w:p w14:paraId="130056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2.招标文件是本合同的重要组成部分，合同与招标文件不一致的，以招标文件为准。</w:t>
      </w:r>
    </w:p>
    <w:p w14:paraId="47D3DE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3.本合同自甲乙双方签字盖章之日起生效，本合同一式陆份，委托人肆份，检测机构贰份。</w:t>
      </w:r>
    </w:p>
    <w:p w14:paraId="403A64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2AB6F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74B0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甲方（委托方）：（盖章）             乙方（检测机构）：（盖章） </w:t>
      </w:r>
    </w:p>
    <w:p w14:paraId="3A8B31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2121B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DD658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9E765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法定代表人/委托人：                法定代表人/委托人</w:t>
      </w:r>
    </w:p>
    <w:p w14:paraId="7830F6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F256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DE04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AFE5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4E06C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985B9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9842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B090C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1FFDF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7367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CDF53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D9A8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857D9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77B9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42F7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C80DA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F5B425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0D5BB5B">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附件一</w:t>
      </w:r>
    </w:p>
    <w:p w14:paraId="45E0E6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委托人要求</w:t>
      </w:r>
    </w:p>
    <w:p w14:paraId="09716E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7DE78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服务范围及内容：工程建设全周期内材料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2FECD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3.乙方要求：本项目配备人员应不少于3人（不含项目负责人），均须具备检测人员证书或检测人员岗位资格证书（中标后提供）。</w:t>
      </w:r>
    </w:p>
    <w:p w14:paraId="5D633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4.发包人的其他要求：</w:t>
      </w:r>
    </w:p>
    <w:p w14:paraId="25CD38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（1）检测单位应当按照相应标准进行检测，并对检测数据和检测报告的真实性和准确性负责；</w:t>
      </w:r>
    </w:p>
    <w:p w14:paraId="703B52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（2）检测项目属于工程实体检测的，检测单位应事先编制检测方案报送发包人；</w:t>
      </w:r>
    </w:p>
    <w:p w14:paraId="3FCCB9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（3）检测项目属于工程实体检测的，检测单位应在发包人通知的日期进场开展检测活动；</w:t>
      </w:r>
    </w:p>
    <w:p w14:paraId="1A2FE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（4）检测单位现场检测时应遵守工程安全管理及其他工程现场管理制度；</w:t>
      </w:r>
    </w:p>
    <w:p w14:paraId="2A1305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（5）检测单位未按照合同约定时间提交检测报告，每逾期一日应按相关检测项目检测费用的0.01%向发包人支付违约金；</w:t>
      </w:r>
    </w:p>
    <w:p w14:paraId="06A8A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（6）如检测过程中出现不合格样品，需第一时间通知建设单位。不得与施工单位串通一气，一经发现，建设单位有权与检测单位解除检测合同。</w:t>
      </w:r>
    </w:p>
    <w:p w14:paraId="747591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（7）施工过程中，发包人有权对工程质量有怀疑的部位增加检测频率。检测数量及频率按照国家相关规范的规定计取并满足发包人要求；将不再增加任何费用。</w:t>
      </w:r>
    </w:p>
    <w:p w14:paraId="72514F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（8）检测单位应在工程开工前7个工作日内向发包人报送工程项目检测方案，审定的检测方案作为附件纳入本合同。检测单位应严格按照发包人审定的检测方案开展检测工作。</w:t>
      </w:r>
    </w:p>
    <w:p w14:paraId="06B6D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9）检测单位须定期向发包人汇报月度检测内容及下一步工作安排，每周向发包人提交周检测总结（检测不合格台账），对发现检测不合格项目应在未出报告之前第一段时间向发包人汇报，每月25日提交检测月报以及检测结果汇总。</w:t>
      </w:r>
    </w:p>
    <w:p w14:paraId="0578BF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（10）检测单位应严格按照合同进度要求提交合格的检测报告，所有检测不得影响分部分项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14:paraId="55B8B6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11）检测单位必须配合发包人做好资料备案工作，检测人员须服从发包人协调与安排，及时完成发包人临时指派的其他检测任务，按发包人要求参加工程调度会或验收等（所有检测费用包含在合同总价内）；确有特殊情况须提前向发包人请假并经发包人同意，否则，每缺席一次须向发包人支付违约金1000元。</w:t>
      </w:r>
    </w:p>
    <w:p w14:paraId="722080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（12）检测单位应为其工作人员购买人身安全保险，检测单位人员在检测工作中的安全责任由乙方自行负责，检测单位检测工作给发包人或第三方人员造成人身或财产损害的，检测单位应承担全部赔偿责任。</w:t>
      </w:r>
    </w:p>
    <w:p w14:paraId="398EF2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13）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14:paraId="22756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（14）现场所需检测仪器、设备等检测工具由检测单位自行提供，否则按违约处理。</w:t>
      </w:r>
    </w:p>
    <w:p w14:paraId="63A0DB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15）满足亳州市质量主管部门要求，并检测报告得到亳州市质量主管认可。因检测单位无法满足亳州市质量主管部门要求，或检测报告不能得到亳州市质量主管部门的认可，发包人有权解除合同，检测单位须向发包人支付30000元的违约金，若对发包人造成的损失大于30000元，发包人有权要求检测单位赔偿全部损失。</w:t>
      </w:r>
    </w:p>
    <w:p w14:paraId="200DD6D6">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p w14:paraId="739B73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第五章 </w:t>
      </w:r>
      <w:bookmarkEnd w:id="25"/>
      <w:bookmarkEnd w:id="26"/>
      <w:bookmarkEnd w:id="27"/>
      <w:bookmarkEnd w:id="28"/>
      <w:bookmarkEnd w:id="29"/>
      <w:bookmarkEnd w:id="30"/>
      <w:bookmarkEnd w:id="31"/>
      <w:bookmarkEnd w:id="32"/>
      <w:r>
        <w:rPr>
          <w:rFonts w:hint="eastAsia" w:asciiTheme="majorEastAsia" w:hAnsiTheme="majorEastAsia" w:eastAsiaTheme="majorEastAsia" w:cstheme="majorEastAsia"/>
          <w:b/>
          <w:bCs/>
          <w:color w:val="auto"/>
          <w:sz w:val="32"/>
          <w:szCs w:val="32"/>
          <w:highlight w:val="none"/>
          <w:lang w:val="en-US" w:eastAsia="zh-CN"/>
        </w:rPr>
        <w:t>发包人要求</w:t>
      </w:r>
    </w:p>
    <w:p w14:paraId="243C04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08B938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ABAA1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pPr>
      <w:r>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t>详见第一章招标公告、第四章合同条款及格式。</w:t>
      </w:r>
    </w:p>
    <w:p w14:paraId="505D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4005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07AE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A5AA9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72229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210171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546DC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07929A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C4E5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C84DE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br w:type="page"/>
      </w:r>
    </w:p>
    <w:p w14:paraId="5EE50C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章 投标文件格式</w:t>
      </w:r>
    </w:p>
    <w:p w14:paraId="7A7217E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F788B4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2E49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5BB5732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2E974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4FC73F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投</w:t>
      </w:r>
    </w:p>
    <w:p w14:paraId="1FA1D4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标</w:t>
      </w:r>
    </w:p>
    <w:p w14:paraId="5BD073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文</w:t>
      </w:r>
    </w:p>
    <w:p w14:paraId="1E0326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件</w:t>
      </w:r>
    </w:p>
    <w:p w14:paraId="0F7042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026C60F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542F4F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3450D38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66B3FC8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投标单位：</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4CC1C1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44E3A9D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1B1ED420">
      <w:pPr>
        <w:pStyle w:val="3"/>
        <w:jc w:val="center"/>
        <w:rPr>
          <w:rFonts w:hint="default" w:ascii="Times New Roman" w:hAnsi="Times New Roman" w:cs="Times New Roman"/>
          <w:color w:val="auto"/>
        </w:rPr>
      </w:pPr>
      <w:bookmarkStart w:id="81" w:name="_Toc152045787"/>
      <w:bookmarkStart w:id="82" w:name="_Toc144974856"/>
      <w:bookmarkStart w:id="83" w:name="_Toc247527827"/>
      <w:bookmarkStart w:id="84" w:name="_Toc300835209"/>
      <w:bookmarkStart w:id="85" w:name="_Toc247514246"/>
      <w:bookmarkStart w:id="86" w:name="_Toc152042576"/>
      <w:r>
        <w:rPr>
          <w:rFonts w:hint="default" w:ascii="Times New Roman" w:hAnsi="Times New Roman" w:cs="Times New Roman"/>
          <w:color w:val="auto"/>
        </w:rPr>
        <w:t>目    录</w:t>
      </w:r>
      <w:bookmarkEnd w:id="81"/>
      <w:bookmarkEnd w:id="82"/>
      <w:bookmarkEnd w:id="83"/>
      <w:bookmarkEnd w:id="84"/>
      <w:bookmarkEnd w:id="85"/>
      <w:bookmarkEnd w:id="86"/>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投标函</w:t>
            </w:r>
            <w:r>
              <w:rPr>
                <w:rFonts w:hint="eastAsia" w:ascii="Times New Roman" w:hAnsi="Times New Roman" w:cs="Times New Roman"/>
                <w:color w:val="auto"/>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二</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授权委托书</w:t>
            </w:r>
          </w:p>
        </w:tc>
        <w:tc>
          <w:tcPr>
            <w:tcW w:w="2840" w:type="dxa"/>
            <w:vAlign w:val="center"/>
          </w:tcPr>
          <w:p w14:paraId="4F3DF440">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六</w:t>
            </w:r>
          </w:p>
        </w:tc>
        <w:tc>
          <w:tcPr>
            <w:tcW w:w="4681" w:type="dxa"/>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bl>
    <w:p w14:paraId="7F4A795A">
      <w:pPr>
        <w:spacing w:line="540" w:lineRule="exact"/>
        <w:rPr>
          <w:rFonts w:hint="default" w:ascii="Times New Roman" w:hAnsi="Times New Roman" w:cs="Times New Roman"/>
          <w:color w:val="auto"/>
          <w:highlight w:val="none"/>
          <w:lang w:val="en-US" w:eastAsia="zh-CN"/>
        </w:rPr>
      </w:pPr>
    </w:p>
    <w:p w14:paraId="7D9348C2">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5F95F4E6">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00F6F0F0">
      <w:pPr>
        <w:pStyle w:val="3"/>
        <w:jc w:val="center"/>
        <w:rPr>
          <w:rFonts w:hint="default" w:ascii="Times New Roman" w:hAnsi="Times New Roman" w:eastAsia="黑体" w:cs="Times New Roman"/>
          <w:color w:val="auto"/>
          <w:sz w:val="20"/>
          <w:szCs w:val="20"/>
        </w:rPr>
      </w:pPr>
      <w:bookmarkStart w:id="87" w:name="_Toc247514247"/>
      <w:bookmarkStart w:id="88" w:name="_Toc152045788"/>
      <w:bookmarkStart w:id="89" w:name="_Toc152042577"/>
      <w:bookmarkStart w:id="90" w:name="_Toc144974857"/>
      <w:bookmarkStart w:id="91" w:name="_Toc300835210"/>
      <w:bookmarkStart w:id="92" w:name="_Toc247527828"/>
      <w:r>
        <w:rPr>
          <w:rFonts w:hint="default" w:ascii="Times New Roman" w:hAnsi="Times New Roman" w:cs="Times New Roman"/>
          <w:color w:val="auto"/>
        </w:rPr>
        <w:t>一、投标函及投标函附录</w:t>
      </w:r>
      <w:bookmarkEnd w:id="87"/>
      <w:bookmarkEnd w:id="88"/>
      <w:bookmarkEnd w:id="89"/>
      <w:bookmarkEnd w:id="90"/>
      <w:bookmarkEnd w:id="91"/>
      <w:bookmarkEnd w:id="92"/>
    </w:p>
    <w:p w14:paraId="50AD0A2D">
      <w:pPr>
        <w:spacing w:line="440" w:lineRule="exact"/>
        <w:rPr>
          <w:rFonts w:hint="default" w:ascii="Times New Roman" w:hAnsi="Times New Roman" w:cs="Times New Roman" w:eastAsiaTheme="minorEastAsia"/>
          <w:color w:val="auto"/>
          <w:sz w:val="20"/>
          <w:szCs w:val="20"/>
          <w:lang w:val="en-US" w:eastAsia="zh-CN"/>
        </w:rPr>
      </w:pPr>
      <w:bookmarkStart w:id="93" w:name="_Toc300835212"/>
      <w:bookmarkStart w:id="94" w:name="_Toc152045790"/>
      <w:bookmarkStart w:id="95" w:name="_Toc247514249"/>
      <w:bookmarkStart w:id="96" w:name="_Toc152042579"/>
      <w:bookmarkStart w:id="97" w:name="_Toc144974859"/>
      <w:bookmarkStart w:id="98" w:name="_Toc247527830"/>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一</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w:t>
      </w:r>
    </w:p>
    <w:p w14:paraId="31B15B11">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（招标人名称）：</w:t>
      </w:r>
    </w:p>
    <w:p w14:paraId="7D695B2F">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（项目名称）</w:t>
      </w:r>
      <w:r>
        <w:rPr>
          <w:rFonts w:hint="eastAsia" w:ascii="Times New Roman" w:hAnsi="Times New Roman" w:cs="Times New Roman"/>
          <w:color w:val="auto"/>
          <w:szCs w:val="21"/>
          <w:lang w:val="en-US" w:eastAsia="zh-CN"/>
        </w:rPr>
        <w:t>招标项目招标文件的全部内容，愿意以</w:t>
      </w:r>
      <w:permStart w:id="109" w:edGrp="everyone"/>
      <w:r>
        <w:rPr>
          <w:rFonts w:hint="eastAsia" w:ascii="Times New Roman" w:hAnsi="Times New Roman" w:cs="Times New Roman"/>
          <w:color w:val="auto"/>
          <w:szCs w:val="21"/>
          <w:lang w:val="en-US" w:eastAsia="zh-CN"/>
        </w:rPr>
        <w:t>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的投标总报价（其中，增值税税率为</w:t>
      </w:r>
      <w:r>
        <w:rPr>
          <w:rFonts w:hint="eastAsia" w:ascii="Times New Roman" w:hAnsi="Times New Roman" w:cs="Times New Roman"/>
          <w:color w:val="auto"/>
          <w:szCs w:val="21"/>
          <w:u w:val="single"/>
          <w:lang w:val="en-US" w:eastAsia="zh-CN"/>
        </w:rPr>
        <w:t>6%</w:t>
      </w:r>
      <w:r>
        <w:rPr>
          <w:rFonts w:hint="eastAsia" w:ascii="Times New Roman" w:hAnsi="Times New Roman" w:cs="Times New Roman"/>
          <w:color w:val="auto"/>
          <w:szCs w:val="21"/>
          <w:lang w:val="en-US" w:eastAsia="zh-CN"/>
        </w:rPr>
        <w:t>）</w:t>
      </w:r>
      <w:permEnd w:id="109"/>
      <w:r>
        <w:rPr>
          <w:rFonts w:hint="eastAsia" w:ascii="Times New Roman" w:hAnsi="Times New Roman" w:cs="Times New Roman"/>
          <w:color w:val="auto"/>
          <w:szCs w:val="21"/>
          <w:lang w:val="en-US" w:eastAsia="zh-CN"/>
        </w:rPr>
        <w:t>，服务期限：</w:t>
      </w:r>
      <w:permStart w:id="110" w:edGrp="everyone"/>
      <w:r>
        <w:rPr>
          <w:rFonts w:hint="default" w:ascii="Times New Roman" w:hAnsi="Times New Roman" w:cs="Times New Roman"/>
          <w:color w:val="auto"/>
          <w:szCs w:val="21"/>
          <w:u w:val="single"/>
          <w:lang w:val="en-US" w:eastAsia="zh-CN"/>
        </w:rPr>
        <w:t>自合同签订之日起至项目竣工验收通过</w:t>
      </w:r>
      <w:permEnd w:id="110"/>
      <w:r>
        <w:rPr>
          <w:rFonts w:hint="eastAsia" w:ascii="Times New Roman" w:hAnsi="Times New Roman" w:cs="Times New Roman"/>
          <w:color w:val="auto"/>
          <w:szCs w:val="21"/>
          <w:u w:val="none"/>
          <w:lang w:val="en-US" w:eastAsia="zh-CN"/>
        </w:rPr>
        <w:t>，按合同约定完成本项全部工作。</w:t>
      </w:r>
    </w:p>
    <w:p w14:paraId="01824A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2.我方的投标文件包括下列内容：</w:t>
      </w:r>
    </w:p>
    <w:p w14:paraId="2752D92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（1）投标函及投标函附录；（2）法定代表人身份证明或授权委托书；（3）联合体协议书（如有）；（4）投标保证金（如有）；（5）服务费用清单；（6）资格审查资料；（7）服务方案；（8）其他资料；.......</w:t>
      </w:r>
    </w:p>
    <w:p w14:paraId="7655DB63">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2676272">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3.我方承诺在招标文件规定的投标有效期内不撤销投标文件。</w:t>
      </w:r>
    </w:p>
    <w:p w14:paraId="01F945CC">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4.如我方中标，我方承诺：</w:t>
      </w:r>
    </w:p>
    <w:p w14:paraId="5426C73F">
      <w:pPr>
        <w:spacing w:line="440" w:lineRule="exact"/>
        <w:ind w:firstLine="718" w:firstLineChars="342"/>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（1）在收到中标通知书后，在中标通知书规定的期限内与你方签订合同</w:t>
      </w:r>
      <w:r>
        <w:rPr>
          <w:rFonts w:hint="eastAsia" w:ascii="Times New Roman" w:hAnsi="Times New Roman" w:cs="Times New Roman"/>
          <w:color w:val="auto"/>
          <w:szCs w:val="21"/>
          <w:lang w:eastAsia="zh-CN"/>
        </w:rPr>
        <w:t>；</w:t>
      </w:r>
    </w:p>
    <w:p w14:paraId="2BCF4DE4">
      <w:pPr>
        <w:spacing w:line="440" w:lineRule="exact"/>
        <w:ind w:firstLine="718" w:firstLineChars="342"/>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在签订合同时不向你方提出附加条件；</w:t>
      </w:r>
    </w:p>
    <w:p w14:paraId="04CB5983">
      <w:pPr>
        <w:spacing w:line="440" w:lineRule="exact"/>
        <w:ind w:firstLine="718" w:firstLineChars="342"/>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（3）按照招标文件要求提交履约保证金；</w:t>
      </w:r>
    </w:p>
    <w:p w14:paraId="5286D0BA">
      <w:pPr>
        <w:spacing w:line="440" w:lineRule="exact"/>
        <w:ind w:firstLine="718" w:firstLineChars="342"/>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5BF2E3F5">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5.</w:t>
      </w:r>
      <w:r>
        <w:rPr>
          <w:rFonts w:hint="default" w:ascii="Times New Roman" w:hAnsi="Times New Roman" w:cs="Times New Roman"/>
          <w:color w:val="auto"/>
        </w:rPr>
        <w:t>我方在此声明，所递交的投标文件及有关资料内容完整、真实和准确，且不存在第二章</w:t>
      </w:r>
      <w:r>
        <w:rPr>
          <w:rFonts w:hint="eastAsia" w:ascii="Times New Roman" w:hAnsi="Times New Roman" w:cs="Times New Roman"/>
          <w:color w:val="auto"/>
          <w:lang w:eastAsia="zh-CN"/>
        </w:rPr>
        <w:t>“</w:t>
      </w:r>
      <w:r>
        <w:rPr>
          <w:rFonts w:hint="default" w:ascii="Times New Roman" w:hAnsi="Times New Roman" w:cs="Times New Roman"/>
          <w:color w:val="auto"/>
        </w:rPr>
        <w:t>投标人须知</w:t>
      </w:r>
      <w:r>
        <w:rPr>
          <w:rFonts w:hint="eastAsia" w:ascii="Times New Roman" w:hAnsi="Times New Roman" w:cs="Times New Roman"/>
          <w:color w:val="auto"/>
          <w:lang w:eastAsia="zh-CN"/>
        </w:rPr>
        <w:t>”</w:t>
      </w:r>
      <w:r>
        <w:rPr>
          <w:rFonts w:hint="default" w:ascii="Times New Roman" w:hAnsi="Times New Roman" w:cs="Times New Roman"/>
          <w:color w:val="auto"/>
        </w:rPr>
        <w:t>第1.4.</w:t>
      </w:r>
      <w:r>
        <w:rPr>
          <w:rFonts w:hint="eastAsia" w:ascii="Times New Roman" w:hAnsi="Times New Roman" w:cs="Times New Roman"/>
          <w:color w:val="auto"/>
          <w:lang w:val="en-US" w:eastAsia="zh-CN"/>
        </w:rPr>
        <w:t>3</w:t>
      </w:r>
      <w:r>
        <w:rPr>
          <w:rFonts w:hint="default" w:ascii="Times New Roman" w:hAnsi="Times New Roman" w:cs="Times New Roman"/>
          <w:color w:val="auto"/>
        </w:rPr>
        <w:t>项规定的任何一种情形。</w:t>
      </w:r>
    </w:p>
    <w:p w14:paraId="38F9B4AB">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6.</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20EBB148">
      <w:pPr>
        <w:spacing w:line="440" w:lineRule="exact"/>
        <w:rPr>
          <w:rFonts w:hint="default" w:ascii="Times New Roman" w:hAnsi="Times New Roman" w:cs="Times New Roman"/>
          <w:color w:val="auto"/>
          <w:szCs w:val="21"/>
        </w:rPr>
      </w:pPr>
    </w:p>
    <w:p w14:paraId="09CF695C">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A67C4C0">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7394644E">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9AB48AB">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网址</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E914C08">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9904D25">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传真：</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62C6B894">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08EB79C">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93"/>
    <w:bookmarkEnd w:id="94"/>
    <w:bookmarkEnd w:id="95"/>
    <w:bookmarkEnd w:id="96"/>
    <w:bookmarkEnd w:id="97"/>
    <w:bookmarkEnd w:id="98"/>
    <w:p w14:paraId="6EF6A883">
      <w:pPr>
        <w:spacing w:line="440" w:lineRule="exact"/>
        <w:rPr>
          <w:rFonts w:hint="eastAsia" w:ascii="黑体" w:hAnsi="黑体" w:eastAsia="黑体" w:cs="黑体"/>
          <w:b w:val="0"/>
          <w:bCs w:val="0"/>
          <w:color w:val="auto"/>
          <w:sz w:val="28"/>
          <w:szCs w:val="28"/>
          <w:lang w:eastAsia="zh-CN"/>
        </w:rPr>
      </w:pPr>
    </w:p>
    <w:p w14:paraId="337D25FD">
      <w:pPr>
        <w:spacing w:line="440" w:lineRule="exact"/>
        <w:rPr>
          <w:rFonts w:hint="default"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二</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投标函附录</w:t>
      </w:r>
    </w:p>
    <w:p w14:paraId="070E15C3">
      <w:pPr>
        <w:spacing w:line="440" w:lineRule="exact"/>
        <w:rPr>
          <w:rFonts w:hint="eastAsia" w:ascii="Times New Roman" w:hAnsi="Times New Roman" w:cs="Times New Roman" w:eastAsiaTheme="minorEastAsia"/>
          <w:color w:val="auto"/>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0173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1860EA1">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序号</w:t>
            </w:r>
          </w:p>
        </w:tc>
        <w:tc>
          <w:tcPr>
            <w:tcW w:w="1984" w:type="dxa"/>
            <w:vAlign w:val="center"/>
          </w:tcPr>
          <w:p w14:paraId="4ED5E750">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条款名称</w:t>
            </w:r>
          </w:p>
        </w:tc>
        <w:tc>
          <w:tcPr>
            <w:tcW w:w="1984" w:type="dxa"/>
            <w:vAlign w:val="center"/>
          </w:tcPr>
          <w:p w14:paraId="1860762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约定内容</w:t>
            </w:r>
          </w:p>
        </w:tc>
        <w:tc>
          <w:tcPr>
            <w:tcW w:w="3702" w:type="dxa"/>
            <w:vAlign w:val="center"/>
          </w:tcPr>
          <w:p w14:paraId="190CC30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备注</w:t>
            </w:r>
          </w:p>
        </w:tc>
      </w:tr>
      <w:tr w14:paraId="4CAEF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989F446">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1</w:t>
            </w:r>
          </w:p>
        </w:tc>
        <w:tc>
          <w:tcPr>
            <w:tcW w:w="1984" w:type="dxa"/>
            <w:vAlign w:val="center"/>
          </w:tcPr>
          <w:p w14:paraId="79594AB7">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项目负责人</w:t>
            </w:r>
          </w:p>
        </w:tc>
        <w:tc>
          <w:tcPr>
            <w:tcW w:w="1984" w:type="dxa"/>
            <w:vAlign w:val="center"/>
          </w:tcPr>
          <w:p w14:paraId="1E3EE043">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姓名：</w:t>
            </w:r>
          </w:p>
          <w:p w14:paraId="49FCEABA">
            <w:pPr>
              <w:spacing w:line="440" w:lineRule="exact"/>
              <w:jc w:val="both"/>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身份证号：</w:t>
            </w:r>
          </w:p>
        </w:tc>
        <w:tc>
          <w:tcPr>
            <w:tcW w:w="3702" w:type="dxa"/>
            <w:vAlign w:val="center"/>
          </w:tcPr>
          <w:p w14:paraId="731DB6F5">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5A18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14:paraId="70418D3F">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2</w:t>
            </w:r>
          </w:p>
        </w:tc>
        <w:tc>
          <w:tcPr>
            <w:tcW w:w="1984" w:type="dxa"/>
            <w:vAlign w:val="center"/>
          </w:tcPr>
          <w:p w14:paraId="7C79262E">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服务期限</w:t>
            </w:r>
          </w:p>
        </w:tc>
        <w:tc>
          <w:tcPr>
            <w:tcW w:w="1984" w:type="dxa"/>
            <w:vAlign w:val="center"/>
          </w:tcPr>
          <w:p w14:paraId="75C58768">
            <w:pPr>
              <w:spacing w:line="440" w:lineRule="exact"/>
              <w:jc w:val="both"/>
              <w:rPr>
                <w:rFonts w:hint="default" w:ascii="Times New Roman" w:hAnsi="Times New Roman" w:cs="Times New Roman" w:eastAsiaTheme="minorEastAsia"/>
                <w:color w:val="auto"/>
                <w:sz w:val="20"/>
                <w:szCs w:val="20"/>
                <w:u w:val="none"/>
                <w:vertAlign w:val="baseline"/>
                <w:lang w:val="en-US" w:eastAsia="zh-CN"/>
              </w:rPr>
            </w:pPr>
            <w:r>
              <w:rPr>
                <w:rFonts w:hint="default" w:ascii="Times New Roman" w:hAnsi="Times New Roman" w:cs="Times New Roman"/>
                <w:color w:val="auto"/>
                <w:sz w:val="20"/>
                <w:szCs w:val="20"/>
                <w:vertAlign w:val="baseline"/>
                <w:lang w:val="en-US" w:eastAsia="zh-CN"/>
              </w:rPr>
              <w:t>自合同签订之日起至项目竣工验收通过</w:t>
            </w:r>
          </w:p>
        </w:tc>
        <w:tc>
          <w:tcPr>
            <w:tcW w:w="3702" w:type="dxa"/>
            <w:vAlign w:val="center"/>
          </w:tcPr>
          <w:p w14:paraId="7C1C3481">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73E0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9A5D74">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238951F3">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43C761F0">
            <w:pPr>
              <w:spacing w:line="440" w:lineRule="exact"/>
              <w:jc w:val="center"/>
              <w:rPr>
                <w:rFonts w:hint="eastAsia" w:ascii="Times New Roman" w:hAnsi="Times New Roman" w:cs="Times New Roman" w:eastAsiaTheme="minorEastAsia"/>
                <w:color w:val="auto"/>
                <w:sz w:val="20"/>
                <w:szCs w:val="20"/>
                <w:vertAlign w:val="baseline"/>
                <w:lang w:eastAsia="zh-CN"/>
              </w:rPr>
            </w:pPr>
            <w:r>
              <w:rPr>
                <w:rFonts w:hint="eastAsia" w:ascii="Times New Roman" w:hAnsi="Times New Roman" w:cs="Times New Roman"/>
                <w:color w:val="auto"/>
                <w:sz w:val="20"/>
                <w:szCs w:val="20"/>
                <w:vertAlign w:val="baseline"/>
                <w:lang w:val="en-US" w:eastAsia="zh-CN"/>
              </w:rPr>
              <w:t>......</w:t>
            </w:r>
          </w:p>
        </w:tc>
        <w:tc>
          <w:tcPr>
            <w:tcW w:w="3702" w:type="dxa"/>
            <w:vAlign w:val="center"/>
          </w:tcPr>
          <w:p w14:paraId="1DA122D7">
            <w:pPr>
              <w:spacing w:line="440" w:lineRule="exact"/>
              <w:jc w:val="center"/>
              <w:rPr>
                <w:rFonts w:hint="eastAsia" w:ascii="Times New Roman" w:hAnsi="Times New Roman" w:cs="Times New Roman" w:eastAsiaTheme="minorEastAsia"/>
                <w:color w:val="auto"/>
                <w:sz w:val="20"/>
                <w:szCs w:val="20"/>
                <w:vertAlign w:val="baseline"/>
                <w:lang w:eastAsia="zh-CN"/>
              </w:rPr>
            </w:pPr>
          </w:p>
        </w:tc>
      </w:tr>
    </w:tbl>
    <w:p w14:paraId="2F792551">
      <w:pPr>
        <w:spacing w:line="440" w:lineRule="exact"/>
        <w:rPr>
          <w:rFonts w:hint="eastAsia" w:ascii="Times New Roman" w:hAnsi="Times New Roman" w:cs="Times New Roman" w:eastAsiaTheme="minorEastAsia"/>
          <w:color w:val="auto"/>
          <w:sz w:val="20"/>
          <w:szCs w:val="20"/>
          <w:lang w:eastAsia="zh-CN"/>
        </w:rPr>
      </w:pPr>
    </w:p>
    <w:p w14:paraId="0E0381D6">
      <w:pPr>
        <w:spacing w:line="440" w:lineRule="exact"/>
        <w:rPr>
          <w:rFonts w:hint="eastAsia" w:ascii="Times New Roman" w:hAnsi="Times New Roman" w:cs="Times New Roman" w:eastAsiaTheme="minorEastAsia"/>
          <w:color w:val="auto"/>
          <w:sz w:val="20"/>
          <w:szCs w:val="20"/>
          <w:lang w:eastAsia="zh-CN"/>
        </w:rPr>
      </w:pPr>
    </w:p>
    <w:p w14:paraId="0C17D88F">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CE8FA1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39ED5705">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7677A19E">
      <w:pPr>
        <w:spacing w:line="440" w:lineRule="exact"/>
        <w:rPr>
          <w:rFonts w:hint="eastAsia" w:ascii="Times New Roman" w:hAnsi="Times New Roman" w:cs="Times New Roman" w:eastAsiaTheme="minorEastAsia"/>
          <w:color w:val="auto"/>
          <w:sz w:val="20"/>
          <w:szCs w:val="20"/>
          <w:lang w:eastAsia="zh-CN"/>
        </w:rPr>
      </w:pPr>
    </w:p>
    <w:p w14:paraId="5BBF910D">
      <w:pPr>
        <w:spacing w:line="440" w:lineRule="exact"/>
        <w:rPr>
          <w:rFonts w:hint="default" w:ascii="Times New Roman" w:hAnsi="Times New Roman" w:cs="Times New Roman"/>
          <w:color w:val="auto"/>
          <w:szCs w:val="21"/>
        </w:rPr>
      </w:pPr>
    </w:p>
    <w:p w14:paraId="172259F7">
      <w:pPr>
        <w:rPr>
          <w:rFonts w:hint="default" w:ascii="Times New Roman" w:hAnsi="Times New Roman" w:cs="Times New Roman"/>
          <w:color w:val="auto"/>
        </w:rPr>
      </w:pPr>
      <w:bookmarkStart w:id="99" w:name="_Toc247527831"/>
      <w:bookmarkStart w:id="100" w:name="_Toc300835213"/>
      <w:bookmarkStart w:id="101" w:name="_Toc144974860"/>
      <w:bookmarkStart w:id="102" w:name="_Toc152045791"/>
      <w:bookmarkStart w:id="103" w:name="_Toc247514283"/>
      <w:bookmarkStart w:id="104" w:name="_Toc152042580"/>
      <w:r>
        <w:rPr>
          <w:rFonts w:hint="default" w:ascii="Times New Roman" w:hAnsi="Times New Roman" w:cs="Times New Roman"/>
          <w:color w:val="auto"/>
        </w:rPr>
        <w:br w:type="page"/>
      </w:r>
    </w:p>
    <w:p w14:paraId="3804FC21">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99"/>
      <w:bookmarkEnd w:id="100"/>
      <w:bookmarkEnd w:id="101"/>
      <w:bookmarkEnd w:id="102"/>
      <w:bookmarkEnd w:id="103"/>
      <w:bookmarkEnd w:id="104"/>
    </w:p>
    <w:p w14:paraId="09776C8A">
      <w:pPr>
        <w:spacing w:line="440" w:lineRule="exact"/>
        <w:rPr>
          <w:rFonts w:hint="default" w:ascii="Times New Roman" w:hAnsi="Times New Roman" w:cs="Times New Roman"/>
          <w:color w:val="auto"/>
          <w:sz w:val="20"/>
          <w:szCs w:val="20"/>
        </w:rPr>
      </w:pPr>
    </w:p>
    <w:p w14:paraId="7302B6A7">
      <w:pPr>
        <w:spacing w:line="440" w:lineRule="exact"/>
        <w:rPr>
          <w:rFonts w:hint="default" w:ascii="Times New Roman" w:hAnsi="Times New Roman" w:cs="Times New Roman"/>
          <w:color w:val="auto"/>
          <w:szCs w:val="21"/>
        </w:rPr>
      </w:pPr>
    </w:p>
    <w:p w14:paraId="127C0CC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投标人名称：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465E9D5E">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1CC5926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（投标人名称）的法定代表人。</w:t>
      </w:r>
    </w:p>
    <w:p w14:paraId="5ECB8239">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065E716C">
      <w:pPr>
        <w:spacing w:line="440" w:lineRule="exact"/>
        <w:rPr>
          <w:rFonts w:hint="default" w:ascii="Times New Roman" w:hAnsi="Times New Roman" w:cs="Times New Roman"/>
          <w:color w:val="auto"/>
          <w:szCs w:val="21"/>
        </w:rPr>
      </w:pPr>
    </w:p>
    <w:p w14:paraId="3E49FEB2">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4953B5B9">
      <w:pPr>
        <w:spacing w:line="440" w:lineRule="exact"/>
        <w:rPr>
          <w:rFonts w:hint="default" w:ascii="Times New Roman" w:hAnsi="Times New Roman" w:cs="Times New Roman"/>
          <w:color w:val="auto"/>
          <w:szCs w:val="21"/>
        </w:rPr>
      </w:pPr>
    </w:p>
    <w:p w14:paraId="0A3E7CBC">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注：本身份证明需由投标人加盖单位公章。</w:t>
      </w:r>
    </w:p>
    <w:p w14:paraId="1E9CA109">
      <w:pPr>
        <w:spacing w:line="440" w:lineRule="exact"/>
        <w:rPr>
          <w:rFonts w:hint="eastAsia" w:ascii="Times New Roman" w:hAnsi="Times New Roman" w:cs="Times New Roman"/>
          <w:color w:val="auto"/>
          <w:szCs w:val="21"/>
          <w:lang w:val="en-US" w:eastAsia="zh-CN"/>
        </w:rPr>
      </w:pPr>
    </w:p>
    <w:p w14:paraId="33D7935C">
      <w:pPr>
        <w:spacing w:line="440" w:lineRule="exact"/>
        <w:rPr>
          <w:rFonts w:hint="default" w:ascii="Times New Roman" w:hAnsi="Times New Roman" w:cs="Times New Roman"/>
          <w:color w:val="auto"/>
          <w:szCs w:val="21"/>
          <w:lang w:val="en-US" w:eastAsia="zh-CN"/>
        </w:rPr>
      </w:pPr>
    </w:p>
    <w:p w14:paraId="4CA33BD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投标人：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38542FA">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12B7EA1F">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72E4D2A7">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1611230D">
      <w:pPr>
        <w:pStyle w:val="3"/>
        <w:jc w:val="center"/>
        <w:rPr>
          <w:rFonts w:hint="default" w:ascii="Times New Roman" w:hAnsi="Times New Roman" w:cs="Times New Roman"/>
          <w:color w:val="auto"/>
        </w:rPr>
      </w:pPr>
      <w:bookmarkStart w:id="105" w:name="_Toc152045792"/>
      <w:bookmarkStart w:id="106" w:name="_Toc152042581"/>
      <w:bookmarkStart w:id="107" w:name="_Toc300835214"/>
      <w:bookmarkStart w:id="108" w:name="_Toc247527832"/>
      <w:bookmarkStart w:id="109" w:name="_Toc144974861"/>
      <w:bookmarkStart w:id="110" w:name="_Toc247514284"/>
      <w:r>
        <w:rPr>
          <w:rFonts w:hint="default" w:ascii="Times New Roman" w:hAnsi="Times New Roman" w:cs="Times New Roman"/>
          <w:color w:val="auto"/>
        </w:rPr>
        <w:t>二、授权委托书</w:t>
      </w:r>
      <w:bookmarkEnd w:id="105"/>
      <w:bookmarkEnd w:id="106"/>
      <w:bookmarkEnd w:id="107"/>
      <w:bookmarkEnd w:id="108"/>
      <w:bookmarkEnd w:id="109"/>
      <w:bookmarkEnd w:id="110"/>
    </w:p>
    <w:p w14:paraId="1BE4D691">
      <w:pPr>
        <w:spacing w:line="440" w:lineRule="exact"/>
        <w:rPr>
          <w:rFonts w:hint="default" w:ascii="Times New Roman" w:hAnsi="Times New Roman" w:eastAsia="黑体" w:cs="Times New Roman"/>
          <w:color w:val="auto"/>
          <w:szCs w:val="21"/>
        </w:rPr>
      </w:pPr>
    </w:p>
    <w:p w14:paraId="664B5EC4">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（投标人名称）的法定代表人，现委托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确认、递交、撤回、修改招标项目投标文件、签订合同和处理有关事宜，</w:t>
      </w:r>
      <w:r>
        <w:rPr>
          <w:rFonts w:hint="default" w:ascii="Times New Roman" w:hAnsi="Times New Roman" w:cs="Times New Roman"/>
          <w:color w:val="auto"/>
          <w:szCs w:val="21"/>
        </w:rPr>
        <w:t>其法律后果由我方承担。</w:t>
      </w:r>
    </w:p>
    <w:p w14:paraId="7E5F5227">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5C9E1D1C">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684DACED">
      <w:pPr>
        <w:spacing w:line="440" w:lineRule="exact"/>
        <w:ind w:firstLine="420" w:firstLineChars="20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证复印件、委托代理人身份证复印件、委托代理人2024年6月起任意3个月及以上养老保险证明复印件</w:t>
      </w:r>
    </w:p>
    <w:p w14:paraId="6F812C5F">
      <w:pPr>
        <w:spacing w:line="440" w:lineRule="exact"/>
        <w:ind w:firstLine="420" w:firstLineChars="200"/>
        <w:rPr>
          <w:rFonts w:hint="eastAsia" w:ascii="Times New Roman" w:hAnsi="Times New Roman" w:cs="Times New Roman"/>
          <w:color w:val="auto"/>
          <w:szCs w:val="21"/>
          <w:lang w:val="en-US" w:eastAsia="zh-CN"/>
        </w:rPr>
      </w:pPr>
    </w:p>
    <w:p w14:paraId="207889A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注：本授权委托书需由投标人加盖单位公章并由其法定代表人和委托代理人签字。</w:t>
      </w:r>
    </w:p>
    <w:p w14:paraId="384F3F87">
      <w:pPr>
        <w:spacing w:line="440" w:lineRule="exact"/>
        <w:rPr>
          <w:rFonts w:hint="default" w:ascii="Times New Roman" w:hAnsi="Times New Roman" w:cs="Times New Roman"/>
          <w:color w:val="auto"/>
          <w:szCs w:val="21"/>
        </w:rPr>
      </w:pPr>
    </w:p>
    <w:p w14:paraId="6A922228">
      <w:pPr>
        <w:spacing w:line="440" w:lineRule="exact"/>
        <w:rPr>
          <w:rFonts w:hint="default" w:ascii="Times New Roman" w:hAnsi="Times New Roman" w:cs="Times New Roman"/>
          <w:color w:val="auto"/>
          <w:szCs w:val="21"/>
        </w:rPr>
      </w:pPr>
    </w:p>
    <w:p w14:paraId="269E560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投</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标</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1C5603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 xml:space="preserve">） </w:t>
      </w:r>
    </w:p>
    <w:p w14:paraId="5AED14F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5DBE808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 </w:t>
      </w:r>
    </w:p>
    <w:p w14:paraId="6CFD061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76A4EB1">
      <w:pPr>
        <w:spacing w:line="440" w:lineRule="exact"/>
        <w:rPr>
          <w:rFonts w:hint="default" w:ascii="Times New Roman" w:hAnsi="Times New Roman" w:cs="Times New Roman"/>
          <w:color w:val="auto"/>
          <w:szCs w:val="21"/>
        </w:rPr>
      </w:pPr>
    </w:p>
    <w:p w14:paraId="6E763289">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59AB370A">
      <w:pPr>
        <w:spacing w:line="400" w:lineRule="exact"/>
        <w:rPr>
          <w:rFonts w:hint="default" w:ascii="Times New Roman" w:hAnsi="Times New Roman" w:cs="Times New Roman"/>
          <w:color w:val="auto"/>
        </w:rPr>
      </w:pPr>
      <w:r>
        <w:rPr>
          <w:rFonts w:hint="default" w:ascii="Times New Roman" w:hAnsi="Times New Roman" w:eastAsia="黑体" w:cs="Times New Roman"/>
          <w:color w:val="auto"/>
          <w:sz w:val="20"/>
          <w:szCs w:val="20"/>
        </w:rPr>
        <w:br w:type="page"/>
      </w:r>
    </w:p>
    <w:p w14:paraId="6E652C98">
      <w:pPr>
        <w:pStyle w:val="3"/>
        <w:jc w:val="center"/>
        <w:rPr>
          <w:rFonts w:hint="default" w:ascii="Times New Roman" w:hAnsi="Times New Roman" w:cs="Times New Roman"/>
          <w:color w:val="auto"/>
          <w:highlight w:val="none"/>
        </w:rPr>
      </w:pPr>
      <w:bookmarkStart w:id="111" w:name="_Toc247514286"/>
      <w:bookmarkStart w:id="112" w:name="_Toc144974862"/>
      <w:bookmarkStart w:id="113" w:name="_Toc152045794"/>
      <w:bookmarkStart w:id="114" w:name="_Toc247527834"/>
      <w:bookmarkStart w:id="115" w:name="_Toc152042583"/>
      <w:bookmarkStart w:id="116" w:name="_Toc300835216"/>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、投标保证金</w:t>
      </w:r>
      <w:bookmarkEnd w:id="111"/>
      <w:bookmarkEnd w:id="112"/>
      <w:bookmarkEnd w:id="113"/>
      <w:bookmarkEnd w:id="114"/>
      <w:bookmarkEnd w:id="115"/>
      <w:bookmarkEnd w:id="116"/>
    </w:p>
    <w:p w14:paraId="16E0B0C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117"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或投标人公章</w:t>
      </w:r>
      <w:r>
        <w:rPr>
          <w:rFonts w:hint="default" w:ascii="Times New Roman" w:hAnsi="Times New Roman" w:cs="Times New Roman" w:eastAsiaTheme="minorEastAsia"/>
          <w:b w:val="0"/>
          <w:bCs/>
          <w:color w:val="auto"/>
          <w:kern w:val="0"/>
          <w:sz w:val="24"/>
          <w:szCs w:val="24"/>
          <w:highlight w:val="none"/>
        </w:rPr>
        <w:t>）：</w:t>
      </w:r>
    </w:p>
    <w:p w14:paraId="1E4792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6F4A5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D8C4AF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E68FE4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9B2688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0C73DB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F8740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564D0C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421E25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27FC4E5B">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0BA33D2E">
      <w:pPr>
        <w:spacing w:line="440" w:lineRule="exact"/>
        <w:rPr>
          <w:rFonts w:hint="default" w:ascii="Times New Roman" w:hAnsi="Times New Roman" w:cs="Times New Roman"/>
          <w:b/>
          <w:bCs/>
          <w:color w:val="auto"/>
        </w:rPr>
      </w:pPr>
    </w:p>
    <w:bookmarkEnd w:id="117"/>
    <w:p w14:paraId="65548E9A">
      <w:pPr>
        <w:rPr>
          <w:rFonts w:hint="default" w:ascii="Times New Roman" w:hAnsi="Times New Roman" w:cs="Times New Roman"/>
          <w:color w:val="auto"/>
        </w:rPr>
      </w:pPr>
      <w:bookmarkStart w:id="118" w:name="_Toc247514287"/>
      <w:bookmarkStart w:id="119" w:name="_Toc152042584"/>
      <w:bookmarkStart w:id="120" w:name="_Toc152045795"/>
      <w:bookmarkStart w:id="121" w:name="_Toc247527835"/>
      <w:bookmarkStart w:id="122" w:name="_Toc300835218"/>
      <w:bookmarkStart w:id="123" w:name="_Toc144974863"/>
      <w:r>
        <w:rPr>
          <w:rFonts w:hint="default" w:ascii="Times New Roman" w:hAnsi="Times New Roman" w:cs="Times New Roman"/>
          <w:color w:val="auto"/>
        </w:rPr>
        <w:br w:type="page"/>
      </w:r>
    </w:p>
    <w:p w14:paraId="3D9DEDB4">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bookmarkEnd w:id="118"/>
      <w:bookmarkEnd w:id="119"/>
      <w:bookmarkEnd w:id="120"/>
      <w:bookmarkEnd w:id="121"/>
      <w:bookmarkEnd w:id="122"/>
      <w:bookmarkEnd w:id="123"/>
      <w:r>
        <w:rPr>
          <w:rFonts w:hint="eastAsia" w:ascii="Times New Roman" w:hAnsi="Times New Roman" w:cs="Times New Roman"/>
          <w:color w:val="auto"/>
          <w:lang w:val="en-US" w:eastAsia="zh-CN"/>
        </w:rPr>
        <w:t>服务费用清单</w:t>
      </w:r>
    </w:p>
    <w:p w14:paraId="341CDBA0">
      <w:pPr>
        <w:ind w:firstLine="42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1.服务费用清单说明</w:t>
      </w:r>
    </w:p>
    <w:p w14:paraId="3C80858E">
      <w:pPr>
        <w:rPr>
          <w:rFonts w:hint="eastAsia" w:ascii="Times New Roman" w:hAnsi="Times New Roman" w:cs="Times New Roman"/>
          <w:color w:val="auto"/>
          <w:lang w:val="en-US" w:eastAsia="zh-CN"/>
        </w:rPr>
      </w:pPr>
    </w:p>
    <w:p w14:paraId="14A61E20">
      <w:pPr>
        <w:ind w:firstLine="420" w:firstLineChars="20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2.服务费用清单</w:t>
      </w:r>
    </w:p>
    <w:p w14:paraId="3B0DFF21">
      <w:pPr>
        <w:rPr>
          <w:rFonts w:hint="default" w:ascii="Times New Roman" w:hAnsi="Times New Roman" w:cs="Times New Roman"/>
          <w:color w:val="auto"/>
          <w:lang w:val="en-US" w:eastAsia="zh-CN"/>
        </w:rPr>
      </w:pPr>
    </w:p>
    <w:p w14:paraId="7A64D368">
      <w:pPr>
        <w:jc w:val="righ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2F53A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C72D0E0">
            <w:pPr>
              <w:jc w:val="center"/>
              <w:rPr>
                <w:rFonts w:hint="eastAsia" w:ascii="Times New Roman" w:hAnsi="Times New Roman" w:cs="Times New Roman" w:eastAsiaTheme="minorEastAsia"/>
                <w:b/>
                <w:bCs/>
                <w:color w:val="auto"/>
                <w:vertAlign w:val="baseline"/>
                <w:lang w:val="en-US" w:eastAsia="zh-CN"/>
              </w:rPr>
            </w:pPr>
            <w:bookmarkStart w:id="124" w:name="_Toc247514288"/>
            <w:bookmarkStart w:id="125" w:name="_Toc152042585"/>
            <w:bookmarkStart w:id="126" w:name="_Toc247527836"/>
            <w:bookmarkStart w:id="127" w:name="_Toc152045796"/>
            <w:bookmarkStart w:id="128" w:name="_Toc300835221"/>
            <w:bookmarkStart w:id="129" w:name="_Toc144974864"/>
            <w:r>
              <w:rPr>
                <w:rFonts w:hint="eastAsia" w:ascii="Times New Roman" w:hAnsi="Times New Roman" w:cs="Times New Roman"/>
                <w:b/>
                <w:bCs/>
                <w:color w:val="auto"/>
                <w:vertAlign w:val="baseline"/>
                <w:lang w:val="en-US" w:eastAsia="zh-CN"/>
              </w:rPr>
              <w:t>序号</w:t>
            </w:r>
          </w:p>
        </w:tc>
        <w:tc>
          <w:tcPr>
            <w:tcW w:w="2268" w:type="dxa"/>
            <w:vAlign w:val="center"/>
          </w:tcPr>
          <w:p w14:paraId="2C9F0EA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服务费用分项名称</w:t>
            </w:r>
          </w:p>
        </w:tc>
        <w:tc>
          <w:tcPr>
            <w:tcW w:w="2268" w:type="dxa"/>
            <w:vAlign w:val="center"/>
          </w:tcPr>
          <w:p w14:paraId="0B1A7A6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计算依据、过程和公式</w:t>
            </w:r>
          </w:p>
        </w:tc>
        <w:tc>
          <w:tcPr>
            <w:tcW w:w="1134" w:type="dxa"/>
            <w:vAlign w:val="center"/>
          </w:tcPr>
          <w:p w14:paraId="4BE14448">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金额（元）</w:t>
            </w:r>
          </w:p>
        </w:tc>
        <w:tc>
          <w:tcPr>
            <w:tcW w:w="2001" w:type="dxa"/>
            <w:vAlign w:val="center"/>
          </w:tcPr>
          <w:p w14:paraId="6538DE92">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备注</w:t>
            </w:r>
          </w:p>
        </w:tc>
      </w:tr>
      <w:tr w14:paraId="0EA16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2FF4936">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2268" w:type="dxa"/>
            <w:vAlign w:val="center"/>
          </w:tcPr>
          <w:p w14:paraId="452797B2">
            <w:pPr>
              <w:jc w:val="center"/>
              <w:rPr>
                <w:rFonts w:hint="default" w:ascii="Times New Roman" w:hAnsi="Times New Roman" w:cs="Times New Roman"/>
                <w:color w:val="auto"/>
                <w:vertAlign w:val="baseline"/>
              </w:rPr>
            </w:pPr>
          </w:p>
        </w:tc>
        <w:tc>
          <w:tcPr>
            <w:tcW w:w="2268" w:type="dxa"/>
            <w:vAlign w:val="center"/>
          </w:tcPr>
          <w:p w14:paraId="241624D8">
            <w:pPr>
              <w:jc w:val="center"/>
              <w:rPr>
                <w:rFonts w:hint="default" w:ascii="Times New Roman" w:hAnsi="Times New Roman" w:cs="Times New Roman"/>
                <w:color w:val="auto"/>
                <w:vertAlign w:val="baseline"/>
              </w:rPr>
            </w:pPr>
          </w:p>
        </w:tc>
        <w:tc>
          <w:tcPr>
            <w:tcW w:w="1134" w:type="dxa"/>
            <w:vAlign w:val="center"/>
          </w:tcPr>
          <w:p w14:paraId="3227AB9C">
            <w:pPr>
              <w:jc w:val="center"/>
              <w:rPr>
                <w:rFonts w:hint="default" w:ascii="Times New Roman" w:hAnsi="Times New Roman" w:cs="Times New Roman"/>
                <w:color w:val="auto"/>
                <w:vertAlign w:val="baseline"/>
              </w:rPr>
            </w:pPr>
          </w:p>
        </w:tc>
        <w:tc>
          <w:tcPr>
            <w:tcW w:w="2001" w:type="dxa"/>
            <w:vAlign w:val="center"/>
          </w:tcPr>
          <w:p w14:paraId="41BE08B7">
            <w:pPr>
              <w:jc w:val="center"/>
              <w:rPr>
                <w:rFonts w:hint="default" w:ascii="Times New Roman" w:hAnsi="Times New Roman" w:cs="Times New Roman"/>
                <w:color w:val="auto"/>
                <w:vertAlign w:val="baseline"/>
              </w:rPr>
            </w:pPr>
          </w:p>
        </w:tc>
      </w:tr>
      <w:tr w14:paraId="3953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ED92BE5">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2268" w:type="dxa"/>
            <w:vAlign w:val="center"/>
          </w:tcPr>
          <w:p w14:paraId="14A6C588">
            <w:pPr>
              <w:jc w:val="center"/>
              <w:rPr>
                <w:rFonts w:hint="default" w:ascii="Times New Roman" w:hAnsi="Times New Roman" w:cs="Times New Roman"/>
                <w:color w:val="auto"/>
                <w:vertAlign w:val="baseline"/>
              </w:rPr>
            </w:pPr>
          </w:p>
        </w:tc>
        <w:tc>
          <w:tcPr>
            <w:tcW w:w="2268" w:type="dxa"/>
            <w:vAlign w:val="center"/>
          </w:tcPr>
          <w:p w14:paraId="7B37E8AE">
            <w:pPr>
              <w:jc w:val="center"/>
              <w:rPr>
                <w:rFonts w:hint="default" w:ascii="Times New Roman" w:hAnsi="Times New Roman" w:cs="Times New Roman"/>
                <w:color w:val="auto"/>
                <w:vertAlign w:val="baseline"/>
              </w:rPr>
            </w:pPr>
          </w:p>
        </w:tc>
        <w:tc>
          <w:tcPr>
            <w:tcW w:w="1134" w:type="dxa"/>
            <w:vAlign w:val="center"/>
          </w:tcPr>
          <w:p w14:paraId="628DABC8">
            <w:pPr>
              <w:jc w:val="center"/>
              <w:rPr>
                <w:rFonts w:hint="default" w:ascii="Times New Roman" w:hAnsi="Times New Roman" w:cs="Times New Roman"/>
                <w:color w:val="auto"/>
                <w:vertAlign w:val="baseline"/>
              </w:rPr>
            </w:pPr>
          </w:p>
        </w:tc>
        <w:tc>
          <w:tcPr>
            <w:tcW w:w="2001" w:type="dxa"/>
            <w:vAlign w:val="center"/>
          </w:tcPr>
          <w:p w14:paraId="3C3DF8CE">
            <w:pPr>
              <w:jc w:val="center"/>
              <w:rPr>
                <w:rFonts w:hint="default" w:ascii="Times New Roman" w:hAnsi="Times New Roman" w:cs="Times New Roman"/>
                <w:color w:val="auto"/>
                <w:vertAlign w:val="baseline"/>
              </w:rPr>
            </w:pPr>
          </w:p>
        </w:tc>
      </w:tr>
      <w:tr w14:paraId="433B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BA15884">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2268" w:type="dxa"/>
            <w:vAlign w:val="center"/>
          </w:tcPr>
          <w:p w14:paraId="4F22B330">
            <w:pPr>
              <w:jc w:val="center"/>
              <w:rPr>
                <w:rFonts w:hint="default" w:ascii="Times New Roman" w:hAnsi="Times New Roman" w:cs="Times New Roman"/>
                <w:color w:val="auto"/>
                <w:vertAlign w:val="baseline"/>
              </w:rPr>
            </w:pPr>
          </w:p>
        </w:tc>
        <w:tc>
          <w:tcPr>
            <w:tcW w:w="2268" w:type="dxa"/>
            <w:vAlign w:val="center"/>
          </w:tcPr>
          <w:p w14:paraId="6E518517">
            <w:pPr>
              <w:jc w:val="center"/>
              <w:rPr>
                <w:rFonts w:hint="default" w:ascii="Times New Roman" w:hAnsi="Times New Roman" w:cs="Times New Roman"/>
                <w:color w:val="auto"/>
                <w:vertAlign w:val="baseline"/>
              </w:rPr>
            </w:pPr>
          </w:p>
        </w:tc>
        <w:tc>
          <w:tcPr>
            <w:tcW w:w="1134" w:type="dxa"/>
            <w:vAlign w:val="center"/>
          </w:tcPr>
          <w:p w14:paraId="76736DFF">
            <w:pPr>
              <w:jc w:val="center"/>
              <w:rPr>
                <w:rFonts w:hint="default" w:ascii="Times New Roman" w:hAnsi="Times New Roman" w:cs="Times New Roman"/>
                <w:color w:val="auto"/>
                <w:vertAlign w:val="baseline"/>
              </w:rPr>
            </w:pPr>
          </w:p>
        </w:tc>
        <w:tc>
          <w:tcPr>
            <w:tcW w:w="2001" w:type="dxa"/>
            <w:vAlign w:val="center"/>
          </w:tcPr>
          <w:p w14:paraId="3CA6D180">
            <w:pPr>
              <w:jc w:val="center"/>
              <w:rPr>
                <w:rFonts w:hint="default" w:ascii="Times New Roman" w:hAnsi="Times New Roman" w:cs="Times New Roman"/>
                <w:color w:val="auto"/>
                <w:vertAlign w:val="baseline"/>
              </w:rPr>
            </w:pPr>
          </w:p>
        </w:tc>
      </w:tr>
      <w:tr w14:paraId="0A029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BE8820F">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2268" w:type="dxa"/>
            <w:vAlign w:val="center"/>
          </w:tcPr>
          <w:p w14:paraId="1A62A3C2">
            <w:pPr>
              <w:jc w:val="center"/>
              <w:rPr>
                <w:rFonts w:hint="default" w:ascii="Times New Roman" w:hAnsi="Times New Roman" w:cs="Times New Roman"/>
                <w:color w:val="auto"/>
                <w:vertAlign w:val="baseline"/>
              </w:rPr>
            </w:pPr>
          </w:p>
        </w:tc>
        <w:tc>
          <w:tcPr>
            <w:tcW w:w="2268" w:type="dxa"/>
            <w:vAlign w:val="center"/>
          </w:tcPr>
          <w:p w14:paraId="71944AC9">
            <w:pPr>
              <w:jc w:val="center"/>
              <w:rPr>
                <w:rFonts w:hint="default" w:ascii="Times New Roman" w:hAnsi="Times New Roman" w:cs="Times New Roman"/>
                <w:color w:val="auto"/>
                <w:vertAlign w:val="baseline"/>
              </w:rPr>
            </w:pPr>
          </w:p>
        </w:tc>
        <w:tc>
          <w:tcPr>
            <w:tcW w:w="1134" w:type="dxa"/>
            <w:vAlign w:val="center"/>
          </w:tcPr>
          <w:p w14:paraId="364662E5">
            <w:pPr>
              <w:jc w:val="center"/>
              <w:rPr>
                <w:rFonts w:hint="default" w:ascii="Times New Roman" w:hAnsi="Times New Roman" w:cs="Times New Roman"/>
                <w:color w:val="auto"/>
                <w:vertAlign w:val="baseline"/>
              </w:rPr>
            </w:pPr>
          </w:p>
        </w:tc>
        <w:tc>
          <w:tcPr>
            <w:tcW w:w="2001" w:type="dxa"/>
            <w:vAlign w:val="center"/>
          </w:tcPr>
          <w:p w14:paraId="08C89C67">
            <w:pPr>
              <w:jc w:val="center"/>
              <w:rPr>
                <w:rFonts w:hint="default" w:ascii="Times New Roman" w:hAnsi="Times New Roman" w:cs="Times New Roman"/>
                <w:color w:val="auto"/>
                <w:vertAlign w:val="baseline"/>
              </w:rPr>
            </w:pPr>
          </w:p>
        </w:tc>
      </w:tr>
      <w:tr w14:paraId="5023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58A06FC">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w:t>
            </w:r>
          </w:p>
        </w:tc>
        <w:tc>
          <w:tcPr>
            <w:tcW w:w="2268" w:type="dxa"/>
            <w:vAlign w:val="center"/>
          </w:tcPr>
          <w:p w14:paraId="4576C7E6">
            <w:pPr>
              <w:jc w:val="center"/>
              <w:rPr>
                <w:rFonts w:hint="default" w:ascii="Times New Roman" w:hAnsi="Times New Roman" w:cs="Times New Roman"/>
                <w:color w:val="auto"/>
                <w:vertAlign w:val="baseline"/>
              </w:rPr>
            </w:pPr>
          </w:p>
        </w:tc>
        <w:tc>
          <w:tcPr>
            <w:tcW w:w="2268" w:type="dxa"/>
            <w:vAlign w:val="center"/>
          </w:tcPr>
          <w:p w14:paraId="357D4EEB">
            <w:pPr>
              <w:jc w:val="center"/>
              <w:rPr>
                <w:rFonts w:hint="default" w:ascii="Times New Roman" w:hAnsi="Times New Roman" w:cs="Times New Roman"/>
                <w:color w:val="auto"/>
                <w:vertAlign w:val="baseline"/>
              </w:rPr>
            </w:pPr>
          </w:p>
        </w:tc>
        <w:tc>
          <w:tcPr>
            <w:tcW w:w="1134" w:type="dxa"/>
            <w:vAlign w:val="center"/>
          </w:tcPr>
          <w:p w14:paraId="058FD875">
            <w:pPr>
              <w:jc w:val="center"/>
              <w:rPr>
                <w:rFonts w:hint="default" w:ascii="Times New Roman" w:hAnsi="Times New Roman" w:cs="Times New Roman"/>
                <w:color w:val="auto"/>
                <w:vertAlign w:val="baseline"/>
              </w:rPr>
            </w:pPr>
          </w:p>
        </w:tc>
        <w:tc>
          <w:tcPr>
            <w:tcW w:w="2001" w:type="dxa"/>
            <w:vAlign w:val="center"/>
          </w:tcPr>
          <w:p w14:paraId="0B103F98">
            <w:pPr>
              <w:jc w:val="center"/>
              <w:rPr>
                <w:rFonts w:hint="default" w:ascii="Times New Roman" w:hAnsi="Times New Roman" w:cs="Times New Roman"/>
                <w:color w:val="auto"/>
                <w:vertAlign w:val="baseline"/>
              </w:rPr>
            </w:pPr>
          </w:p>
        </w:tc>
      </w:tr>
      <w:tr w14:paraId="41B8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454DEB1">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2268" w:type="dxa"/>
            <w:vAlign w:val="center"/>
          </w:tcPr>
          <w:p w14:paraId="534179F0">
            <w:pPr>
              <w:jc w:val="center"/>
              <w:rPr>
                <w:rFonts w:hint="default" w:ascii="Times New Roman" w:hAnsi="Times New Roman" w:cs="Times New Roman"/>
                <w:color w:val="auto"/>
                <w:vertAlign w:val="baseline"/>
              </w:rPr>
            </w:pPr>
          </w:p>
        </w:tc>
        <w:tc>
          <w:tcPr>
            <w:tcW w:w="2268" w:type="dxa"/>
            <w:vAlign w:val="center"/>
          </w:tcPr>
          <w:p w14:paraId="48115F2E">
            <w:pPr>
              <w:jc w:val="center"/>
              <w:rPr>
                <w:rFonts w:hint="default" w:ascii="Times New Roman" w:hAnsi="Times New Roman" w:cs="Times New Roman"/>
                <w:color w:val="auto"/>
                <w:vertAlign w:val="baseline"/>
              </w:rPr>
            </w:pPr>
          </w:p>
        </w:tc>
        <w:tc>
          <w:tcPr>
            <w:tcW w:w="1134" w:type="dxa"/>
            <w:vAlign w:val="center"/>
          </w:tcPr>
          <w:p w14:paraId="0B702FC8">
            <w:pPr>
              <w:jc w:val="center"/>
              <w:rPr>
                <w:rFonts w:hint="default" w:ascii="Times New Roman" w:hAnsi="Times New Roman" w:cs="Times New Roman"/>
                <w:color w:val="auto"/>
                <w:vertAlign w:val="baseline"/>
              </w:rPr>
            </w:pPr>
          </w:p>
        </w:tc>
        <w:tc>
          <w:tcPr>
            <w:tcW w:w="2001" w:type="dxa"/>
            <w:vAlign w:val="center"/>
          </w:tcPr>
          <w:p w14:paraId="03AF9D8E">
            <w:pPr>
              <w:jc w:val="center"/>
              <w:rPr>
                <w:rFonts w:hint="default" w:ascii="Times New Roman" w:hAnsi="Times New Roman" w:cs="Times New Roman"/>
                <w:color w:val="auto"/>
                <w:vertAlign w:val="baseline"/>
              </w:rPr>
            </w:pPr>
          </w:p>
        </w:tc>
      </w:tr>
      <w:tr w14:paraId="0A2D7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37A7222">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b/>
                <w:bCs/>
                <w:color w:val="auto"/>
                <w:vertAlign w:val="baseline"/>
                <w:lang w:val="en-US" w:eastAsia="zh-CN"/>
              </w:rPr>
              <w:t>合计报价</w:t>
            </w:r>
          </w:p>
        </w:tc>
        <w:tc>
          <w:tcPr>
            <w:tcW w:w="1134" w:type="dxa"/>
            <w:vAlign w:val="center"/>
          </w:tcPr>
          <w:p w14:paraId="36DEB78A">
            <w:pPr>
              <w:jc w:val="center"/>
              <w:rPr>
                <w:rFonts w:hint="default" w:ascii="Times New Roman" w:hAnsi="Times New Roman" w:cs="Times New Roman"/>
                <w:color w:val="auto"/>
                <w:vertAlign w:val="baseline"/>
              </w:rPr>
            </w:pPr>
          </w:p>
        </w:tc>
        <w:tc>
          <w:tcPr>
            <w:tcW w:w="2001" w:type="dxa"/>
            <w:vAlign w:val="center"/>
          </w:tcPr>
          <w:p w14:paraId="1B071275">
            <w:pPr>
              <w:jc w:val="center"/>
              <w:rPr>
                <w:rFonts w:hint="default" w:ascii="Times New Roman" w:hAnsi="Times New Roman" w:cs="Times New Roman"/>
                <w:color w:val="auto"/>
                <w:vertAlign w:val="baseline"/>
              </w:rPr>
            </w:pPr>
          </w:p>
        </w:tc>
      </w:tr>
    </w:tbl>
    <w:p w14:paraId="1045F41A">
      <w:pPr>
        <w:rPr>
          <w:rFonts w:hint="default" w:ascii="Times New Roman" w:hAnsi="Times New Roman" w:cs="Times New Roman"/>
          <w:color w:val="auto"/>
        </w:rPr>
      </w:pPr>
    </w:p>
    <w:p w14:paraId="386EC8CA">
      <w:pPr>
        <w:rPr>
          <w:rFonts w:hint="default" w:ascii="Times New Roman" w:hAnsi="Times New Roman" w:cs="Times New Roman"/>
          <w:color w:val="auto"/>
        </w:rPr>
      </w:pPr>
      <w:r>
        <w:rPr>
          <w:rFonts w:hint="eastAsia" w:ascii="Times New Roman" w:hAnsi="Times New Roman" w:cs="Times New Roman"/>
          <w:color w:val="auto"/>
          <w:lang w:val="en-US" w:eastAsia="zh-CN"/>
        </w:rPr>
        <w:t>注：投标人可根据行业具体情况及招标项目特点对上表格式进行调整。</w:t>
      </w:r>
      <w:r>
        <w:rPr>
          <w:rFonts w:hint="default" w:ascii="Times New Roman" w:hAnsi="Times New Roman" w:cs="Times New Roman"/>
          <w:color w:val="auto"/>
        </w:rPr>
        <w:br w:type="page"/>
      </w:r>
    </w:p>
    <w:bookmarkEnd w:id="124"/>
    <w:bookmarkEnd w:id="125"/>
    <w:bookmarkEnd w:id="126"/>
    <w:bookmarkEnd w:id="127"/>
    <w:bookmarkEnd w:id="128"/>
    <w:bookmarkEnd w:id="129"/>
    <w:p w14:paraId="7E3D95DF">
      <w:pPr>
        <w:pStyle w:val="3"/>
        <w:jc w:val="center"/>
        <w:rPr>
          <w:rFonts w:hint="eastAsia"/>
          <w:color w:val="auto"/>
          <w:highlight w:val="none"/>
        </w:rPr>
      </w:pPr>
      <w:bookmarkStart w:id="130" w:name="_Toc152045803"/>
      <w:bookmarkStart w:id="131" w:name="_Toc152042597"/>
      <w:bookmarkStart w:id="132" w:name="_Toc296602614"/>
      <w:bookmarkStart w:id="133" w:name="_Toc247514300"/>
      <w:bookmarkStart w:id="134" w:name="_Toc247085887"/>
      <w:bookmarkStart w:id="135" w:name="_Toc246996369"/>
      <w:bookmarkStart w:id="136" w:name="_Toc246997112"/>
      <w:bookmarkStart w:id="137" w:name="_Toc247527848"/>
      <w:bookmarkStart w:id="138" w:name="_Toc144974871"/>
      <w:bookmarkStart w:id="139" w:name="_Toc152045808"/>
      <w:bookmarkStart w:id="140" w:name="_Toc144974876"/>
      <w:bookmarkStart w:id="141" w:name="_Toc300835224"/>
      <w:bookmarkStart w:id="142" w:name="_Toc179632823"/>
      <w:bookmarkStart w:id="143" w:name="_Toc152042592"/>
      <w:r>
        <w:rPr>
          <w:rFonts w:hint="eastAsia"/>
          <w:color w:val="auto"/>
          <w:highlight w:val="none"/>
          <w:lang w:val="en-US" w:eastAsia="zh-CN"/>
        </w:rPr>
        <w:t>五</w:t>
      </w:r>
      <w:r>
        <w:rPr>
          <w:color w:val="auto"/>
          <w:highlight w:val="none"/>
        </w:rPr>
        <w:t>、资格审查资料</w:t>
      </w:r>
    </w:p>
    <w:p w14:paraId="6D43DAD9">
      <w:pPr>
        <w:pStyle w:val="4"/>
        <w:jc w:val="both"/>
        <w:rPr>
          <w:rFonts w:hint="eastAsia"/>
          <w:color w:val="auto"/>
        </w:rPr>
      </w:pPr>
      <w:r>
        <w:rPr>
          <w:color w:val="auto"/>
        </w:rP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64184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4BD0C6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A72553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12AD0A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6DB1EC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56CD73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E56BA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04EE2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1C3C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37C55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0A73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889F00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44BCEB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B72DC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290353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2B2CAC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A3848F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2A0D373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273E92B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5585BE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9ADF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9662B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color w:val="auto"/>
                <w:szCs w:val="21"/>
                <w:lang w:val="en-US" w:eastAsia="zh-CN"/>
              </w:rPr>
            </w:pPr>
            <w:r>
              <w:rPr>
                <w:rFonts w:hint="eastAsia"/>
                <w:color w:val="auto"/>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CCEA44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28A62A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A3239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B737E3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A2EF1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1269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905CB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A14FEC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6724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C47BD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574F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32AD3D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FF168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ECE9DC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D3C85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D8342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5B3FA02">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color w:val="auto"/>
                <w:szCs w:val="21"/>
                <w:lang w:val="en-US" w:eastAsia="zh-CN"/>
              </w:rPr>
            </w:pPr>
            <w:r>
              <w:rPr>
                <w:rFonts w:hint="eastAsia"/>
                <w:color w:val="auto"/>
                <w:szCs w:val="21"/>
                <w:lang w:val="en-US" w:eastAsia="zh-CN"/>
              </w:rPr>
              <w:t>类型：                  等级：               证书号：</w:t>
            </w:r>
          </w:p>
        </w:tc>
      </w:tr>
      <w:tr w14:paraId="2AE75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FFD7D3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598E18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color w:val="auto"/>
                <w:szCs w:val="21"/>
                <w:lang w:val="en-US" w:eastAsia="zh-CN"/>
              </w:rPr>
            </w:pPr>
            <w:r>
              <w:rPr>
                <w:rFonts w:hint="eastAsia"/>
                <w:color w:val="auto"/>
                <w:szCs w:val="21"/>
                <w:lang w:val="en-US" w:eastAsia="zh-CN"/>
              </w:rPr>
              <w:t>类型：                  等级：               证书号：</w:t>
            </w:r>
          </w:p>
        </w:tc>
      </w:tr>
      <w:tr w14:paraId="695661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F262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AD41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0E653E4B">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color w:val="auto"/>
                <w:szCs w:val="21"/>
                <w:lang w:val="en-US" w:eastAsia="zh-CN"/>
              </w:rPr>
            </w:pPr>
            <w:r>
              <w:rPr>
                <w:rFonts w:hint="eastAsia"/>
                <w:color w:val="auto"/>
                <w:szCs w:val="21"/>
                <w:lang w:val="en-US" w:eastAsia="zh-CN"/>
              </w:rPr>
              <w:t>员工总人数：</w:t>
            </w:r>
          </w:p>
        </w:tc>
      </w:tr>
      <w:tr w14:paraId="64EF4B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0E67B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36F7E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68AC140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AEDA3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CC1C9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73D8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DEEED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183D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ED97D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B2AD1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55E0B1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7E7F8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DAB8C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5335C4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6DDDA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0C2127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83E403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B9170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A98E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15FD5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10C2608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5684E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1633E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0F07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B2DC2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1D3E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38F7C9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E9F3B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6E995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3008D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0443AC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50A4D8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C9930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720D25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bl>
    <w:p w14:paraId="2919475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注：</w:t>
      </w:r>
      <w:r>
        <w:rPr>
          <w:rFonts w:hint="default" w:ascii="Times New Roman" w:hAnsi="Times New Roman" w:cs="Times New Roman"/>
          <w:color w:val="auto"/>
          <w:lang w:val="en-US" w:eastAsia="zh-CN"/>
        </w:rPr>
        <w:t>投标人应根据投标人须知</w:t>
      </w:r>
      <w:r>
        <w:rPr>
          <w:rFonts w:hint="default" w:ascii="Times New Roman" w:hAnsi="Times New Roman" w:cs="Times New Roman"/>
          <w:color w:val="auto"/>
          <w:highlight w:val="none"/>
          <w:lang w:val="en-US" w:eastAsia="zh-CN"/>
        </w:rPr>
        <w:t>第3.5.1项的要求在</w:t>
      </w:r>
      <w:r>
        <w:rPr>
          <w:rFonts w:hint="default" w:ascii="Times New Roman" w:hAnsi="Times New Roman" w:cs="Times New Roman"/>
          <w:color w:val="auto"/>
          <w:lang w:val="en-US" w:eastAsia="zh-CN"/>
        </w:rPr>
        <w:t>本表后附相关证明材料</w:t>
      </w:r>
      <w:r>
        <w:rPr>
          <w:rFonts w:hint="eastAsia" w:ascii="Times New Roman" w:hAnsi="Times New Roman" w:cs="Times New Roman"/>
          <w:color w:val="auto"/>
          <w:lang w:val="en-US" w:eastAsia="zh-CN"/>
        </w:rPr>
        <w:t>。</w:t>
      </w:r>
    </w:p>
    <w:p w14:paraId="03EBAED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42EBF175">
      <w:pPr>
        <w:rPr>
          <w:rFonts w:hint="eastAsia"/>
          <w:color w:val="auto"/>
        </w:rPr>
      </w:pPr>
      <w:r>
        <w:rPr>
          <w:rFonts w:hint="eastAsia"/>
          <w:color w:val="auto"/>
        </w:rPr>
        <w:br w:type="page"/>
      </w:r>
    </w:p>
    <w:p w14:paraId="439ED9E7">
      <w:pPr>
        <w:pStyle w:val="4"/>
        <w:jc w:val="both"/>
        <w:rPr>
          <w:rFonts w:hint="default" w:eastAsiaTheme="minorEastAsia"/>
          <w:color w:val="auto"/>
          <w:lang w:val="en-US" w:eastAsia="zh-CN"/>
        </w:rPr>
      </w:pPr>
      <w:r>
        <w:rPr>
          <w:color w:val="auto"/>
        </w:rPr>
        <w:t>（</w:t>
      </w:r>
      <w:r>
        <w:rPr>
          <w:rFonts w:hint="eastAsia"/>
          <w:color w:val="auto"/>
          <w:lang w:val="en-US" w:eastAsia="zh-CN"/>
        </w:rPr>
        <w:t>二</w:t>
      </w:r>
      <w:r>
        <w:rPr>
          <w:color w:val="auto"/>
        </w:rPr>
        <w:t>）</w:t>
      </w:r>
      <w:r>
        <w:rPr>
          <w:rFonts w:hint="eastAsia"/>
          <w:color w:val="auto"/>
          <w:lang w:val="en-US" w:eastAsia="zh-CN"/>
        </w:rPr>
        <w:t>近年财务状况表</w:t>
      </w:r>
    </w:p>
    <w:p w14:paraId="37C7111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43079C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2E3CC30F">
      <w:pPr>
        <w:rPr>
          <w:rFonts w:hint="eastAsia"/>
          <w:color w:val="auto"/>
        </w:rPr>
      </w:pPr>
      <w:r>
        <w:rPr>
          <w:rFonts w:hint="eastAsia"/>
          <w:color w:val="auto"/>
        </w:rPr>
        <w:br w:type="page"/>
      </w:r>
    </w:p>
    <w:p w14:paraId="7FF02198">
      <w:pPr>
        <w:pStyle w:val="4"/>
        <w:rPr>
          <w:rFonts w:hint="default" w:ascii="Times New Roman" w:hAnsi="Times New Roman" w:cs="Times New Roman"/>
          <w:color w:val="auto"/>
        </w:rPr>
      </w:pPr>
      <w:r>
        <w:rPr>
          <w:rFonts w:hint="default" w:ascii="Times New Roman" w:hAnsi="Times New Roman" w:cs="Times New Roman"/>
          <w:color w:val="auto"/>
        </w:rPr>
        <w:t>（三）近年完成的类似项目情况表</w:t>
      </w:r>
    </w:p>
    <w:p w14:paraId="24768057">
      <w:pPr>
        <w:spacing w:line="440" w:lineRule="exact"/>
        <w:jc w:val="center"/>
        <w:rPr>
          <w:rFonts w:hint="default" w:ascii="Times New Roman" w:hAnsi="Times New Roman" w:eastAsia="黑体" w:cs="Times New Roman"/>
          <w:color w:val="auto"/>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F4A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7B980F">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项目</w:t>
            </w:r>
            <w:r>
              <w:rPr>
                <w:rFonts w:hint="default" w:ascii="Times New Roman" w:hAnsi="Times New Roman" w:cs="Times New Roman"/>
                <w:color w:val="auto"/>
                <w:szCs w:val="21"/>
              </w:rPr>
              <w:t>名称</w:t>
            </w:r>
          </w:p>
        </w:tc>
        <w:tc>
          <w:tcPr>
            <w:tcW w:w="6253" w:type="dxa"/>
            <w:noWrap w:val="0"/>
            <w:vAlign w:val="top"/>
          </w:tcPr>
          <w:p w14:paraId="09EDDA7F">
            <w:pPr>
              <w:topLinePunct/>
              <w:spacing w:line="440" w:lineRule="exact"/>
              <w:rPr>
                <w:rFonts w:hint="default" w:ascii="Times New Roman" w:hAnsi="Times New Roman" w:cs="Times New Roman"/>
                <w:color w:val="auto"/>
                <w:szCs w:val="21"/>
                <w:highlight w:val="black"/>
              </w:rPr>
            </w:pPr>
          </w:p>
        </w:tc>
      </w:tr>
      <w:tr w14:paraId="380E8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73AA3091">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项目所在地</w:t>
            </w:r>
          </w:p>
        </w:tc>
        <w:tc>
          <w:tcPr>
            <w:tcW w:w="6253" w:type="dxa"/>
            <w:noWrap w:val="0"/>
            <w:vAlign w:val="top"/>
          </w:tcPr>
          <w:p w14:paraId="507CE859">
            <w:pPr>
              <w:topLinePunct/>
              <w:spacing w:line="440" w:lineRule="exact"/>
              <w:rPr>
                <w:rFonts w:hint="default" w:ascii="Times New Roman" w:hAnsi="Times New Roman" w:cs="Times New Roman"/>
                <w:color w:val="auto"/>
                <w:szCs w:val="21"/>
                <w:highlight w:val="black"/>
              </w:rPr>
            </w:pPr>
          </w:p>
        </w:tc>
      </w:tr>
      <w:tr w14:paraId="6A24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2226113">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发包人名称</w:t>
            </w:r>
          </w:p>
        </w:tc>
        <w:tc>
          <w:tcPr>
            <w:tcW w:w="6253" w:type="dxa"/>
            <w:noWrap w:val="0"/>
            <w:vAlign w:val="top"/>
          </w:tcPr>
          <w:p w14:paraId="2910444F">
            <w:pPr>
              <w:topLinePunct/>
              <w:spacing w:line="440" w:lineRule="exact"/>
              <w:rPr>
                <w:rFonts w:hint="default" w:ascii="Times New Roman" w:hAnsi="Times New Roman" w:cs="Times New Roman"/>
                <w:color w:val="auto"/>
                <w:szCs w:val="21"/>
                <w:highlight w:val="black"/>
              </w:rPr>
            </w:pPr>
          </w:p>
        </w:tc>
      </w:tr>
      <w:tr w14:paraId="109B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2B4FBE">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发包人地址</w:t>
            </w:r>
          </w:p>
        </w:tc>
        <w:tc>
          <w:tcPr>
            <w:tcW w:w="6253" w:type="dxa"/>
            <w:noWrap w:val="0"/>
            <w:vAlign w:val="top"/>
          </w:tcPr>
          <w:p w14:paraId="542E735F">
            <w:pPr>
              <w:topLinePunct/>
              <w:spacing w:line="440" w:lineRule="exact"/>
              <w:rPr>
                <w:rFonts w:hint="default" w:ascii="Times New Roman" w:hAnsi="Times New Roman" w:cs="Times New Roman"/>
                <w:color w:val="auto"/>
                <w:szCs w:val="21"/>
                <w:highlight w:val="black"/>
              </w:rPr>
            </w:pPr>
          </w:p>
        </w:tc>
      </w:tr>
      <w:tr w14:paraId="18540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6924D64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发包人电话</w:t>
            </w:r>
          </w:p>
        </w:tc>
        <w:tc>
          <w:tcPr>
            <w:tcW w:w="6253" w:type="dxa"/>
            <w:noWrap w:val="0"/>
            <w:vAlign w:val="top"/>
          </w:tcPr>
          <w:p w14:paraId="49AD05B7">
            <w:pPr>
              <w:topLinePunct/>
              <w:spacing w:line="440" w:lineRule="exact"/>
              <w:rPr>
                <w:rFonts w:hint="default" w:ascii="Times New Roman" w:hAnsi="Times New Roman" w:cs="Times New Roman"/>
                <w:color w:val="auto"/>
                <w:szCs w:val="21"/>
              </w:rPr>
            </w:pPr>
          </w:p>
        </w:tc>
      </w:tr>
      <w:tr w14:paraId="42013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11EEE57">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78D1C833">
            <w:pPr>
              <w:topLinePunct/>
              <w:spacing w:line="440" w:lineRule="exact"/>
              <w:rPr>
                <w:rFonts w:hint="default" w:ascii="Times New Roman" w:hAnsi="Times New Roman" w:cs="Times New Roman"/>
                <w:color w:val="auto"/>
                <w:szCs w:val="21"/>
              </w:rPr>
            </w:pPr>
          </w:p>
        </w:tc>
      </w:tr>
      <w:tr w14:paraId="039BA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3E2E18A">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服务期限</w:t>
            </w:r>
          </w:p>
        </w:tc>
        <w:tc>
          <w:tcPr>
            <w:tcW w:w="6253" w:type="dxa"/>
            <w:noWrap w:val="0"/>
            <w:vAlign w:val="top"/>
          </w:tcPr>
          <w:p w14:paraId="12A22C6E">
            <w:pPr>
              <w:topLinePunct/>
              <w:spacing w:line="440" w:lineRule="exact"/>
              <w:rPr>
                <w:rFonts w:hint="default" w:ascii="Times New Roman" w:hAnsi="Times New Roman" w:cs="Times New Roman"/>
                <w:color w:val="auto"/>
                <w:szCs w:val="21"/>
              </w:rPr>
            </w:pPr>
          </w:p>
        </w:tc>
      </w:tr>
      <w:tr w14:paraId="2900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14:paraId="24B085F2">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服务内容</w:t>
            </w:r>
          </w:p>
        </w:tc>
        <w:tc>
          <w:tcPr>
            <w:tcW w:w="6253" w:type="dxa"/>
            <w:noWrap w:val="0"/>
            <w:vAlign w:val="top"/>
          </w:tcPr>
          <w:p w14:paraId="77CAE14D">
            <w:pPr>
              <w:topLinePunct/>
              <w:spacing w:line="440" w:lineRule="exact"/>
              <w:rPr>
                <w:rFonts w:hint="default" w:ascii="Times New Roman" w:hAnsi="Times New Roman" w:cs="Times New Roman"/>
                <w:color w:val="auto"/>
                <w:szCs w:val="21"/>
              </w:rPr>
            </w:pPr>
          </w:p>
        </w:tc>
      </w:tr>
      <w:tr w14:paraId="6608F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14:paraId="30B36CA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项目负责人</w:t>
            </w:r>
          </w:p>
        </w:tc>
        <w:tc>
          <w:tcPr>
            <w:tcW w:w="6253" w:type="dxa"/>
            <w:noWrap w:val="0"/>
            <w:vAlign w:val="top"/>
          </w:tcPr>
          <w:p w14:paraId="38B34F61">
            <w:pPr>
              <w:topLinePunct/>
              <w:spacing w:line="440" w:lineRule="exact"/>
              <w:rPr>
                <w:rFonts w:hint="default" w:ascii="Times New Roman" w:hAnsi="Times New Roman" w:cs="Times New Roman"/>
                <w:color w:val="auto"/>
                <w:szCs w:val="21"/>
              </w:rPr>
            </w:pPr>
          </w:p>
        </w:tc>
      </w:tr>
      <w:tr w14:paraId="5EE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18E8619">
            <w:pPr>
              <w:topLinePunct/>
              <w:spacing w:line="440" w:lineRule="exact"/>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项目</w:t>
            </w:r>
            <w:r>
              <w:rPr>
                <w:rFonts w:hint="eastAsia" w:ascii="Times New Roman" w:hAnsi="Times New Roman" w:cs="Times New Roman"/>
                <w:color w:val="auto"/>
                <w:szCs w:val="21"/>
                <w:lang w:val="en-US" w:eastAsia="zh-CN"/>
              </w:rPr>
              <w:t>描述</w:t>
            </w:r>
          </w:p>
        </w:tc>
        <w:tc>
          <w:tcPr>
            <w:tcW w:w="6253" w:type="dxa"/>
            <w:noWrap w:val="0"/>
            <w:vAlign w:val="top"/>
          </w:tcPr>
          <w:p w14:paraId="6BD7FA0A">
            <w:pPr>
              <w:topLinePunct/>
              <w:spacing w:line="440" w:lineRule="exact"/>
              <w:rPr>
                <w:rFonts w:hint="default" w:ascii="Times New Roman" w:hAnsi="Times New Roman" w:cs="Times New Roman"/>
                <w:color w:val="auto"/>
                <w:szCs w:val="21"/>
              </w:rPr>
            </w:pPr>
          </w:p>
          <w:p w14:paraId="68C95BFD">
            <w:pPr>
              <w:topLinePunct/>
              <w:spacing w:line="440" w:lineRule="exact"/>
              <w:rPr>
                <w:rFonts w:hint="default" w:ascii="Times New Roman" w:hAnsi="Times New Roman" w:cs="Times New Roman"/>
                <w:color w:val="auto"/>
                <w:szCs w:val="21"/>
              </w:rPr>
            </w:pPr>
          </w:p>
          <w:p w14:paraId="64C8EF13">
            <w:pPr>
              <w:topLinePunct/>
              <w:spacing w:line="440" w:lineRule="exact"/>
              <w:rPr>
                <w:rFonts w:hint="default" w:ascii="Times New Roman" w:hAnsi="Times New Roman" w:cs="Times New Roman"/>
                <w:color w:val="auto"/>
                <w:szCs w:val="21"/>
              </w:rPr>
            </w:pPr>
          </w:p>
          <w:p w14:paraId="08AD8D3F">
            <w:pPr>
              <w:topLinePunct/>
              <w:spacing w:line="440" w:lineRule="exact"/>
              <w:rPr>
                <w:rFonts w:hint="default" w:ascii="Times New Roman" w:hAnsi="Times New Roman" w:cs="Times New Roman"/>
                <w:color w:val="auto"/>
                <w:szCs w:val="21"/>
              </w:rPr>
            </w:pPr>
          </w:p>
          <w:p w14:paraId="740731F9">
            <w:pPr>
              <w:topLinePunct/>
              <w:spacing w:line="440" w:lineRule="exact"/>
              <w:rPr>
                <w:rFonts w:hint="default" w:ascii="Times New Roman" w:hAnsi="Times New Roman" w:cs="Times New Roman"/>
                <w:color w:val="auto"/>
                <w:szCs w:val="21"/>
              </w:rPr>
            </w:pPr>
          </w:p>
          <w:p w14:paraId="5777F655">
            <w:pPr>
              <w:topLinePunct/>
              <w:spacing w:line="440" w:lineRule="exact"/>
              <w:rPr>
                <w:rFonts w:hint="default" w:ascii="Times New Roman" w:hAnsi="Times New Roman" w:cs="Times New Roman"/>
                <w:color w:val="auto"/>
                <w:szCs w:val="21"/>
              </w:rPr>
            </w:pPr>
          </w:p>
          <w:p w14:paraId="31F09F56">
            <w:pPr>
              <w:topLinePunct/>
              <w:spacing w:line="440" w:lineRule="exact"/>
              <w:rPr>
                <w:rFonts w:hint="default" w:ascii="Times New Roman" w:hAnsi="Times New Roman" w:cs="Times New Roman"/>
                <w:color w:val="auto"/>
                <w:szCs w:val="21"/>
              </w:rPr>
            </w:pPr>
          </w:p>
        </w:tc>
      </w:tr>
      <w:tr w14:paraId="0BDF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2FB2D3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14A110D1">
            <w:pPr>
              <w:topLinePunct/>
              <w:spacing w:line="440" w:lineRule="exact"/>
              <w:rPr>
                <w:rFonts w:hint="default" w:ascii="Times New Roman" w:hAnsi="Times New Roman" w:cs="Times New Roman"/>
                <w:color w:val="auto"/>
                <w:szCs w:val="21"/>
              </w:rPr>
            </w:pPr>
          </w:p>
        </w:tc>
      </w:tr>
    </w:tbl>
    <w:p w14:paraId="4A8721A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注：投标人应根据投标人须知第3.5.3项的要求在本表后附相关证明材料；</w:t>
      </w:r>
    </w:p>
    <w:p w14:paraId="1AC8107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附：3.5.3 “近年完成的类似项目情况表”应附合同协议书；具体时间要求见投标人须知前附表，每张表格只填写一个项目，并标明序号。</w:t>
      </w:r>
    </w:p>
    <w:p w14:paraId="0B49FB77">
      <w:pPr>
        <w:rPr>
          <w:rFonts w:hint="eastAsia"/>
          <w:color w:val="auto"/>
        </w:rPr>
      </w:pPr>
      <w:r>
        <w:rPr>
          <w:rFonts w:hint="eastAsia"/>
          <w:color w:val="auto"/>
        </w:rPr>
        <w:br w:type="page"/>
      </w:r>
    </w:p>
    <w:p w14:paraId="2A34C2E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079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0FA92B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序号</w:t>
            </w:r>
          </w:p>
        </w:tc>
        <w:tc>
          <w:tcPr>
            <w:tcW w:w="948" w:type="pct"/>
            <w:vMerge w:val="restart"/>
            <w:vAlign w:val="center"/>
          </w:tcPr>
          <w:p w14:paraId="12F72D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本项目任职</w:t>
            </w:r>
          </w:p>
        </w:tc>
        <w:tc>
          <w:tcPr>
            <w:tcW w:w="466" w:type="pct"/>
            <w:vMerge w:val="restart"/>
            <w:vAlign w:val="center"/>
          </w:tcPr>
          <w:p w14:paraId="72B9EB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姓名</w:t>
            </w:r>
          </w:p>
        </w:tc>
        <w:tc>
          <w:tcPr>
            <w:tcW w:w="466" w:type="pct"/>
            <w:vMerge w:val="restart"/>
            <w:vAlign w:val="center"/>
          </w:tcPr>
          <w:p w14:paraId="5CDC113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职称</w:t>
            </w:r>
          </w:p>
        </w:tc>
        <w:tc>
          <w:tcPr>
            <w:tcW w:w="466" w:type="pct"/>
            <w:vMerge w:val="restart"/>
            <w:vAlign w:val="center"/>
          </w:tcPr>
          <w:p w14:paraId="0894B1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专业</w:t>
            </w:r>
          </w:p>
        </w:tc>
        <w:tc>
          <w:tcPr>
            <w:tcW w:w="1725" w:type="pct"/>
            <w:gridSpan w:val="3"/>
            <w:vAlign w:val="center"/>
          </w:tcPr>
          <w:p w14:paraId="1B7746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执业或职业资格证明</w:t>
            </w:r>
          </w:p>
        </w:tc>
        <w:tc>
          <w:tcPr>
            <w:tcW w:w="466" w:type="pct"/>
            <w:vMerge w:val="restart"/>
            <w:vAlign w:val="center"/>
          </w:tcPr>
          <w:p w14:paraId="61155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备注</w:t>
            </w:r>
          </w:p>
        </w:tc>
      </w:tr>
      <w:tr w14:paraId="639F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526AFE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Merge w:val="continue"/>
            <w:vAlign w:val="center"/>
          </w:tcPr>
          <w:p w14:paraId="0177CD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47770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634EC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1BC356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470E8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证明名称</w:t>
            </w:r>
          </w:p>
        </w:tc>
        <w:tc>
          <w:tcPr>
            <w:tcW w:w="466" w:type="pct"/>
            <w:vAlign w:val="center"/>
          </w:tcPr>
          <w:p w14:paraId="74F574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级别</w:t>
            </w:r>
          </w:p>
        </w:tc>
        <w:tc>
          <w:tcPr>
            <w:tcW w:w="471" w:type="pct"/>
            <w:vAlign w:val="center"/>
          </w:tcPr>
          <w:p w14:paraId="79DB0A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证号</w:t>
            </w:r>
          </w:p>
        </w:tc>
        <w:tc>
          <w:tcPr>
            <w:tcW w:w="466" w:type="pct"/>
            <w:vMerge w:val="continue"/>
            <w:vAlign w:val="center"/>
          </w:tcPr>
          <w:p w14:paraId="1F687A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398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227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C4613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8E08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AD16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7DF0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6930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000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CF260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EE72D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70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B72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9C1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7F13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2EE9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1D1A4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74C18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4AEF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59FCD2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EA38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21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579B1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2B234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F713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917F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7602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B42A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100B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4C707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466D0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155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6A33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927C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F2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AC3A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BF42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127B1B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2A625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DF4F2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7E4F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9D6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89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E95B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3C0E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B6F50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4370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9297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32ED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8CC8C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B5BE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AEA6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DC0B5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5AED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B4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54D5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F0D5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D4EDB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7798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2A3F9F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B017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5F7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9B31C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B02F86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E2046F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51C0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B5E2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107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6CFA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35B45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EAE6F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7E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1915A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EB1E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493C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6B93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1BBEE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ED4F6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B938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B167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B6DC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92D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9B5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DDBCD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845C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D285A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C33D9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9D3EF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194F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2D35C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B74D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D0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607D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04ED7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6B0D3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BEAC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5EF3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52F8A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E9F5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A876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C26E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05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832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ED7A7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F653B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2132C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94F5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9E9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83996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BABB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205DC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BD67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A907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4EA1A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86B8C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FB04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40F82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6235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A378B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8555F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0D1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B7F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E85B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EB45A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F4FBE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E00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585F9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B76A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F2D1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0AE6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EB16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0BC8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4BEB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84D8D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C4F9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493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584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E5216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1E14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7E24F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D206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84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81CD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5C923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3B17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F6A34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D8944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9FF2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06DA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52DB8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34986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06F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0007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F8151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A88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08E7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407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6C2D3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D92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76A7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0136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D63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2B0ED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1E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64D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EEC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A7D19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1DA94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A803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77E86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66875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01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CBFFA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E589C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AF44C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448B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4CB2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48D79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524C4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1FBA4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23EBE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F96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D93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EA70F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2BB1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08966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1D2FA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E1D1A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0DF4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EFC1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B9132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7A0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34B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049B4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69A1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6F6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D79F4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4EB13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8525A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7DD0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0B2B3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5B2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EFCA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3D284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AD998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DFB5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347E1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74D773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997E1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0327B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39E64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B76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2374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2A9BB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9E702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96386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C68BD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FC362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70B7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FEC00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7FE8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bl>
    <w:p w14:paraId="03A0B4A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0C61E68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68539975">
      <w:pPr>
        <w:rPr>
          <w:rFonts w:hint="eastAsia"/>
          <w:i/>
          <w:iCs/>
          <w:color w:val="auto"/>
          <w:u w:val="single"/>
          <w:lang w:val="en-US" w:eastAsia="zh-CN"/>
        </w:rPr>
      </w:pPr>
    </w:p>
    <w:p w14:paraId="570E989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D6F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921DE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515998D">
            <w:pPr>
              <w:jc w:val="center"/>
              <w:rPr>
                <w:rFonts w:hint="eastAsia"/>
                <w:i w:val="0"/>
                <w:iCs w:val="0"/>
                <w:color w:val="auto"/>
                <w:u w:val="none"/>
                <w:vertAlign w:val="baseline"/>
                <w:lang w:val="en-US" w:eastAsia="zh-CN"/>
              </w:rPr>
            </w:pPr>
          </w:p>
        </w:tc>
        <w:tc>
          <w:tcPr>
            <w:tcW w:w="1134" w:type="dxa"/>
            <w:vAlign w:val="center"/>
          </w:tcPr>
          <w:p w14:paraId="18368F1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473875D6">
            <w:pPr>
              <w:jc w:val="center"/>
              <w:rPr>
                <w:rFonts w:hint="eastAsia"/>
                <w:i w:val="0"/>
                <w:iCs w:val="0"/>
                <w:color w:val="auto"/>
                <w:u w:val="none"/>
                <w:vertAlign w:val="baseline"/>
                <w:lang w:val="en-US" w:eastAsia="zh-CN"/>
              </w:rPr>
            </w:pPr>
          </w:p>
        </w:tc>
        <w:tc>
          <w:tcPr>
            <w:tcW w:w="1701" w:type="dxa"/>
            <w:vAlign w:val="center"/>
          </w:tcPr>
          <w:p w14:paraId="301D6B9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3921082B">
            <w:pPr>
              <w:jc w:val="center"/>
              <w:rPr>
                <w:rFonts w:hint="eastAsia"/>
                <w:i w:val="0"/>
                <w:iCs w:val="0"/>
                <w:color w:val="auto"/>
                <w:u w:val="none"/>
                <w:vertAlign w:val="baseline"/>
                <w:lang w:val="en-US" w:eastAsia="zh-CN"/>
              </w:rPr>
            </w:pPr>
          </w:p>
        </w:tc>
      </w:tr>
      <w:tr w14:paraId="6170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3910C1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27EE113">
            <w:pPr>
              <w:jc w:val="center"/>
              <w:rPr>
                <w:rFonts w:hint="eastAsia"/>
                <w:i w:val="0"/>
                <w:iCs w:val="0"/>
                <w:color w:val="auto"/>
                <w:u w:val="none"/>
                <w:vertAlign w:val="baseline"/>
                <w:lang w:val="en-US" w:eastAsia="zh-CN"/>
              </w:rPr>
            </w:pPr>
          </w:p>
        </w:tc>
        <w:tc>
          <w:tcPr>
            <w:tcW w:w="1134" w:type="dxa"/>
            <w:vAlign w:val="center"/>
          </w:tcPr>
          <w:p w14:paraId="3BCEFA4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429D3297">
            <w:pPr>
              <w:jc w:val="center"/>
              <w:rPr>
                <w:rFonts w:hint="eastAsia"/>
                <w:i w:val="0"/>
                <w:iCs w:val="0"/>
                <w:color w:val="auto"/>
                <w:u w:val="none"/>
                <w:vertAlign w:val="baseline"/>
                <w:lang w:val="en-US" w:eastAsia="zh-CN"/>
              </w:rPr>
            </w:pPr>
          </w:p>
        </w:tc>
        <w:tc>
          <w:tcPr>
            <w:tcW w:w="1701" w:type="dxa"/>
            <w:vAlign w:val="center"/>
          </w:tcPr>
          <w:p w14:paraId="20DD56A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7400245D">
            <w:pPr>
              <w:jc w:val="center"/>
              <w:rPr>
                <w:rFonts w:hint="eastAsia"/>
                <w:i w:val="0"/>
                <w:iCs w:val="0"/>
                <w:color w:val="auto"/>
                <w:u w:val="none"/>
                <w:vertAlign w:val="baseline"/>
                <w:lang w:val="en-US" w:eastAsia="zh-CN"/>
              </w:rPr>
            </w:pPr>
          </w:p>
        </w:tc>
      </w:tr>
      <w:tr w14:paraId="2C44A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B502E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56486B6B">
            <w:pPr>
              <w:jc w:val="center"/>
              <w:rPr>
                <w:rFonts w:hint="eastAsia"/>
                <w:i w:val="0"/>
                <w:iCs w:val="0"/>
                <w:color w:val="auto"/>
                <w:u w:val="none"/>
                <w:vertAlign w:val="baseline"/>
                <w:lang w:val="en-US" w:eastAsia="zh-CN"/>
              </w:rPr>
            </w:pPr>
          </w:p>
        </w:tc>
        <w:tc>
          <w:tcPr>
            <w:tcW w:w="1701" w:type="dxa"/>
            <w:vAlign w:val="center"/>
          </w:tcPr>
          <w:p w14:paraId="5ACAF3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689E4492">
            <w:pPr>
              <w:jc w:val="center"/>
              <w:rPr>
                <w:rFonts w:hint="eastAsia"/>
                <w:i w:val="0"/>
                <w:iCs w:val="0"/>
                <w:color w:val="auto"/>
                <w:u w:val="none"/>
                <w:vertAlign w:val="baseline"/>
                <w:lang w:val="en-US" w:eastAsia="zh-CN"/>
              </w:rPr>
            </w:pPr>
          </w:p>
        </w:tc>
      </w:tr>
      <w:tr w14:paraId="38F83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82528C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4115D7A5">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0BE76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4FFFDE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241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DFCD8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3FEBDB3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28B5ABE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1564A12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4E23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55A82C0">
            <w:pPr>
              <w:jc w:val="center"/>
              <w:rPr>
                <w:rFonts w:hint="eastAsia"/>
                <w:i w:val="0"/>
                <w:iCs w:val="0"/>
                <w:color w:val="auto"/>
                <w:u w:val="none"/>
                <w:vertAlign w:val="baseline"/>
                <w:lang w:val="en-US" w:eastAsia="zh-CN"/>
              </w:rPr>
            </w:pPr>
          </w:p>
        </w:tc>
        <w:tc>
          <w:tcPr>
            <w:tcW w:w="3402" w:type="dxa"/>
            <w:gridSpan w:val="3"/>
            <w:vAlign w:val="center"/>
          </w:tcPr>
          <w:p w14:paraId="576474E8">
            <w:pPr>
              <w:jc w:val="center"/>
              <w:rPr>
                <w:rFonts w:hint="eastAsia"/>
                <w:i w:val="0"/>
                <w:iCs w:val="0"/>
                <w:color w:val="auto"/>
                <w:u w:val="none"/>
                <w:vertAlign w:val="baseline"/>
                <w:lang w:val="en-US" w:eastAsia="zh-CN"/>
              </w:rPr>
            </w:pPr>
          </w:p>
        </w:tc>
        <w:tc>
          <w:tcPr>
            <w:tcW w:w="1701" w:type="dxa"/>
            <w:vAlign w:val="center"/>
          </w:tcPr>
          <w:p w14:paraId="5FA6D6A9">
            <w:pPr>
              <w:jc w:val="center"/>
              <w:rPr>
                <w:rFonts w:hint="eastAsia"/>
                <w:i w:val="0"/>
                <w:iCs w:val="0"/>
                <w:color w:val="auto"/>
                <w:u w:val="none"/>
                <w:vertAlign w:val="baseline"/>
                <w:lang w:val="en-US" w:eastAsia="zh-CN"/>
              </w:rPr>
            </w:pPr>
          </w:p>
        </w:tc>
        <w:tc>
          <w:tcPr>
            <w:tcW w:w="2285" w:type="dxa"/>
            <w:vAlign w:val="center"/>
          </w:tcPr>
          <w:p w14:paraId="299CBF3C">
            <w:pPr>
              <w:jc w:val="center"/>
              <w:rPr>
                <w:rFonts w:hint="eastAsia"/>
                <w:i w:val="0"/>
                <w:iCs w:val="0"/>
                <w:color w:val="auto"/>
                <w:u w:val="none"/>
                <w:vertAlign w:val="baseline"/>
                <w:lang w:val="en-US" w:eastAsia="zh-CN"/>
              </w:rPr>
            </w:pPr>
          </w:p>
        </w:tc>
      </w:tr>
      <w:tr w14:paraId="7BA1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DF629FA">
            <w:pPr>
              <w:jc w:val="center"/>
              <w:rPr>
                <w:rFonts w:hint="eastAsia"/>
                <w:i w:val="0"/>
                <w:iCs w:val="0"/>
                <w:color w:val="auto"/>
                <w:u w:val="none"/>
                <w:vertAlign w:val="baseline"/>
                <w:lang w:val="en-US" w:eastAsia="zh-CN"/>
              </w:rPr>
            </w:pPr>
          </w:p>
        </w:tc>
        <w:tc>
          <w:tcPr>
            <w:tcW w:w="3402" w:type="dxa"/>
            <w:gridSpan w:val="3"/>
            <w:vAlign w:val="center"/>
          </w:tcPr>
          <w:p w14:paraId="251787C2">
            <w:pPr>
              <w:jc w:val="center"/>
              <w:rPr>
                <w:rFonts w:hint="eastAsia"/>
                <w:i w:val="0"/>
                <w:iCs w:val="0"/>
                <w:color w:val="auto"/>
                <w:u w:val="none"/>
                <w:vertAlign w:val="baseline"/>
                <w:lang w:val="en-US" w:eastAsia="zh-CN"/>
              </w:rPr>
            </w:pPr>
          </w:p>
        </w:tc>
        <w:tc>
          <w:tcPr>
            <w:tcW w:w="1701" w:type="dxa"/>
            <w:vAlign w:val="center"/>
          </w:tcPr>
          <w:p w14:paraId="411BFE53">
            <w:pPr>
              <w:jc w:val="center"/>
              <w:rPr>
                <w:rFonts w:hint="eastAsia"/>
                <w:i w:val="0"/>
                <w:iCs w:val="0"/>
                <w:color w:val="auto"/>
                <w:u w:val="none"/>
                <w:vertAlign w:val="baseline"/>
                <w:lang w:val="en-US" w:eastAsia="zh-CN"/>
              </w:rPr>
            </w:pPr>
          </w:p>
        </w:tc>
        <w:tc>
          <w:tcPr>
            <w:tcW w:w="2285" w:type="dxa"/>
            <w:vAlign w:val="center"/>
          </w:tcPr>
          <w:p w14:paraId="0C0CB8C4">
            <w:pPr>
              <w:jc w:val="center"/>
              <w:rPr>
                <w:rFonts w:hint="eastAsia"/>
                <w:i w:val="0"/>
                <w:iCs w:val="0"/>
                <w:color w:val="auto"/>
                <w:u w:val="none"/>
                <w:vertAlign w:val="baseline"/>
                <w:lang w:val="en-US" w:eastAsia="zh-CN"/>
              </w:rPr>
            </w:pPr>
          </w:p>
        </w:tc>
      </w:tr>
      <w:tr w14:paraId="783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AC8D7F3">
            <w:pPr>
              <w:jc w:val="center"/>
              <w:rPr>
                <w:rFonts w:hint="eastAsia"/>
                <w:i w:val="0"/>
                <w:iCs w:val="0"/>
                <w:color w:val="auto"/>
                <w:u w:val="none"/>
                <w:vertAlign w:val="baseline"/>
                <w:lang w:val="en-US" w:eastAsia="zh-CN"/>
              </w:rPr>
            </w:pPr>
          </w:p>
        </w:tc>
        <w:tc>
          <w:tcPr>
            <w:tcW w:w="3402" w:type="dxa"/>
            <w:gridSpan w:val="3"/>
            <w:vAlign w:val="center"/>
          </w:tcPr>
          <w:p w14:paraId="2BCF55D1">
            <w:pPr>
              <w:jc w:val="center"/>
              <w:rPr>
                <w:rFonts w:hint="eastAsia"/>
                <w:i w:val="0"/>
                <w:iCs w:val="0"/>
                <w:color w:val="auto"/>
                <w:u w:val="none"/>
                <w:vertAlign w:val="baseline"/>
                <w:lang w:val="en-US" w:eastAsia="zh-CN"/>
              </w:rPr>
            </w:pPr>
          </w:p>
        </w:tc>
        <w:tc>
          <w:tcPr>
            <w:tcW w:w="1701" w:type="dxa"/>
            <w:vAlign w:val="center"/>
          </w:tcPr>
          <w:p w14:paraId="3A51BBC7">
            <w:pPr>
              <w:jc w:val="center"/>
              <w:rPr>
                <w:rFonts w:hint="eastAsia"/>
                <w:i w:val="0"/>
                <w:iCs w:val="0"/>
                <w:color w:val="auto"/>
                <w:u w:val="none"/>
                <w:vertAlign w:val="baseline"/>
                <w:lang w:val="en-US" w:eastAsia="zh-CN"/>
              </w:rPr>
            </w:pPr>
          </w:p>
        </w:tc>
        <w:tc>
          <w:tcPr>
            <w:tcW w:w="2285" w:type="dxa"/>
            <w:vAlign w:val="center"/>
          </w:tcPr>
          <w:p w14:paraId="2D9D45C2">
            <w:pPr>
              <w:jc w:val="center"/>
              <w:rPr>
                <w:rFonts w:hint="eastAsia"/>
                <w:i w:val="0"/>
                <w:iCs w:val="0"/>
                <w:color w:val="auto"/>
                <w:u w:val="none"/>
                <w:vertAlign w:val="baseline"/>
                <w:lang w:val="en-US" w:eastAsia="zh-CN"/>
              </w:rPr>
            </w:pPr>
          </w:p>
        </w:tc>
      </w:tr>
      <w:tr w14:paraId="395BD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16923D5">
            <w:pPr>
              <w:jc w:val="center"/>
              <w:rPr>
                <w:rFonts w:hint="eastAsia"/>
                <w:i w:val="0"/>
                <w:iCs w:val="0"/>
                <w:color w:val="auto"/>
                <w:u w:val="none"/>
                <w:vertAlign w:val="baseline"/>
                <w:lang w:val="en-US" w:eastAsia="zh-CN"/>
              </w:rPr>
            </w:pPr>
          </w:p>
        </w:tc>
        <w:tc>
          <w:tcPr>
            <w:tcW w:w="3402" w:type="dxa"/>
            <w:gridSpan w:val="3"/>
            <w:vAlign w:val="center"/>
          </w:tcPr>
          <w:p w14:paraId="341463EA">
            <w:pPr>
              <w:jc w:val="center"/>
              <w:rPr>
                <w:rFonts w:hint="eastAsia"/>
                <w:i w:val="0"/>
                <w:iCs w:val="0"/>
                <w:color w:val="auto"/>
                <w:u w:val="none"/>
                <w:vertAlign w:val="baseline"/>
                <w:lang w:val="en-US" w:eastAsia="zh-CN"/>
              </w:rPr>
            </w:pPr>
          </w:p>
        </w:tc>
        <w:tc>
          <w:tcPr>
            <w:tcW w:w="1701" w:type="dxa"/>
            <w:vAlign w:val="center"/>
          </w:tcPr>
          <w:p w14:paraId="50C68391">
            <w:pPr>
              <w:jc w:val="center"/>
              <w:rPr>
                <w:rFonts w:hint="eastAsia"/>
                <w:i w:val="0"/>
                <w:iCs w:val="0"/>
                <w:color w:val="auto"/>
                <w:u w:val="none"/>
                <w:vertAlign w:val="baseline"/>
                <w:lang w:val="en-US" w:eastAsia="zh-CN"/>
              </w:rPr>
            </w:pPr>
          </w:p>
        </w:tc>
        <w:tc>
          <w:tcPr>
            <w:tcW w:w="2285" w:type="dxa"/>
            <w:vAlign w:val="center"/>
          </w:tcPr>
          <w:p w14:paraId="0A6240C5">
            <w:pPr>
              <w:jc w:val="center"/>
              <w:rPr>
                <w:rFonts w:hint="eastAsia"/>
                <w:i w:val="0"/>
                <w:iCs w:val="0"/>
                <w:color w:val="auto"/>
                <w:u w:val="none"/>
                <w:vertAlign w:val="baseline"/>
                <w:lang w:val="en-US" w:eastAsia="zh-CN"/>
              </w:rPr>
            </w:pPr>
          </w:p>
        </w:tc>
      </w:tr>
      <w:tr w14:paraId="6B923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1DF65D7">
            <w:pPr>
              <w:jc w:val="center"/>
              <w:rPr>
                <w:rFonts w:hint="eastAsia"/>
                <w:i w:val="0"/>
                <w:iCs w:val="0"/>
                <w:color w:val="auto"/>
                <w:u w:val="none"/>
                <w:vertAlign w:val="baseline"/>
                <w:lang w:val="en-US" w:eastAsia="zh-CN"/>
              </w:rPr>
            </w:pPr>
          </w:p>
        </w:tc>
        <w:tc>
          <w:tcPr>
            <w:tcW w:w="3402" w:type="dxa"/>
            <w:gridSpan w:val="3"/>
            <w:vAlign w:val="center"/>
          </w:tcPr>
          <w:p w14:paraId="544DF33C">
            <w:pPr>
              <w:jc w:val="center"/>
              <w:rPr>
                <w:rFonts w:hint="eastAsia"/>
                <w:i w:val="0"/>
                <w:iCs w:val="0"/>
                <w:color w:val="auto"/>
                <w:u w:val="none"/>
                <w:vertAlign w:val="baseline"/>
                <w:lang w:val="en-US" w:eastAsia="zh-CN"/>
              </w:rPr>
            </w:pPr>
          </w:p>
        </w:tc>
        <w:tc>
          <w:tcPr>
            <w:tcW w:w="1701" w:type="dxa"/>
            <w:vAlign w:val="center"/>
          </w:tcPr>
          <w:p w14:paraId="4C3EBB8D">
            <w:pPr>
              <w:jc w:val="center"/>
              <w:rPr>
                <w:rFonts w:hint="eastAsia"/>
                <w:i w:val="0"/>
                <w:iCs w:val="0"/>
                <w:color w:val="auto"/>
                <w:u w:val="none"/>
                <w:vertAlign w:val="baseline"/>
                <w:lang w:val="en-US" w:eastAsia="zh-CN"/>
              </w:rPr>
            </w:pPr>
          </w:p>
        </w:tc>
        <w:tc>
          <w:tcPr>
            <w:tcW w:w="2285" w:type="dxa"/>
            <w:vAlign w:val="center"/>
          </w:tcPr>
          <w:p w14:paraId="4A65B8EA">
            <w:pPr>
              <w:jc w:val="center"/>
              <w:rPr>
                <w:rFonts w:hint="eastAsia"/>
                <w:i w:val="0"/>
                <w:iCs w:val="0"/>
                <w:color w:val="auto"/>
                <w:u w:val="none"/>
                <w:vertAlign w:val="baseline"/>
                <w:lang w:val="en-US" w:eastAsia="zh-CN"/>
              </w:rPr>
            </w:pPr>
          </w:p>
        </w:tc>
      </w:tr>
      <w:tr w14:paraId="6CBF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DE0C9FC">
            <w:pPr>
              <w:jc w:val="center"/>
              <w:rPr>
                <w:rFonts w:hint="eastAsia"/>
                <w:i w:val="0"/>
                <w:iCs w:val="0"/>
                <w:color w:val="auto"/>
                <w:u w:val="none"/>
                <w:vertAlign w:val="baseline"/>
                <w:lang w:val="en-US" w:eastAsia="zh-CN"/>
              </w:rPr>
            </w:pPr>
          </w:p>
        </w:tc>
        <w:tc>
          <w:tcPr>
            <w:tcW w:w="3402" w:type="dxa"/>
            <w:gridSpan w:val="3"/>
            <w:vAlign w:val="center"/>
          </w:tcPr>
          <w:p w14:paraId="20AD5F06">
            <w:pPr>
              <w:jc w:val="center"/>
              <w:rPr>
                <w:rFonts w:hint="eastAsia"/>
                <w:i w:val="0"/>
                <w:iCs w:val="0"/>
                <w:color w:val="auto"/>
                <w:u w:val="none"/>
                <w:vertAlign w:val="baseline"/>
                <w:lang w:val="en-US" w:eastAsia="zh-CN"/>
              </w:rPr>
            </w:pPr>
          </w:p>
        </w:tc>
        <w:tc>
          <w:tcPr>
            <w:tcW w:w="1701" w:type="dxa"/>
            <w:vAlign w:val="center"/>
          </w:tcPr>
          <w:p w14:paraId="1D34571D">
            <w:pPr>
              <w:jc w:val="center"/>
              <w:rPr>
                <w:rFonts w:hint="eastAsia"/>
                <w:i w:val="0"/>
                <w:iCs w:val="0"/>
                <w:color w:val="auto"/>
                <w:u w:val="none"/>
                <w:vertAlign w:val="baseline"/>
                <w:lang w:val="en-US" w:eastAsia="zh-CN"/>
              </w:rPr>
            </w:pPr>
          </w:p>
        </w:tc>
        <w:tc>
          <w:tcPr>
            <w:tcW w:w="2285" w:type="dxa"/>
            <w:vAlign w:val="center"/>
          </w:tcPr>
          <w:p w14:paraId="7DD82E25">
            <w:pPr>
              <w:jc w:val="center"/>
              <w:rPr>
                <w:rFonts w:hint="eastAsia"/>
                <w:i w:val="0"/>
                <w:iCs w:val="0"/>
                <w:color w:val="auto"/>
                <w:u w:val="none"/>
                <w:vertAlign w:val="baseline"/>
                <w:lang w:val="en-US" w:eastAsia="zh-CN"/>
              </w:rPr>
            </w:pPr>
          </w:p>
        </w:tc>
      </w:tr>
      <w:tr w14:paraId="785C0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CA82152">
            <w:pPr>
              <w:jc w:val="center"/>
              <w:rPr>
                <w:rFonts w:hint="eastAsia"/>
                <w:i w:val="0"/>
                <w:iCs w:val="0"/>
                <w:color w:val="auto"/>
                <w:u w:val="none"/>
                <w:vertAlign w:val="baseline"/>
                <w:lang w:val="en-US" w:eastAsia="zh-CN"/>
              </w:rPr>
            </w:pPr>
          </w:p>
        </w:tc>
        <w:tc>
          <w:tcPr>
            <w:tcW w:w="3402" w:type="dxa"/>
            <w:gridSpan w:val="3"/>
            <w:vAlign w:val="center"/>
          </w:tcPr>
          <w:p w14:paraId="1B2D454E">
            <w:pPr>
              <w:jc w:val="center"/>
              <w:rPr>
                <w:rFonts w:hint="eastAsia"/>
                <w:i w:val="0"/>
                <w:iCs w:val="0"/>
                <w:color w:val="auto"/>
                <w:u w:val="none"/>
                <w:vertAlign w:val="baseline"/>
                <w:lang w:val="en-US" w:eastAsia="zh-CN"/>
              </w:rPr>
            </w:pPr>
          </w:p>
        </w:tc>
        <w:tc>
          <w:tcPr>
            <w:tcW w:w="1701" w:type="dxa"/>
            <w:vAlign w:val="center"/>
          </w:tcPr>
          <w:p w14:paraId="47F029EF">
            <w:pPr>
              <w:jc w:val="center"/>
              <w:rPr>
                <w:rFonts w:hint="eastAsia"/>
                <w:i w:val="0"/>
                <w:iCs w:val="0"/>
                <w:color w:val="auto"/>
                <w:u w:val="none"/>
                <w:vertAlign w:val="baseline"/>
                <w:lang w:val="en-US" w:eastAsia="zh-CN"/>
              </w:rPr>
            </w:pPr>
          </w:p>
        </w:tc>
        <w:tc>
          <w:tcPr>
            <w:tcW w:w="2285" w:type="dxa"/>
            <w:vAlign w:val="center"/>
          </w:tcPr>
          <w:p w14:paraId="57F5A499">
            <w:pPr>
              <w:jc w:val="center"/>
              <w:rPr>
                <w:rFonts w:hint="eastAsia"/>
                <w:i w:val="0"/>
                <w:iCs w:val="0"/>
                <w:color w:val="auto"/>
                <w:u w:val="none"/>
                <w:vertAlign w:val="baseline"/>
                <w:lang w:val="en-US" w:eastAsia="zh-CN"/>
              </w:rPr>
            </w:pPr>
          </w:p>
        </w:tc>
      </w:tr>
    </w:tbl>
    <w:p w14:paraId="3C6DDB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2D8114C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1AF8423">
      <w:pPr>
        <w:rPr>
          <w:rFonts w:hint="eastAsia"/>
          <w:i/>
          <w:iCs/>
          <w:color w:val="auto"/>
          <w:u w:val="single"/>
          <w:lang w:val="en-US" w:eastAsia="zh-CN"/>
        </w:rPr>
      </w:pPr>
      <w:r>
        <w:rPr>
          <w:rFonts w:hint="eastAsia"/>
          <w:i/>
          <w:iCs/>
          <w:color w:val="auto"/>
          <w:u w:val="single"/>
          <w:lang w:val="en-US" w:eastAsia="zh-CN"/>
        </w:rPr>
        <w:br w:type="page"/>
      </w:r>
    </w:p>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14:paraId="7A66757E">
      <w:pPr>
        <w:pStyle w:val="3"/>
        <w:jc w:val="center"/>
        <w:rPr>
          <w:rFonts w:hint="default" w:eastAsia="黑体"/>
          <w:color w:val="auto"/>
          <w:highlight w:val="none"/>
          <w:lang w:val="en-US" w:eastAsia="zh-CN"/>
        </w:rPr>
      </w:pPr>
      <w:r>
        <w:rPr>
          <w:rFonts w:hint="eastAsia"/>
          <w:color w:val="auto"/>
          <w:highlight w:val="none"/>
          <w:lang w:val="en-US" w:eastAsia="zh-CN"/>
        </w:rPr>
        <w:t>六</w:t>
      </w:r>
      <w:r>
        <w:rPr>
          <w:color w:val="auto"/>
          <w:highlight w:val="none"/>
        </w:rPr>
        <w:t>、</w:t>
      </w:r>
      <w:r>
        <w:rPr>
          <w:rFonts w:hint="eastAsia"/>
          <w:color w:val="auto"/>
          <w:highlight w:val="none"/>
          <w:lang w:val="en-US" w:eastAsia="zh-CN"/>
        </w:rPr>
        <w:t>服务方案</w:t>
      </w:r>
    </w:p>
    <w:p w14:paraId="6B9C013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服务方案应包括（但不限于）下列内容：</w:t>
      </w:r>
    </w:p>
    <w:p w14:paraId="3C06D17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一、项目概况；</w:t>
      </w:r>
    </w:p>
    <w:p w14:paraId="2AD6823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二、服务范围、服务内容；</w:t>
      </w:r>
    </w:p>
    <w:p w14:paraId="5B40B12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三、工作依据、工作目标；</w:t>
      </w:r>
    </w:p>
    <w:p w14:paraId="774AD1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四、机构设置（框图）、岗位职责；</w:t>
      </w:r>
    </w:p>
    <w:p w14:paraId="28715B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五、服务说明和服务方案；</w:t>
      </w:r>
    </w:p>
    <w:p w14:paraId="0674CDA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六、拟投入的主要人员；</w:t>
      </w:r>
    </w:p>
    <w:p w14:paraId="26E863E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七、质量、进度、保密等保证措施；</w:t>
      </w:r>
    </w:p>
    <w:p w14:paraId="707759A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八、安全保证措施；</w:t>
      </w:r>
    </w:p>
    <w:p w14:paraId="07FDE62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九、工作重点、难点分析</w:t>
      </w:r>
    </w:p>
    <w:p w14:paraId="096704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十、对本项目的合理化建议。</w:t>
      </w:r>
    </w:p>
    <w:p w14:paraId="6007BD3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十一、应急响应措施。</w:t>
      </w:r>
    </w:p>
    <w:p w14:paraId="6E75BA2E">
      <w:pPr>
        <w:rPr>
          <w:rFonts w:hint="default" w:ascii="Times New Roman" w:hAnsi="Times New Roman" w:cs="Times New Roman"/>
          <w:color w:val="auto"/>
        </w:rPr>
      </w:pPr>
    </w:p>
    <w:p w14:paraId="2652B745">
      <w:pPr>
        <w:rPr>
          <w:rFonts w:hint="default" w:ascii="Times New Roman" w:hAnsi="Times New Roman" w:cs="Times New Roman"/>
          <w:color w:val="auto"/>
        </w:rPr>
      </w:pPr>
    </w:p>
    <w:p w14:paraId="5537AC95">
      <w:pPr>
        <w:rPr>
          <w:rFonts w:hint="default" w:ascii="Times New Roman" w:hAnsi="Times New Roman" w:cs="Times New Roman"/>
          <w:color w:val="auto"/>
        </w:rPr>
      </w:pPr>
    </w:p>
    <w:p w14:paraId="08365121">
      <w:pPr>
        <w:rPr>
          <w:rFonts w:hint="default" w:ascii="Times New Roman" w:hAnsi="Times New Roman" w:cs="Times New Roman"/>
          <w:color w:val="auto"/>
        </w:rPr>
      </w:pPr>
    </w:p>
    <w:p w14:paraId="2C4CC23E">
      <w:pPr>
        <w:rPr>
          <w:rFonts w:hint="default" w:ascii="Times New Roman" w:hAnsi="Times New Roman" w:cs="Times New Roman"/>
          <w:color w:val="auto"/>
        </w:rPr>
      </w:pPr>
    </w:p>
    <w:p w14:paraId="2AE6B910">
      <w:pPr>
        <w:rPr>
          <w:rFonts w:hint="default" w:ascii="Times New Roman" w:hAnsi="Times New Roman" w:cs="Times New Roman"/>
          <w:color w:val="auto"/>
        </w:rPr>
      </w:pPr>
    </w:p>
    <w:p w14:paraId="20D88DD2">
      <w:pPr>
        <w:rPr>
          <w:rFonts w:hint="default" w:ascii="Times New Roman" w:hAnsi="Times New Roman" w:cs="Times New Roman"/>
          <w:color w:val="auto"/>
        </w:rPr>
      </w:pPr>
    </w:p>
    <w:p w14:paraId="12795A46">
      <w:pPr>
        <w:rPr>
          <w:rFonts w:hint="default" w:ascii="Times New Roman" w:hAnsi="Times New Roman" w:cs="Times New Roman"/>
          <w:color w:val="auto"/>
        </w:rPr>
      </w:pPr>
    </w:p>
    <w:p w14:paraId="26A9E655">
      <w:pPr>
        <w:rPr>
          <w:rFonts w:hint="default" w:ascii="Times New Roman" w:hAnsi="Times New Roman" w:cs="Times New Roman"/>
          <w:color w:val="auto"/>
        </w:rPr>
      </w:pPr>
    </w:p>
    <w:p w14:paraId="38693604">
      <w:pPr>
        <w:rPr>
          <w:rFonts w:hint="default" w:ascii="Times New Roman" w:hAnsi="Times New Roman" w:cs="Times New Roman"/>
          <w:color w:val="auto"/>
        </w:rPr>
      </w:pPr>
    </w:p>
    <w:p w14:paraId="699DB1DB">
      <w:pPr>
        <w:rPr>
          <w:rFonts w:hint="default" w:ascii="Times New Roman" w:hAnsi="Times New Roman" w:cs="Times New Roman"/>
          <w:color w:val="auto"/>
        </w:rPr>
      </w:pPr>
    </w:p>
    <w:p w14:paraId="1498F519">
      <w:pPr>
        <w:rPr>
          <w:rFonts w:hint="default" w:ascii="Times New Roman" w:hAnsi="Times New Roman" w:cs="Times New Roman"/>
          <w:color w:val="auto"/>
        </w:rPr>
      </w:pPr>
    </w:p>
    <w:p w14:paraId="0EF8B6EF">
      <w:pPr>
        <w:rPr>
          <w:rFonts w:hint="default" w:ascii="Times New Roman" w:hAnsi="Times New Roman" w:cs="Times New Roman"/>
          <w:color w:val="auto"/>
        </w:rPr>
      </w:pPr>
    </w:p>
    <w:p w14:paraId="50A4A4DF">
      <w:pPr>
        <w:rPr>
          <w:rFonts w:hint="default" w:ascii="Times New Roman" w:hAnsi="Times New Roman" w:cs="Times New Roman"/>
          <w:color w:val="auto"/>
        </w:rPr>
      </w:pPr>
    </w:p>
    <w:p w14:paraId="0D9B8DA8">
      <w:pPr>
        <w:rPr>
          <w:rFonts w:hint="default" w:ascii="Times New Roman" w:hAnsi="Times New Roman" w:cs="Times New Roman"/>
          <w:color w:val="auto"/>
        </w:rPr>
      </w:pPr>
    </w:p>
    <w:p w14:paraId="0D824AD3">
      <w:pPr>
        <w:rPr>
          <w:rFonts w:hint="default" w:ascii="Times New Roman" w:hAnsi="Times New Roman" w:cs="Times New Roman"/>
          <w:color w:val="auto"/>
        </w:rPr>
      </w:pPr>
    </w:p>
    <w:p w14:paraId="06068D65">
      <w:pPr>
        <w:rPr>
          <w:rFonts w:hint="default" w:ascii="Times New Roman" w:hAnsi="Times New Roman" w:cs="Times New Roman"/>
          <w:color w:val="auto"/>
        </w:rPr>
      </w:pPr>
    </w:p>
    <w:p w14:paraId="113A7F82">
      <w:pPr>
        <w:rPr>
          <w:rFonts w:hint="default" w:ascii="Times New Roman" w:hAnsi="Times New Roman" w:cs="Times New Roman"/>
          <w:color w:val="auto"/>
        </w:rPr>
      </w:pPr>
    </w:p>
    <w:p w14:paraId="4BDA18E8">
      <w:pPr>
        <w:rPr>
          <w:rFonts w:hint="default" w:ascii="Times New Roman" w:hAnsi="Times New Roman" w:cs="Times New Roman"/>
          <w:color w:val="auto"/>
        </w:rPr>
      </w:pPr>
    </w:p>
    <w:p w14:paraId="665A33B3">
      <w:pPr>
        <w:rPr>
          <w:rFonts w:hint="default" w:ascii="Times New Roman" w:hAnsi="Times New Roman" w:cs="Times New Roman"/>
          <w:color w:val="auto"/>
        </w:rPr>
      </w:pPr>
    </w:p>
    <w:p w14:paraId="20D894EC">
      <w:pPr>
        <w:rPr>
          <w:rFonts w:hint="default" w:ascii="Times New Roman" w:hAnsi="Times New Roman" w:cs="Times New Roman"/>
          <w:color w:val="auto"/>
        </w:rPr>
      </w:pPr>
    </w:p>
    <w:p w14:paraId="3F2E8BF6">
      <w:pPr>
        <w:rPr>
          <w:rFonts w:hint="default" w:ascii="Times New Roman" w:hAnsi="Times New Roman" w:cs="Times New Roman"/>
          <w:color w:val="auto"/>
        </w:rPr>
      </w:pPr>
    </w:p>
    <w:p w14:paraId="0220E37A">
      <w:pPr>
        <w:rPr>
          <w:rFonts w:hint="default" w:ascii="Times New Roman" w:hAnsi="Times New Roman" w:cs="Times New Roman"/>
          <w:color w:val="auto"/>
        </w:rPr>
      </w:pPr>
    </w:p>
    <w:p w14:paraId="78607E05">
      <w:pPr>
        <w:rPr>
          <w:rFonts w:hint="default" w:ascii="Times New Roman" w:hAnsi="Times New Roman" w:cs="Times New Roman"/>
          <w:color w:val="auto"/>
        </w:rPr>
      </w:pPr>
    </w:p>
    <w:p w14:paraId="5BCE5355">
      <w:pPr>
        <w:rPr>
          <w:rFonts w:hint="default" w:ascii="Times New Roman" w:hAnsi="Times New Roman" w:cs="Times New Roman"/>
          <w:color w:val="auto"/>
        </w:rPr>
      </w:pPr>
    </w:p>
    <w:p w14:paraId="1273F0AF">
      <w:pPr>
        <w:pStyle w:val="3"/>
        <w:jc w:val="center"/>
        <w:rPr>
          <w:rFonts w:hint="default" w:ascii="Times New Roman" w:hAnsi="Times New Roman" w:cs="Times New Roman"/>
          <w:color w:val="auto"/>
        </w:rPr>
      </w:pPr>
      <w:bookmarkStart w:id="144" w:name="_Toc300835233"/>
      <w:bookmarkStart w:id="145" w:name="_Toc271821942"/>
      <w:r>
        <w:rPr>
          <w:rFonts w:hint="eastAsia" w:ascii="Times New Roman" w:hAnsi="Times New Roman" w:cs="Times New Roman"/>
          <w:color w:val="auto"/>
          <w:lang w:val="en-US" w:eastAsia="zh-CN"/>
        </w:rPr>
        <w:t>七</w:t>
      </w:r>
      <w:r>
        <w:rPr>
          <w:rFonts w:hint="default" w:ascii="Times New Roman" w:hAnsi="Times New Roman" w:cs="Times New Roman"/>
          <w:color w:val="auto"/>
        </w:rPr>
        <w:t>、其他资料</w:t>
      </w:r>
      <w:bookmarkEnd w:id="144"/>
      <w:bookmarkEnd w:id="145"/>
    </w:p>
    <w:p w14:paraId="1A56EC3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章“投标文件格式”未详尽列举，但招标文件要求或</w:t>
      </w:r>
      <w:r>
        <w:rPr>
          <w:rFonts w:hint="eastAsia" w:ascii="Times New Roman" w:hAnsi="Times New Roman"/>
          <w:color w:val="auto"/>
          <w:lang w:val="en-US" w:eastAsia="zh-CN"/>
        </w:rPr>
        <w:t>投标人认为</w:t>
      </w:r>
      <w:r>
        <w:rPr>
          <w:rFonts w:hint="eastAsia" w:ascii="Times New Roman" w:hAnsi="Times New Roman"/>
          <w:color w:val="auto"/>
        </w:rPr>
        <w:t>有必要提供的资料</w:t>
      </w:r>
      <w:r>
        <w:rPr>
          <w:rFonts w:hint="eastAsia" w:ascii="Times New Roman" w:hAnsi="Times New Roman"/>
          <w:color w:val="auto"/>
          <w:lang w:eastAsia="zh-CN"/>
        </w:rPr>
        <w:t>。</w:t>
      </w:r>
    </w:p>
    <w:p w14:paraId="68066C77">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50EA347-1338-4871-9E24-ECE0EFB887C3}"/>
  </w:font>
  <w:font w:name="Arial">
    <w:panose1 w:val="020B0604020202020204"/>
    <w:charset w:val="01"/>
    <w:family w:val="swiss"/>
    <w:pitch w:val="default"/>
    <w:sig w:usb0="E0002EFF" w:usb1="C000785B" w:usb2="00000009" w:usb3="00000000" w:csb0="400001FF" w:csb1="FFFF0000"/>
    <w:embedRegular r:id="rId2" w:fontKey="{53E3DA52-63A8-4842-B155-91051190AC15}"/>
  </w:font>
  <w:font w:name="黑体">
    <w:panose1 w:val="02010609060101010101"/>
    <w:charset w:val="86"/>
    <w:family w:val="auto"/>
    <w:pitch w:val="default"/>
    <w:sig w:usb0="800002BF" w:usb1="38CF7CFA" w:usb2="00000016" w:usb3="00000000" w:csb0="00040001" w:csb1="00000000"/>
    <w:embedRegular r:id="rId3" w:fontKey="{1819EBAF-7DD8-4960-BF8D-02D877BF5CC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8F7EC4C-B3AE-4489-861B-F969DBCE1839}"/>
  </w:font>
  <w:font w:name="仿宋_GB2312">
    <w:panose1 w:val="02010609030101010101"/>
    <w:charset w:val="86"/>
    <w:family w:val="modern"/>
    <w:pitch w:val="default"/>
    <w:sig w:usb0="00000001" w:usb1="080E0000" w:usb2="00000000" w:usb3="00000000" w:csb0="00040000" w:csb1="00000000"/>
    <w:embedRegular r:id="rId5" w:fontKey="{352AF97B-1CEE-4A9F-A6FB-C421DEF0DD0D}"/>
  </w:font>
  <w:font w:name="方正小标宋简体">
    <w:panose1 w:val="03000509000000000000"/>
    <w:charset w:val="86"/>
    <w:family w:val="auto"/>
    <w:pitch w:val="default"/>
    <w:sig w:usb0="00000001" w:usb1="080E0000" w:usb2="00000000" w:usb3="00000000" w:csb0="00040000" w:csb1="00000000"/>
    <w:embedRegular r:id="rId6" w:fontKey="{82002F5F-E5B5-4C3F-9986-C82507EECA55}"/>
  </w:font>
  <w:font w:name="楷体">
    <w:panose1 w:val="02010609060101010101"/>
    <w:charset w:val="86"/>
    <w:family w:val="auto"/>
    <w:pitch w:val="default"/>
    <w:sig w:usb0="800002BF" w:usb1="38CF7CFA" w:usb2="00000016" w:usb3="00000000" w:csb0="00040001" w:csb1="00000000"/>
    <w:embedRegular r:id="rId7" w:fontKey="{95214FD4-3556-494D-B040-6169C74B2F14}"/>
  </w:font>
  <w:font w:name="Wingdings 2">
    <w:panose1 w:val="05020102010507070707"/>
    <w:charset w:val="00"/>
    <w:family w:val="auto"/>
    <w:pitch w:val="default"/>
    <w:sig w:usb0="00000000" w:usb1="00000000" w:usb2="00000000" w:usb3="00000000" w:csb0="80000000" w:csb1="00000000"/>
    <w:embedRegular r:id="rId8" w:fontKey="{131CFDB8-0AD6-43CB-AB7A-663889B7223E}"/>
  </w:font>
  <w:font w:name="方正仿宋_GB2312">
    <w:panose1 w:val="02000000000000000000"/>
    <w:charset w:val="86"/>
    <w:family w:val="auto"/>
    <w:pitch w:val="default"/>
    <w:sig w:usb0="A00002BF" w:usb1="184F6CFA" w:usb2="00000012" w:usb3="00000000" w:csb0="00040001" w:csb1="00000000"/>
    <w:embedRegular r:id="rId9" w:fontKey="{9DA1BA41-1D63-4058-BCD2-1D444A9438EB}"/>
  </w:font>
  <w:font w:name="方正楷体_GB2312">
    <w:panose1 w:val="02000000000000000000"/>
    <w:charset w:val="86"/>
    <w:family w:val="auto"/>
    <w:pitch w:val="default"/>
    <w:sig w:usb0="A00002BF" w:usb1="184F6CFA" w:usb2="00000012" w:usb3="00000000" w:csb0="00040001" w:csb1="00000000"/>
    <w:embedRegular r:id="rId10" w:fontKey="{AF987FA9-DC82-4333-8058-426E9B4F4226}"/>
  </w:font>
  <w:font w:name="华文中宋">
    <w:panose1 w:val="02010600040101010101"/>
    <w:charset w:val="86"/>
    <w:family w:val="auto"/>
    <w:pitch w:val="default"/>
    <w:sig w:usb0="00000287" w:usb1="080F0000" w:usb2="00000000" w:usb3="00000000" w:csb0="0004009F" w:csb1="DFD70000"/>
    <w:embedRegular r:id="rId11" w:fontKey="{45A1339F-951B-4F6D-8457-6C0CA4EAC431}"/>
  </w:font>
  <w:font w:name="Arial Unicode MS">
    <w:panose1 w:val="020B0604020202020204"/>
    <w:charset w:val="86"/>
    <w:family w:val="auto"/>
    <w:pitch w:val="default"/>
    <w:sig w:usb0="FFFFFFFF" w:usb1="E9FFFFFF" w:usb2="0000003F" w:usb3="00000000" w:csb0="603F01FF" w:csb1="FFFF0000"/>
    <w:embedRegular r:id="rId12" w:fontKey="{DA847D3F-E198-4F3D-9A3E-F9748A8F8B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DE05F">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AD47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04FBA">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0F4A97"/>
    <w:rsid w:val="001D5FB4"/>
    <w:rsid w:val="002609D3"/>
    <w:rsid w:val="002C069E"/>
    <w:rsid w:val="003073D0"/>
    <w:rsid w:val="0040224D"/>
    <w:rsid w:val="00447139"/>
    <w:rsid w:val="004F3DE9"/>
    <w:rsid w:val="006F38CD"/>
    <w:rsid w:val="00733B0B"/>
    <w:rsid w:val="00764376"/>
    <w:rsid w:val="00796B76"/>
    <w:rsid w:val="007F27CB"/>
    <w:rsid w:val="00850CC0"/>
    <w:rsid w:val="00B00F2F"/>
    <w:rsid w:val="00D72607"/>
    <w:rsid w:val="00F211EF"/>
    <w:rsid w:val="00FF308E"/>
    <w:rsid w:val="011C61BC"/>
    <w:rsid w:val="011E6004"/>
    <w:rsid w:val="0145105E"/>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E464AF"/>
    <w:rsid w:val="03FB71CD"/>
    <w:rsid w:val="04127BBC"/>
    <w:rsid w:val="041515CF"/>
    <w:rsid w:val="04210376"/>
    <w:rsid w:val="04212D24"/>
    <w:rsid w:val="042C575E"/>
    <w:rsid w:val="042C6248"/>
    <w:rsid w:val="04382327"/>
    <w:rsid w:val="043A6EF6"/>
    <w:rsid w:val="043F5557"/>
    <w:rsid w:val="044363A4"/>
    <w:rsid w:val="0456200F"/>
    <w:rsid w:val="04885B47"/>
    <w:rsid w:val="04A52387"/>
    <w:rsid w:val="04AC0DBF"/>
    <w:rsid w:val="04B54547"/>
    <w:rsid w:val="04CD15E8"/>
    <w:rsid w:val="04CF4810"/>
    <w:rsid w:val="04D63FDF"/>
    <w:rsid w:val="04D72BD5"/>
    <w:rsid w:val="04EB08D2"/>
    <w:rsid w:val="04EC7DA2"/>
    <w:rsid w:val="050252F6"/>
    <w:rsid w:val="0541752E"/>
    <w:rsid w:val="054F164F"/>
    <w:rsid w:val="055625ED"/>
    <w:rsid w:val="0572490A"/>
    <w:rsid w:val="057E3D65"/>
    <w:rsid w:val="058253F2"/>
    <w:rsid w:val="05872EB9"/>
    <w:rsid w:val="05933026"/>
    <w:rsid w:val="05BA17C0"/>
    <w:rsid w:val="05D520CE"/>
    <w:rsid w:val="05D9116E"/>
    <w:rsid w:val="05D9472B"/>
    <w:rsid w:val="061F0438"/>
    <w:rsid w:val="06292F58"/>
    <w:rsid w:val="063C088B"/>
    <w:rsid w:val="063F4D83"/>
    <w:rsid w:val="064B59D4"/>
    <w:rsid w:val="06501BB5"/>
    <w:rsid w:val="06624967"/>
    <w:rsid w:val="06626753"/>
    <w:rsid w:val="06714440"/>
    <w:rsid w:val="067240CC"/>
    <w:rsid w:val="06866D3C"/>
    <w:rsid w:val="06972E4E"/>
    <w:rsid w:val="069A035E"/>
    <w:rsid w:val="06A31B6E"/>
    <w:rsid w:val="06A848F7"/>
    <w:rsid w:val="06B86823"/>
    <w:rsid w:val="06BF2153"/>
    <w:rsid w:val="06D375E0"/>
    <w:rsid w:val="06D9502E"/>
    <w:rsid w:val="06E14A32"/>
    <w:rsid w:val="06E329B2"/>
    <w:rsid w:val="06EB4F76"/>
    <w:rsid w:val="06ED1728"/>
    <w:rsid w:val="06F81D74"/>
    <w:rsid w:val="074267A8"/>
    <w:rsid w:val="074A7C93"/>
    <w:rsid w:val="07666E00"/>
    <w:rsid w:val="07723470"/>
    <w:rsid w:val="077965A7"/>
    <w:rsid w:val="07832BA1"/>
    <w:rsid w:val="07972327"/>
    <w:rsid w:val="07A85930"/>
    <w:rsid w:val="07C03DF5"/>
    <w:rsid w:val="07EE56D8"/>
    <w:rsid w:val="083726B7"/>
    <w:rsid w:val="08554A0D"/>
    <w:rsid w:val="08563EE1"/>
    <w:rsid w:val="086D3DA1"/>
    <w:rsid w:val="08774BE1"/>
    <w:rsid w:val="088F5820"/>
    <w:rsid w:val="08903F11"/>
    <w:rsid w:val="08932D8F"/>
    <w:rsid w:val="08A416F0"/>
    <w:rsid w:val="08E13E13"/>
    <w:rsid w:val="08EB4EA1"/>
    <w:rsid w:val="08ED571D"/>
    <w:rsid w:val="08F53A28"/>
    <w:rsid w:val="09192DA0"/>
    <w:rsid w:val="0922447E"/>
    <w:rsid w:val="0926237D"/>
    <w:rsid w:val="092D0C4C"/>
    <w:rsid w:val="096213E6"/>
    <w:rsid w:val="09641BD1"/>
    <w:rsid w:val="0967298A"/>
    <w:rsid w:val="097525CD"/>
    <w:rsid w:val="09815806"/>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913FB"/>
    <w:rsid w:val="0AAE6B76"/>
    <w:rsid w:val="0AB37F43"/>
    <w:rsid w:val="0AB930A2"/>
    <w:rsid w:val="0ADD0DF0"/>
    <w:rsid w:val="0AEB40E8"/>
    <w:rsid w:val="0AF338CE"/>
    <w:rsid w:val="0AF67B2D"/>
    <w:rsid w:val="0B0E131B"/>
    <w:rsid w:val="0B154C5A"/>
    <w:rsid w:val="0B416906"/>
    <w:rsid w:val="0B436A06"/>
    <w:rsid w:val="0B5D1C2A"/>
    <w:rsid w:val="0B685C3C"/>
    <w:rsid w:val="0B7202E7"/>
    <w:rsid w:val="0B991D46"/>
    <w:rsid w:val="0B9F686D"/>
    <w:rsid w:val="0BDE31B0"/>
    <w:rsid w:val="0BEC26C5"/>
    <w:rsid w:val="0C110CA2"/>
    <w:rsid w:val="0C210BDA"/>
    <w:rsid w:val="0C523489"/>
    <w:rsid w:val="0C773477"/>
    <w:rsid w:val="0C7E3CD6"/>
    <w:rsid w:val="0C9F113B"/>
    <w:rsid w:val="0CD3448B"/>
    <w:rsid w:val="0CE72A71"/>
    <w:rsid w:val="0CEC568C"/>
    <w:rsid w:val="0CF072F3"/>
    <w:rsid w:val="0D2466BD"/>
    <w:rsid w:val="0D30650C"/>
    <w:rsid w:val="0D3A1668"/>
    <w:rsid w:val="0D3D37F2"/>
    <w:rsid w:val="0D5C2246"/>
    <w:rsid w:val="0D6A3C45"/>
    <w:rsid w:val="0D7F3B4D"/>
    <w:rsid w:val="0D84383E"/>
    <w:rsid w:val="0DA13B17"/>
    <w:rsid w:val="0DA277FF"/>
    <w:rsid w:val="0DB22432"/>
    <w:rsid w:val="0DB8057F"/>
    <w:rsid w:val="0DC57869"/>
    <w:rsid w:val="0DD331D8"/>
    <w:rsid w:val="0DD71E98"/>
    <w:rsid w:val="0DDB677F"/>
    <w:rsid w:val="0E093A81"/>
    <w:rsid w:val="0E0D1416"/>
    <w:rsid w:val="0E1201C4"/>
    <w:rsid w:val="0E2551CB"/>
    <w:rsid w:val="0E35096D"/>
    <w:rsid w:val="0E3C08A3"/>
    <w:rsid w:val="0E626142"/>
    <w:rsid w:val="0E6D3EE4"/>
    <w:rsid w:val="0E7B0A75"/>
    <w:rsid w:val="0E8168AC"/>
    <w:rsid w:val="0E9601D9"/>
    <w:rsid w:val="0EC20452"/>
    <w:rsid w:val="0ECC7523"/>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C78AF"/>
    <w:rsid w:val="12BF2922"/>
    <w:rsid w:val="12C942C8"/>
    <w:rsid w:val="12DC5F5E"/>
    <w:rsid w:val="12DC7F8C"/>
    <w:rsid w:val="12E82A0B"/>
    <w:rsid w:val="12F9465F"/>
    <w:rsid w:val="131873D2"/>
    <w:rsid w:val="13274F9C"/>
    <w:rsid w:val="133228CC"/>
    <w:rsid w:val="13417410"/>
    <w:rsid w:val="134A448A"/>
    <w:rsid w:val="134F7EA7"/>
    <w:rsid w:val="135107A8"/>
    <w:rsid w:val="135D1FDA"/>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0B2427"/>
    <w:rsid w:val="151779D1"/>
    <w:rsid w:val="1522437E"/>
    <w:rsid w:val="15283931"/>
    <w:rsid w:val="15382F40"/>
    <w:rsid w:val="153F699F"/>
    <w:rsid w:val="156D0F2C"/>
    <w:rsid w:val="158374C1"/>
    <w:rsid w:val="15A62ECC"/>
    <w:rsid w:val="15B14179"/>
    <w:rsid w:val="15C516BD"/>
    <w:rsid w:val="160475A2"/>
    <w:rsid w:val="165E1F7E"/>
    <w:rsid w:val="166266B1"/>
    <w:rsid w:val="169528F0"/>
    <w:rsid w:val="16C724D4"/>
    <w:rsid w:val="16D411E7"/>
    <w:rsid w:val="16DB47A7"/>
    <w:rsid w:val="16ED0036"/>
    <w:rsid w:val="170756D4"/>
    <w:rsid w:val="170F4587"/>
    <w:rsid w:val="171A4BA4"/>
    <w:rsid w:val="173E0C52"/>
    <w:rsid w:val="1746570F"/>
    <w:rsid w:val="176115DC"/>
    <w:rsid w:val="176D7525"/>
    <w:rsid w:val="17824660"/>
    <w:rsid w:val="178F2FF8"/>
    <w:rsid w:val="179121FE"/>
    <w:rsid w:val="17915931"/>
    <w:rsid w:val="17C41ABF"/>
    <w:rsid w:val="18175D56"/>
    <w:rsid w:val="18276B10"/>
    <w:rsid w:val="18930C59"/>
    <w:rsid w:val="18932E60"/>
    <w:rsid w:val="189B5F22"/>
    <w:rsid w:val="18A70256"/>
    <w:rsid w:val="18A944F8"/>
    <w:rsid w:val="18B73074"/>
    <w:rsid w:val="18DA76F1"/>
    <w:rsid w:val="18DF60A5"/>
    <w:rsid w:val="19034C2D"/>
    <w:rsid w:val="1916127C"/>
    <w:rsid w:val="193D465D"/>
    <w:rsid w:val="193D4E12"/>
    <w:rsid w:val="196C6238"/>
    <w:rsid w:val="198A59D6"/>
    <w:rsid w:val="19A73D74"/>
    <w:rsid w:val="19AA5416"/>
    <w:rsid w:val="19CA0B03"/>
    <w:rsid w:val="19CE7FF6"/>
    <w:rsid w:val="19D41982"/>
    <w:rsid w:val="19D70C6D"/>
    <w:rsid w:val="19E2271F"/>
    <w:rsid w:val="19F459F1"/>
    <w:rsid w:val="1A075570"/>
    <w:rsid w:val="1A1C623A"/>
    <w:rsid w:val="1A223226"/>
    <w:rsid w:val="1A270D5F"/>
    <w:rsid w:val="1A4C776A"/>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F35E1"/>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1D0D81"/>
    <w:rsid w:val="1D3A1AFC"/>
    <w:rsid w:val="1D4E55A7"/>
    <w:rsid w:val="1D5835F0"/>
    <w:rsid w:val="1D594678"/>
    <w:rsid w:val="1D8C5045"/>
    <w:rsid w:val="1D9244F8"/>
    <w:rsid w:val="1D931CEA"/>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1FE87F35"/>
    <w:rsid w:val="20087350"/>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E2424"/>
    <w:rsid w:val="217F52C5"/>
    <w:rsid w:val="2188758A"/>
    <w:rsid w:val="21A34113"/>
    <w:rsid w:val="21A61686"/>
    <w:rsid w:val="21BA18CA"/>
    <w:rsid w:val="21C13A32"/>
    <w:rsid w:val="21E01DC0"/>
    <w:rsid w:val="21FC7CC7"/>
    <w:rsid w:val="22001566"/>
    <w:rsid w:val="22270787"/>
    <w:rsid w:val="224D73DD"/>
    <w:rsid w:val="22592601"/>
    <w:rsid w:val="22603DB2"/>
    <w:rsid w:val="226D7B83"/>
    <w:rsid w:val="2293123C"/>
    <w:rsid w:val="22A570EC"/>
    <w:rsid w:val="22E6302E"/>
    <w:rsid w:val="232E56FD"/>
    <w:rsid w:val="233F5F96"/>
    <w:rsid w:val="235F4D23"/>
    <w:rsid w:val="236D4028"/>
    <w:rsid w:val="238A4DFC"/>
    <w:rsid w:val="238E0DF3"/>
    <w:rsid w:val="2409047A"/>
    <w:rsid w:val="24226CC5"/>
    <w:rsid w:val="24312A4A"/>
    <w:rsid w:val="244A5E9A"/>
    <w:rsid w:val="244C4BB8"/>
    <w:rsid w:val="245168ED"/>
    <w:rsid w:val="24576453"/>
    <w:rsid w:val="24691193"/>
    <w:rsid w:val="246C3A46"/>
    <w:rsid w:val="247152E7"/>
    <w:rsid w:val="24A7024A"/>
    <w:rsid w:val="24E51374"/>
    <w:rsid w:val="24EF7670"/>
    <w:rsid w:val="24F3203F"/>
    <w:rsid w:val="24FF7718"/>
    <w:rsid w:val="251A7612"/>
    <w:rsid w:val="25237A22"/>
    <w:rsid w:val="252E0774"/>
    <w:rsid w:val="25481BCE"/>
    <w:rsid w:val="25525847"/>
    <w:rsid w:val="256E1E26"/>
    <w:rsid w:val="25812F8D"/>
    <w:rsid w:val="25814DB7"/>
    <w:rsid w:val="25824959"/>
    <w:rsid w:val="2584425C"/>
    <w:rsid w:val="25987A23"/>
    <w:rsid w:val="25BC46FF"/>
    <w:rsid w:val="25C517A2"/>
    <w:rsid w:val="25EF41EA"/>
    <w:rsid w:val="25F10744"/>
    <w:rsid w:val="25F5789E"/>
    <w:rsid w:val="25FD6A72"/>
    <w:rsid w:val="2608561B"/>
    <w:rsid w:val="26196938"/>
    <w:rsid w:val="26261861"/>
    <w:rsid w:val="26382AAC"/>
    <w:rsid w:val="26506FAD"/>
    <w:rsid w:val="26656277"/>
    <w:rsid w:val="26663117"/>
    <w:rsid w:val="267771CA"/>
    <w:rsid w:val="267B565F"/>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32534"/>
    <w:rsid w:val="27982DD4"/>
    <w:rsid w:val="27DD09CE"/>
    <w:rsid w:val="27EC553C"/>
    <w:rsid w:val="28033B5E"/>
    <w:rsid w:val="280C4BFC"/>
    <w:rsid w:val="2813394B"/>
    <w:rsid w:val="281C1F63"/>
    <w:rsid w:val="281C54D8"/>
    <w:rsid w:val="28235F68"/>
    <w:rsid w:val="283610D5"/>
    <w:rsid w:val="283E4B96"/>
    <w:rsid w:val="28414B67"/>
    <w:rsid w:val="285F5293"/>
    <w:rsid w:val="28622D71"/>
    <w:rsid w:val="286E69FD"/>
    <w:rsid w:val="288B76AF"/>
    <w:rsid w:val="28A10C81"/>
    <w:rsid w:val="28C56178"/>
    <w:rsid w:val="28FA546B"/>
    <w:rsid w:val="28FE025E"/>
    <w:rsid w:val="290E1F05"/>
    <w:rsid w:val="29245F1A"/>
    <w:rsid w:val="29366359"/>
    <w:rsid w:val="29586D7A"/>
    <w:rsid w:val="29772B51"/>
    <w:rsid w:val="29791894"/>
    <w:rsid w:val="2984235F"/>
    <w:rsid w:val="29967FD2"/>
    <w:rsid w:val="29A0709E"/>
    <w:rsid w:val="29A44ECD"/>
    <w:rsid w:val="29A52D8F"/>
    <w:rsid w:val="29C56C3A"/>
    <w:rsid w:val="29D85278"/>
    <w:rsid w:val="29E1380C"/>
    <w:rsid w:val="29E85046"/>
    <w:rsid w:val="29F50977"/>
    <w:rsid w:val="2A017BFD"/>
    <w:rsid w:val="2A0A71F8"/>
    <w:rsid w:val="2A4913A2"/>
    <w:rsid w:val="2A9154D8"/>
    <w:rsid w:val="2AA04C57"/>
    <w:rsid w:val="2AD750C3"/>
    <w:rsid w:val="2AE77D08"/>
    <w:rsid w:val="2AEA3011"/>
    <w:rsid w:val="2AFA0B1C"/>
    <w:rsid w:val="2B252D72"/>
    <w:rsid w:val="2B305FE6"/>
    <w:rsid w:val="2B3E0375"/>
    <w:rsid w:val="2B492499"/>
    <w:rsid w:val="2B652A8D"/>
    <w:rsid w:val="2B6C55DB"/>
    <w:rsid w:val="2B8D5640"/>
    <w:rsid w:val="2BF4029C"/>
    <w:rsid w:val="2C1C6937"/>
    <w:rsid w:val="2C1D0F66"/>
    <w:rsid w:val="2C202757"/>
    <w:rsid w:val="2C270D43"/>
    <w:rsid w:val="2C3D0F98"/>
    <w:rsid w:val="2C4B7809"/>
    <w:rsid w:val="2C6436A6"/>
    <w:rsid w:val="2C7A2A8F"/>
    <w:rsid w:val="2C864D5D"/>
    <w:rsid w:val="2C9023A5"/>
    <w:rsid w:val="2C937549"/>
    <w:rsid w:val="2C9D6A04"/>
    <w:rsid w:val="2CB62598"/>
    <w:rsid w:val="2CBC136A"/>
    <w:rsid w:val="2CD47877"/>
    <w:rsid w:val="2CFE607B"/>
    <w:rsid w:val="2D095409"/>
    <w:rsid w:val="2D314CC9"/>
    <w:rsid w:val="2D3A3199"/>
    <w:rsid w:val="2D4B38E7"/>
    <w:rsid w:val="2D5470D9"/>
    <w:rsid w:val="2D551303"/>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CD2121"/>
    <w:rsid w:val="2EFA0191"/>
    <w:rsid w:val="2F030B0F"/>
    <w:rsid w:val="2F436846"/>
    <w:rsid w:val="2F4556CE"/>
    <w:rsid w:val="2F6A001E"/>
    <w:rsid w:val="2F6F3C93"/>
    <w:rsid w:val="2F754A27"/>
    <w:rsid w:val="2F7B047E"/>
    <w:rsid w:val="2F7D70BA"/>
    <w:rsid w:val="2FB1448A"/>
    <w:rsid w:val="2FB35E69"/>
    <w:rsid w:val="2FC802AE"/>
    <w:rsid w:val="2FD90A44"/>
    <w:rsid w:val="2FD91648"/>
    <w:rsid w:val="301C41BF"/>
    <w:rsid w:val="302369A0"/>
    <w:rsid w:val="303474C0"/>
    <w:rsid w:val="305C41A9"/>
    <w:rsid w:val="305D2219"/>
    <w:rsid w:val="307C26FF"/>
    <w:rsid w:val="30820205"/>
    <w:rsid w:val="308E41B5"/>
    <w:rsid w:val="30952C59"/>
    <w:rsid w:val="30E03983"/>
    <w:rsid w:val="30FF4D69"/>
    <w:rsid w:val="310E5321"/>
    <w:rsid w:val="3113559B"/>
    <w:rsid w:val="311978DB"/>
    <w:rsid w:val="312421F6"/>
    <w:rsid w:val="3127420C"/>
    <w:rsid w:val="31477BEB"/>
    <w:rsid w:val="315523B1"/>
    <w:rsid w:val="31605B7D"/>
    <w:rsid w:val="3163741B"/>
    <w:rsid w:val="3198056E"/>
    <w:rsid w:val="31CD31BF"/>
    <w:rsid w:val="31D5021B"/>
    <w:rsid w:val="31D71BB7"/>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631F3"/>
    <w:rsid w:val="336A419B"/>
    <w:rsid w:val="336A59CC"/>
    <w:rsid w:val="33773188"/>
    <w:rsid w:val="337E77C9"/>
    <w:rsid w:val="338F53C2"/>
    <w:rsid w:val="33925662"/>
    <w:rsid w:val="339B68E5"/>
    <w:rsid w:val="339B7AA1"/>
    <w:rsid w:val="33B7637D"/>
    <w:rsid w:val="33D4661F"/>
    <w:rsid w:val="33EA060C"/>
    <w:rsid w:val="33ED39C2"/>
    <w:rsid w:val="340F56DE"/>
    <w:rsid w:val="3425597D"/>
    <w:rsid w:val="342A5DF5"/>
    <w:rsid w:val="344851FD"/>
    <w:rsid w:val="34710480"/>
    <w:rsid w:val="34842C2E"/>
    <w:rsid w:val="349B5E0E"/>
    <w:rsid w:val="34A432B6"/>
    <w:rsid w:val="34A82AD9"/>
    <w:rsid w:val="34AA020B"/>
    <w:rsid w:val="34BC17DA"/>
    <w:rsid w:val="34C71A6F"/>
    <w:rsid w:val="34D015E3"/>
    <w:rsid w:val="34F85DA8"/>
    <w:rsid w:val="3509398E"/>
    <w:rsid w:val="352D1C90"/>
    <w:rsid w:val="3547266B"/>
    <w:rsid w:val="3554479E"/>
    <w:rsid w:val="357263F6"/>
    <w:rsid w:val="357D63E5"/>
    <w:rsid w:val="357F00D0"/>
    <w:rsid w:val="35894506"/>
    <w:rsid w:val="3592742B"/>
    <w:rsid w:val="35A377DB"/>
    <w:rsid w:val="35E7387F"/>
    <w:rsid w:val="35E81F7A"/>
    <w:rsid w:val="35EF4AF5"/>
    <w:rsid w:val="35F52BF3"/>
    <w:rsid w:val="360530D8"/>
    <w:rsid w:val="3605698A"/>
    <w:rsid w:val="360B29CC"/>
    <w:rsid w:val="36162F1C"/>
    <w:rsid w:val="36223C6F"/>
    <w:rsid w:val="362D09A6"/>
    <w:rsid w:val="363277D2"/>
    <w:rsid w:val="366244D5"/>
    <w:rsid w:val="36922B60"/>
    <w:rsid w:val="36A82C1D"/>
    <w:rsid w:val="36B34449"/>
    <w:rsid w:val="36C342D9"/>
    <w:rsid w:val="370F2E93"/>
    <w:rsid w:val="370F32ED"/>
    <w:rsid w:val="37441A9D"/>
    <w:rsid w:val="374E35E0"/>
    <w:rsid w:val="37560CC6"/>
    <w:rsid w:val="376F7F26"/>
    <w:rsid w:val="378D0CEB"/>
    <w:rsid w:val="379A026D"/>
    <w:rsid w:val="37A2207E"/>
    <w:rsid w:val="37A2434F"/>
    <w:rsid w:val="37BE5463"/>
    <w:rsid w:val="37ED6D6E"/>
    <w:rsid w:val="380C3B20"/>
    <w:rsid w:val="381039F4"/>
    <w:rsid w:val="381B27FE"/>
    <w:rsid w:val="38422CE2"/>
    <w:rsid w:val="38464281"/>
    <w:rsid w:val="386E21B0"/>
    <w:rsid w:val="38787C50"/>
    <w:rsid w:val="389E342F"/>
    <w:rsid w:val="38AE496C"/>
    <w:rsid w:val="38B54D45"/>
    <w:rsid w:val="38D242CD"/>
    <w:rsid w:val="393E0C7A"/>
    <w:rsid w:val="39470BCD"/>
    <w:rsid w:val="39821F75"/>
    <w:rsid w:val="398B5520"/>
    <w:rsid w:val="398C3DB7"/>
    <w:rsid w:val="39AB6275"/>
    <w:rsid w:val="39E17621"/>
    <w:rsid w:val="39F227B1"/>
    <w:rsid w:val="39FF46FA"/>
    <w:rsid w:val="3A024B77"/>
    <w:rsid w:val="3A151290"/>
    <w:rsid w:val="3A201663"/>
    <w:rsid w:val="3A257964"/>
    <w:rsid w:val="3A292038"/>
    <w:rsid w:val="3A4239AF"/>
    <w:rsid w:val="3A4A1178"/>
    <w:rsid w:val="3A524E6B"/>
    <w:rsid w:val="3A762A49"/>
    <w:rsid w:val="3A826354"/>
    <w:rsid w:val="3A9D28F5"/>
    <w:rsid w:val="3ACD43C9"/>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1C08F2"/>
    <w:rsid w:val="3C2D6464"/>
    <w:rsid w:val="3C2E50FB"/>
    <w:rsid w:val="3C37637A"/>
    <w:rsid w:val="3C4A12AD"/>
    <w:rsid w:val="3C5125FC"/>
    <w:rsid w:val="3C690ECB"/>
    <w:rsid w:val="3C860AC6"/>
    <w:rsid w:val="3C8860F4"/>
    <w:rsid w:val="3C8967A4"/>
    <w:rsid w:val="3C9361D9"/>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2717D1"/>
    <w:rsid w:val="3E651EE9"/>
    <w:rsid w:val="3E784A78"/>
    <w:rsid w:val="3E8554F5"/>
    <w:rsid w:val="3EB65E71"/>
    <w:rsid w:val="3EC33032"/>
    <w:rsid w:val="3EC61DB3"/>
    <w:rsid w:val="3EDB4A95"/>
    <w:rsid w:val="3EEE738B"/>
    <w:rsid w:val="3EF62661"/>
    <w:rsid w:val="3F103E47"/>
    <w:rsid w:val="3F3C595E"/>
    <w:rsid w:val="3F4A39C9"/>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A218D"/>
    <w:rsid w:val="41E77BF5"/>
    <w:rsid w:val="41F05895"/>
    <w:rsid w:val="420C70DA"/>
    <w:rsid w:val="4226611D"/>
    <w:rsid w:val="425402BB"/>
    <w:rsid w:val="42564ADA"/>
    <w:rsid w:val="426E4B0A"/>
    <w:rsid w:val="42747A95"/>
    <w:rsid w:val="427E52C8"/>
    <w:rsid w:val="429D02B3"/>
    <w:rsid w:val="42B006FD"/>
    <w:rsid w:val="42DB7F0D"/>
    <w:rsid w:val="42E228FC"/>
    <w:rsid w:val="42FA6BD0"/>
    <w:rsid w:val="42FB4E01"/>
    <w:rsid w:val="4301585B"/>
    <w:rsid w:val="431B31A4"/>
    <w:rsid w:val="432307B8"/>
    <w:rsid w:val="43325808"/>
    <w:rsid w:val="433E1CAF"/>
    <w:rsid w:val="43412297"/>
    <w:rsid w:val="43413ED4"/>
    <w:rsid w:val="43594499"/>
    <w:rsid w:val="43636C3F"/>
    <w:rsid w:val="436E5353"/>
    <w:rsid w:val="437D7619"/>
    <w:rsid w:val="438073DF"/>
    <w:rsid w:val="439D6340"/>
    <w:rsid w:val="43FD7280"/>
    <w:rsid w:val="441532B2"/>
    <w:rsid w:val="441C5686"/>
    <w:rsid w:val="441E55BD"/>
    <w:rsid w:val="442C59F4"/>
    <w:rsid w:val="442C5CE7"/>
    <w:rsid w:val="443F7EE3"/>
    <w:rsid w:val="44477A7A"/>
    <w:rsid w:val="445A5900"/>
    <w:rsid w:val="44754DD6"/>
    <w:rsid w:val="44831552"/>
    <w:rsid w:val="44A525D3"/>
    <w:rsid w:val="44A72CB4"/>
    <w:rsid w:val="44DC0CFE"/>
    <w:rsid w:val="44DC4FCA"/>
    <w:rsid w:val="44FD1C6D"/>
    <w:rsid w:val="450C650E"/>
    <w:rsid w:val="453F207E"/>
    <w:rsid w:val="454276A8"/>
    <w:rsid w:val="45465AD9"/>
    <w:rsid w:val="457C4AF8"/>
    <w:rsid w:val="4595430E"/>
    <w:rsid w:val="459D6B25"/>
    <w:rsid w:val="45A100BA"/>
    <w:rsid w:val="45A31600"/>
    <w:rsid w:val="45E526C2"/>
    <w:rsid w:val="45EF5694"/>
    <w:rsid w:val="45F32D75"/>
    <w:rsid w:val="45F60406"/>
    <w:rsid w:val="45FE4441"/>
    <w:rsid w:val="460743C1"/>
    <w:rsid w:val="460934CE"/>
    <w:rsid w:val="460A040B"/>
    <w:rsid w:val="460B738D"/>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017878"/>
    <w:rsid w:val="49052092"/>
    <w:rsid w:val="491946D3"/>
    <w:rsid w:val="4924047E"/>
    <w:rsid w:val="49276380"/>
    <w:rsid w:val="49441489"/>
    <w:rsid w:val="4948117F"/>
    <w:rsid w:val="494B0B0D"/>
    <w:rsid w:val="49522ABB"/>
    <w:rsid w:val="497E20AD"/>
    <w:rsid w:val="49820EB7"/>
    <w:rsid w:val="499416E9"/>
    <w:rsid w:val="49A63EAD"/>
    <w:rsid w:val="49B0784B"/>
    <w:rsid w:val="49B4166E"/>
    <w:rsid w:val="49BA2C9E"/>
    <w:rsid w:val="49BC3715"/>
    <w:rsid w:val="49C56A6D"/>
    <w:rsid w:val="49CD274C"/>
    <w:rsid w:val="49D26E8C"/>
    <w:rsid w:val="49F72310"/>
    <w:rsid w:val="49FD2EE4"/>
    <w:rsid w:val="4A0B4FDE"/>
    <w:rsid w:val="4A343D11"/>
    <w:rsid w:val="4A3E05CE"/>
    <w:rsid w:val="4A497D35"/>
    <w:rsid w:val="4A8A37D8"/>
    <w:rsid w:val="4A8B4AB2"/>
    <w:rsid w:val="4AD9595B"/>
    <w:rsid w:val="4AF93EAE"/>
    <w:rsid w:val="4AFC3A3A"/>
    <w:rsid w:val="4B047121"/>
    <w:rsid w:val="4B311212"/>
    <w:rsid w:val="4B3E6720"/>
    <w:rsid w:val="4B43535A"/>
    <w:rsid w:val="4B476348"/>
    <w:rsid w:val="4B625BF7"/>
    <w:rsid w:val="4BB21AF4"/>
    <w:rsid w:val="4BB54107"/>
    <w:rsid w:val="4BB67EEE"/>
    <w:rsid w:val="4BD17814"/>
    <w:rsid w:val="4BDC5109"/>
    <w:rsid w:val="4BE84FA7"/>
    <w:rsid w:val="4BF70C92"/>
    <w:rsid w:val="4BFC429C"/>
    <w:rsid w:val="4BFD0513"/>
    <w:rsid w:val="4C005E77"/>
    <w:rsid w:val="4C1A02C6"/>
    <w:rsid w:val="4C2B76C1"/>
    <w:rsid w:val="4C352402"/>
    <w:rsid w:val="4C5419A1"/>
    <w:rsid w:val="4C5429A3"/>
    <w:rsid w:val="4C645A11"/>
    <w:rsid w:val="4C704143"/>
    <w:rsid w:val="4C87254B"/>
    <w:rsid w:val="4CDE4416"/>
    <w:rsid w:val="4CFA6A2E"/>
    <w:rsid w:val="4D004DF6"/>
    <w:rsid w:val="4D1C2C8C"/>
    <w:rsid w:val="4D1E77BE"/>
    <w:rsid w:val="4D245FC5"/>
    <w:rsid w:val="4D2B3B2C"/>
    <w:rsid w:val="4D714816"/>
    <w:rsid w:val="4D970721"/>
    <w:rsid w:val="4DA943B0"/>
    <w:rsid w:val="4DC515BB"/>
    <w:rsid w:val="4DCB5984"/>
    <w:rsid w:val="4DD64458"/>
    <w:rsid w:val="4DD728A2"/>
    <w:rsid w:val="4DDD4E1A"/>
    <w:rsid w:val="4DE00A28"/>
    <w:rsid w:val="4E086F29"/>
    <w:rsid w:val="4E135BFA"/>
    <w:rsid w:val="4E1B2DDB"/>
    <w:rsid w:val="4E250E8C"/>
    <w:rsid w:val="4E355E12"/>
    <w:rsid w:val="4E487C6D"/>
    <w:rsid w:val="4E5D7C3A"/>
    <w:rsid w:val="4E8D762E"/>
    <w:rsid w:val="4E9B1112"/>
    <w:rsid w:val="4EA06365"/>
    <w:rsid w:val="4EAC3D58"/>
    <w:rsid w:val="4EBD3915"/>
    <w:rsid w:val="4ECD54B1"/>
    <w:rsid w:val="4ED4046B"/>
    <w:rsid w:val="4EDF4B15"/>
    <w:rsid w:val="4EF43B16"/>
    <w:rsid w:val="4F0E1E8F"/>
    <w:rsid w:val="4F2B6C13"/>
    <w:rsid w:val="4F3153D3"/>
    <w:rsid w:val="4F5F3ED1"/>
    <w:rsid w:val="4F6247EF"/>
    <w:rsid w:val="4F7E2887"/>
    <w:rsid w:val="4F804E7C"/>
    <w:rsid w:val="4F85516A"/>
    <w:rsid w:val="4F8627FB"/>
    <w:rsid w:val="4F944D8F"/>
    <w:rsid w:val="4FC35C6C"/>
    <w:rsid w:val="4FCA5221"/>
    <w:rsid w:val="4FED0FB9"/>
    <w:rsid w:val="50462462"/>
    <w:rsid w:val="50504A55"/>
    <w:rsid w:val="50561719"/>
    <w:rsid w:val="507410D2"/>
    <w:rsid w:val="50A4392E"/>
    <w:rsid w:val="50A97681"/>
    <w:rsid w:val="50AE3B94"/>
    <w:rsid w:val="50AF7418"/>
    <w:rsid w:val="50E93575"/>
    <w:rsid w:val="50EE4AFC"/>
    <w:rsid w:val="50F04D4E"/>
    <w:rsid w:val="50F2608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AB4326"/>
    <w:rsid w:val="52B87033"/>
    <w:rsid w:val="52BE5917"/>
    <w:rsid w:val="52ED3633"/>
    <w:rsid w:val="52F766E2"/>
    <w:rsid w:val="531B72EC"/>
    <w:rsid w:val="531E35FC"/>
    <w:rsid w:val="531E3DBA"/>
    <w:rsid w:val="532B1547"/>
    <w:rsid w:val="532C2C22"/>
    <w:rsid w:val="533E6E17"/>
    <w:rsid w:val="5343182D"/>
    <w:rsid w:val="53552E21"/>
    <w:rsid w:val="535D3886"/>
    <w:rsid w:val="536C1D08"/>
    <w:rsid w:val="536C4A63"/>
    <w:rsid w:val="539B26A9"/>
    <w:rsid w:val="53A201DA"/>
    <w:rsid w:val="53B22D34"/>
    <w:rsid w:val="53B6236C"/>
    <w:rsid w:val="53BD6F30"/>
    <w:rsid w:val="53D55AFF"/>
    <w:rsid w:val="53EA41BE"/>
    <w:rsid w:val="540540F5"/>
    <w:rsid w:val="54231D7C"/>
    <w:rsid w:val="542913B3"/>
    <w:rsid w:val="543A39C2"/>
    <w:rsid w:val="543F18BA"/>
    <w:rsid w:val="54883400"/>
    <w:rsid w:val="54932F58"/>
    <w:rsid w:val="54A81CB5"/>
    <w:rsid w:val="54C41B11"/>
    <w:rsid w:val="550E49C6"/>
    <w:rsid w:val="55124B31"/>
    <w:rsid w:val="55A47D96"/>
    <w:rsid w:val="55C4407D"/>
    <w:rsid w:val="55C94049"/>
    <w:rsid w:val="55DA287E"/>
    <w:rsid w:val="55DD1819"/>
    <w:rsid w:val="55EE6DAD"/>
    <w:rsid w:val="55F304BE"/>
    <w:rsid w:val="56073162"/>
    <w:rsid w:val="5609127C"/>
    <w:rsid w:val="56243B92"/>
    <w:rsid w:val="563D619D"/>
    <w:rsid w:val="56413F2B"/>
    <w:rsid w:val="56537C47"/>
    <w:rsid w:val="567A0BDF"/>
    <w:rsid w:val="56A010C0"/>
    <w:rsid w:val="56B96B8E"/>
    <w:rsid w:val="56C747B5"/>
    <w:rsid w:val="56D42684"/>
    <w:rsid w:val="56DD2471"/>
    <w:rsid w:val="571974A0"/>
    <w:rsid w:val="57210A6D"/>
    <w:rsid w:val="5744214A"/>
    <w:rsid w:val="574B480A"/>
    <w:rsid w:val="57543081"/>
    <w:rsid w:val="5789649C"/>
    <w:rsid w:val="57A373F0"/>
    <w:rsid w:val="57C83C57"/>
    <w:rsid w:val="57DB745C"/>
    <w:rsid w:val="57EA584B"/>
    <w:rsid w:val="57FB2FB4"/>
    <w:rsid w:val="582028C2"/>
    <w:rsid w:val="582908A2"/>
    <w:rsid w:val="583D07DD"/>
    <w:rsid w:val="584B7DD5"/>
    <w:rsid w:val="585F1862"/>
    <w:rsid w:val="58620D26"/>
    <w:rsid w:val="58676C6C"/>
    <w:rsid w:val="58706FB1"/>
    <w:rsid w:val="587C5983"/>
    <w:rsid w:val="58E8415E"/>
    <w:rsid w:val="58ED1995"/>
    <w:rsid w:val="58FF1A45"/>
    <w:rsid w:val="59032C79"/>
    <w:rsid w:val="591578E8"/>
    <w:rsid w:val="591C580B"/>
    <w:rsid w:val="5926497A"/>
    <w:rsid w:val="592A1893"/>
    <w:rsid w:val="593C68FB"/>
    <w:rsid w:val="595D3E12"/>
    <w:rsid w:val="59961EFB"/>
    <w:rsid w:val="59A11353"/>
    <w:rsid w:val="59B40569"/>
    <w:rsid w:val="59CC0D4E"/>
    <w:rsid w:val="5A0336C4"/>
    <w:rsid w:val="5A1D0D82"/>
    <w:rsid w:val="5A20315B"/>
    <w:rsid w:val="5A4C2893"/>
    <w:rsid w:val="5A5827FE"/>
    <w:rsid w:val="5A5A4FB0"/>
    <w:rsid w:val="5A70211C"/>
    <w:rsid w:val="5AAB2A29"/>
    <w:rsid w:val="5AAB3211"/>
    <w:rsid w:val="5AAC7307"/>
    <w:rsid w:val="5AB86388"/>
    <w:rsid w:val="5ABF41C0"/>
    <w:rsid w:val="5ACA577B"/>
    <w:rsid w:val="5AD07CB2"/>
    <w:rsid w:val="5AE37CAA"/>
    <w:rsid w:val="5AEF1DC1"/>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F50A44"/>
    <w:rsid w:val="5C295CCC"/>
    <w:rsid w:val="5C381A3A"/>
    <w:rsid w:val="5C5C135C"/>
    <w:rsid w:val="5C872DAA"/>
    <w:rsid w:val="5C974816"/>
    <w:rsid w:val="5CA8625A"/>
    <w:rsid w:val="5CA97228"/>
    <w:rsid w:val="5CB214C2"/>
    <w:rsid w:val="5CBA57BD"/>
    <w:rsid w:val="5CC5471C"/>
    <w:rsid w:val="5CDC5386"/>
    <w:rsid w:val="5CE22FCD"/>
    <w:rsid w:val="5CEE7B85"/>
    <w:rsid w:val="5CF07506"/>
    <w:rsid w:val="5CF73D69"/>
    <w:rsid w:val="5D202057"/>
    <w:rsid w:val="5D2363AA"/>
    <w:rsid w:val="5D4700C2"/>
    <w:rsid w:val="5D6C4615"/>
    <w:rsid w:val="5D7C5A81"/>
    <w:rsid w:val="5D924A61"/>
    <w:rsid w:val="5DD31E8F"/>
    <w:rsid w:val="5DDF2196"/>
    <w:rsid w:val="5DE17F75"/>
    <w:rsid w:val="5DF704AE"/>
    <w:rsid w:val="5DF954B7"/>
    <w:rsid w:val="5DFD71D0"/>
    <w:rsid w:val="5DFF05CD"/>
    <w:rsid w:val="5E1672C2"/>
    <w:rsid w:val="5E1B6033"/>
    <w:rsid w:val="5E2612F9"/>
    <w:rsid w:val="5E433E59"/>
    <w:rsid w:val="5E534129"/>
    <w:rsid w:val="5E6E3C24"/>
    <w:rsid w:val="5E7255BD"/>
    <w:rsid w:val="5E937CCC"/>
    <w:rsid w:val="5ECC578E"/>
    <w:rsid w:val="5EF83794"/>
    <w:rsid w:val="5EFF7ED4"/>
    <w:rsid w:val="5F0173CC"/>
    <w:rsid w:val="5F0617CE"/>
    <w:rsid w:val="5F1A1A93"/>
    <w:rsid w:val="5F1D47FE"/>
    <w:rsid w:val="5F287F7E"/>
    <w:rsid w:val="5F475677"/>
    <w:rsid w:val="5F484198"/>
    <w:rsid w:val="5F567498"/>
    <w:rsid w:val="5F746FE1"/>
    <w:rsid w:val="5F7D71F9"/>
    <w:rsid w:val="5F8420E2"/>
    <w:rsid w:val="5F887220"/>
    <w:rsid w:val="5F9022AB"/>
    <w:rsid w:val="5FB10752"/>
    <w:rsid w:val="5FB81E56"/>
    <w:rsid w:val="5FD85FDC"/>
    <w:rsid w:val="5FEB78D3"/>
    <w:rsid w:val="5FEC00EE"/>
    <w:rsid w:val="600951D4"/>
    <w:rsid w:val="6010358A"/>
    <w:rsid w:val="60156960"/>
    <w:rsid w:val="601A25EF"/>
    <w:rsid w:val="601F1FA6"/>
    <w:rsid w:val="60250EC1"/>
    <w:rsid w:val="603E7832"/>
    <w:rsid w:val="6044067F"/>
    <w:rsid w:val="605525D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D94A0C"/>
    <w:rsid w:val="61EA093B"/>
    <w:rsid w:val="62024DB4"/>
    <w:rsid w:val="62117D72"/>
    <w:rsid w:val="62140656"/>
    <w:rsid w:val="62210A89"/>
    <w:rsid w:val="62285DB7"/>
    <w:rsid w:val="623C143F"/>
    <w:rsid w:val="626857C6"/>
    <w:rsid w:val="626C17E1"/>
    <w:rsid w:val="62923991"/>
    <w:rsid w:val="62966DA1"/>
    <w:rsid w:val="62A0795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6A6DA5"/>
    <w:rsid w:val="647527CB"/>
    <w:rsid w:val="648A0F84"/>
    <w:rsid w:val="648E4974"/>
    <w:rsid w:val="648F4377"/>
    <w:rsid w:val="64994927"/>
    <w:rsid w:val="649E65A7"/>
    <w:rsid w:val="64B70C4D"/>
    <w:rsid w:val="64D14920"/>
    <w:rsid w:val="64DC3A26"/>
    <w:rsid w:val="64E573F1"/>
    <w:rsid w:val="64EA382F"/>
    <w:rsid w:val="64ED3306"/>
    <w:rsid w:val="65112EA3"/>
    <w:rsid w:val="6511603A"/>
    <w:rsid w:val="652763A9"/>
    <w:rsid w:val="653B0F51"/>
    <w:rsid w:val="65434194"/>
    <w:rsid w:val="65477730"/>
    <w:rsid w:val="654912E0"/>
    <w:rsid w:val="654943E2"/>
    <w:rsid w:val="654B3E73"/>
    <w:rsid w:val="656A4332"/>
    <w:rsid w:val="65733372"/>
    <w:rsid w:val="65744876"/>
    <w:rsid w:val="657845AE"/>
    <w:rsid w:val="65991D3E"/>
    <w:rsid w:val="659E280B"/>
    <w:rsid w:val="65A76BCF"/>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45A4D"/>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26102B"/>
    <w:rsid w:val="69496F06"/>
    <w:rsid w:val="697E7396"/>
    <w:rsid w:val="69A009FE"/>
    <w:rsid w:val="69A729C5"/>
    <w:rsid w:val="69B1341E"/>
    <w:rsid w:val="69BA3375"/>
    <w:rsid w:val="69BE2739"/>
    <w:rsid w:val="69BF206E"/>
    <w:rsid w:val="69E46DF1"/>
    <w:rsid w:val="69E8174D"/>
    <w:rsid w:val="69EB7655"/>
    <w:rsid w:val="69F66247"/>
    <w:rsid w:val="69F820EF"/>
    <w:rsid w:val="69F86AAF"/>
    <w:rsid w:val="6A1F6154"/>
    <w:rsid w:val="6A2746CC"/>
    <w:rsid w:val="6A3053E5"/>
    <w:rsid w:val="6A4F7CF0"/>
    <w:rsid w:val="6A5517EC"/>
    <w:rsid w:val="6A694BA1"/>
    <w:rsid w:val="6A734205"/>
    <w:rsid w:val="6A995680"/>
    <w:rsid w:val="6ABC3292"/>
    <w:rsid w:val="6AC04F0B"/>
    <w:rsid w:val="6AD34458"/>
    <w:rsid w:val="6ADC4801"/>
    <w:rsid w:val="6ADF25FC"/>
    <w:rsid w:val="6AE674CB"/>
    <w:rsid w:val="6B020CD0"/>
    <w:rsid w:val="6B1148AC"/>
    <w:rsid w:val="6B3E0351"/>
    <w:rsid w:val="6B42449D"/>
    <w:rsid w:val="6B4A5562"/>
    <w:rsid w:val="6B565807"/>
    <w:rsid w:val="6B654374"/>
    <w:rsid w:val="6B6E08BB"/>
    <w:rsid w:val="6B7174EC"/>
    <w:rsid w:val="6B7A369F"/>
    <w:rsid w:val="6BAC2823"/>
    <w:rsid w:val="6BBD5024"/>
    <w:rsid w:val="6BF37DF1"/>
    <w:rsid w:val="6BF7777A"/>
    <w:rsid w:val="6C111246"/>
    <w:rsid w:val="6C3323D0"/>
    <w:rsid w:val="6C4433C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50B2"/>
    <w:rsid w:val="6D6A69AA"/>
    <w:rsid w:val="6D79127B"/>
    <w:rsid w:val="6D814635"/>
    <w:rsid w:val="6D832281"/>
    <w:rsid w:val="6D9D5BEC"/>
    <w:rsid w:val="6DC237AE"/>
    <w:rsid w:val="6DF91502"/>
    <w:rsid w:val="6DFA3D25"/>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B97C2B"/>
    <w:rsid w:val="6FC169C6"/>
    <w:rsid w:val="6FD20CED"/>
    <w:rsid w:val="700148B1"/>
    <w:rsid w:val="700708F2"/>
    <w:rsid w:val="70262445"/>
    <w:rsid w:val="70796EB7"/>
    <w:rsid w:val="7082657D"/>
    <w:rsid w:val="70846EFD"/>
    <w:rsid w:val="70891E2B"/>
    <w:rsid w:val="709304FC"/>
    <w:rsid w:val="709E59AD"/>
    <w:rsid w:val="70AB3A18"/>
    <w:rsid w:val="70B21D55"/>
    <w:rsid w:val="70BA4068"/>
    <w:rsid w:val="70F06D61"/>
    <w:rsid w:val="70F36F46"/>
    <w:rsid w:val="71231B23"/>
    <w:rsid w:val="712C7728"/>
    <w:rsid w:val="713B214A"/>
    <w:rsid w:val="714633CE"/>
    <w:rsid w:val="714A76D4"/>
    <w:rsid w:val="715C3ADF"/>
    <w:rsid w:val="71726BC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B1110C"/>
    <w:rsid w:val="72BE6D3E"/>
    <w:rsid w:val="72CD2240"/>
    <w:rsid w:val="72DC19E2"/>
    <w:rsid w:val="72EC4E12"/>
    <w:rsid w:val="72FF66D9"/>
    <w:rsid w:val="73373DED"/>
    <w:rsid w:val="73391B68"/>
    <w:rsid w:val="733F7A24"/>
    <w:rsid w:val="735C44F0"/>
    <w:rsid w:val="736A01CD"/>
    <w:rsid w:val="736B4D35"/>
    <w:rsid w:val="73741988"/>
    <w:rsid w:val="73814929"/>
    <w:rsid w:val="73905BE7"/>
    <w:rsid w:val="7393399F"/>
    <w:rsid w:val="739764D5"/>
    <w:rsid w:val="73984022"/>
    <w:rsid w:val="73A17EFA"/>
    <w:rsid w:val="73C11347"/>
    <w:rsid w:val="73DF64B1"/>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B02BC"/>
    <w:rsid w:val="75956A44"/>
    <w:rsid w:val="75A16A9F"/>
    <w:rsid w:val="75BC6CCF"/>
    <w:rsid w:val="75E27D49"/>
    <w:rsid w:val="761867BE"/>
    <w:rsid w:val="761D3114"/>
    <w:rsid w:val="76365AD0"/>
    <w:rsid w:val="765D57EA"/>
    <w:rsid w:val="7688585F"/>
    <w:rsid w:val="76E97048"/>
    <w:rsid w:val="76F54CF0"/>
    <w:rsid w:val="76FD5906"/>
    <w:rsid w:val="77072866"/>
    <w:rsid w:val="770B684E"/>
    <w:rsid w:val="771D50F3"/>
    <w:rsid w:val="77204CB1"/>
    <w:rsid w:val="77356662"/>
    <w:rsid w:val="7736368D"/>
    <w:rsid w:val="773F4EBA"/>
    <w:rsid w:val="7755292F"/>
    <w:rsid w:val="77702CAE"/>
    <w:rsid w:val="7771703D"/>
    <w:rsid w:val="777C1603"/>
    <w:rsid w:val="778E6B4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BF79C0"/>
    <w:rsid w:val="78C148AC"/>
    <w:rsid w:val="78CA1FEE"/>
    <w:rsid w:val="78CB3FEB"/>
    <w:rsid w:val="7929245F"/>
    <w:rsid w:val="793B5CE2"/>
    <w:rsid w:val="795C411F"/>
    <w:rsid w:val="796834B3"/>
    <w:rsid w:val="797B3C8A"/>
    <w:rsid w:val="797F45FC"/>
    <w:rsid w:val="797F5A41"/>
    <w:rsid w:val="79970647"/>
    <w:rsid w:val="79D9682C"/>
    <w:rsid w:val="79DB75C0"/>
    <w:rsid w:val="79E37881"/>
    <w:rsid w:val="79E4486C"/>
    <w:rsid w:val="79EA2E0E"/>
    <w:rsid w:val="79ED08FA"/>
    <w:rsid w:val="7A067AFA"/>
    <w:rsid w:val="7A0C585A"/>
    <w:rsid w:val="7A2C7450"/>
    <w:rsid w:val="7A326B5A"/>
    <w:rsid w:val="7A553725"/>
    <w:rsid w:val="7A616D0A"/>
    <w:rsid w:val="7A6C0DAE"/>
    <w:rsid w:val="7A7F2C76"/>
    <w:rsid w:val="7AAC462A"/>
    <w:rsid w:val="7AB51F89"/>
    <w:rsid w:val="7AF84FA0"/>
    <w:rsid w:val="7AF909C6"/>
    <w:rsid w:val="7B6273C9"/>
    <w:rsid w:val="7B6F1BD0"/>
    <w:rsid w:val="7B732126"/>
    <w:rsid w:val="7B755C15"/>
    <w:rsid w:val="7B7B20CE"/>
    <w:rsid w:val="7B8E1216"/>
    <w:rsid w:val="7B9A1345"/>
    <w:rsid w:val="7BCA6C86"/>
    <w:rsid w:val="7C003703"/>
    <w:rsid w:val="7C044DA1"/>
    <w:rsid w:val="7C0469D6"/>
    <w:rsid w:val="7C365DE1"/>
    <w:rsid w:val="7C6064DA"/>
    <w:rsid w:val="7CA33449"/>
    <w:rsid w:val="7CC876FF"/>
    <w:rsid w:val="7CCE4D69"/>
    <w:rsid w:val="7D0A0BA4"/>
    <w:rsid w:val="7D107AF3"/>
    <w:rsid w:val="7D4253C7"/>
    <w:rsid w:val="7D4C5341"/>
    <w:rsid w:val="7D4E5EE6"/>
    <w:rsid w:val="7D8901AD"/>
    <w:rsid w:val="7D8E577D"/>
    <w:rsid w:val="7D9A426A"/>
    <w:rsid w:val="7DB36601"/>
    <w:rsid w:val="7DDA357B"/>
    <w:rsid w:val="7E006F08"/>
    <w:rsid w:val="7E01736D"/>
    <w:rsid w:val="7E333E03"/>
    <w:rsid w:val="7E391FE6"/>
    <w:rsid w:val="7E916762"/>
    <w:rsid w:val="7EA916FD"/>
    <w:rsid w:val="7EAB552B"/>
    <w:rsid w:val="7EE53C64"/>
    <w:rsid w:val="7EF42A2E"/>
    <w:rsid w:val="7F541580"/>
    <w:rsid w:val="7F590594"/>
    <w:rsid w:val="7F667225"/>
    <w:rsid w:val="7F7B2EF8"/>
    <w:rsid w:val="7F844A6E"/>
    <w:rsid w:val="7F9935D5"/>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4242</Words>
  <Characters>5253</Characters>
  <Lines>0</Lines>
  <Paragraphs>0</Paragraphs>
  <TotalTime>29</TotalTime>
  <ScaleCrop>false</ScaleCrop>
  <LinksUpToDate>false</LinksUpToDate>
  <CharactersWithSpaces>5333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2025-01-09T06:59:00Z</cp:lastPrinted>
  <dcterms:modified xsi:type="dcterms:W3CDTF">2025-02-13T08:50:45Z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A1CDB740913A46D19493ED739BA0EA25_13</vt:lpwstr>
  </property>
  <property fmtid="{D5CDD505-2E9C-101B-9397-08002B2CF9AE}" pid="4" name="KSOTemplateDocerSaveRecord">
    <vt:lpwstr>eyJoZGlkIjoiMmExZjUxNWE0NWJhMGEyZGI3ZWI3YTYxOTBiYmQ5M2YiLCJ1c2VySWQiOiIxNTY2MDI0ODcyIn0=</vt:lpwstr>
  </property>
</Properties>
</file>