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373329">
      <w:pPr>
        <w:keepNext w:val="0"/>
        <w:keepLines w:val="0"/>
        <w:widowControl/>
        <w:suppressLineNumbers w:val="0"/>
        <w:jc w:val="both"/>
        <w:rPr>
          <w:rFonts w:hint="default" w:ascii="宋体" w:hAnsi="宋体" w:eastAsia="宋体" w:cs="宋体"/>
          <w:b/>
          <w:bCs/>
          <w:sz w:val="32"/>
          <w:szCs w:val="32"/>
          <w:highlight w:val="none"/>
          <w:lang w:val="en-US" w:eastAsia="zh-CN"/>
        </w:rPr>
      </w:pPr>
      <w:r>
        <w:rPr>
          <w:rFonts w:hint="default" w:ascii="Times New Roman" w:hAnsi="Times New Roman" w:eastAsia="仿宋_GB2312" w:cs="Times New Roman"/>
          <w:b w:val="0"/>
          <w:bCs w:val="0"/>
          <w:color w:val="auto"/>
          <w:sz w:val="28"/>
          <w:szCs w:val="28"/>
          <w:highlight w:val="none"/>
          <w:u w:val="none"/>
          <w:lang w:val="en-US" w:eastAsia="zh-CN"/>
        </w:rPr>
        <w:t>附件1 采购需求</w:t>
      </w:r>
    </w:p>
    <w:tbl>
      <w:tblPr>
        <w:tblStyle w:val="10"/>
        <w:tblW w:w="92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05"/>
        <w:gridCol w:w="1213"/>
        <w:gridCol w:w="3210"/>
        <w:gridCol w:w="1198"/>
        <w:gridCol w:w="917"/>
        <w:gridCol w:w="2027"/>
      </w:tblGrid>
      <w:tr w14:paraId="31D639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trPr>
        <w:tc>
          <w:tcPr>
            <w:tcW w:w="9275" w:type="dxa"/>
            <w:gridSpan w:val="6"/>
            <w:tcBorders>
              <w:top w:val="nil"/>
              <w:left w:val="nil"/>
              <w:bottom w:val="nil"/>
              <w:right w:val="nil"/>
            </w:tcBorders>
            <w:shd w:val="clear" w:color="auto" w:fill="auto"/>
            <w:vAlign w:val="center"/>
          </w:tcPr>
          <w:p w14:paraId="0FDDE180">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1.采购清单</w:t>
            </w:r>
          </w:p>
        </w:tc>
      </w:tr>
      <w:tr w14:paraId="5C3293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9275" w:type="dxa"/>
            <w:gridSpan w:val="6"/>
            <w:tcBorders>
              <w:top w:val="nil"/>
              <w:left w:val="nil"/>
              <w:bottom w:val="single" w:color="000000" w:sz="8" w:space="0"/>
              <w:right w:val="nil"/>
            </w:tcBorders>
            <w:shd w:val="clear" w:color="auto" w:fill="auto"/>
            <w:vAlign w:val="center"/>
          </w:tcPr>
          <w:p w14:paraId="6ABDED9A">
            <w:pPr>
              <w:keepNext w:val="0"/>
              <w:keepLines w:val="0"/>
              <w:widowControl/>
              <w:suppressLineNumbers w:val="0"/>
              <w:jc w:val="left"/>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 xml:space="preserve">工程名称：亳州市教育局职教园北区1560kW分布式光伏发电项目 </w:t>
            </w:r>
          </w:p>
        </w:tc>
      </w:tr>
      <w:tr w14:paraId="786378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705"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14:paraId="25183F99">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214"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5F3EA153">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3211"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02A47B1E">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1199"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40ADFAA4">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917"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7AD90446">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2029"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2FF43BD3">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备注</w:t>
            </w:r>
          </w:p>
        </w:tc>
      </w:tr>
      <w:tr w14:paraId="764EE0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705"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48DC2987">
            <w:pPr>
              <w:jc w:val="center"/>
              <w:rPr>
                <w:rFonts w:hint="eastAsia" w:ascii="黑体" w:hAnsi="宋体" w:eastAsia="黑体" w:cs="黑体"/>
                <w:i w:val="0"/>
                <w:iCs w:val="0"/>
                <w:color w:val="000000"/>
                <w:sz w:val="21"/>
                <w:szCs w:val="21"/>
                <w:u w:val="none"/>
              </w:rPr>
            </w:pPr>
          </w:p>
        </w:tc>
        <w:tc>
          <w:tcPr>
            <w:tcW w:w="1214"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0986105A">
            <w:pPr>
              <w:jc w:val="center"/>
              <w:rPr>
                <w:rFonts w:hint="eastAsia" w:ascii="黑体" w:hAnsi="宋体" w:eastAsia="黑体" w:cs="黑体"/>
                <w:i w:val="0"/>
                <w:iCs w:val="0"/>
                <w:color w:val="000000"/>
                <w:sz w:val="21"/>
                <w:szCs w:val="21"/>
                <w:u w:val="none"/>
              </w:rPr>
            </w:pPr>
          </w:p>
        </w:tc>
        <w:tc>
          <w:tcPr>
            <w:tcW w:w="3211"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494EB13F">
            <w:pPr>
              <w:jc w:val="center"/>
              <w:rPr>
                <w:rFonts w:hint="eastAsia" w:ascii="黑体" w:hAnsi="宋体" w:eastAsia="黑体" w:cs="黑体"/>
                <w:i w:val="0"/>
                <w:iCs w:val="0"/>
                <w:color w:val="000000"/>
                <w:sz w:val="21"/>
                <w:szCs w:val="21"/>
                <w:u w:val="none"/>
              </w:rPr>
            </w:pPr>
          </w:p>
        </w:tc>
        <w:tc>
          <w:tcPr>
            <w:tcW w:w="1199"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6FADEA38">
            <w:pPr>
              <w:jc w:val="center"/>
              <w:rPr>
                <w:rFonts w:hint="eastAsia" w:ascii="黑体" w:hAnsi="宋体" w:eastAsia="黑体" w:cs="黑体"/>
                <w:i w:val="0"/>
                <w:iCs w:val="0"/>
                <w:color w:val="000000"/>
                <w:sz w:val="21"/>
                <w:szCs w:val="21"/>
                <w:u w:val="none"/>
              </w:rPr>
            </w:pPr>
          </w:p>
        </w:tc>
        <w:tc>
          <w:tcPr>
            <w:tcW w:w="917"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660EE259">
            <w:pPr>
              <w:jc w:val="center"/>
              <w:rPr>
                <w:rFonts w:hint="eastAsia" w:ascii="黑体" w:hAnsi="宋体" w:eastAsia="黑体" w:cs="黑体"/>
                <w:i w:val="0"/>
                <w:iCs w:val="0"/>
                <w:color w:val="000000"/>
                <w:sz w:val="21"/>
                <w:szCs w:val="21"/>
                <w:u w:val="none"/>
              </w:rPr>
            </w:pPr>
          </w:p>
        </w:tc>
        <w:tc>
          <w:tcPr>
            <w:tcW w:w="2029"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20BCFBF1">
            <w:pPr>
              <w:jc w:val="center"/>
              <w:rPr>
                <w:rFonts w:hint="eastAsia" w:ascii="黑体" w:hAnsi="宋体" w:eastAsia="黑体" w:cs="黑体"/>
                <w:i w:val="0"/>
                <w:iCs w:val="0"/>
                <w:color w:val="000000"/>
                <w:sz w:val="21"/>
                <w:szCs w:val="21"/>
                <w:u w:val="none"/>
              </w:rPr>
            </w:pPr>
          </w:p>
        </w:tc>
      </w:tr>
      <w:tr w14:paraId="375EA1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05"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27DC4A26">
            <w:pPr>
              <w:jc w:val="center"/>
              <w:rPr>
                <w:rFonts w:hint="eastAsia" w:ascii="黑体" w:hAnsi="宋体" w:eastAsia="黑体" w:cs="黑体"/>
                <w:i w:val="0"/>
                <w:iCs w:val="0"/>
                <w:color w:val="000000"/>
                <w:sz w:val="21"/>
                <w:szCs w:val="21"/>
                <w:u w:val="none"/>
              </w:rPr>
            </w:pPr>
          </w:p>
        </w:tc>
        <w:tc>
          <w:tcPr>
            <w:tcW w:w="1214"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0C302B8E">
            <w:pPr>
              <w:jc w:val="center"/>
              <w:rPr>
                <w:rFonts w:hint="eastAsia" w:ascii="黑体" w:hAnsi="宋体" w:eastAsia="黑体" w:cs="黑体"/>
                <w:i w:val="0"/>
                <w:iCs w:val="0"/>
                <w:color w:val="000000"/>
                <w:sz w:val="21"/>
                <w:szCs w:val="21"/>
                <w:u w:val="none"/>
              </w:rPr>
            </w:pPr>
          </w:p>
        </w:tc>
        <w:tc>
          <w:tcPr>
            <w:tcW w:w="3211"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16D6AE4D">
            <w:pPr>
              <w:jc w:val="center"/>
              <w:rPr>
                <w:rFonts w:hint="eastAsia" w:ascii="黑体" w:hAnsi="宋体" w:eastAsia="黑体" w:cs="黑体"/>
                <w:i w:val="0"/>
                <w:iCs w:val="0"/>
                <w:color w:val="000000"/>
                <w:sz w:val="21"/>
                <w:szCs w:val="21"/>
                <w:u w:val="none"/>
              </w:rPr>
            </w:pPr>
          </w:p>
        </w:tc>
        <w:tc>
          <w:tcPr>
            <w:tcW w:w="1199"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6A113ACB">
            <w:pPr>
              <w:jc w:val="center"/>
              <w:rPr>
                <w:rFonts w:hint="eastAsia" w:ascii="黑体" w:hAnsi="宋体" w:eastAsia="黑体" w:cs="黑体"/>
                <w:i w:val="0"/>
                <w:iCs w:val="0"/>
                <w:color w:val="000000"/>
                <w:sz w:val="21"/>
                <w:szCs w:val="21"/>
                <w:u w:val="none"/>
              </w:rPr>
            </w:pPr>
          </w:p>
        </w:tc>
        <w:tc>
          <w:tcPr>
            <w:tcW w:w="917"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58962B4C">
            <w:pPr>
              <w:jc w:val="center"/>
              <w:rPr>
                <w:rFonts w:hint="eastAsia" w:ascii="黑体" w:hAnsi="宋体" w:eastAsia="黑体" w:cs="黑体"/>
                <w:i w:val="0"/>
                <w:iCs w:val="0"/>
                <w:color w:val="000000"/>
                <w:sz w:val="21"/>
                <w:szCs w:val="21"/>
                <w:u w:val="none"/>
              </w:rPr>
            </w:pPr>
          </w:p>
        </w:tc>
        <w:tc>
          <w:tcPr>
            <w:tcW w:w="2029"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64030EA0">
            <w:pPr>
              <w:jc w:val="center"/>
              <w:rPr>
                <w:rFonts w:hint="eastAsia" w:ascii="黑体" w:hAnsi="宋体" w:eastAsia="黑体" w:cs="黑体"/>
                <w:i w:val="0"/>
                <w:iCs w:val="0"/>
                <w:color w:val="000000"/>
                <w:sz w:val="21"/>
                <w:szCs w:val="21"/>
                <w:u w:val="none"/>
              </w:rPr>
            </w:pPr>
          </w:p>
        </w:tc>
      </w:tr>
      <w:tr w14:paraId="594AE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0D92B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D95C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光伏组件</w:t>
            </w:r>
          </w:p>
        </w:tc>
        <w:tc>
          <w:tcPr>
            <w:tcW w:w="3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E61B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1、名称：光伏组件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2、规格：双面双玻2382×1134×30mm,单块容量645Wp</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3、含税含运费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4、其他未尽事宜详见图纸、采购文件、答疑文件、图集、政府相关文件及规范等其他文件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5、组件效率不低于23.5%</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B066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块</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835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3068 </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2499A">
            <w:pPr>
              <w:jc w:val="center"/>
              <w:rPr>
                <w:rFonts w:hint="eastAsia" w:ascii="宋体" w:hAnsi="宋体" w:eastAsia="宋体" w:cs="宋体"/>
                <w:i w:val="0"/>
                <w:iCs w:val="0"/>
                <w:color w:val="000000"/>
                <w:sz w:val="21"/>
                <w:szCs w:val="21"/>
                <w:u w:val="none"/>
              </w:rPr>
            </w:pPr>
          </w:p>
        </w:tc>
      </w:tr>
      <w:tr w14:paraId="1E600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434D5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592F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光伏逆变器</w:t>
            </w:r>
          </w:p>
        </w:tc>
        <w:tc>
          <w:tcPr>
            <w:tcW w:w="3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A39C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1、名称：光伏逆变器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2、规格：110KW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3、含税含运费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4、其他未尽事宜详见图纸、采购文件、答疑文件、图集、政府相关文件及规范等其他文件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5、MPPT数量≥10路；最大效率≥98.6%，中国效率≥98.1%；防护等级不低于IP66。</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F1FF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4818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6 </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A20CF">
            <w:pPr>
              <w:jc w:val="center"/>
              <w:rPr>
                <w:rFonts w:hint="eastAsia" w:ascii="宋体" w:hAnsi="宋体" w:eastAsia="宋体" w:cs="宋体"/>
                <w:i w:val="0"/>
                <w:iCs w:val="0"/>
                <w:color w:val="000000"/>
                <w:sz w:val="21"/>
                <w:szCs w:val="21"/>
                <w:u w:val="none"/>
              </w:rPr>
            </w:pPr>
          </w:p>
        </w:tc>
      </w:tr>
      <w:tr w14:paraId="429731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5BC26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BF6C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光伏逆变器</w:t>
            </w:r>
          </w:p>
        </w:tc>
        <w:tc>
          <w:tcPr>
            <w:tcW w:w="3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7662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1、名称：光伏逆变器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2、规格：100KW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3、含税含运费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4、其他未尽事宜详见图纸、采购文件、答疑文件、图集、政府相关文件及规范等其他文件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5、MPPT数量≥10路；最大效率≥98.6%，中国效率≥98.1%；防护等级不低于IP66。</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D559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4533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9 </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8F49E">
            <w:pPr>
              <w:jc w:val="center"/>
              <w:rPr>
                <w:rFonts w:hint="eastAsia" w:ascii="宋体" w:hAnsi="宋体" w:eastAsia="宋体" w:cs="宋体"/>
                <w:i w:val="0"/>
                <w:iCs w:val="0"/>
                <w:color w:val="000000"/>
                <w:sz w:val="21"/>
                <w:szCs w:val="21"/>
                <w:u w:val="none"/>
              </w:rPr>
            </w:pPr>
          </w:p>
        </w:tc>
      </w:tr>
      <w:tr w14:paraId="4B16F6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B2D23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397D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光伏逆变器</w:t>
            </w:r>
          </w:p>
        </w:tc>
        <w:tc>
          <w:tcPr>
            <w:tcW w:w="3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9E08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1、名称：光伏逆变器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2、规格：40KW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3、含税含运费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4、其他未尽事宜详见图纸、采购文件、答疑文件、图集、政府相关文件及规范等其他文件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5、MPPT数量≥10路；最大效率≥98.6%，中国效率≥98.1%；防</w:t>
            </w:r>
            <w:bookmarkStart w:id="0" w:name="_GoBack"/>
            <w:bookmarkEnd w:id="0"/>
            <w:r>
              <w:rPr>
                <w:rFonts w:hint="eastAsia" w:ascii="宋体" w:hAnsi="宋体" w:eastAsia="宋体" w:cs="宋体"/>
                <w:i w:val="0"/>
                <w:iCs w:val="0"/>
                <w:color w:val="000000"/>
                <w:kern w:val="0"/>
                <w:sz w:val="21"/>
                <w:szCs w:val="21"/>
                <w:u w:val="none"/>
                <w:lang w:val="en-US" w:eastAsia="zh-CN" w:bidi="ar"/>
              </w:rPr>
              <w:t>护等级不低于IP66。</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4277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E467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9 </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4819D">
            <w:pPr>
              <w:jc w:val="center"/>
              <w:rPr>
                <w:rFonts w:hint="eastAsia" w:ascii="宋体" w:hAnsi="宋体" w:eastAsia="宋体" w:cs="宋体"/>
                <w:i w:val="0"/>
                <w:iCs w:val="0"/>
                <w:color w:val="000000"/>
                <w:sz w:val="21"/>
                <w:szCs w:val="21"/>
                <w:u w:val="none"/>
              </w:rPr>
            </w:pPr>
          </w:p>
        </w:tc>
      </w:tr>
      <w:tr w14:paraId="433867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A2C8E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737F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光伏逆变器</w:t>
            </w:r>
          </w:p>
        </w:tc>
        <w:tc>
          <w:tcPr>
            <w:tcW w:w="3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1018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1、名称：光伏逆变器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2、规格：30KW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3、含税含运费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4、其他未尽事宜详见图纸、采购文件、答疑文件、图集、政府相关文件及规范等其他文件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5、MPPT数量≥10路；最大效率≥98.6%，中国效率≥98.1%；防护等级不低于IP66。</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D3A3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598E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4 </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F89BC">
            <w:pPr>
              <w:jc w:val="center"/>
              <w:rPr>
                <w:rFonts w:hint="eastAsia" w:ascii="宋体" w:hAnsi="宋体" w:eastAsia="宋体" w:cs="宋体"/>
                <w:i w:val="0"/>
                <w:iCs w:val="0"/>
                <w:color w:val="000000"/>
                <w:sz w:val="21"/>
                <w:szCs w:val="21"/>
                <w:u w:val="none"/>
              </w:rPr>
            </w:pPr>
          </w:p>
        </w:tc>
      </w:tr>
      <w:tr w14:paraId="2AA27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F4FE2D">
            <w:pPr>
              <w:jc w:val="center"/>
              <w:rPr>
                <w:rFonts w:hint="eastAsia" w:ascii="宋体" w:hAnsi="宋体" w:eastAsia="宋体" w:cs="宋体"/>
                <w:i w:val="0"/>
                <w:iCs w:val="0"/>
                <w:color w:val="000000"/>
                <w:sz w:val="21"/>
                <w:szCs w:val="21"/>
                <w:u w:val="none"/>
              </w:rPr>
            </w:pPr>
          </w:p>
        </w:tc>
        <w:tc>
          <w:tcPr>
            <w:tcW w:w="1214" w:type="dxa"/>
            <w:tcBorders>
              <w:top w:val="single" w:color="000000" w:sz="4" w:space="0"/>
              <w:left w:val="single" w:color="000000" w:sz="4" w:space="0"/>
              <w:bottom w:val="single" w:color="000000" w:sz="8" w:space="0"/>
              <w:right w:val="single" w:color="000000" w:sz="4" w:space="0"/>
            </w:tcBorders>
            <w:shd w:val="clear" w:color="auto" w:fill="auto"/>
            <w:vAlign w:val="center"/>
          </w:tcPr>
          <w:p w14:paraId="1B1E0048">
            <w:pPr>
              <w:jc w:val="left"/>
              <w:rPr>
                <w:rFonts w:hint="eastAsia" w:ascii="宋体" w:hAnsi="宋体" w:eastAsia="宋体" w:cs="宋体"/>
                <w:i w:val="0"/>
                <w:iCs w:val="0"/>
                <w:color w:val="000000"/>
                <w:sz w:val="21"/>
                <w:szCs w:val="21"/>
                <w:u w:val="none"/>
              </w:rPr>
            </w:pPr>
          </w:p>
        </w:tc>
        <w:tc>
          <w:tcPr>
            <w:tcW w:w="3211" w:type="dxa"/>
            <w:tcBorders>
              <w:top w:val="single" w:color="000000" w:sz="4" w:space="0"/>
              <w:left w:val="single" w:color="000000" w:sz="4" w:space="0"/>
              <w:bottom w:val="single" w:color="000000" w:sz="8" w:space="0"/>
              <w:right w:val="single" w:color="000000" w:sz="4" w:space="0"/>
            </w:tcBorders>
            <w:shd w:val="clear" w:color="auto" w:fill="auto"/>
            <w:vAlign w:val="center"/>
          </w:tcPr>
          <w:p w14:paraId="7473032C">
            <w:pPr>
              <w:jc w:val="left"/>
              <w:rPr>
                <w:rFonts w:hint="eastAsia" w:ascii="宋体" w:hAnsi="宋体" w:eastAsia="宋体" w:cs="宋体"/>
                <w:i w:val="0"/>
                <w:iCs w:val="0"/>
                <w:color w:val="000000"/>
                <w:sz w:val="21"/>
                <w:szCs w:val="21"/>
                <w:u w:val="none"/>
              </w:rPr>
            </w:pPr>
          </w:p>
        </w:tc>
        <w:tc>
          <w:tcPr>
            <w:tcW w:w="1199" w:type="dxa"/>
            <w:tcBorders>
              <w:top w:val="single" w:color="000000" w:sz="4" w:space="0"/>
              <w:left w:val="single" w:color="000000" w:sz="4" w:space="0"/>
              <w:bottom w:val="single" w:color="000000" w:sz="8" w:space="0"/>
              <w:right w:val="single" w:color="000000" w:sz="4" w:space="0"/>
            </w:tcBorders>
            <w:shd w:val="clear" w:color="auto" w:fill="auto"/>
            <w:vAlign w:val="center"/>
          </w:tcPr>
          <w:p w14:paraId="2C6D2575">
            <w:pPr>
              <w:jc w:val="center"/>
              <w:rPr>
                <w:rFonts w:hint="eastAsia" w:ascii="宋体" w:hAnsi="宋体" w:eastAsia="宋体" w:cs="宋体"/>
                <w:i w:val="0"/>
                <w:iCs w:val="0"/>
                <w:color w:val="000000"/>
                <w:sz w:val="21"/>
                <w:szCs w:val="21"/>
                <w:u w:val="none"/>
              </w:rPr>
            </w:pPr>
          </w:p>
        </w:tc>
        <w:tc>
          <w:tcPr>
            <w:tcW w:w="917" w:type="dxa"/>
            <w:tcBorders>
              <w:top w:val="single" w:color="000000" w:sz="4" w:space="0"/>
              <w:left w:val="single" w:color="000000" w:sz="4" w:space="0"/>
              <w:bottom w:val="single" w:color="000000" w:sz="8" w:space="0"/>
              <w:right w:val="single" w:color="000000" w:sz="4" w:space="0"/>
            </w:tcBorders>
            <w:shd w:val="clear" w:color="auto" w:fill="auto"/>
            <w:vAlign w:val="center"/>
          </w:tcPr>
          <w:p w14:paraId="27C1F175">
            <w:pPr>
              <w:jc w:val="center"/>
              <w:rPr>
                <w:rFonts w:hint="eastAsia" w:ascii="宋体" w:hAnsi="宋体" w:eastAsia="宋体" w:cs="宋体"/>
                <w:i w:val="0"/>
                <w:iCs w:val="0"/>
                <w:color w:val="000000"/>
                <w:sz w:val="21"/>
                <w:szCs w:val="21"/>
                <w:u w:val="none"/>
              </w:rPr>
            </w:pPr>
          </w:p>
        </w:tc>
        <w:tc>
          <w:tcPr>
            <w:tcW w:w="2029" w:type="dxa"/>
            <w:tcBorders>
              <w:top w:val="single" w:color="000000" w:sz="4" w:space="0"/>
              <w:left w:val="single" w:color="000000" w:sz="4" w:space="0"/>
              <w:bottom w:val="single" w:color="000000" w:sz="8" w:space="0"/>
              <w:right w:val="single" w:color="000000" w:sz="4" w:space="0"/>
            </w:tcBorders>
            <w:shd w:val="clear" w:color="auto" w:fill="auto"/>
            <w:vAlign w:val="center"/>
          </w:tcPr>
          <w:p w14:paraId="49FAB95B">
            <w:pPr>
              <w:jc w:val="right"/>
              <w:rPr>
                <w:rFonts w:hint="eastAsia" w:ascii="宋体" w:hAnsi="宋体" w:eastAsia="宋体" w:cs="宋体"/>
                <w:i w:val="0"/>
                <w:iCs w:val="0"/>
                <w:color w:val="000000"/>
                <w:sz w:val="21"/>
                <w:szCs w:val="21"/>
                <w:u w:val="none"/>
              </w:rPr>
            </w:pPr>
          </w:p>
        </w:tc>
      </w:tr>
    </w:tbl>
    <w:p w14:paraId="12A352AC">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2.物资材料验收时供应商需提供产品质量合格证明文件或第三方检测报告或出厂检测合格报告等能够证明产品质量合格的文件资料；</w:t>
      </w:r>
    </w:p>
    <w:p w14:paraId="06F6B860">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 xml:space="preserve">3.逆变器推荐厂家：华为技术有限公司、阳光电源股份有限公司、江苏固德威电源科技股份有限公司、锦浪科技股份有限公司、科华数据股份有限公司、立讯新能源安徽有限公司。 </w:t>
      </w:r>
    </w:p>
    <w:p w14:paraId="43CEFB8D">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4.光伏组件推荐厂家：隆基绿能科技股份有限公司、晶科能源控股有限公司、晶澳太阳能科技股份有限公司、天合光能股份有限公司、安徽华晟新能源科技有限公司、阿特斯阳光电力有限公司、安徽晶智新能源有限公司、东方日升新能源股份有限公司、宏润建设集团股份有限公司。</w:t>
      </w:r>
    </w:p>
    <w:p w14:paraId="4B00E6A6">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Times New Roman" w:hAnsi="Times New Roman" w:cs="Times New Roman" w:eastAsiaTheme="minorEastAsia"/>
          <w:sz w:val="32"/>
          <w:szCs w:val="32"/>
          <w:lang w:val="en-US" w:eastAsia="zh-CN"/>
        </w:rPr>
      </w:pPr>
      <w:r>
        <w:rPr>
          <w:rFonts w:hint="eastAsia" w:ascii="Times New Roman" w:hAnsi="Times New Roman" w:cs="Times New Roman"/>
          <w:sz w:val="32"/>
          <w:szCs w:val="32"/>
          <w:lang w:val="en-US" w:eastAsia="zh-CN"/>
        </w:rPr>
        <w:t>5.</w:t>
      </w:r>
      <w:r>
        <w:rPr>
          <w:rFonts w:hint="eastAsia" w:ascii="Times New Roman" w:hAnsi="Times New Roman" w:cs="Times New Roman"/>
          <w:sz w:val="32"/>
          <w:szCs w:val="32"/>
        </w:rPr>
        <w:t>供应商可自行选择其他品牌响应，但供应商应当在响应文件中提供技术证明材料，以证明响应产品的质量、性能、参数等相当于或优于推荐品牌，否则其响应无效</w:t>
      </w:r>
      <w:r>
        <w:rPr>
          <w:rFonts w:hint="eastAsia" w:ascii="Times New Roman" w:hAnsi="Times New Roman" w:cs="Times New Roman"/>
          <w:sz w:val="32"/>
          <w:szCs w:val="32"/>
          <w:lang w:eastAsia="zh-CN"/>
        </w:rPr>
        <w:t>。</w:t>
      </w:r>
    </w:p>
    <w:p w14:paraId="7A4C123C">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3ZGM4ZWFjNjY5ZjY2M2MyYzZkYTMyMzI0NDc5NWEifQ=="/>
    <w:docVar w:name="KSO_WPS_MARK_KEY" w:val="e25d235b-bfcb-4db4-8c3a-96cb41484f81"/>
  </w:docVars>
  <w:rsids>
    <w:rsidRoot w:val="2C8D55F1"/>
    <w:rsid w:val="0002117A"/>
    <w:rsid w:val="00702588"/>
    <w:rsid w:val="00773916"/>
    <w:rsid w:val="011871BF"/>
    <w:rsid w:val="015F4443"/>
    <w:rsid w:val="017936BE"/>
    <w:rsid w:val="01BB7833"/>
    <w:rsid w:val="0261662C"/>
    <w:rsid w:val="026659F0"/>
    <w:rsid w:val="034F7B48"/>
    <w:rsid w:val="0433224A"/>
    <w:rsid w:val="043438CC"/>
    <w:rsid w:val="043F474B"/>
    <w:rsid w:val="04416527"/>
    <w:rsid w:val="04445A59"/>
    <w:rsid w:val="07207C8B"/>
    <w:rsid w:val="073428F3"/>
    <w:rsid w:val="07CC09EB"/>
    <w:rsid w:val="08585DDB"/>
    <w:rsid w:val="0895702F"/>
    <w:rsid w:val="08C72F61"/>
    <w:rsid w:val="097035F9"/>
    <w:rsid w:val="098D7D07"/>
    <w:rsid w:val="09A47FE3"/>
    <w:rsid w:val="09B26493"/>
    <w:rsid w:val="09E963BD"/>
    <w:rsid w:val="09F90B7C"/>
    <w:rsid w:val="0A171CC6"/>
    <w:rsid w:val="0AB6423A"/>
    <w:rsid w:val="0B162F9D"/>
    <w:rsid w:val="0B25614D"/>
    <w:rsid w:val="0B57681E"/>
    <w:rsid w:val="0BFD4E9D"/>
    <w:rsid w:val="0C6C0213"/>
    <w:rsid w:val="0CCE634C"/>
    <w:rsid w:val="0D6E4355"/>
    <w:rsid w:val="0EDE1004"/>
    <w:rsid w:val="0F0D4362"/>
    <w:rsid w:val="10CD30DE"/>
    <w:rsid w:val="10D26947"/>
    <w:rsid w:val="111807FE"/>
    <w:rsid w:val="111B6540"/>
    <w:rsid w:val="12281DA0"/>
    <w:rsid w:val="1324792E"/>
    <w:rsid w:val="13C51BBF"/>
    <w:rsid w:val="14103A0E"/>
    <w:rsid w:val="143D67CD"/>
    <w:rsid w:val="14BB5B68"/>
    <w:rsid w:val="152F25B6"/>
    <w:rsid w:val="16C81358"/>
    <w:rsid w:val="16FD252F"/>
    <w:rsid w:val="184B4649"/>
    <w:rsid w:val="188744BB"/>
    <w:rsid w:val="1AE101ED"/>
    <w:rsid w:val="1C393D1E"/>
    <w:rsid w:val="1C6A3ED7"/>
    <w:rsid w:val="1D745FD8"/>
    <w:rsid w:val="1D8D4321"/>
    <w:rsid w:val="1DAA6C81"/>
    <w:rsid w:val="1E3F7D35"/>
    <w:rsid w:val="1EDD4E34"/>
    <w:rsid w:val="1FAF67D1"/>
    <w:rsid w:val="20174376"/>
    <w:rsid w:val="207254A1"/>
    <w:rsid w:val="20AE0304"/>
    <w:rsid w:val="20AF0487"/>
    <w:rsid w:val="218B501C"/>
    <w:rsid w:val="21EA1D42"/>
    <w:rsid w:val="21F10524"/>
    <w:rsid w:val="22041AC9"/>
    <w:rsid w:val="23046E34"/>
    <w:rsid w:val="239161EE"/>
    <w:rsid w:val="23AB5501"/>
    <w:rsid w:val="23FC3FAF"/>
    <w:rsid w:val="240415DF"/>
    <w:rsid w:val="24F15196"/>
    <w:rsid w:val="2563051A"/>
    <w:rsid w:val="257D4C7B"/>
    <w:rsid w:val="25AD14FF"/>
    <w:rsid w:val="25F211C5"/>
    <w:rsid w:val="265C5285"/>
    <w:rsid w:val="274624BC"/>
    <w:rsid w:val="28096C9A"/>
    <w:rsid w:val="290A14E0"/>
    <w:rsid w:val="290E5995"/>
    <w:rsid w:val="29A7676B"/>
    <w:rsid w:val="29D878C1"/>
    <w:rsid w:val="29E23D6D"/>
    <w:rsid w:val="29FD45DD"/>
    <w:rsid w:val="2A9F7442"/>
    <w:rsid w:val="2AE41B02"/>
    <w:rsid w:val="2B00322B"/>
    <w:rsid w:val="2BE94D47"/>
    <w:rsid w:val="2C11436F"/>
    <w:rsid w:val="2C567FD4"/>
    <w:rsid w:val="2C8D55F1"/>
    <w:rsid w:val="2DD37B2E"/>
    <w:rsid w:val="3054752A"/>
    <w:rsid w:val="30847806"/>
    <w:rsid w:val="31CD5CAD"/>
    <w:rsid w:val="31F938DC"/>
    <w:rsid w:val="320A1650"/>
    <w:rsid w:val="34452E08"/>
    <w:rsid w:val="345D2074"/>
    <w:rsid w:val="35245113"/>
    <w:rsid w:val="360931FD"/>
    <w:rsid w:val="361D53EC"/>
    <w:rsid w:val="36496DE4"/>
    <w:rsid w:val="368E10DD"/>
    <w:rsid w:val="36B87FCE"/>
    <w:rsid w:val="36D44917"/>
    <w:rsid w:val="36DA1F2E"/>
    <w:rsid w:val="36FE4905"/>
    <w:rsid w:val="38B13162"/>
    <w:rsid w:val="38F0795C"/>
    <w:rsid w:val="39F01A68"/>
    <w:rsid w:val="3AC76C6D"/>
    <w:rsid w:val="3AF31810"/>
    <w:rsid w:val="3B984165"/>
    <w:rsid w:val="3BAC5E63"/>
    <w:rsid w:val="3BD76142"/>
    <w:rsid w:val="3BDD1C9A"/>
    <w:rsid w:val="3C8972BE"/>
    <w:rsid w:val="3D962926"/>
    <w:rsid w:val="3DD31485"/>
    <w:rsid w:val="3E347140"/>
    <w:rsid w:val="3F03223E"/>
    <w:rsid w:val="3FA07A8C"/>
    <w:rsid w:val="40BB2DD0"/>
    <w:rsid w:val="40DB4CE3"/>
    <w:rsid w:val="41CA47A1"/>
    <w:rsid w:val="42445EF3"/>
    <w:rsid w:val="425F5043"/>
    <w:rsid w:val="42B06238"/>
    <w:rsid w:val="42CD0B98"/>
    <w:rsid w:val="42D47DE3"/>
    <w:rsid w:val="44A66906"/>
    <w:rsid w:val="456450B8"/>
    <w:rsid w:val="458614D2"/>
    <w:rsid w:val="464C7905"/>
    <w:rsid w:val="47370CD6"/>
    <w:rsid w:val="473E2065"/>
    <w:rsid w:val="474B4782"/>
    <w:rsid w:val="475E2707"/>
    <w:rsid w:val="47775577"/>
    <w:rsid w:val="48621D83"/>
    <w:rsid w:val="49521DF7"/>
    <w:rsid w:val="498D6D0C"/>
    <w:rsid w:val="49F17862"/>
    <w:rsid w:val="4A0C75E2"/>
    <w:rsid w:val="4A62606A"/>
    <w:rsid w:val="4A730277"/>
    <w:rsid w:val="4A856C92"/>
    <w:rsid w:val="4AAC3789"/>
    <w:rsid w:val="4BD9235C"/>
    <w:rsid w:val="4BED5E07"/>
    <w:rsid w:val="4C0A79EA"/>
    <w:rsid w:val="4C0F3FD0"/>
    <w:rsid w:val="4C63431C"/>
    <w:rsid w:val="503C55AF"/>
    <w:rsid w:val="5176689F"/>
    <w:rsid w:val="5314011E"/>
    <w:rsid w:val="535D1AC5"/>
    <w:rsid w:val="535F3A8F"/>
    <w:rsid w:val="545804DE"/>
    <w:rsid w:val="551C775D"/>
    <w:rsid w:val="55E305D4"/>
    <w:rsid w:val="56B23ED5"/>
    <w:rsid w:val="56CA4951"/>
    <w:rsid w:val="57C2639A"/>
    <w:rsid w:val="590C7EA4"/>
    <w:rsid w:val="591470C9"/>
    <w:rsid w:val="59457283"/>
    <w:rsid w:val="595B08A7"/>
    <w:rsid w:val="59A044B9"/>
    <w:rsid w:val="5A00764E"/>
    <w:rsid w:val="5A290952"/>
    <w:rsid w:val="5AB754A6"/>
    <w:rsid w:val="5AF56A87"/>
    <w:rsid w:val="5BE56AFB"/>
    <w:rsid w:val="5C4F6BD1"/>
    <w:rsid w:val="5C50666A"/>
    <w:rsid w:val="5C6E42B2"/>
    <w:rsid w:val="5C700ABB"/>
    <w:rsid w:val="5CF32339"/>
    <w:rsid w:val="5CFF3BED"/>
    <w:rsid w:val="5D445AA3"/>
    <w:rsid w:val="5D8977E8"/>
    <w:rsid w:val="5E2C27BF"/>
    <w:rsid w:val="60A61C0E"/>
    <w:rsid w:val="60B065B7"/>
    <w:rsid w:val="60FA6AF7"/>
    <w:rsid w:val="61B747E8"/>
    <w:rsid w:val="61DD0F07"/>
    <w:rsid w:val="62854B94"/>
    <w:rsid w:val="6378131D"/>
    <w:rsid w:val="63FB31EA"/>
    <w:rsid w:val="64135A89"/>
    <w:rsid w:val="64964E36"/>
    <w:rsid w:val="64B67287"/>
    <w:rsid w:val="679118E5"/>
    <w:rsid w:val="67CF26DD"/>
    <w:rsid w:val="69304F32"/>
    <w:rsid w:val="69D40201"/>
    <w:rsid w:val="6A274783"/>
    <w:rsid w:val="6A6C074C"/>
    <w:rsid w:val="6A752B16"/>
    <w:rsid w:val="6B0F5943"/>
    <w:rsid w:val="6B6D2669"/>
    <w:rsid w:val="6B8A44FA"/>
    <w:rsid w:val="6C890097"/>
    <w:rsid w:val="6DAD31F1"/>
    <w:rsid w:val="6DBB70A1"/>
    <w:rsid w:val="6E00031E"/>
    <w:rsid w:val="6F683AD2"/>
    <w:rsid w:val="6F6F72B0"/>
    <w:rsid w:val="6FC36CFC"/>
    <w:rsid w:val="70383246"/>
    <w:rsid w:val="70D46855"/>
    <w:rsid w:val="72F054D5"/>
    <w:rsid w:val="73790697"/>
    <w:rsid w:val="739369E5"/>
    <w:rsid w:val="73FE0302"/>
    <w:rsid w:val="74626AE3"/>
    <w:rsid w:val="74E449D9"/>
    <w:rsid w:val="7513602F"/>
    <w:rsid w:val="751F6782"/>
    <w:rsid w:val="75F95225"/>
    <w:rsid w:val="75F96FD3"/>
    <w:rsid w:val="760A3563"/>
    <w:rsid w:val="762F05C5"/>
    <w:rsid w:val="767D5622"/>
    <w:rsid w:val="76A930E3"/>
    <w:rsid w:val="76CA6BC2"/>
    <w:rsid w:val="785030F6"/>
    <w:rsid w:val="795A247F"/>
    <w:rsid w:val="79BA2F1D"/>
    <w:rsid w:val="79C8388C"/>
    <w:rsid w:val="7B446F42"/>
    <w:rsid w:val="7C556F2D"/>
    <w:rsid w:val="7C885A6A"/>
    <w:rsid w:val="7D250F7A"/>
    <w:rsid w:val="7D6769C4"/>
    <w:rsid w:val="7DC0201E"/>
    <w:rsid w:val="7FAC35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qFormat/>
    <w:uiPriority w:val="0"/>
    <w:pPr>
      <w:keepNext/>
      <w:keepLines/>
      <w:spacing w:before="240" w:after="240" w:line="600" w:lineRule="auto"/>
      <w:jc w:val="center"/>
      <w:outlineLvl w:val="0"/>
    </w:pPr>
    <w:rPr>
      <w:rFonts w:ascii="仿宋" w:hAnsi="仿宋" w:eastAsia="仿宋"/>
      <w:b/>
      <w:bCs/>
      <w:color w:val="000000"/>
      <w:kern w:val="44"/>
      <w:sz w:val="32"/>
      <w:szCs w:val="44"/>
    </w:rPr>
  </w:style>
  <w:style w:type="paragraph" w:styleId="3">
    <w:name w:val="heading 2"/>
    <w:basedOn w:val="1"/>
    <w:next w:val="4"/>
    <w:qFormat/>
    <w:uiPriority w:val="9"/>
    <w:pPr>
      <w:keepNext/>
      <w:keepLines/>
      <w:spacing w:before="120" w:after="120"/>
      <w:outlineLvl w:val="1"/>
    </w:pPr>
    <w:rPr>
      <w:rFonts w:ascii="仿宋" w:hAnsi="仿宋" w:eastAsia="仿宋"/>
      <w:b/>
      <w:bCs/>
      <w:kern w:val="0"/>
      <w:sz w:val="28"/>
      <w:szCs w:val="28"/>
    </w:rPr>
  </w:style>
  <w:style w:type="paragraph" w:styleId="4">
    <w:name w:val="heading 3"/>
    <w:basedOn w:val="1"/>
    <w:next w:val="1"/>
    <w:qFormat/>
    <w:uiPriority w:val="0"/>
    <w:pPr>
      <w:keepNext/>
      <w:keepLines/>
      <w:spacing w:beforeLines="50" w:afterLines="50"/>
      <w:outlineLvl w:val="2"/>
    </w:pPr>
    <w:rPr>
      <w:rFonts w:ascii="仿宋" w:hAnsi="仿宋" w:eastAsia="仿宋"/>
      <w:b/>
      <w:bCs/>
      <w:kern w:val="0"/>
      <w:sz w:val="24"/>
      <w:szCs w:val="32"/>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99"/>
    <w:pPr>
      <w:spacing w:after="120"/>
    </w:pPr>
    <w:rPr>
      <w:rFonts w:ascii="Times New Roman" w:hAnsi="Times New Roman"/>
      <w:kern w:val="0"/>
      <w:sz w:val="20"/>
      <w:szCs w:val="20"/>
    </w:rPr>
  </w:style>
  <w:style w:type="paragraph" w:styleId="6">
    <w:name w:val="Body Text Indent"/>
    <w:basedOn w:val="1"/>
    <w:semiHidden/>
    <w:unhideWhenUsed/>
    <w:qFormat/>
    <w:uiPriority w:val="99"/>
    <w:pPr>
      <w:spacing w:after="120"/>
      <w:ind w:left="420" w:leftChars="200"/>
    </w:p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envelope return"/>
    <w:basedOn w:val="1"/>
    <w:unhideWhenUsed/>
    <w:qFormat/>
    <w:uiPriority w:val="0"/>
    <w:pPr>
      <w:snapToGrid w:val="0"/>
    </w:pPr>
    <w:rPr>
      <w:rFonts w:hint="eastAsia" w:ascii="Arial" w:hAnsi="Arial"/>
    </w:rPr>
  </w:style>
  <w:style w:type="paragraph" w:styleId="9">
    <w:name w:val="Body Text First Indent 2"/>
    <w:basedOn w:val="6"/>
    <w:next w:val="1"/>
    <w:semiHidden/>
    <w:unhideWhenUsed/>
    <w:qFormat/>
    <w:uiPriority w:val="99"/>
    <w:pPr>
      <w:ind w:firstLine="420" w:firstLineChars="2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标4"/>
    <w:basedOn w:val="1"/>
    <w:qFormat/>
    <w:uiPriority w:val="0"/>
    <w:pPr>
      <w:adjustRightInd w:val="0"/>
      <w:spacing w:before="240" w:after="360" w:line="240" w:lineRule="exact"/>
      <w:ind w:firstLine="0" w:firstLineChars="0"/>
      <w:outlineLvl w:val="3"/>
    </w:pPr>
    <w:rPr>
      <w:rFonts w:ascii="Arial" w:hAnsi="Arial" w:cs="Arial"/>
      <w:b/>
      <w:bCs/>
      <w:kern w:val="24"/>
    </w:rPr>
  </w:style>
  <w:style w:type="paragraph" w:customStyle="1" w:styleId="14">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905</Words>
  <Characters>1010</Characters>
  <Lines>0</Lines>
  <Paragraphs>0</Paragraphs>
  <TotalTime>1</TotalTime>
  <ScaleCrop>false</ScaleCrop>
  <LinksUpToDate>false</LinksUpToDate>
  <CharactersWithSpaces>1018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2022-06-20T00:25:00Z</dcterms:created>
  <dc:creator>19956735427</dc:creator>
  <cp:lastModifiedBy>张迪</cp:lastModifiedBy>
  <cp:lastPrinted>2025-02-12T08:49:54Z</cp:lastPrinted>
  <dcterms:modified xsi:type="dcterms:W3CDTF">2025-02-12T08:50:24Z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D3E5E762D49B444E819C0BA1D4D83412_13</vt:lpwstr>
  </property>
  <property fmtid="{D5CDD505-2E9C-101B-9397-08002B2CF9AE}" pid="4" name="KSOTemplateDocerSaveRecord">
    <vt:lpwstr>eyJoZGlkIjoiMmExZjUxNWE0NWJhMGEyZGI3ZWI3YTYxOTBiYmQ5M2YiLCJ1c2VySWQiOiIxNTY2MDI0ODcyIn0=</vt:lpwstr>
  </property>
</Properties>
</file>