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6EBD7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5196DC0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shd w:val="clear" w:color="auto" w:fill="auto"/>
          <w:lang w:val="en-US" w:eastAsia="zh-CN"/>
        </w:rPr>
      </w:pPr>
      <w:r>
        <w:rPr>
          <w:rFonts w:hint="eastAsia" w:ascii="Times New Roman" w:hAnsi="Times New Roman" w:eastAsia="黑体" w:cs="Times New Roman"/>
          <w:color w:val="auto"/>
          <w:kern w:val="0"/>
          <w:sz w:val="32"/>
          <w:szCs w:val="32"/>
          <w:highlight w:val="none"/>
          <w:u w:val="single"/>
          <w:shd w:val="clear" w:color="auto" w:fill="auto"/>
          <w:lang w:val="en-US" w:eastAsia="zh-CN"/>
        </w:rPr>
        <w:t>亳州逸合府项目北区工程建设全周期内检测工程（二次）</w:t>
      </w:r>
    </w:p>
    <w:p w14:paraId="512BAD8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方正小标宋简体" w:hAnsi="方正小标宋简体" w:eastAsia="方正小标宋简体" w:cs="方正小标宋简体"/>
          <w:color w:val="auto"/>
          <w:kern w:val="0"/>
          <w:sz w:val="32"/>
          <w:szCs w:val="32"/>
          <w:highlight w:val="none"/>
          <w:lang w:val="en-US" w:eastAsia="zh-CN"/>
        </w:rPr>
      </w:pPr>
    </w:p>
    <w:p w14:paraId="715F4C9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方正小标宋简体" w:hAnsi="方正小标宋简体" w:eastAsia="方正小标宋简体" w:cs="方正小标宋简体"/>
          <w:color w:val="auto"/>
          <w:kern w:val="0"/>
          <w:sz w:val="32"/>
          <w:szCs w:val="32"/>
          <w:highlight w:val="none"/>
          <w:lang w:val="en-US" w:eastAsia="zh-CN"/>
        </w:rPr>
      </w:pPr>
    </w:p>
    <w:p w14:paraId="3F2C97F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方正小标宋简体" w:hAnsi="方正小标宋简体" w:eastAsia="方正小标宋简体" w:cs="方正小标宋简体"/>
          <w:color w:val="auto"/>
          <w:kern w:val="0"/>
          <w:sz w:val="84"/>
          <w:szCs w:val="84"/>
          <w:highlight w:val="none"/>
          <w:lang w:val="en-US" w:eastAsia="zh-CN"/>
        </w:rPr>
      </w:pPr>
      <w:r>
        <w:rPr>
          <w:rFonts w:hint="eastAsia" w:ascii="方正小标宋简体" w:hAnsi="方正小标宋简体" w:eastAsia="方正小标宋简体" w:cs="方正小标宋简体"/>
          <w:color w:val="auto"/>
          <w:kern w:val="0"/>
          <w:sz w:val="84"/>
          <w:szCs w:val="84"/>
          <w:highlight w:val="none"/>
          <w:lang w:val="en-US" w:eastAsia="zh-CN"/>
        </w:rPr>
        <w:t>招</w:t>
      </w:r>
    </w:p>
    <w:p w14:paraId="7A07BFC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方正小标宋简体" w:hAnsi="方正小标宋简体" w:eastAsia="方正小标宋简体" w:cs="方正小标宋简体"/>
          <w:color w:val="auto"/>
          <w:kern w:val="0"/>
          <w:sz w:val="84"/>
          <w:szCs w:val="84"/>
          <w:highlight w:val="none"/>
          <w:lang w:val="en-US" w:eastAsia="zh-CN"/>
        </w:rPr>
      </w:pPr>
      <w:r>
        <w:rPr>
          <w:rFonts w:hint="eastAsia" w:ascii="方正小标宋简体" w:hAnsi="方正小标宋简体" w:eastAsia="方正小标宋简体" w:cs="方正小标宋简体"/>
          <w:color w:val="auto"/>
          <w:kern w:val="0"/>
          <w:sz w:val="84"/>
          <w:szCs w:val="84"/>
          <w:highlight w:val="none"/>
          <w:lang w:val="en-US" w:eastAsia="zh-CN"/>
        </w:rPr>
        <w:t>标</w:t>
      </w:r>
    </w:p>
    <w:p w14:paraId="4A0811F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方正小标宋简体" w:hAnsi="方正小标宋简体" w:eastAsia="方正小标宋简体" w:cs="方正小标宋简体"/>
          <w:color w:val="auto"/>
          <w:kern w:val="0"/>
          <w:sz w:val="84"/>
          <w:szCs w:val="84"/>
          <w:highlight w:val="none"/>
          <w:lang w:val="en-US" w:eastAsia="zh-CN"/>
        </w:rPr>
      </w:pPr>
      <w:r>
        <w:rPr>
          <w:rFonts w:hint="eastAsia" w:ascii="方正小标宋简体" w:hAnsi="方正小标宋简体" w:eastAsia="方正小标宋简体" w:cs="方正小标宋简体"/>
          <w:color w:val="auto"/>
          <w:kern w:val="0"/>
          <w:sz w:val="84"/>
          <w:szCs w:val="84"/>
          <w:highlight w:val="none"/>
          <w:lang w:val="en-US" w:eastAsia="zh-CN"/>
        </w:rPr>
        <w:t>文</w:t>
      </w:r>
    </w:p>
    <w:p w14:paraId="20551AE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方正小标宋简体" w:hAnsi="方正小标宋简体" w:eastAsia="方正小标宋简体" w:cs="方正小标宋简体"/>
          <w:color w:val="auto"/>
          <w:kern w:val="0"/>
          <w:sz w:val="84"/>
          <w:szCs w:val="84"/>
          <w:highlight w:val="none"/>
          <w:lang w:val="en-US" w:eastAsia="zh-CN"/>
        </w:rPr>
      </w:pPr>
      <w:r>
        <w:rPr>
          <w:rFonts w:hint="eastAsia" w:ascii="方正小标宋简体" w:hAnsi="方正小标宋简体" w:eastAsia="方正小标宋简体" w:cs="方正小标宋简体"/>
          <w:color w:val="auto"/>
          <w:kern w:val="0"/>
          <w:sz w:val="84"/>
          <w:szCs w:val="84"/>
          <w:highlight w:val="none"/>
          <w:lang w:val="en-US" w:eastAsia="zh-CN"/>
        </w:rPr>
        <w:t>件</w:t>
      </w:r>
    </w:p>
    <w:p w14:paraId="23D7CC1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方正小标宋简体" w:hAnsi="方正小标宋简体" w:eastAsia="方正小标宋简体" w:cs="方正小标宋简体"/>
          <w:color w:val="auto"/>
          <w:kern w:val="0"/>
          <w:sz w:val="28"/>
          <w:szCs w:val="28"/>
          <w:highlight w:val="none"/>
          <w:lang w:val="en-US" w:eastAsia="zh-CN"/>
        </w:rPr>
      </w:pPr>
    </w:p>
    <w:p w14:paraId="7695843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r>
        <w:rPr>
          <w:rFonts w:hint="default" w:ascii="Times New Roman" w:hAnsi="Times New Roman" w:eastAsia="楷体" w:cs="Times New Roman"/>
          <w:color w:val="auto"/>
          <w:kern w:val="0"/>
          <w:sz w:val="28"/>
          <w:szCs w:val="28"/>
          <w:highlight w:val="none"/>
          <w:lang w:val="en-US" w:eastAsia="zh-CN"/>
        </w:rPr>
        <w:t>项目编号</w:t>
      </w:r>
      <w:r>
        <w:rPr>
          <w:rFonts w:hint="default" w:ascii="Times New Roman" w:hAnsi="Times New Roman" w:eastAsia="楷体" w:cs="Times New Roman"/>
          <w:color w:val="auto"/>
          <w:kern w:val="0"/>
          <w:sz w:val="28"/>
          <w:szCs w:val="28"/>
          <w:highlight w:val="none"/>
          <w:shd w:val="clear" w:color="auto" w:fill="auto"/>
          <w:lang w:val="en-US" w:eastAsia="zh-CN"/>
        </w:rPr>
        <w:t>：</w:t>
      </w:r>
      <w:permStart w:id="0" w:edGrp="everyone"/>
      <w:r>
        <w:rPr>
          <w:rFonts w:hint="eastAsia" w:ascii="Times New Roman" w:hAnsi="Times New Roman" w:eastAsia="楷体" w:cs="Times New Roman"/>
          <w:color w:val="auto"/>
          <w:kern w:val="0"/>
          <w:sz w:val="28"/>
          <w:szCs w:val="28"/>
          <w:highlight w:val="none"/>
          <w:shd w:val="clear" w:color="auto" w:fill="auto"/>
          <w:lang w:val="en-US" w:eastAsia="zh-CN"/>
        </w:rPr>
        <w:t>BZJK-2025</w:t>
      </w:r>
      <w:r>
        <w:rPr>
          <w:rFonts w:hint="default" w:ascii="Times New Roman" w:hAnsi="Times New Roman" w:eastAsia="楷体" w:cs="Times New Roman"/>
          <w:color w:val="auto"/>
          <w:kern w:val="0"/>
          <w:sz w:val="28"/>
          <w:szCs w:val="28"/>
          <w:highlight w:val="none"/>
          <w:shd w:val="clear" w:color="auto" w:fill="auto"/>
          <w:lang w:val="en-US" w:eastAsia="zh-CN"/>
        </w:rPr>
        <w:t>-</w:t>
      </w:r>
      <w:r>
        <w:rPr>
          <w:rFonts w:hint="eastAsia" w:ascii="Times New Roman" w:hAnsi="Times New Roman" w:eastAsia="楷体" w:cs="Times New Roman"/>
          <w:color w:val="auto"/>
          <w:kern w:val="0"/>
          <w:sz w:val="28"/>
          <w:szCs w:val="28"/>
          <w:highlight w:val="none"/>
          <w:shd w:val="clear" w:color="auto" w:fill="auto"/>
          <w:lang w:val="en-US" w:eastAsia="zh-CN"/>
        </w:rPr>
        <w:t>003</w:t>
      </w:r>
      <w:r>
        <w:rPr>
          <w:rFonts w:hint="default" w:ascii="Times New Roman" w:hAnsi="Times New Roman" w:eastAsia="楷体" w:cs="Times New Roman"/>
          <w:color w:val="auto"/>
          <w:kern w:val="0"/>
          <w:sz w:val="28"/>
          <w:szCs w:val="28"/>
          <w:highlight w:val="none"/>
          <w:shd w:val="clear" w:color="auto" w:fill="auto"/>
          <w:lang w:val="en-US" w:eastAsia="zh-CN"/>
        </w:rPr>
        <w:t>号</w:t>
      </w:r>
      <w:permEnd w:id="0"/>
    </w:p>
    <w:p w14:paraId="21676CC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p>
    <w:p w14:paraId="731D82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32"/>
          <w:szCs w:val="32"/>
          <w:highlight w:val="none"/>
          <w:lang w:val="en-US" w:eastAsia="zh-CN"/>
        </w:rPr>
      </w:pPr>
    </w:p>
    <w:p w14:paraId="0555B5EB">
      <w:pPr>
        <w:keepNext w:val="0"/>
        <w:keepLines w:val="0"/>
        <w:pageBreakBefore w:val="0"/>
        <w:widowControl w:val="0"/>
        <w:kinsoku/>
        <w:wordWrap w:val="0"/>
        <w:overflowPunct/>
        <w:topLinePunct w:val="0"/>
        <w:autoSpaceDE/>
        <w:autoSpaceDN/>
        <w:bidi w:val="0"/>
        <w:adjustRightInd/>
        <w:snapToGrid/>
        <w:spacing w:line="240" w:lineRule="auto"/>
        <w:ind w:leftChars="600" w:firstLine="640" w:firstLineChars="200"/>
        <w:jc w:val="left"/>
        <w:textAlignment w:val="auto"/>
        <w:outlineLvl w:val="9"/>
        <w:rPr>
          <w:rFonts w:hint="default" w:ascii="Times New Roman" w:hAnsi="Times New Roman" w:eastAsia="楷体" w:cs="Times New Roman"/>
          <w:color w:val="auto"/>
          <w:kern w:val="0"/>
          <w:sz w:val="32"/>
          <w:szCs w:val="32"/>
          <w:highlight w:val="none"/>
          <w:shd w:val="clear" w:color="auto" w:fill="auto"/>
          <w:lang w:val="en-US" w:eastAsia="zh-CN"/>
        </w:rPr>
      </w:pPr>
    </w:p>
    <w:p w14:paraId="63C2BF0C">
      <w:pPr>
        <w:keepNext w:val="0"/>
        <w:keepLines w:val="0"/>
        <w:pageBreakBefore w:val="0"/>
        <w:widowControl w:val="0"/>
        <w:kinsoku/>
        <w:wordWrap w:val="0"/>
        <w:overflowPunct/>
        <w:topLinePunct w:val="0"/>
        <w:autoSpaceDE/>
        <w:autoSpaceDN/>
        <w:bidi w:val="0"/>
        <w:adjustRightInd/>
        <w:snapToGrid/>
        <w:spacing w:line="240" w:lineRule="auto"/>
        <w:ind w:leftChars="600" w:firstLine="640" w:firstLineChars="200"/>
        <w:jc w:val="left"/>
        <w:textAlignment w:val="auto"/>
        <w:outlineLvl w:val="9"/>
        <w:rPr>
          <w:rFonts w:hint="default" w:ascii="Times New Roman" w:hAnsi="Times New Roman" w:eastAsia="楷体" w:cs="Times New Roman"/>
          <w:color w:val="auto"/>
          <w:kern w:val="0"/>
          <w:sz w:val="32"/>
          <w:szCs w:val="32"/>
          <w:highlight w:val="none"/>
          <w:shd w:val="clear" w:color="auto" w:fill="auto"/>
          <w:lang w:val="en-US" w:eastAsia="zh-CN"/>
        </w:rPr>
      </w:pPr>
      <w:r>
        <w:rPr>
          <w:rFonts w:hint="default" w:ascii="Times New Roman" w:hAnsi="Times New Roman" w:eastAsia="楷体" w:cs="Times New Roman"/>
          <w:color w:val="auto"/>
          <w:kern w:val="0"/>
          <w:sz w:val="32"/>
          <w:szCs w:val="32"/>
          <w:highlight w:val="none"/>
          <w:shd w:val="clear" w:color="auto" w:fill="auto"/>
          <w:lang w:val="en-US" w:eastAsia="zh-CN"/>
        </w:rPr>
        <w:t>招标单位：</w:t>
      </w:r>
      <w:permStart w:id="1" w:edGrp="everyone"/>
      <w:r>
        <w:rPr>
          <w:rFonts w:hint="eastAsia" w:ascii="Times New Roman" w:hAnsi="Times New Roman" w:eastAsia="楷体" w:cs="Times New Roman"/>
          <w:color w:val="auto"/>
          <w:kern w:val="0"/>
          <w:sz w:val="32"/>
          <w:szCs w:val="32"/>
          <w:highlight w:val="none"/>
          <w:shd w:val="clear" w:color="auto" w:fill="auto"/>
          <w:lang w:val="en-US" w:eastAsia="zh-CN"/>
        </w:rPr>
        <w:t>亳州通恒置业有限公司</w:t>
      </w:r>
      <w:permEnd w:id="1"/>
    </w:p>
    <w:p w14:paraId="465269ED">
      <w:pPr>
        <w:keepNext w:val="0"/>
        <w:keepLines w:val="0"/>
        <w:pageBreakBefore w:val="0"/>
        <w:widowControl w:val="0"/>
        <w:kinsoku/>
        <w:wordWrap w:val="0"/>
        <w:overflowPunct/>
        <w:topLinePunct w:val="0"/>
        <w:autoSpaceDE/>
        <w:autoSpaceDN/>
        <w:bidi w:val="0"/>
        <w:adjustRightInd/>
        <w:snapToGrid/>
        <w:spacing w:line="240" w:lineRule="auto"/>
        <w:ind w:leftChars="600" w:firstLine="640" w:firstLineChars="2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default" w:ascii="Times New Roman" w:hAnsi="Times New Roman" w:eastAsia="楷体" w:cs="Times New Roman"/>
          <w:color w:val="auto"/>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color w:val="auto"/>
          <w:kern w:val="0"/>
          <w:sz w:val="32"/>
          <w:szCs w:val="32"/>
          <w:highlight w:val="none"/>
          <w:shd w:val="clear" w:color="auto" w:fill="auto"/>
          <w:lang w:val="en-US" w:eastAsia="zh-CN"/>
        </w:rPr>
        <w:t>2025年1</w:t>
      </w:r>
      <w:r>
        <w:rPr>
          <w:rFonts w:hint="eastAsia" w:ascii="Times New Roman" w:hAnsi="Times New Roman" w:eastAsia="楷体" w:cs="Times New Roman"/>
          <w:color w:val="auto"/>
          <w:kern w:val="0"/>
          <w:sz w:val="32"/>
          <w:szCs w:val="32"/>
          <w:highlight w:val="none"/>
          <w:u w:val="none"/>
          <w:shd w:val="clear" w:color="auto" w:fill="auto"/>
          <w:lang w:val="en-US" w:eastAsia="zh-CN"/>
        </w:rPr>
        <w:t>月17日</w:t>
      </w:r>
      <w:permEnd w:id="2"/>
    </w:p>
    <w:p w14:paraId="22026D53">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color w:val="auto"/>
          <w:kern w:val="0"/>
          <w:sz w:val="32"/>
          <w:szCs w:val="32"/>
          <w:highlight w:val="none"/>
          <w:lang w:val="en-US" w:eastAsia="zh-CN"/>
        </w:rPr>
      </w:pPr>
      <w:r>
        <w:rPr>
          <w:rFonts w:hint="default" w:ascii="Times New Roman" w:hAnsi="Times New Roman" w:eastAsia="楷体" w:cs="Times New Roman"/>
          <w:color w:val="auto"/>
          <w:kern w:val="0"/>
          <w:sz w:val="32"/>
          <w:szCs w:val="32"/>
          <w:highlight w:val="none"/>
          <w:lang w:val="en-US" w:eastAsia="zh-CN"/>
        </w:rPr>
        <w:br w:type="page"/>
      </w:r>
    </w:p>
    <w:p w14:paraId="2B5BC2A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目录</w:t>
      </w:r>
    </w:p>
    <w:p w14:paraId="63B2F06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7D2C525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ermStart w:id="3" w:edGrp="everyone"/>
      <w:r>
        <w:rPr>
          <w:rFonts w:hint="default" w:ascii="Times New Roman" w:hAnsi="Times New Roman" w:eastAsia="黑体" w:cs="Times New Roman"/>
          <w:color w:val="auto"/>
          <w:kern w:val="0"/>
          <w:sz w:val="32"/>
          <w:szCs w:val="32"/>
          <w:highlight w:val="none"/>
          <w:lang w:val="en-US" w:eastAsia="zh-CN"/>
        </w:rPr>
        <w:t>第一章 招标公告.......................................................................1</w:t>
      </w:r>
    </w:p>
    <w:p w14:paraId="09EC07E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5</w:t>
      </w:r>
    </w:p>
    <w:p w14:paraId="3C3F1FC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（综合评估法）</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22</w:t>
      </w:r>
    </w:p>
    <w:p w14:paraId="46D8DE1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第四章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29</w:t>
      </w:r>
    </w:p>
    <w:p w14:paraId="0033B22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发包人要求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35</w:t>
      </w:r>
    </w:p>
    <w:p w14:paraId="0690000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36</w:t>
      </w:r>
    </w:p>
    <w:permEnd w:id="3"/>
    <w:p w14:paraId="0725AF56">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p>
    <w:p w14:paraId="158BE15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010EE3B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5537A5AC">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14FC2CB7">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0EEC1FF3">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332838FC">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28EA062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46E6544C">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color w:val="auto"/>
          <w:kern w:val="0"/>
          <w:sz w:val="32"/>
          <w:szCs w:val="32"/>
          <w:highlight w:val="none"/>
          <w:lang w:val="en-US" w:eastAsia="zh-CN"/>
        </w:rPr>
      </w:pPr>
    </w:p>
    <w:p w14:paraId="1EC47809">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color w:val="auto"/>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71E5C92A">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t>第一章 招标公告</w:t>
      </w:r>
    </w:p>
    <w:p w14:paraId="6008A0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p>
    <w:p w14:paraId="0FC6C57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color w:val="auto"/>
          <w:sz w:val="28"/>
          <w:szCs w:val="28"/>
          <w:highlight w:val="none"/>
          <w:lang w:val="en-US" w:eastAsia="zh-CN"/>
        </w:rPr>
      </w:pPr>
      <w:r>
        <w:rPr>
          <w:rFonts w:hint="eastAsia" w:ascii="Times New Roman" w:hAnsi="Times New Roman" w:eastAsia="黑体" w:cs="Times New Roman"/>
          <w:color w:val="auto"/>
          <w:sz w:val="28"/>
          <w:szCs w:val="28"/>
          <w:highlight w:val="none"/>
          <w:u w:val="single"/>
          <w:lang w:val="en-US" w:eastAsia="zh-CN"/>
        </w:rPr>
        <w:t>亳州逸合府项目北区工程建设全周期内检测工程（二次）</w:t>
      </w:r>
      <w:r>
        <w:rPr>
          <w:rFonts w:hint="eastAsia" w:ascii="Times New Roman" w:hAnsi="Times New Roman" w:eastAsia="黑体" w:cs="Times New Roman"/>
          <w:color w:val="auto"/>
          <w:sz w:val="28"/>
          <w:szCs w:val="28"/>
          <w:highlight w:val="none"/>
          <w:lang w:val="en-US" w:eastAsia="zh-CN"/>
        </w:rPr>
        <w:t>招标公告</w:t>
      </w:r>
    </w:p>
    <w:p w14:paraId="6F52FBC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bookmarkStart w:id="0" w:name="_Toc179632536"/>
      <w:bookmarkStart w:id="1" w:name="_Toc152042295"/>
      <w:bookmarkStart w:id="2" w:name="_Toc152045519"/>
      <w:bookmarkStart w:id="3" w:name="_Toc144974487"/>
      <w:bookmarkStart w:id="4" w:name="_Toc247085680"/>
      <w:bookmarkStart w:id="5" w:name="_Toc246996909"/>
      <w:bookmarkStart w:id="6" w:name="_Toc296602410"/>
      <w:bookmarkStart w:id="7" w:name="_Toc246996166"/>
    </w:p>
    <w:bookmarkEnd w:id="0"/>
    <w:bookmarkEnd w:id="1"/>
    <w:bookmarkEnd w:id="2"/>
    <w:bookmarkEnd w:id="3"/>
    <w:bookmarkEnd w:id="4"/>
    <w:bookmarkEnd w:id="5"/>
    <w:bookmarkEnd w:id="6"/>
    <w:bookmarkEnd w:id="7"/>
    <w:p w14:paraId="7DE40C2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一、招标条件</w:t>
      </w:r>
      <w:r>
        <w:rPr>
          <w:rFonts w:hint="default" w:ascii="Times New Roman" w:hAnsi="Times New Roman" w:eastAsia="仿宋_GB2312" w:cs="Times New Roman"/>
          <w:color w:val="auto"/>
          <w:sz w:val="28"/>
          <w:szCs w:val="28"/>
          <w:highlight w:val="none"/>
          <w:lang w:val="en-US" w:eastAsia="zh-CN"/>
        </w:rPr>
        <w:tab/>
      </w:r>
    </w:p>
    <w:p w14:paraId="1B16634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bookmarkStart w:id="8" w:name="_Toc246996910"/>
      <w:bookmarkStart w:id="9" w:name="_Toc152042296"/>
      <w:bookmarkStart w:id="10" w:name="_Toc179632537"/>
      <w:bookmarkStart w:id="11" w:name="_Toc152045520"/>
      <w:bookmarkStart w:id="12" w:name="_Toc296602411"/>
      <w:bookmarkStart w:id="13" w:name="_Toc246996167"/>
      <w:bookmarkStart w:id="14" w:name="_Toc144974488"/>
      <w:bookmarkStart w:id="15" w:name="_Toc247085681"/>
      <w:r>
        <w:rPr>
          <w:rFonts w:hint="eastAsia" w:asciiTheme="minorEastAsia" w:hAnsiTheme="minorEastAsia" w:cstheme="minorEastAsia"/>
          <w:color w:val="auto"/>
          <w:sz w:val="28"/>
          <w:szCs w:val="28"/>
          <w:highlight w:val="none"/>
          <w:lang w:val="en-US" w:eastAsia="zh-CN"/>
        </w:rPr>
        <w:t>（一）</w:t>
      </w:r>
      <w:r>
        <w:rPr>
          <w:rFonts w:hint="eastAsia" w:asciiTheme="minorEastAsia" w:hAnsiTheme="minorEastAsia" w:eastAsiaTheme="minorEastAsia" w:cstheme="minorEastAsia"/>
          <w:color w:val="auto"/>
          <w:sz w:val="28"/>
          <w:szCs w:val="28"/>
          <w:highlight w:val="none"/>
          <w:lang w:val="en-US" w:eastAsia="zh-CN"/>
        </w:rPr>
        <w:t>项目名称：</w:t>
      </w:r>
      <w:permStart w:id="4" w:edGrp="everyone"/>
      <w:r>
        <w:rPr>
          <w:rFonts w:hint="eastAsia" w:asciiTheme="minorEastAsia" w:hAnsiTheme="minorEastAsia" w:cstheme="minorEastAsia"/>
          <w:color w:val="auto"/>
          <w:sz w:val="28"/>
          <w:szCs w:val="28"/>
          <w:highlight w:val="none"/>
          <w:lang w:val="en-US" w:eastAsia="zh-CN"/>
        </w:rPr>
        <w:t>亳州逸合府项目北区工程建设全周期内检测工程（二次）</w:t>
      </w:r>
    </w:p>
    <w:permEnd w:id="4"/>
    <w:p w14:paraId="7E2F7A1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（二）</w:t>
      </w:r>
      <w:r>
        <w:rPr>
          <w:rFonts w:hint="eastAsia" w:asciiTheme="minorEastAsia" w:hAnsiTheme="minorEastAsia" w:eastAsiaTheme="minorEastAsia" w:cstheme="minorEastAsia"/>
          <w:color w:val="auto"/>
          <w:sz w:val="28"/>
          <w:szCs w:val="28"/>
          <w:highlight w:val="none"/>
          <w:lang w:val="en-US" w:eastAsia="zh-CN"/>
        </w:rPr>
        <w:t>项目</w:t>
      </w:r>
      <w:r>
        <w:rPr>
          <w:rFonts w:hint="eastAsia" w:asciiTheme="minorEastAsia" w:hAnsiTheme="minorEastAsia" w:cstheme="minorEastAsia"/>
          <w:color w:val="auto"/>
          <w:sz w:val="28"/>
          <w:szCs w:val="28"/>
          <w:highlight w:val="none"/>
          <w:lang w:val="en-US" w:eastAsia="zh-CN"/>
        </w:rPr>
        <w:t>编号</w:t>
      </w:r>
      <w:r>
        <w:rPr>
          <w:rFonts w:hint="eastAsia" w:asciiTheme="minorEastAsia" w:hAnsiTheme="minorEastAsia" w:eastAsiaTheme="minorEastAsia" w:cstheme="minorEastAsia"/>
          <w:color w:val="auto"/>
          <w:sz w:val="28"/>
          <w:szCs w:val="28"/>
          <w:highlight w:val="none"/>
          <w:lang w:val="en-US" w:eastAsia="zh-CN"/>
        </w:rPr>
        <w:t>：</w:t>
      </w:r>
      <w:permStart w:id="5" w:edGrp="everyone"/>
      <w:r>
        <w:rPr>
          <w:rFonts w:hint="eastAsia" w:asciiTheme="minorEastAsia" w:hAnsiTheme="minorEastAsia" w:cstheme="minorEastAsia"/>
          <w:color w:val="auto"/>
          <w:sz w:val="28"/>
          <w:szCs w:val="28"/>
          <w:highlight w:val="none"/>
          <w:lang w:val="en-US" w:eastAsia="zh-CN"/>
        </w:rPr>
        <w:t>BZJK-2025-</w:t>
      </w:r>
      <w:r>
        <w:rPr>
          <w:rFonts w:hint="eastAsia" w:asciiTheme="minorEastAsia" w:hAnsiTheme="minorEastAsia" w:cstheme="minorEastAsia"/>
          <w:color w:val="auto"/>
          <w:sz w:val="28"/>
          <w:szCs w:val="28"/>
          <w:highlight w:val="none"/>
          <w:u w:val="none"/>
          <w:lang w:val="en-US" w:eastAsia="zh-CN"/>
        </w:rPr>
        <w:t>003</w:t>
      </w:r>
      <w:r>
        <w:rPr>
          <w:rFonts w:hint="eastAsia" w:asciiTheme="minorEastAsia" w:hAnsiTheme="minorEastAsia" w:cstheme="minorEastAsia"/>
          <w:color w:val="auto"/>
          <w:sz w:val="28"/>
          <w:szCs w:val="28"/>
          <w:highlight w:val="none"/>
          <w:lang w:val="en-US" w:eastAsia="zh-CN"/>
        </w:rPr>
        <w:t>号</w:t>
      </w:r>
      <w:permEnd w:id="5"/>
    </w:p>
    <w:p w14:paraId="10F09EF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（三）</w:t>
      </w:r>
      <w:r>
        <w:rPr>
          <w:rFonts w:hint="eastAsia" w:asciiTheme="minorEastAsia" w:hAnsiTheme="minorEastAsia" w:eastAsiaTheme="minorEastAsia" w:cstheme="minorEastAsia"/>
          <w:color w:val="auto"/>
          <w:sz w:val="28"/>
          <w:szCs w:val="28"/>
          <w:highlight w:val="none"/>
          <w:lang w:val="en-US" w:eastAsia="zh-CN"/>
        </w:rPr>
        <w:t>资金来源：</w:t>
      </w:r>
      <w:permStart w:id="6" w:edGrp="everyone"/>
      <w:r>
        <w:rPr>
          <w:rFonts w:hint="eastAsia" w:asciiTheme="minorEastAsia" w:hAnsiTheme="minorEastAsia" w:cstheme="minorEastAsia"/>
          <w:color w:val="auto"/>
          <w:sz w:val="28"/>
          <w:szCs w:val="28"/>
          <w:highlight w:val="none"/>
          <w:lang w:val="en-US" w:eastAsia="zh-CN"/>
        </w:rPr>
        <w:t>企业自筹</w:t>
      </w:r>
    </w:p>
    <w:permEnd w:id="6"/>
    <w:p w14:paraId="15145C7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（四）</w:t>
      </w:r>
      <w:r>
        <w:rPr>
          <w:rFonts w:hint="eastAsia" w:asciiTheme="minorEastAsia" w:hAnsiTheme="minorEastAsia" w:eastAsiaTheme="minorEastAsia" w:cstheme="minorEastAsia"/>
          <w:color w:val="auto"/>
          <w:sz w:val="28"/>
          <w:szCs w:val="28"/>
          <w:highlight w:val="none"/>
          <w:lang w:val="en-US" w:eastAsia="zh-CN"/>
        </w:rPr>
        <w:t>招标人：</w:t>
      </w:r>
      <w:permStart w:id="7" w:edGrp="everyone"/>
      <w:r>
        <w:rPr>
          <w:rFonts w:hint="eastAsia" w:asciiTheme="minorEastAsia" w:hAnsiTheme="minorEastAsia" w:cstheme="minorEastAsia"/>
          <w:color w:val="auto"/>
          <w:sz w:val="28"/>
          <w:szCs w:val="28"/>
          <w:highlight w:val="none"/>
          <w:lang w:val="en-US" w:eastAsia="zh-CN"/>
        </w:rPr>
        <w:t>亳州通恒置业有限公司</w:t>
      </w:r>
    </w:p>
    <w:permEnd w:id="7"/>
    <w:p w14:paraId="4A3C911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项目已具备招标条件，现对该项目进行公开招标。</w:t>
      </w:r>
    </w:p>
    <w:p w14:paraId="34BE3C4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color w:val="auto"/>
          <w:sz w:val="28"/>
          <w:szCs w:val="28"/>
          <w:highlight w:val="none"/>
          <w:lang w:val="en-US" w:eastAsia="zh-CN"/>
        </w:rPr>
      </w:pPr>
      <w:r>
        <w:rPr>
          <w:rFonts w:hint="default" w:ascii="黑体" w:hAnsi="黑体" w:eastAsia="黑体" w:cs="黑体"/>
          <w:color w:val="auto"/>
          <w:sz w:val="28"/>
          <w:szCs w:val="28"/>
          <w:highlight w:val="none"/>
          <w:lang w:val="en-US" w:eastAsia="zh-CN"/>
        </w:rPr>
        <w:t>二、项目概况与招标范围</w:t>
      </w:r>
      <w:bookmarkEnd w:id="8"/>
      <w:bookmarkEnd w:id="9"/>
      <w:bookmarkEnd w:id="10"/>
      <w:bookmarkEnd w:id="11"/>
      <w:bookmarkEnd w:id="12"/>
      <w:bookmarkEnd w:id="13"/>
      <w:bookmarkEnd w:id="14"/>
      <w:bookmarkEnd w:id="15"/>
    </w:p>
    <w:p w14:paraId="20BE028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一）项目概况：亳州逸合府项目北区工程位于亳州市谯城区利辛路北侧，庄周路东侧，和平路南侧，华佗大道西侧，本项目总建筑面积180222.64㎡，总造价约3.93亿元，总用地面积134680.30㎡。施工内容包含厂区内建筑单体13栋，其中：4栋26层，5栋24层，4栋17层。</w:t>
      </w:r>
    </w:p>
    <w:p w14:paraId="4886104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（二）招标范围：</w:t>
      </w:r>
      <w:r>
        <w:rPr>
          <w:rFonts w:hint="default" w:asciiTheme="minorEastAsia" w:hAnsiTheme="minorEastAsia" w:eastAsiaTheme="minorEastAsia" w:cstheme="minorEastAsia"/>
          <w:color w:val="auto"/>
          <w:sz w:val="28"/>
          <w:szCs w:val="28"/>
          <w:highlight w:val="none"/>
          <w:lang w:val="en-US" w:eastAsia="zh-CN"/>
        </w:rPr>
        <w:t>全周期内工程建设检测。见证取样检测包括但不限于混凝土、建筑钢材、建筑装饰石材、建筑涂料、腻子及石膏、建筑砂浆、砌墙砖、砌块、水泥、砂、石、建筑外窗、防水材料、工程管材、管件及阀门、电线、电缆、绝缘电工套管、保温板材及保温砂浆、热镀锌电焊网、耐碱网格布、界面砂浆、抗裂砂浆、内外墙涂料、防水涂料、沥青及沥青混合料，专项检测包括但不限于主体结构工程现场检测、建筑节能检测、室内环境检测（不含桩基检测、消防检测、人防检测）。</w:t>
      </w:r>
    </w:p>
    <w:p w14:paraId="13DEF2F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（三）</w:t>
      </w:r>
      <w:r>
        <w:rPr>
          <w:rFonts w:hint="eastAsia" w:asciiTheme="minorEastAsia" w:hAnsiTheme="minorEastAsia" w:cstheme="minorEastAsia"/>
          <w:color w:val="auto"/>
          <w:sz w:val="28"/>
          <w:szCs w:val="28"/>
          <w:highlight w:val="none"/>
          <w:lang w:val="en-US" w:eastAsia="zh-CN"/>
        </w:rPr>
        <w:t>服务</w:t>
      </w:r>
      <w:r>
        <w:rPr>
          <w:rFonts w:hint="eastAsia" w:asciiTheme="minorEastAsia" w:hAnsiTheme="minorEastAsia" w:eastAsiaTheme="minorEastAsia" w:cstheme="minorEastAsia"/>
          <w:color w:val="auto"/>
          <w:sz w:val="28"/>
          <w:szCs w:val="28"/>
          <w:highlight w:val="none"/>
          <w:lang w:val="en-US" w:eastAsia="zh-CN"/>
        </w:rPr>
        <w:t>标准：</w:t>
      </w:r>
      <w:permStart w:id="8" w:edGrp="everyone"/>
      <w:r>
        <w:rPr>
          <w:rFonts w:hint="eastAsia" w:asciiTheme="minorEastAsia" w:hAnsiTheme="minorEastAsia" w:eastAsiaTheme="minorEastAsia" w:cstheme="minorEastAsia"/>
          <w:color w:val="auto"/>
          <w:sz w:val="28"/>
          <w:szCs w:val="28"/>
          <w:highlight w:val="none"/>
          <w:lang w:val="en-US" w:eastAsia="zh-CN"/>
        </w:rPr>
        <w:t>符合国家、地方、行业现行相关规范合格标准</w:t>
      </w:r>
      <w:r>
        <w:rPr>
          <w:rFonts w:hint="eastAsia" w:asciiTheme="minorEastAsia" w:hAnsiTheme="minorEastAsia" w:cstheme="minorEastAsia"/>
          <w:color w:val="auto"/>
          <w:sz w:val="28"/>
          <w:szCs w:val="28"/>
          <w:highlight w:val="none"/>
          <w:lang w:val="en-US" w:eastAsia="zh-CN"/>
        </w:rPr>
        <w:t>；</w:t>
      </w:r>
      <w:r>
        <w:rPr>
          <w:rFonts w:hint="eastAsia" w:asciiTheme="minorEastAsia" w:hAnsiTheme="minorEastAsia" w:eastAsiaTheme="minorEastAsia" w:cstheme="minorEastAsia"/>
          <w:color w:val="auto"/>
          <w:sz w:val="28"/>
          <w:szCs w:val="28"/>
          <w:highlight w:val="none"/>
          <w:lang w:val="en-US" w:eastAsia="zh-CN"/>
        </w:rPr>
        <w:t>符合有关试验检测规范、操作规程</w:t>
      </w:r>
      <w:r>
        <w:rPr>
          <w:rFonts w:hint="eastAsia" w:asciiTheme="minorEastAsia" w:hAnsiTheme="minorEastAsia" w:cstheme="minorEastAsia"/>
          <w:color w:val="auto"/>
          <w:sz w:val="28"/>
          <w:szCs w:val="28"/>
          <w:highlight w:val="none"/>
          <w:lang w:val="en-US" w:eastAsia="zh-CN"/>
        </w:rPr>
        <w:t>，</w:t>
      </w:r>
      <w:r>
        <w:rPr>
          <w:rFonts w:hint="eastAsia" w:asciiTheme="minorEastAsia" w:hAnsiTheme="minorEastAsia" w:eastAsiaTheme="minorEastAsia" w:cstheme="minorEastAsia"/>
          <w:color w:val="auto"/>
          <w:sz w:val="28"/>
          <w:szCs w:val="28"/>
          <w:highlight w:val="none"/>
          <w:lang w:val="en-US" w:eastAsia="zh-CN"/>
        </w:rPr>
        <w:t>并对试验结果承担责任</w:t>
      </w:r>
      <w:r>
        <w:rPr>
          <w:rFonts w:hint="eastAsia" w:asciiTheme="minorEastAsia" w:hAnsiTheme="minorEastAsia" w:cstheme="minorEastAsia"/>
          <w:color w:val="auto"/>
          <w:sz w:val="28"/>
          <w:szCs w:val="28"/>
          <w:highlight w:val="none"/>
          <w:lang w:val="en-US" w:eastAsia="zh-CN"/>
        </w:rPr>
        <w:t>。</w:t>
      </w:r>
      <w:permEnd w:id="8"/>
    </w:p>
    <w:p w14:paraId="447709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（四）</w:t>
      </w:r>
      <w:r>
        <w:rPr>
          <w:rFonts w:hint="eastAsia" w:asciiTheme="minorEastAsia" w:hAnsiTheme="minorEastAsia" w:cstheme="minorEastAsia"/>
          <w:color w:val="auto"/>
          <w:sz w:val="28"/>
          <w:szCs w:val="28"/>
          <w:highlight w:val="none"/>
          <w:lang w:val="en-US" w:eastAsia="zh-CN"/>
        </w:rPr>
        <w:t>服务期限</w:t>
      </w:r>
      <w:r>
        <w:rPr>
          <w:rFonts w:hint="eastAsia" w:asciiTheme="minorEastAsia" w:hAnsiTheme="minorEastAsia" w:eastAsiaTheme="minorEastAsia" w:cstheme="minorEastAsia"/>
          <w:color w:val="auto"/>
          <w:sz w:val="28"/>
          <w:szCs w:val="28"/>
          <w:highlight w:val="none"/>
          <w:lang w:val="en-US" w:eastAsia="zh-CN"/>
        </w:rPr>
        <w:t>：</w:t>
      </w:r>
      <w:permStart w:id="9" w:edGrp="everyone"/>
      <w:r>
        <w:rPr>
          <w:rFonts w:hint="default" w:asciiTheme="minorEastAsia" w:hAnsiTheme="minorEastAsia" w:eastAsiaTheme="minorEastAsia" w:cstheme="minorEastAsia"/>
          <w:color w:val="auto"/>
          <w:sz w:val="28"/>
          <w:szCs w:val="28"/>
          <w:highlight w:val="none"/>
          <w:lang w:val="en-US" w:eastAsia="zh-CN"/>
        </w:rPr>
        <w:t>自合同签订之日起至项目竣工验收通过</w:t>
      </w:r>
      <w:r>
        <w:rPr>
          <w:rFonts w:hint="eastAsia" w:asciiTheme="minorEastAsia" w:hAnsiTheme="minorEastAsia" w:eastAsiaTheme="minorEastAsia" w:cstheme="minorEastAsia"/>
          <w:color w:val="auto"/>
          <w:sz w:val="28"/>
          <w:szCs w:val="28"/>
          <w:highlight w:val="none"/>
          <w:lang w:val="en-US" w:eastAsia="zh-CN"/>
        </w:rPr>
        <w:t>。</w:t>
      </w:r>
      <w:permEnd w:id="9"/>
    </w:p>
    <w:p w14:paraId="6461B1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（五）最高投标限价</w:t>
      </w:r>
      <w:permStart w:id="10" w:edGrp="everyone"/>
      <w:r>
        <w:rPr>
          <w:rFonts w:hint="eastAsia" w:asciiTheme="minorEastAsia" w:hAnsiTheme="minorEastAsia" w:cstheme="minorEastAsia"/>
          <w:color w:val="auto"/>
          <w:sz w:val="28"/>
          <w:szCs w:val="28"/>
          <w:highlight w:val="none"/>
          <w:lang w:val="en-US" w:eastAsia="zh-CN"/>
        </w:rPr>
        <w:t>（含税6%）</w:t>
      </w:r>
      <w:permEnd w:id="10"/>
      <w:r>
        <w:rPr>
          <w:rFonts w:hint="eastAsia" w:asciiTheme="minorEastAsia" w:hAnsiTheme="minorEastAsia" w:eastAsiaTheme="minorEastAsia" w:cstheme="minorEastAsia"/>
          <w:color w:val="auto"/>
          <w:sz w:val="28"/>
          <w:szCs w:val="28"/>
          <w:highlight w:val="none"/>
          <w:lang w:val="en-US" w:eastAsia="zh-CN"/>
        </w:rPr>
        <w:t>：</w:t>
      </w:r>
      <w:permStart w:id="11" w:edGrp="everyone"/>
      <w:r>
        <w:rPr>
          <w:rFonts w:hint="eastAsia" w:asciiTheme="minorEastAsia" w:hAnsiTheme="minorEastAsia" w:cstheme="minorEastAsia"/>
          <w:color w:val="auto"/>
          <w:sz w:val="28"/>
          <w:szCs w:val="28"/>
          <w:highlight w:val="none"/>
          <w:u w:val="single"/>
          <w:lang w:val="en-US" w:eastAsia="zh-CN"/>
        </w:rPr>
        <w:t>430000元</w:t>
      </w:r>
      <w:permEnd w:id="11"/>
      <w:r>
        <w:rPr>
          <w:rFonts w:hint="eastAsia" w:asciiTheme="minorEastAsia" w:hAnsiTheme="minorEastAsia" w:cstheme="minorEastAsia"/>
          <w:color w:val="auto"/>
          <w:sz w:val="28"/>
          <w:szCs w:val="28"/>
          <w:highlight w:val="none"/>
          <w:lang w:val="en-US" w:eastAsia="zh-CN"/>
        </w:rPr>
        <w:t>，投标人</w:t>
      </w:r>
      <w:r>
        <w:rPr>
          <w:rFonts w:hint="eastAsia" w:asciiTheme="minorEastAsia" w:hAnsiTheme="minorEastAsia" w:eastAsiaTheme="minorEastAsia" w:cstheme="minorEastAsia"/>
          <w:color w:val="auto"/>
          <w:sz w:val="28"/>
          <w:szCs w:val="28"/>
          <w:highlight w:val="none"/>
          <w:lang w:val="en-US" w:eastAsia="zh-CN"/>
        </w:rPr>
        <w:t>按</w:t>
      </w:r>
      <w:permStart w:id="12" w:edGrp="everyone"/>
      <w:r>
        <w:rPr>
          <w:rFonts w:hint="eastAsia" w:asciiTheme="minorEastAsia" w:hAnsiTheme="minorEastAsia" w:eastAsiaTheme="minorEastAsia" w:cstheme="minorEastAsia"/>
          <w:color w:val="auto"/>
          <w:sz w:val="28"/>
          <w:szCs w:val="28"/>
          <w:highlight w:val="none"/>
          <w:u w:val="single"/>
          <w:lang w:val="en-US" w:eastAsia="zh-CN"/>
        </w:rPr>
        <w:t>固定总价</w:t>
      </w:r>
      <w:permEnd w:id="12"/>
      <w:r>
        <w:rPr>
          <w:rFonts w:hint="eastAsia" w:asciiTheme="minorEastAsia" w:hAnsiTheme="minorEastAsia" w:cstheme="minorEastAsia"/>
          <w:color w:val="auto"/>
          <w:sz w:val="28"/>
          <w:szCs w:val="28"/>
          <w:highlight w:val="none"/>
          <w:lang w:val="en-US" w:eastAsia="zh-CN"/>
        </w:rPr>
        <w:t>投标报</w:t>
      </w:r>
      <w:r>
        <w:rPr>
          <w:rFonts w:hint="eastAsia" w:asciiTheme="minorEastAsia" w:hAnsiTheme="minorEastAsia" w:eastAsiaTheme="minorEastAsia" w:cstheme="minorEastAsia"/>
          <w:color w:val="auto"/>
          <w:sz w:val="28"/>
          <w:szCs w:val="28"/>
          <w:highlight w:val="none"/>
          <w:lang w:val="en-US" w:eastAsia="zh-CN"/>
        </w:rPr>
        <w:t>价。投标报价超出限价或低于成本价的，按无效投标处理；投标报价应包括为完成本项目招标范围内各阶段工作内容所需的全部费用</w:t>
      </w:r>
      <w:r>
        <w:rPr>
          <w:rFonts w:hint="eastAsia" w:asciiTheme="minorEastAsia" w:hAnsiTheme="minorEastAsia" w:cstheme="minorEastAsia"/>
          <w:color w:val="auto"/>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color w:val="auto"/>
          <w:sz w:val="28"/>
          <w:szCs w:val="28"/>
          <w:highlight w:val="none"/>
          <w:lang w:val="en-US" w:eastAsia="zh-CN"/>
        </w:rPr>
        <w:t>。不含税价格不因国家税率变化而改变，在合同履行期间，如遇国家税率调整，则价税合计的价格应相应调整，以开具发票的时间为准。</w:t>
      </w:r>
    </w:p>
    <w:p w14:paraId="24E96F8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14:paraId="2AC1EB8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（一）</w:t>
      </w:r>
      <w:r>
        <w:rPr>
          <w:rFonts w:hint="eastAsia" w:asciiTheme="minorEastAsia" w:hAnsiTheme="minorEastAsia" w:eastAsiaTheme="minorEastAsia" w:cstheme="minorEastAsia"/>
          <w:color w:val="auto"/>
          <w:sz w:val="28"/>
          <w:szCs w:val="28"/>
          <w:highlight w:val="none"/>
          <w:lang w:val="en-US" w:eastAsia="zh-CN"/>
        </w:rPr>
        <w:t>具有</w:t>
      </w:r>
      <w:permStart w:id="13" w:edGrp="everyone"/>
      <w:r>
        <w:rPr>
          <w:rFonts w:hint="eastAsia" w:asciiTheme="minorEastAsia" w:hAnsiTheme="minorEastAsia" w:eastAsiaTheme="minorEastAsia" w:cstheme="minorEastAsia"/>
          <w:color w:val="auto"/>
          <w:sz w:val="28"/>
          <w:szCs w:val="28"/>
          <w:highlight w:val="none"/>
          <w:u w:val="single"/>
          <w:lang w:val="en-US" w:eastAsia="zh-CN"/>
        </w:rPr>
        <w:t>独立</w:t>
      </w:r>
      <w:r>
        <w:rPr>
          <w:rFonts w:hint="eastAsia" w:asciiTheme="minorEastAsia" w:hAnsiTheme="minorEastAsia" w:cstheme="minorEastAsia"/>
          <w:color w:val="auto"/>
          <w:sz w:val="28"/>
          <w:szCs w:val="28"/>
          <w:highlight w:val="none"/>
          <w:u w:val="single"/>
          <w:lang w:val="en-US" w:eastAsia="zh-CN"/>
        </w:rPr>
        <w:t>承担民事责任的能力</w:t>
      </w:r>
      <w:permEnd w:id="13"/>
      <w:bookmarkStart w:id="146" w:name="_GoBack"/>
      <w:bookmarkEnd w:id="146"/>
      <w:r>
        <w:rPr>
          <w:rFonts w:hint="eastAsia" w:asciiTheme="minorEastAsia" w:hAnsiTheme="minorEastAsia" w:eastAsiaTheme="minorEastAsia" w:cstheme="minorEastAsia"/>
          <w:color w:val="auto"/>
          <w:sz w:val="28"/>
          <w:szCs w:val="28"/>
          <w:highlight w:val="none"/>
          <w:lang w:val="en-US" w:eastAsia="zh-CN"/>
        </w:rPr>
        <w:t>，并在人员、设备、资金等方面具有承担本</w:t>
      </w:r>
      <w:r>
        <w:rPr>
          <w:rFonts w:hint="eastAsia" w:asciiTheme="minorEastAsia" w:hAnsiTheme="minorEastAsia" w:cstheme="minorEastAsia"/>
          <w:color w:val="auto"/>
          <w:sz w:val="28"/>
          <w:szCs w:val="28"/>
          <w:highlight w:val="none"/>
          <w:lang w:val="en-US" w:eastAsia="zh-CN"/>
        </w:rPr>
        <w:t>项目</w:t>
      </w:r>
      <w:r>
        <w:rPr>
          <w:rFonts w:hint="eastAsia" w:asciiTheme="minorEastAsia" w:hAnsiTheme="minorEastAsia" w:eastAsiaTheme="minorEastAsia" w:cstheme="minorEastAsia"/>
          <w:color w:val="auto"/>
          <w:sz w:val="28"/>
          <w:szCs w:val="28"/>
          <w:highlight w:val="none"/>
          <w:lang w:val="en-US" w:eastAsia="zh-CN"/>
        </w:rPr>
        <w:t>的能力；</w:t>
      </w:r>
    </w:p>
    <w:p w14:paraId="22545CA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color w:val="auto"/>
          <w:sz w:val="28"/>
          <w:szCs w:val="28"/>
          <w:highlight w:val="none"/>
          <w:u w:val="single"/>
          <w:lang w:val="en-US" w:eastAsia="zh-CN"/>
        </w:rPr>
      </w:pPr>
      <w:r>
        <w:rPr>
          <w:rFonts w:hint="eastAsia" w:asciiTheme="minorEastAsia" w:hAnsiTheme="minorEastAsia" w:cstheme="minorEastAsia"/>
          <w:color w:val="auto"/>
          <w:sz w:val="28"/>
          <w:szCs w:val="28"/>
          <w:highlight w:val="none"/>
          <w:lang w:val="en-US" w:eastAsia="zh-CN"/>
        </w:rPr>
        <w:t>（二）</w:t>
      </w:r>
      <w:permStart w:id="14" w:edGrp="everyone"/>
      <w:r>
        <w:rPr>
          <w:rFonts w:hint="eastAsia" w:asciiTheme="minorEastAsia" w:hAnsiTheme="minorEastAsia" w:cstheme="minorEastAsia"/>
          <w:color w:val="auto"/>
          <w:sz w:val="28"/>
          <w:szCs w:val="28"/>
          <w:highlight w:val="none"/>
          <w:u w:val="single"/>
          <w:lang w:val="en-US" w:eastAsia="zh-CN"/>
        </w:rPr>
        <w:t>同时具备以下①和②：</w:t>
      </w:r>
    </w:p>
    <w:p w14:paraId="0B213D4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u w:val="single"/>
          <w:lang w:val="en-US" w:eastAsia="zh-CN"/>
        </w:rPr>
      </w:pPr>
      <w:r>
        <w:rPr>
          <w:rFonts w:hint="default" w:asciiTheme="minorEastAsia" w:hAnsiTheme="minorEastAsia" w:cstheme="minorEastAsia"/>
          <w:color w:val="auto"/>
          <w:sz w:val="28"/>
          <w:szCs w:val="28"/>
          <w:highlight w:val="none"/>
          <w:u w:val="single"/>
          <w:lang w:val="en-US" w:eastAsia="zh-CN"/>
        </w:rPr>
        <w:t>①投标人须具备建设行政主管部门颁发的在有效期内的</w:t>
      </w:r>
      <w:r>
        <w:rPr>
          <w:rFonts w:hint="eastAsia" w:asciiTheme="minorEastAsia" w:hAnsiTheme="minorEastAsia" w:cstheme="minorEastAsia"/>
          <w:color w:val="auto"/>
          <w:sz w:val="28"/>
          <w:szCs w:val="28"/>
          <w:highlight w:val="none"/>
          <w:u w:val="single"/>
          <w:lang w:val="en-US" w:eastAsia="zh-CN"/>
        </w:rPr>
        <w:t>（</w:t>
      </w:r>
      <w:r>
        <w:rPr>
          <w:rFonts w:hint="default" w:asciiTheme="minorEastAsia" w:hAnsiTheme="minorEastAsia" w:cstheme="minorEastAsia"/>
          <w:color w:val="auto"/>
          <w:sz w:val="28"/>
          <w:szCs w:val="28"/>
          <w:highlight w:val="none"/>
          <w:u w:val="single"/>
          <w:lang w:val="en-US" w:eastAsia="zh-CN"/>
        </w:rPr>
        <w:t>或根据建设行政主管部门有关规定延期后仍在有效期内的</w:t>
      </w:r>
      <w:r>
        <w:rPr>
          <w:rFonts w:hint="eastAsia" w:asciiTheme="minorEastAsia" w:hAnsiTheme="minorEastAsia" w:cstheme="minorEastAsia"/>
          <w:color w:val="auto"/>
          <w:sz w:val="28"/>
          <w:szCs w:val="28"/>
          <w:highlight w:val="none"/>
          <w:u w:val="single"/>
          <w:lang w:val="en-US" w:eastAsia="zh-CN"/>
        </w:rPr>
        <w:t>）</w:t>
      </w:r>
      <w:r>
        <w:rPr>
          <w:rFonts w:hint="default" w:asciiTheme="minorEastAsia" w:hAnsiTheme="minorEastAsia" w:cstheme="minorEastAsia"/>
          <w:color w:val="auto"/>
          <w:sz w:val="28"/>
          <w:szCs w:val="28"/>
          <w:highlight w:val="none"/>
          <w:u w:val="single"/>
          <w:lang w:val="en-US" w:eastAsia="zh-CN"/>
        </w:rPr>
        <w:t>建设工程质量检测机构资质证书</w:t>
      </w:r>
      <w:r>
        <w:rPr>
          <w:rFonts w:hint="eastAsia" w:asciiTheme="minorEastAsia" w:hAnsiTheme="minorEastAsia" w:cstheme="minorEastAsia"/>
          <w:color w:val="auto"/>
          <w:sz w:val="28"/>
          <w:szCs w:val="28"/>
          <w:highlight w:val="none"/>
          <w:u w:val="single"/>
          <w:lang w:val="en-US" w:eastAsia="zh-CN"/>
        </w:rPr>
        <w:t>（</w:t>
      </w:r>
      <w:r>
        <w:rPr>
          <w:rFonts w:hint="default" w:asciiTheme="minorEastAsia" w:hAnsiTheme="minorEastAsia" w:cstheme="minorEastAsia"/>
          <w:color w:val="auto"/>
          <w:sz w:val="28"/>
          <w:szCs w:val="28"/>
          <w:highlight w:val="none"/>
          <w:u w:val="single"/>
          <w:lang w:val="en-US" w:eastAsia="zh-CN"/>
        </w:rPr>
        <w:t>检测范围须包含见证取样检测、主体结构工程现场检测</w:t>
      </w:r>
      <w:r>
        <w:rPr>
          <w:rFonts w:hint="eastAsia" w:asciiTheme="minorEastAsia" w:hAnsiTheme="minorEastAsia" w:cstheme="minorEastAsia"/>
          <w:color w:val="auto"/>
          <w:sz w:val="28"/>
          <w:szCs w:val="28"/>
          <w:highlight w:val="none"/>
          <w:u w:val="single"/>
          <w:lang w:val="en-US" w:eastAsia="zh-CN"/>
        </w:rPr>
        <w:t>）</w:t>
      </w:r>
      <w:r>
        <w:rPr>
          <w:rFonts w:hint="default" w:asciiTheme="minorEastAsia" w:hAnsiTheme="minorEastAsia" w:cstheme="minorEastAsia"/>
          <w:color w:val="auto"/>
          <w:sz w:val="28"/>
          <w:szCs w:val="28"/>
          <w:highlight w:val="none"/>
          <w:u w:val="single"/>
          <w:lang w:val="en-US" w:eastAsia="zh-CN"/>
        </w:rPr>
        <w:t>或建设工程质量检测机构综合资质证书或专项资质证书</w:t>
      </w:r>
      <w:r>
        <w:rPr>
          <w:rFonts w:hint="eastAsia" w:asciiTheme="minorEastAsia" w:hAnsiTheme="minorEastAsia" w:cstheme="minorEastAsia"/>
          <w:color w:val="auto"/>
          <w:sz w:val="28"/>
          <w:szCs w:val="28"/>
          <w:highlight w:val="none"/>
          <w:u w:val="single"/>
          <w:lang w:val="en-US" w:eastAsia="zh-CN"/>
        </w:rPr>
        <w:t>（</w:t>
      </w:r>
      <w:r>
        <w:rPr>
          <w:rFonts w:hint="default" w:asciiTheme="minorEastAsia" w:hAnsiTheme="minorEastAsia" w:cstheme="minorEastAsia"/>
          <w:color w:val="auto"/>
          <w:sz w:val="28"/>
          <w:szCs w:val="28"/>
          <w:highlight w:val="none"/>
          <w:u w:val="single"/>
          <w:lang w:val="en-US" w:eastAsia="zh-CN"/>
        </w:rPr>
        <w:t>包含主体结构及装饰装修检测、建筑节能检测、建筑材料及构配件</w:t>
      </w:r>
      <w:r>
        <w:rPr>
          <w:rFonts w:hint="eastAsia" w:asciiTheme="minorEastAsia" w:hAnsiTheme="minorEastAsia" w:cstheme="minorEastAsia"/>
          <w:color w:val="auto"/>
          <w:sz w:val="28"/>
          <w:szCs w:val="28"/>
          <w:highlight w:val="none"/>
          <w:u w:val="single"/>
          <w:lang w:val="en-US" w:eastAsia="zh-CN"/>
        </w:rPr>
        <w:t>）；</w:t>
      </w:r>
    </w:p>
    <w:p w14:paraId="768B1E2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default" w:asciiTheme="minorEastAsia" w:hAnsiTheme="minorEastAsia" w:cstheme="minorEastAsia"/>
          <w:color w:val="auto"/>
          <w:sz w:val="28"/>
          <w:szCs w:val="28"/>
          <w:highlight w:val="none"/>
          <w:u w:val="single"/>
          <w:lang w:val="en-US" w:eastAsia="zh-CN"/>
        </w:rPr>
        <w:t>②投标人须具备有效的CMA计量认证证书</w:t>
      </w:r>
      <w:permEnd w:id="14"/>
      <w:r>
        <w:rPr>
          <w:rFonts w:hint="eastAsia" w:asciiTheme="minorEastAsia" w:hAnsiTheme="minorEastAsia" w:cstheme="minorEastAsia"/>
          <w:color w:val="auto"/>
          <w:sz w:val="28"/>
          <w:szCs w:val="28"/>
          <w:highlight w:val="none"/>
          <w:lang w:val="en-US" w:eastAsia="zh-CN"/>
        </w:rPr>
        <w:t>；</w:t>
      </w:r>
    </w:p>
    <w:p w14:paraId="202D693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三</w:t>
      </w:r>
      <w:r>
        <w:rPr>
          <w:rFonts w:hint="eastAsia" w:asciiTheme="minorEastAsia" w:hAnsiTheme="minorEastAsia" w:eastAsiaTheme="minorEastAsia" w:cstheme="minorEastAsia"/>
          <w:color w:val="auto"/>
          <w:sz w:val="28"/>
          <w:szCs w:val="28"/>
          <w:highlight w:val="none"/>
          <w:lang w:val="en-US" w:eastAsia="zh-CN"/>
        </w:rPr>
        <w:t>）项目</w:t>
      </w:r>
      <w:r>
        <w:rPr>
          <w:rFonts w:hint="eastAsia" w:asciiTheme="minorEastAsia" w:hAnsiTheme="minorEastAsia" w:cstheme="minorEastAsia"/>
          <w:color w:val="auto"/>
          <w:sz w:val="28"/>
          <w:szCs w:val="28"/>
          <w:highlight w:val="none"/>
          <w:lang w:val="en-US" w:eastAsia="zh-CN"/>
        </w:rPr>
        <w:t>负责人</w:t>
      </w:r>
      <w:r>
        <w:rPr>
          <w:rFonts w:hint="eastAsia" w:asciiTheme="minorEastAsia" w:hAnsiTheme="minorEastAsia" w:eastAsiaTheme="minorEastAsia" w:cstheme="minorEastAsia"/>
          <w:color w:val="auto"/>
          <w:sz w:val="28"/>
          <w:szCs w:val="28"/>
          <w:highlight w:val="none"/>
          <w:lang w:val="en-US" w:eastAsia="zh-CN"/>
        </w:rPr>
        <w:t>具备</w:t>
      </w:r>
      <w:permStart w:id="15" w:edGrp="everyone"/>
      <w:r>
        <w:rPr>
          <w:rFonts w:hint="eastAsia" w:asciiTheme="minorEastAsia" w:hAnsiTheme="minorEastAsia" w:cstheme="minorEastAsia"/>
          <w:color w:val="auto"/>
          <w:sz w:val="28"/>
          <w:szCs w:val="28"/>
          <w:highlight w:val="none"/>
          <w:u w:val="single"/>
          <w:lang w:val="en-US" w:eastAsia="zh-CN"/>
        </w:rPr>
        <w:t>建筑工程类中级及以上职称和检测人员岗位证书</w:t>
      </w:r>
      <w:permEnd w:id="15"/>
      <w:r>
        <w:rPr>
          <w:rFonts w:hint="eastAsia" w:asciiTheme="minorEastAsia" w:hAnsiTheme="minorEastAsia" w:eastAsiaTheme="minorEastAsia" w:cstheme="minorEastAsia"/>
          <w:color w:val="auto"/>
          <w:sz w:val="28"/>
          <w:szCs w:val="28"/>
          <w:highlight w:val="none"/>
          <w:lang w:val="en-US" w:eastAsia="zh-CN"/>
        </w:rPr>
        <w:t>执业资格</w:t>
      </w:r>
      <w:r>
        <w:rPr>
          <w:rFonts w:hint="eastAsia" w:asciiTheme="minorEastAsia" w:hAnsiTheme="minorEastAsia" w:cstheme="minorEastAsia"/>
          <w:color w:val="auto"/>
          <w:sz w:val="28"/>
          <w:szCs w:val="28"/>
          <w:highlight w:val="none"/>
          <w:lang w:val="en-US" w:eastAsia="zh-CN"/>
        </w:rPr>
        <w:t>；</w:t>
      </w:r>
    </w:p>
    <w:p w14:paraId="48FD592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四</w:t>
      </w:r>
      <w:r>
        <w:rPr>
          <w:rFonts w:hint="eastAsia" w:asciiTheme="minorEastAsia" w:hAnsiTheme="minorEastAsia" w:eastAsiaTheme="minorEastAsia" w:cstheme="minorEastAsia"/>
          <w:color w:val="auto"/>
          <w:sz w:val="28"/>
          <w:szCs w:val="28"/>
          <w:highlight w:val="none"/>
          <w:lang w:val="en-US" w:eastAsia="zh-CN"/>
        </w:rPr>
        <w:t>）提供</w:t>
      </w:r>
      <w:permStart w:id="16" w:edGrp="everyone"/>
      <w:r>
        <w:rPr>
          <w:rFonts w:hint="eastAsia" w:asciiTheme="minorEastAsia" w:hAnsiTheme="minorEastAsia" w:cstheme="minorEastAsia"/>
          <w:color w:val="auto"/>
          <w:sz w:val="28"/>
          <w:szCs w:val="28"/>
          <w:highlight w:val="none"/>
          <w:u w:val="single"/>
          <w:lang w:val="en-US" w:eastAsia="zh-CN"/>
        </w:rPr>
        <w:t>2021</w:t>
      </w:r>
      <w:permEnd w:id="16"/>
      <w:r>
        <w:rPr>
          <w:rFonts w:hint="eastAsia" w:asciiTheme="minorEastAsia" w:hAnsiTheme="minorEastAsia" w:cstheme="minorEastAsia"/>
          <w:color w:val="auto"/>
          <w:sz w:val="28"/>
          <w:szCs w:val="28"/>
          <w:highlight w:val="none"/>
          <w:u w:val="none"/>
          <w:lang w:val="en-US" w:eastAsia="zh-CN"/>
        </w:rPr>
        <w:t>年</w:t>
      </w:r>
      <w:r>
        <w:rPr>
          <w:rFonts w:hint="eastAsia" w:asciiTheme="minorEastAsia" w:hAnsiTheme="minorEastAsia" w:eastAsiaTheme="minorEastAsia" w:cstheme="minorEastAsia"/>
          <w:color w:val="auto"/>
          <w:sz w:val="28"/>
          <w:szCs w:val="28"/>
          <w:highlight w:val="none"/>
          <w:lang w:val="en-US" w:eastAsia="zh-CN"/>
        </w:rPr>
        <w:t>至今企业类似项目业绩</w:t>
      </w:r>
      <w:permStart w:id="17" w:edGrp="everyone"/>
      <w:r>
        <w:rPr>
          <w:rFonts w:hint="eastAsia" w:asciiTheme="minorEastAsia" w:hAnsiTheme="minorEastAsia" w:cstheme="minorEastAsia"/>
          <w:color w:val="auto"/>
          <w:sz w:val="28"/>
          <w:szCs w:val="28"/>
          <w:highlight w:val="none"/>
          <w:u w:val="single"/>
          <w:lang w:val="en-US" w:eastAsia="zh-CN"/>
        </w:rPr>
        <w:t>1</w:t>
      </w:r>
      <w:permEnd w:id="17"/>
      <w:r>
        <w:rPr>
          <w:rFonts w:hint="eastAsia" w:asciiTheme="minorEastAsia" w:hAnsiTheme="minorEastAsia" w:eastAsiaTheme="minorEastAsia" w:cstheme="minorEastAsia"/>
          <w:color w:val="auto"/>
          <w:sz w:val="28"/>
          <w:szCs w:val="28"/>
          <w:highlight w:val="none"/>
          <w:lang w:val="en-US" w:eastAsia="zh-CN"/>
        </w:rPr>
        <w:t>个，以</w:t>
      </w:r>
      <w:permStart w:id="18" w:edGrp="everyone"/>
      <w:r>
        <w:rPr>
          <w:rFonts w:hint="eastAsia" w:asciiTheme="minorEastAsia" w:hAnsiTheme="minorEastAsia" w:cstheme="minorEastAsia"/>
          <w:color w:val="auto"/>
          <w:sz w:val="28"/>
          <w:szCs w:val="28"/>
          <w:highlight w:val="none"/>
          <w:u w:val="single"/>
          <w:lang w:val="en-US" w:eastAsia="zh-CN"/>
        </w:rPr>
        <w:t>合同签订</w:t>
      </w:r>
      <w:r>
        <w:rPr>
          <w:rFonts w:hint="eastAsia" w:asciiTheme="minorEastAsia" w:hAnsiTheme="minorEastAsia" w:eastAsiaTheme="minorEastAsia" w:cstheme="minorEastAsia"/>
          <w:color w:val="auto"/>
          <w:sz w:val="28"/>
          <w:szCs w:val="28"/>
          <w:highlight w:val="none"/>
          <w:u w:val="single"/>
          <w:lang w:val="en-US" w:eastAsia="zh-CN"/>
        </w:rPr>
        <w:t>时间</w:t>
      </w:r>
      <w:permEnd w:id="18"/>
      <w:r>
        <w:rPr>
          <w:rFonts w:hint="eastAsia" w:asciiTheme="minorEastAsia" w:hAnsiTheme="minorEastAsia" w:eastAsiaTheme="minorEastAsia" w:cstheme="minorEastAsia"/>
          <w:color w:val="auto"/>
          <w:sz w:val="28"/>
          <w:szCs w:val="28"/>
          <w:highlight w:val="none"/>
          <w:lang w:val="en-US" w:eastAsia="zh-CN"/>
        </w:rPr>
        <w:t>为准。类似项目业绩指：</w:t>
      </w:r>
      <w:permStart w:id="19" w:edGrp="everyone"/>
      <w:r>
        <w:rPr>
          <w:rFonts w:hint="eastAsia" w:asciiTheme="minorEastAsia" w:hAnsiTheme="minorEastAsia" w:eastAsiaTheme="minorEastAsia" w:cstheme="minorEastAsia"/>
          <w:color w:val="auto"/>
          <w:sz w:val="28"/>
          <w:szCs w:val="28"/>
          <w:highlight w:val="none"/>
          <w:u w:val="single"/>
          <w:lang w:val="en-US" w:eastAsia="zh-CN"/>
        </w:rPr>
        <w:t>单项合同金额不少于30万元或总建筑面积不少于12万㎡的建筑工程第三方检测或交竣工检测业绩</w:t>
      </w:r>
      <w:permEnd w:id="19"/>
      <w:r>
        <w:rPr>
          <w:rFonts w:hint="eastAsia" w:asciiTheme="minorEastAsia" w:hAnsiTheme="minorEastAsia" w:eastAsiaTheme="minorEastAsia" w:cstheme="minorEastAsia"/>
          <w:color w:val="auto"/>
          <w:sz w:val="28"/>
          <w:szCs w:val="28"/>
          <w:highlight w:val="none"/>
          <w:lang w:val="en-US" w:eastAsia="zh-CN"/>
        </w:rPr>
        <w:t>；</w:t>
      </w:r>
    </w:p>
    <w:p w14:paraId="4B45889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注：</w:t>
      </w:r>
      <w:permStart w:id="20" w:edGrp="everyone"/>
      <w:r>
        <w:rPr>
          <w:rFonts w:hint="default" w:asciiTheme="minorEastAsia" w:hAnsiTheme="minorEastAsia" w:eastAsiaTheme="minorEastAsia" w:cstheme="minorEastAsia"/>
          <w:color w:val="auto"/>
          <w:sz w:val="28"/>
          <w:szCs w:val="28"/>
          <w:highlight w:val="none"/>
          <w:lang w:val="en-US" w:eastAsia="zh-CN"/>
        </w:rPr>
        <w:t>提供业绩合同</w:t>
      </w:r>
      <w:r>
        <w:rPr>
          <w:rFonts w:hint="eastAsia" w:asciiTheme="minorEastAsia" w:hAnsiTheme="minorEastAsia" w:cstheme="minorEastAsia"/>
          <w:color w:val="auto"/>
          <w:sz w:val="28"/>
          <w:szCs w:val="28"/>
          <w:highlight w:val="none"/>
          <w:lang w:val="en-US" w:eastAsia="zh-CN"/>
        </w:rPr>
        <w:t>等相关资料</w:t>
      </w:r>
      <w:r>
        <w:rPr>
          <w:rFonts w:hint="default" w:asciiTheme="minorEastAsia" w:hAnsiTheme="minorEastAsia" w:eastAsiaTheme="minorEastAsia" w:cstheme="minorEastAsia"/>
          <w:color w:val="auto"/>
          <w:sz w:val="28"/>
          <w:szCs w:val="28"/>
          <w:highlight w:val="none"/>
          <w:lang w:val="en-US" w:eastAsia="zh-CN"/>
        </w:rPr>
        <w:t>复印件或扫描件装订入投标文件中</w:t>
      </w:r>
      <w:permEnd w:id="20"/>
      <w:r>
        <w:rPr>
          <w:rFonts w:hint="default" w:asciiTheme="minorEastAsia" w:hAnsiTheme="minorEastAsia" w:eastAsiaTheme="minorEastAsia" w:cstheme="minorEastAsia"/>
          <w:color w:val="auto"/>
          <w:sz w:val="28"/>
          <w:szCs w:val="28"/>
          <w:highlight w:val="none"/>
          <w:lang w:val="en-US" w:eastAsia="zh-CN"/>
        </w:rPr>
        <w:t>。</w:t>
      </w:r>
    </w:p>
    <w:p w14:paraId="17F76051">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（五）</w:t>
      </w:r>
      <w:r>
        <w:rPr>
          <w:rFonts w:hint="eastAsia" w:asciiTheme="minorEastAsia" w:hAnsiTheme="minorEastAsia" w:eastAsiaTheme="minorEastAsia" w:cstheme="minorEastAsia"/>
          <w:color w:val="auto"/>
          <w:sz w:val="28"/>
          <w:szCs w:val="28"/>
          <w:highlight w:val="none"/>
          <w:lang w:val="en-US" w:eastAsia="zh-CN"/>
        </w:rPr>
        <w:t>投标人（含分公司，不含子公司）存在以下不良信用记录情形之一的，不得推荐为中标候选人，不得确定为中标人。</w:t>
      </w:r>
    </w:p>
    <w:p w14:paraId="20070CB7">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（1）投标人被人民法院列入失信被执行人的；</w:t>
      </w:r>
    </w:p>
    <w:p w14:paraId="5DC52857">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（2）投标人被市场监督管理部门列入企业经营异常名录的；</w:t>
      </w:r>
    </w:p>
    <w:p w14:paraId="308BAFC6">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（3）投标人被税务部门列入重大税收违法案件当事人名单的；</w:t>
      </w:r>
    </w:p>
    <w:p w14:paraId="52E3BCA1">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注：以上情形以“信用中国”（www.creditchina.gov.cn）发布的为准，有限制期限的按规定期限执行（以现场查询为准）。</w:t>
      </w:r>
    </w:p>
    <w:p w14:paraId="72947535">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（六）投标人如在以往承接交控集团及下属企业项目过程中被记入“黑名单”，不得参加本次招标投标活动；</w:t>
      </w:r>
    </w:p>
    <w:p w14:paraId="1EC27CF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（七）本次招标</w:t>
      </w:r>
      <w:permStart w:id="21" w:edGrp="everyone"/>
      <w:r>
        <w:rPr>
          <w:rFonts w:hint="eastAsia" w:asciiTheme="minorEastAsia" w:hAnsiTheme="minorEastAsia" w:eastAsiaTheme="minorEastAsia" w:cstheme="minorEastAsia"/>
          <w:color w:val="auto"/>
          <w:sz w:val="28"/>
          <w:szCs w:val="28"/>
          <w:highlight w:val="none"/>
          <w:lang w:val="en-US" w:eastAsia="zh-CN"/>
        </w:rPr>
        <w:t>不接受</w:t>
      </w:r>
      <w:permEnd w:id="21"/>
      <w:r>
        <w:rPr>
          <w:rFonts w:hint="eastAsia" w:asciiTheme="minorEastAsia" w:hAnsiTheme="minorEastAsia" w:eastAsiaTheme="minorEastAsia" w:cstheme="minorEastAsia"/>
          <w:color w:val="auto"/>
          <w:sz w:val="28"/>
          <w:szCs w:val="28"/>
          <w:highlight w:val="none"/>
          <w:lang w:val="en-US" w:eastAsia="zh-CN"/>
        </w:rPr>
        <w:t>联合体投标。</w:t>
      </w:r>
    </w:p>
    <w:p w14:paraId="0D19A16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八</w:t>
      </w:r>
      <w:r>
        <w:rPr>
          <w:rFonts w:hint="eastAsia" w:asciiTheme="minorEastAsia" w:hAnsiTheme="minorEastAsia" w:eastAsiaTheme="minorEastAsia" w:cstheme="minorEastAsia"/>
          <w:color w:val="auto"/>
          <w:sz w:val="28"/>
          <w:szCs w:val="28"/>
          <w:highlight w:val="none"/>
          <w:lang w:val="en-US" w:eastAsia="zh-CN"/>
        </w:rPr>
        <w:t>）本项目委托代理人必须是投标单位正式人员，须提供投标单位公司为其缴纳的</w:t>
      </w:r>
      <w:permStart w:id="22" w:edGrp="everyone"/>
      <w:r>
        <w:rPr>
          <w:rFonts w:hint="eastAsia" w:asciiTheme="minorEastAsia" w:hAnsiTheme="minorEastAsia" w:eastAsiaTheme="minorEastAsia" w:cstheme="minorEastAsia"/>
          <w:color w:val="auto"/>
          <w:sz w:val="28"/>
          <w:szCs w:val="28"/>
          <w:highlight w:val="none"/>
          <w:lang w:val="en-US" w:eastAsia="zh-CN"/>
        </w:rPr>
        <w:t>2024年</w:t>
      </w:r>
      <w:r>
        <w:rPr>
          <w:rFonts w:hint="eastAsia" w:asciiTheme="minorEastAsia" w:hAnsiTheme="minorEastAsia" w:cstheme="minorEastAsia"/>
          <w:color w:val="auto"/>
          <w:sz w:val="28"/>
          <w:szCs w:val="28"/>
          <w:highlight w:val="none"/>
          <w:lang w:val="en-US" w:eastAsia="zh-CN"/>
        </w:rPr>
        <w:t>6</w:t>
      </w:r>
      <w:r>
        <w:rPr>
          <w:rFonts w:hint="eastAsia" w:asciiTheme="minorEastAsia" w:hAnsiTheme="minorEastAsia" w:eastAsiaTheme="minorEastAsia" w:cstheme="minorEastAsia"/>
          <w:color w:val="auto"/>
          <w:sz w:val="28"/>
          <w:szCs w:val="28"/>
          <w:highlight w:val="none"/>
          <w:lang w:val="en-US" w:eastAsia="zh-CN"/>
        </w:rPr>
        <w:t>月</w:t>
      </w:r>
      <w:permEnd w:id="22"/>
      <w:r>
        <w:rPr>
          <w:rFonts w:hint="eastAsia" w:asciiTheme="minorEastAsia" w:hAnsiTheme="minorEastAsia" w:eastAsiaTheme="minorEastAsia" w:cstheme="minorEastAsia"/>
          <w:color w:val="auto"/>
          <w:sz w:val="28"/>
          <w:szCs w:val="28"/>
          <w:highlight w:val="none"/>
          <w:lang w:val="en-US" w:eastAsia="zh-CN"/>
        </w:rPr>
        <w:t>起任意3个月及以上养老保险证明，否则按无效投标处理。</w:t>
      </w:r>
    </w:p>
    <w:p w14:paraId="6921247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四、招标文件的获取</w:t>
      </w:r>
    </w:p>
    <w:p w14:paraId="1B370C8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14:paraId="2D848CE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五、投标文件的递交</w:t>
      </w:r>
    </w:p>
    <w:p w14:paraId="68E768D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（一）开标时间（投标截止时间）</w:t>
      </w:r>
      <w:r>
        <w:rPr>
          <w:rFonts w:hint="eastAsia" w:asciiTheme="minorEastAsia" w:hAnsiTheme="minorEastAsia" w:cstheme="minorEastAsia"/>
          <w:color w:val="auto"/>
          <w:sz w:val="28"/>
          <w:szCs w:val="28"/>
          <w:highlight w:val="none"/>
          <w:lang w:val="en-US" w:eastAsia="zh-CN"/>
        </w:rPr>
        <w:t>：</w:t>
      </w:r>
      <w:permStart w:id="23" w:edGrp="everyone"/>
      <w:r>
        <w:rPr>
          <w:rFonts w:hint="eastAsia" w:asciiTheme="minorEastAsia" w:hAnsiTheme="minorEastAsia" w:cstheme="minorEastAsia"/>
          <w:b/>
          <w:bCs/>
          <w:i w:val="0"/>
          <w:iCs w:val="0"/>
          <w:color w:val="auto"/>
          <w:sz w:val="28"/>
          <w:szCs w:val="28"/>
          <w:highlight w:val="none"/>
          <w:u w:val="single"/>
          <w:lang w:val="en-US" w:eastAsia="zh-CN"/>
        </w:rPr>
        <w:t>2025</w:t>
      </w:r>
      <w:r>
        <w:rPr>
          <w:rFonts w:hint="eastAsia" w:asciiTheme="minorEastAsia" w:hAnsiTheme="minorEastAsia" w:eastAsiaTheme="minorEastAsia" w:cstheme="minorEastAsia"/>
          <w:b/>
          <w:bCs/>
          <w:i w:val="0"/>
          <w:iCs w:val="0"/>
          <w:color w:val="auto"/>
          <w:sz w:val="28"/>
          <w:szCs w:val="28"/>
          <w:highlight w:val="none"/>
          <w:lang w:val="en-US" w:eastAsia="zh-CN"/>
        </w:rPr>
        <w:t>年</w:t>
      </w:r>
      <w:r>
        <w:rPr>
          <w:rFonts w:hint="eastAsia" w:asciiTheme="minorEastAsia" w:hAnsiTheme="minorEastAsia" w:cstheme="minorEastAsia"/>
          <w:b/>
          <w:bCs/>
          <w:i w:val="0"/>
          <w:iCs w:val="0"/>
          <w:color w:val="auto"/>
          <w:sz w:val="28"/>
          <w:szCs w:val="28"/>
          <w:highlight w:val="none"/>
          <w:u w:val="single"/>
          <w:lang w:val="en-US" w:eastAsia="zh-CN"/>
        </w:rPr>
        <w:t>1</w:t>
      </w:r>
      <w:r>
        <w:rPr>
          <w:rFonts w:hint="eastAsia" w:asciiTheme="minorEastAsia" w:hAnsiTheme="minorEastAsia" w:eastAsiaTheme="minorEastAsia" w:cstheme="minorEastAsia"/>
          <w:b/>
          <w:bCs/>
          <w:i w:val="0"/>
          <w:iCs w:val="0"/>
          <w:color w:val="auto"/>
          <w:sz w:val="28"/>
          <w:szCs w:val="28"/>
          <w:highlight w:val="none"/>
          <w:lang w:val="en-US" w:eastAsia="zh-CN"/>
        </w:rPr>
        <w:t>月</w:t>
      </w:r>
      <w:r>
        <w:rPr>
          <w:rFonts w:hint="eastAsia" w:asciiTheme="minorEastAsia" w:hAnsiTheme="minorEastAsia" w:cstheme="minorEastAsia"/>
          <w:b/>
          <w:bCs/>
          <w:i w:val="0"/>
          <w:iCs w:val="0"/>
          <w:color w:val="auto"/>
          <w:sz w:val="28"/>
          <w:szCs w:val="28"/>
          <w:highlight w:val="none"/>
          <w:u w:val="single"/>
          <w:lang w:val="en-US" w:eastAsia="zh-CN"/>
        </w:rPr>
        <w:t>24</w:t>
      </w:r>
      <w:r>
        <w:rPr>
          <w:rFonts w:hint="eastAsia" w:asciiTheme="minorEastAsia" w:hAnsiTheme="minorEastAsia" w:eastAsiaTheme="minorEastAsia" w:cstheme="minorEastAsia"/>
          <w:b/>
          <w:bCs/>
          <w:i w:val="0"/>
          <w:iCs w:val="0"/>
          <w:color w:val="auto"/>
          <w:sz w:val="28"/>
          <w:szCs w:val="28"/>
          <w:highlight w:val="none"/>
          <w:lang w:val="en-US" w:eastAsia="zh-CN"/>
        </w:rPr>
        <w:t>日</w:t>
      </w:r>
      <w:r>
        <w:rPr>
          <w:rFonts w:hint="eastAsia" w:asciiTheme="minorEastAsia" w:hAnsiTheme="minorEastAsia" w:cstheme="minorEastAsia"/>
          <w:b/>
          <w:bCs/>
          <w:i w:val="0"/>
          <w:iCs w:val="0"/>
          <w:color w:val="auto"/>
          <w:sz w:val="28"/>
          <w:szCs w:val="28"/>
          <w:highlight w:val="none"/>
          <w:u w:val="single"/>
          <w:lang w:val="en-US" w:eastAsia="zh-CN"/>
        </w:rPr>
        <w:t>9</w:t>
      </w:r>
      <w:r>
        <w:rPr>
          <w:rFonts w:hint="eastAsia" w:asciiTheme="minorEastAsia" w:hAnsiTheme="minorEastAsia" w:eastAsiaTheme="minorEastAsia" w:cstheme="minorEastAsia"/>
          <w:b/>
          <w:bCs/>
          <w:i w:val="0"/>
          <w:iCs w:val="0"/>
          <w:color w:val="auto"/>
          <w:sz w:val="28"/>
          <w:szCs w:val="28"/>
          <w:highlight w:val="none"/>
          <w:u w:val="none"/>
          <w:lang w:val="en-US" w:eastAsia="zh-CN"/>
        </w:rPr>
        <w:t>时</w:t>
      </w:r>
      <w:r>
        <w:rPr>
          <w:rFonts w:hint="eastAsia" w:asciiTheme="minorEastAsia" w:hAnsiTheme="minorEastAsia" w:cstheme="minorEastAsia"/>
          <w:b/>
          <w:bCs/>
          <w:i w:val="0"/>
          <w:iCs w:val="0"/>
          <w:color w:val="auto"/>
          <w:sz w:val="28"/>
          <w:szCs w:val="28"/>
          <w:highlight w:val="none"/>
          <w:u w:val="single"/>
          <w:lang w:val="en-US" w:eastAsia="zh-CN"/>
        </w:rPr>
        <w:t>00</w:t>
      </w:r>
      <w:r>
        <w:rPr>
          <w:rFonts w:hint="eastAsia" w:asciiTheme="minorEastAsia" w:hAnsiTheme="minorEastAsia" w:eastAsiaTheme="minorEastAsia" w:cstheme="minorEastAsia"/>
          <w:b/>
          <w:bCs/>
          <w:i w:val="0"/>
          <w:iCs w:val="0"/>
          <w:color w:val="auto"/>
          <w:sz w:val="28"/>
          <w:szCs w:val="28"/>
          <w:highlight w:val="none"/>
          <w:u w:val="none"/>
          <w:lang w:val="en-US" w:eastAsia="zh-CN"/>
        </w:rPr>
        <w:t>分</w:t>
      </w:r>
      <w:permEnd w:id="23"/>
      <w:r>
        <w:rPr>
          <w:rFonts w:hint="eastAsia" w:asciiTheme="minorEastAsia" w:hAnsiTheme="minorEastAsia" w:cstheme="minorEastAsia"/>
          <w:i w:val="0"/>
          <w:iCs w:val="0"/>
          <w:color w:val="auto"/>
          <w:sz w:val="28"/>
          <w:szCs w:val="28"/>
          <w:highlight w:val="none"/>
          <w:u w:val="none"/>
          <w:lang w:val="en-US" w:eastAsia="zh-CN"/>
        </w:rPr>
        <w:t>（北京时间）</w:t>
      </w:r>
      <w:r>
        <w:rPr>
          <w:rFonts w:hint="eastAsia" w:asciiTheme="minorEastAsia" w:hAnsiTheme="minorEastAsia" w:cstheme="minorEastAsia"/>
          <w:i w:val="0"/>
          <w:iCs w:val="0"/>
          <w:color w:val="auto"/>
          <w:sz w:val="28"/>
          <w:szCs w:val="28"/>
          <w:highlight w:val="none"/>
          <w:lang w:val="en-US" w:eastAsia="zh-CN"/>
        </w:rPr>
        <w:t>；</w:t>
      </w:r>
    </w:p>
    <w:p w14:paraId="19D7B0A3">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i w:val="0"/>
          <w:iCs w:val="0"/>
          <w:color w:val="auto"/>
          <w:sz w:val="28"/>
          <w:szCs w:val="28"/>
          <w:highlight w:val="none"/>
          <w:lang w:val="en-US" w:eastAsia="zh-CN"/>
        </w:rPr>
        <w:t>（二）开标</w:t>
      </w:r>
      <w:r>
        <w:rPr>
          <w:rFonts w:hint="eastAsia" w:asciiTheme="minorEastAsia" w:hAnsiTheme="minorEastAsia" w:eastAsiaTheme="minorEastAsia" w:cstheme="minorEastAsia"/>
          <w:i w:val="0"/>
          <w:iCs w:val="0"/>
          <w:color w:val="auto"/>
          <w:sz w:val="28"/>
          <w:szCs w:val="28"/>
          <w:highlight w:val="none"/>
          <w:lang w:val="en-US" w:eastAsia="zh-CN"/>
        </w:rPr>
        <w:t>地点</w:t>
      </w:r>
      <w:r>
        <w:rPr>
          <w:rFonts w:hint="eastAsia" w:asciiTheme="minorEastAsia" w:hAnsiTheme="minorEastAsia" w:cstheme="minorEastAsia"/>
          <w:i w:val="0"/>
          <w:iCs w:val="0"/>
          <w:color w:val="auto"/>
          <w:sz w:val="28"/>
          <w:szCs w:val="28"/>
          <w:highlight w:val="none"/>
          <w:lang w:val="en-US" w:eastAsia="zh-CN"/>
        </w:rPr>
        <w:t>：</w:t>
      </w:r>
      <w:r>
        <w:rPr>
          <w:rFonts w:hint="eastAsia" w:asciiTheme="minorEastAsia" w:hAnsiTheme="minorEastAsia" w:eastAsiaTheme="minorEastAsia" w:cstheme="minorEastAsia"/>
          <w:i w:val="0"/>
          <w:iCs w:val="0"/>
          <w:color w:val="auto"/>
          <w:sz w:val="28"/>
          <w:szCs w:val="28"/>
          <w:highlight w:val="none"/>
          <w:u w:val="single"/>
          <w:lang w:val="en-US" w:eastAsia="zh-CN"/>
        </w:rPr>
        <w:t>亳州交通投资控股集团有限公司</w:t>
      </w:r>
      <w:r>
        <w:rPr>
          <w:rFonts w:hint="eastAsia" w:asciiTheme="minorEastAsia" w:hAnsiTheme="minorEastAsia" w:cstheme="minorEastAsia"/>
          <w:i w:val="0"/>
          <w:iCs w:val="0"/>
          <w:color w:val="auto"/>
          <w:sz w:val="28"/>
          <w:szCs w:val="28"/>
          <w:highlight w:val="none"/>
          <w:u w:val="single"/>
          <w:lang w:val="en-US" w:eastAsia="zh-CN"/>
        </w:rPr>
        <w:t>15</w:t>
      </w:r>
      <w:r>
        <w:rPr>
          <w:rFonts w:hint="eastAsia" w:asciiTheme="minorEastAsia" w:hAnsiTheme="minorEastAsia" w:eastAsiaTheme="minorEastAsia" w:cstheme="minorEastAsia"/>
          <w:i w:val="0"/>
          <w:iCs w:val="0"/>
          <w:color w:val="auto"/>
          <w:sz w:val="28"/>
          <w:szCs w:val="28"/>
          <w:highlight w:val="none"/>
          <w:u w:val="single"/>
          <w:lang w:val="en-US" w:eastAsia="zh-CN"/>
        </w:rPr>
        <w:t>楼</w:t>
      </w:r>
      <w:r>
        <w:rPr>
          <w:rFonts w:hint="eastAsia" w:asciiTheme="minorEastAsia" w:hAnsiTheme="minorEastAsia" w:cstheme="minorEastAsia"/>
          <w:i w:val="0"/>
          <w:iCs w:val="0"/>
          <w:color w:val="auto"/>
          <w:sz w:val="28"/>
          <w:szCs w:val="28"/>
          <w:highlight w:val="none"/>
          <w:u w:val="single"/>
          <w:lang w:val="en-US" w:eastAsia="zh-CN"/>
        </w:rPr>
        <w:t>开标</w:t>
      </w:r>
      <w:r>
        <w:rPr>
          <w:rFonts w:hint="eastAsia" w:asciiTheme="minorEastAsia" w:hAnsiTheme="minorEastAsia" w:eastAsiaTheme="minorEastAsia" w:cstheme="minorEastAsia"/>
          <w:i w:val="0"/>
          <w:iCs w:val="0"/>
          <w:color w:val="auto"/>
          <w:sz w:val="28"/>
          <w:szCs w:val="28"/>
          <w:highlight w:val="none"/>
          <w:u w:val="single"/>
          <w:lang w:val="en-US" w:eastAsia="zh-CN"/>
        </w:rPr>
        <w:t>室（药都大道与希夷大道交叉口东北角</w:t>
      </w:r>
      <w:r>
        <w:rPr>
          <w:rFonts w:hint="eastAsia" w:asciiTheme="minorEastAsia" w:hAnsiTheme="minorEastAsia" w:cstheme="minorEastAsia"/>
          <w:i w:val="0"/>
          <w:iCs w:val="0"/>
          <w:color w:val="auto"/>
          <w:sz w:val="28"/>
          <w:szCs w:val="28"/>
          <w:highlight w:val="none"/>
          <w:u w:val="single"/>
          <w:lang w:val="en-US" w:eastAsia="zh-CN"/>
        </w:rPr>
        <w:t>15</w:t>
      </w:r>
      <w:r>
        <w:rPr>
          <w:rFonts w:hint="eastAsia" w:asciiTheme="minorEastAsia" w:hAnsiTheme="minorEastAsia" w:eastAsiaTheme="minorEastAsia" w:cstheme="minorEastAsia"/>
          <w:i w:val="0"/>
          <w:iCs w:val="0"/>
          <w:color w:val="auto"/>
          <w:sz w:val="28"/>
          <w:szCs w:val="28"/>
          <w:highlight w:val="none"/>
          <w:u w:val="single"/>
          <w:lang w:val="en-US" w:eastAsia="zh-CN"/>
        </w:rPr>
        <w:t>楼）</w:t>
      </w:r>
      <w:r>
        <w:rPr>
          <w:rFonts w:hint="eastAsia" w:asciiTheme="minorEastAsia" w:hAnsiTheme="minorEastAsia" w:cstheme="minorEastAsia"/>
          <w:i w:val="0"/>
          <w:iCs w:val="0"/>
          <w:color w:val="auto"/>
          <w:sz w:val="28"/>
          <w:szCs w:val="28"/>
          <w:highlight w:val="none"/>
          <w:lang w:val="en-US" w:eastAsia="zh-CN"/>
        </w:rPr>
        <w:t>；</w:t>
      </w:r>
    </w:p>
    <w:p w14:paraId="7DC256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三</w:t>
      </w:r>
      <w:r>
        <w:rPr>
          <w:rFonts w:hint="eastAsia" w:asciiTheme="minorEastAsia" w:hAnsiTheme="minorEastAsia" w:eastAsiaTheme="minorEastAsia" w:cstheme="minorEastAsia"/>
          <w:color w:val="auto"/>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color w:val="auto"/>
          <w:sz w:val="28"/>
          <w:szCs w:val="28"/>
          <w:highlight w:val="none"/>
          <w:lang w:val="en-US" w:eastAsia="zh-CN"/>
        </w:rPr>
        <w:t>；</w:t>
      </w:r>
    </w:p>
    <w:p w14:paraId="1EE4709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（四）</w:t>
      </w:r>
      <w:r>
        <w:rPr>
          <w:rFonts w:hint="default" w:asciiTheme="minorEastAsia" w:hAnsiTheme="minorEastAsia" w:eastAsiaTheme="minorEastAsia" w:cstheme="minorEastAsia"/>
          <w:color w:val="auto"/>
          <w:sz w:val="28"/>
          <w:szCs w:val="28"/>
          <w:highlight w:val="none"/>
          <w:lang w:val="en-US" w:eastAsia="zh-CN"/>
        </w:rPr>
        <w:t>本次招标</w:t>
      </w:r>
      <w:permStart w:id="24" w:edGrp="everyone"/>
      <w:r>
        <w:rPr>
          <w:rFonts w:hint="eastAsia" w:asciiTheme="minorEastAsia" w:hAnsiTheme="minorEastAsia" w:cstheme="minorEastAsia"/>
          <w:color w:val="auto"/>
          <w:sz w:val="28"/>
          <w:szCs w:val="28"/>
          <w:highlight w:val="none"/>
          <w:lang w:val="en-US" w:eastAsia="zh-CN"/>
        </w:rPr>
        <w:t>不允许</w:t>
      </w:r>
      <w:permEnd w:id="24"/>
      <w:r>
        <w:rPr>
          <w:rFonts w:hint="default" w:asciiTheme="minorEastAsia" w:hAnsiTheme="minorEastAsia" w:eastAsiaTheme="minorEastAsia" w:cstheme="minorEastAsia"/>
          <w:color w:val="auto"/>
          <w:sz w:val="28"/>
          <w:szCs w:val="28"/>
          <w:highlight w:val="none"/>
          <w:lang w:val="en-US" w:eastAsia="zh-CN"/>
        </w:rPr>
        <w:t>投标人以邮寄方式递交投标文件。</w:t>
      </w:r>
    </w:p>
    <w:p w14:paraId="62B1A57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六、投标担保</w:t>
      </w:r>
    </w:p>
    <w:p w14:paraId="421E49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本项目投标保证金：</w:t>
      </w:r>
      <w:permStart w:id="25" w:edGrp="everyone"/>
      <w:r>
        <w:rPr>
          <w:rFonts w:hint="eastAsia" w:asciiTheme="minorEastAsia" w:hAnsiTheme="minorEastAsia" w:cstheme="minorEastAsia"/>
          <w:color w:val="auto"/>
          <w:sz w:val="28"/>
          <w:szCs w:val="28"/>
          <w:highlight w:val="none"/>
          <w:u w:val="single"/>
          <w:lang w:val="en-US" w:eastAsia="zh-CN"/>
        </w:rPr>
        <w:t>8000元</w:t>
      </w:r>
      <w:r>
        <w:rPr>
          <w:rFonts w:hint="default" w:asciiTheme="minorEastAsia" w:hAnsiTheme="minorEastAsia" w:eastAsiaTheme="minorEastAsia" w:cstheme="minorEastAsia"/>
          <w:color w:val="auto"/>
          <w:sz w:val="28"/>
          <w:szCs w:val="28"/>
          <w:highlight w:val="none"/>
          <w:lang w:val="en-US" w:eastAsia="zh-CN"/>
        </w:rPr>
        <w:t>（人民币）</w:t>
      </w:r>
      <w:permEnd w:id="25"/>
      <w:r>
        <w:rPr>
          <w:rFonts w:hint="default" w:asciiTheme="minorEastAsia" w:hAnsiTheme="minorEastAsia" w:eastAsiaTheme="minorEastAsia" w:cstheme="minorEastAsia"/>
          <w:color w:val="auto"/>
          <w:sz w:val="28"/>
          <w:szCs w:val="28"/>
          <w:highlight w:val="none"/>
          <w:lang w:val="en-US" w:eastAsia="zh-CN"/>
        </w:rPr>
        <w:t>，缴纳方式详见招标文件。</w:t>
      </w:r>
    </w:p>
    <w:p w14:paraId="6138321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七、联系方式</w:t>
      </w:r>
    </w:p>
    <w:p w14:paraId="0D9641E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招</w:t>
      </w:r>
      <w:r>
        <w:rPr>
          <w:rFonts w:hint="eastAsia" w:asciiTheme="minorEastAsia" w:hAnsiTheme="minorEastAsia" w:eastAsiaTheme="minorEastAsia" w:cstheme="minorEastAsia"/>
          <w:color w:val="auto"/>
          <w:sz w:val="28"/>
          <w:szCs w:val="28"/>
          <w:highlight w:val="none"/>
          <w:lang w:val="en-US" w:eastAsia="zh-CN"/>
        </w:rPr>
        <w:t xml:space="preserve"> </w:t>
      </w:r>
      <w:r>
        <w:rPr>
          <w:rFonts w:hint="default" w:asciiTheme="minorEastAsia" w:hAnsiTheme="minorEastAsia" w:eastAsiaTheme="minorEastAsia" w:cstheme="minorEastAsia"/>
          <w:color w:val="auto"/>
          <w:sz w:val="28"/>
          <w:szCs w:val="28"/>
          <w:highlight w:val="none"/>
          <w:lang w:val="en-US" w:eastAsia="zh-CN"/>
        </w:rPr>
        <w:t>标</w:t>
      </w:r>
      <w:r>
        <w:rPr>
          <w:rFonts w:hint="eastAsia" w:asciiTheme="minorEastAsia" w:hAnsiTheme="minorEastAsia" w:eastAsiaTheme="minorEastAsia" w:cstheme="minorEastAsia"/>
          <w:color w:val="auto"/>
          <w:sz w:val="28"/>
          <w:szCs w:val="28"/>
          <w:highlight w:val="none"/>
          <w:lang w:val="en-US" w:eastAsia="zh-CN"/>
        </w:rPr>
        <w:t xml:space="preserve"> </w:t>
      </w:r>
      <w:r>
        <w:rPr>
          <w:rFonts w:hint="default" w:asciiTheme="minorEastAsia" w:hAnsiTheme="minorEastAsia" w:eastAsiaTheme="minorEastAsia" w:cstheme="minorEastAsia"/>
          <w:color w:val="auto"/>
          <w:sz w:val="28"/>
          <w:szCs w:val="28"/>
          <w:highlight w:val="none"/>
          <w:lang w:val="en-US" w:eastAsia="zh-CN"/>
        </w:rPr>
        <w:t>人：</w:t>
      </w:r>
      <w:permStart w:id="26" w:edGrp="everyone"/>
      <w:r>
        <w:rPr>
          <w:rFonts w:hint="eastAsia" w:asciiTheme="minorEastAsia" w:hAnsiTheme="minorEastAsia" w:cstheme="minorEastAsia"/>
          <w:color w:val="auto"/>
          <w:sz w:val="28"/>
          <w:szCs w:val="28"/>
          <w:highlight w:val="none"/>
          <w:lang w:val="en-US" w:eastAsia="zh-CN"/>
        </w:rPr>
        <w:t>亳州通恒置业有限公司</w:t>
      </w:r>
    </w:p>
    <w:permEnd w:id="26"/>
    <w:p w14:paraId="68E6E2C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地</w:t>
      </w:r>
      <w:r>
        <w:rPr>
          <w:rFonts w:hint="eastAsia" w:asciiTheme="minorEastAsia" w:hAnsiTheme="minorEastAsia" w:eastAsiaTheme="minorEastAsia" w:cstheme="minorEastAsia"/>
          <w:color w:val="auto"/>
          <w:sz w:val="28"/>
          <w:szCs w:val="28"/>
          <w:highlight w:val="none"/>
          <w:lang w:val="en-US" w:eastAsia="zh-CN"/>
        </w:rPr>
        <w:t xml:space="preserve">    </w:t>
      </w:r>
      <w:r>
        <w:rPr>
          <w:rFonts w:hint="default" w:asciiTheme="minorEastAsia" w:hAnsiTheme="minorEastAsia" w:eastAsiaTheme="minorEastAsia" w:cstheme="minorEastAsia"/>
          <w:color w:val="auto"/>
          <w:sz w:val="28"/>
          <w:szCs w:val="28"/>
          <w:highlight w:val="none"/>
          <w:lang w:val="en-US" w:eastAsia="zh-CN"/>
        </w:rPr>
        <w:t>址：</w:t>
      </w:r>
      <w:permStart w:id="27" w:edGrp="everyone"/>
      <w:r>
        <w:rPr>
          <w:rFonts w:hint="eastAsia" w:asciiTheme="minorEastAsia" w:hAnsiTheme="minorEastAsia" w:cstheme="minorEastAsia"/>
          <w:color w:val="auto"/>
          <w:sz w:val="28"/>
          <w:szCs w:val="28"/>
          <w:highlight w:val="none"/>
          <w:lang w:val="en-US" w:eastAsia="zh-CN"/>
        </w:rPr>
        <w:t>安徽省亳州市谯城区药都路1289号</w:t>
      </w:r>
      <w:permEnd w:id="27"/>
    </w:p>
    <w:p w14:paraId="0922AC2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联</w:t>
      </w:r>
      <w:r>
        <w:rPr>
          <w:rFonts w:hint="eastAsia" w:asciiTheme="minorEastAsia" w:hAnsiTheme="minorEastAsia" w:eastAsiaTheme="minorEastAsia" w:cstheme="minorEastAsia"/>
          <w:color w:val="auto"/>
          <w:sz w:val="28"/>
          <w:szCs w:val="28"/>
          <w:highlight w:val="none"/>
          <w:lang w:val="en-US" w:eastAsia="zh-CN"/>
        </w:rPr>
        <w:t xml:space="preserve"> </w:t>
      </w:r>
      <w:r>
        <w:rPr>
          <w:rFonts w:hint="default" w:asciiTheme="minorEastAsia" w:hAnsiTheme="minorEastAsia" w:eastAsiaTheme="minorEastAsia" w:cstheme="minorEastAsia"/>
          <w:color w:val="auto"/>
          <w:sz w:val="28"/>
          <w:szCs w:val="28"/>
          <w:highlight w:val="none"/>
          <w:lang w:val="en-US" w:eastAsia="zh-CN"/>
        </w:rPr>
        <w:t>系</w:t>
      </w:r>
      <w:r>
        <w:rPr>
          <w:rFonts w:hint="eastAsia" w:asciiTheme="minorEastAsia" w:hAnsiTheme="minorEastAsia" w:eastAsiaTheme="minorEastAsia" w:cstheme="minorEastAsia"/>
          <w:color w:val="auto"/>
          <w:sz w:val="28"/>
          <w:szCs w:val="28"/>
          <w:highlight w:val="none"/>
          <w:lang w:val="en-US" w:eastAsia="zh-CN"/>
        </w:rPr>
        <w:t xml:space="preserve"> </w:t>
      </w:r>
      <w:r>
        <w:rPr>
          <w:rFonts w:hint="default" w:asciiTheme="minorEastAsia" w:hAnsiTheme="minorEastAsia" w:eastAsiaTheme="minorEastAsia" w:cstheme="minorEastAsia"/>
          <w:color w:val="auto"/>
          <w:sz w:val="28"/>
          <w:szCs w:val="28"/>
          <w:highlight w:val="none"/>
          <w:lang w:val="en-US" w:eastAsia="zh-CN"/>
        </w:rPr>
        <w:t>人：</w:t>
      </w:r>
      <w:permStart w:id="28" w:edGrp="everyone"/>
      <w:r>
        <w:rPr>
          <w:rFonts w:hint="eastAsia" w:asciiTheme="minorEastAsia" w:hAnsiTheme="minorEastAsia" w:cstheme="minorEastAsia"/>
          <w:color w:val="auto"/>
          <w:sz w:val="28"/>
          <w:szCs w:val="28"/>
          <w:highlight w:val="none"/>
          <w:lang w:val="en-US" w:eastAsia="zh-CN"/>
        </w:rPr>
        <w:t>孙工</w:t>
      </w:r>
      <w:permEnd w:id="28"/>
    </w:p>
    <w:p w14:paraId="4F7C8D5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电    话</w:t>
      </w:r>
      <w:r>
        <w:rPr>
          <w:rFonts w:hint="default" w:asciiTheme="minorEastAsia" w:hAnsiTheme="minorEastAsia" w:eastAsiaTheme="minorEastAsia" w:cstheme="minorEastAsia"/>
          <w:color w:val="auto"/>
          <w:sz w:val="28"/>
          <w:szCs w:val="28"/>
          <w:highlight w:val="none"/>
          <w:lang w:val="en-US" w:eastAsia="zh-CN"/>
        </w:rPr>
        <w:t>：</w:t>
      </w:r>
      <w:permStart w:id="29" w:edGrp="everyone"/>
      <w:r>
        <w:rPr>
          <w:rFonts w:hint="eastAsia" w:asciiTheme="minorEastAsia" w:hAnsiTheme="minorEastAsia" w:cstheme="minorEastAsia"/>
          <w:color w:val="auto"/>
          <w:sz w:val="28"/>
          <w:szCs w:val="28"/>
          <w:highlight w:val="none"/>
          <w:lang w:val="en-US" w:eastAsia="zh-CN"/>
        </w:rPr>
        <w:t>0558-5585196</w:t>
      </w:r>
      <w:permEnd w:id="29"/>
    </w:p>
    <w:p w14:paraId="5130C60A">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color w:val="auto"/>
          <w:sz w:val="28"/>
          <w:szCs w:val="28"/>
          <w:highlight w:val="none"/>
          <w:lang w:val="en-US" w:eastAsia="zh-CN"/>
        </w:rPr>
      </w:pPr>
    </w:p>
    <w:p w14:paraId="44A0E73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招标平台：亳州交控集团招投标中心</w:t>
      </w:r>
    </w:p>
    <w:p w14:paraId="4F7B8F2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地    址：亳州市谯城区药都大道1289号</w:t>
      </w:r>
    </w:p>
    <w:p w14:paraId="294B49F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联 系 人：田工、张工</w:t>
      </w:r>
    </w:p>
    <w:p w14:paraId="54CB5D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电    话：0558-5190035</w:t>
      </w:r>
    </w:p>
    <w:p w14:paraId="4C2BB380">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（温馨提示：工作日上午8：00-12：00，下午2：30-5：30）</w:t>
      </w:r>
    </w:p>
    <w:p w14:paraId="73834E42">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color w:val="auto"/>
          <w:sz w:val="28"/>
          <w:szCs w:val="28"/>
          <w:highlight w:val="none"/>
          <w:lang w:val="en-US" w:eastAsia="zh-CN"/>
        </w:rPr>
      </w:pPr>
    </w:p>
    <w:p w14:paraId="1842DBA7">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color w:val="auto"/>
          <w:sz w:val="28"/>
          <w:szCs w:val="28"/>
          <w:highlight w:val="none"/>
          <w:lang w:val="en-US" w:eastAsia="zh-CN"/>
        </w:rPr>
      </w:pPr>
    </w:p>
    <w:p w14:paraId="3860509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 xml:space="preserve">     </w:t>
      </w:r>
      <w:permStart w:id="30" w:edGrp="everyone"/>
      <w:r>
        <w:rPr>
          <w:rFonts w:hint="eastAsia" w:asciiTheme="minorEastAsia" w:hAnsiTheme="minorEastAsia" w:cstheme="minorEastAsia"/>
          <w:color w:val="auto"/>
          <w:sz w:val="28"/>
          <w:szCs w:val="28"/>
          <w:highlight w:val="none"/>
          <w:lang w:val="en-US" w:eastAsia="zh-CN"/>
        </w:rPr>
        <w:t>亳州通恒置业有限公司</w:t>
      </w:r>
    </w:p>
    <w:p w14:paraId="1BBF4FA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color w:val="auto"/>
          <w:kern w:val="0"/>
          <w:sz w:val="32"/>
          <w:szCs w:val="32"/>
          <w:highlight w:val="none"/>
          <w:lang w:val="en-US" w:eastAsia="zh-CN"/>
        </w:rPr>
      </w:pPr>
      <w:r>
        <w:rPr>
          <w:rFonts w:hint="eastAsia" w:asciiTheme="minorEastAsia" w:hAnsiTheme="minorEastAsia" w:cstheme="minorEastAsia"/>
          <w:color w:val="auto"/>
          <w:sz w:val="28"/>
          <w:szCs w:val="28"/>
          <w:highlight w:val="none"/>
          <w:lang w:val="en-US" w:eastAsia="zh-CN"/>
        </w:rPr>
        <w:t>2025</w:t>
      </w:r>
      <w:r>
        <w:rPr>
          <w:rFonts w:hint="eastAsia" w:asciiTheme="minorEastAsia" w:hAnsiTheme="minorEastAsia" w:eastAsiaTheme="minorEastAsia" w:cstheme="minorEastAsia"/>
          <w:color w:val="auto"/>
          <w:sz w:val="28"/>
          <w:szCs w:val="28"/>
          <w:highlight w:val="none"/>
          <w:lang w:val="en-US" w:eastAsia="zh-CN"/>
        </w:rPr>
        <w:t>年</w:t>
      </w:r>
      <w:r>
        <w:rPr>
          <w:rFonts w:hint="eastAsia" w:asciiTheme="minorEastAsia" w:hAnsi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lang w:val="en-US" w:eastAsia="zh-CN"/>
        </w:rPr>
        <w:t>月</w:t>
      </w:r>
      <w:r>
        <w:rPr>
          <w:rFonts w:hint="eastAsia" w:asciiTheme="minorEastAsia" w:hAnsiTheme="minorEastAsia" w:cstheme="minorEastAsia"/>
          <w:color w:val="auto"/>
          <w:sz w:val="28"/>
          <w:szCs w:val="28"/>
          <w:highlight w:val="none"/>
          <w:lang w:val="en-US" w:eastAsia="zh-CN"/>
        </w:rPr>
        <w:t>17</w:t>
      </w:r>
      <w:r>
        <w:rPr>
          <w:rFonts w:hint="eastAsia" w:asciiTheme="minorEastAsia" w:hAnsiTheme="minorEastAsia" w:eastAsiaTheme="minorEastAsia" w:cstheme="minorEastAsia"/>
          <w:color w:val="auto"/>
          <w:sz w:val="28"/>
          <w:szCs w:val="28"/>
          <w:highlight w:val="none"/>
          <w:lang w:val="en-US" w:eastAsia="zh-CN"/>
        </w:rPr>
        <w:t>日</w:t>
      </w:r>
      <w:permEnd w:id="30"/>
      <w:r>
        <w:rPr>
          <w:rFonts w:hint="default" w:ascii="Times New Roman" w:hAnsi="Times New Roman" w:eastAsia="仿宋_GB2312" w:cs="Times New Roman"/>
          <w:color w:val="auto"/>
          <w:kern w:val="0"/>
          <w:sz w:val="32"/>
          <w:szCs w:val="32"/>
          <w:highlight w:val="none"/>
          <w:lang w:val="en-US" w:eastAsia="zh-CN"/>
        </w:rPr>
        <w:br w:type="page"/>
      </w:r>
    </w:p>
    <w:p w14:paraId="3281769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t>第二章 投标人须知</w:t>
      </w:r>
    </w:p>
    <w:p w14:paraId="693F2ABA">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p>
    <w:p w14:paraId="5167E5D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r>
        <w:rPr>
          <w:rFonts w:hint="eastAsia" w:asciiTheme="majorEastAsia" w:hAnsiTheme="majorEastAsia" w:eastAsiaTheme="majorEastAsia" w:cstheme="majorEastAsia"/>
          <w:b/>
          <w:bCs/>
          <w:color w:val="auto"/>
          <w:sz w:val="28"/>
          <w:szCs w:val="28"/>
          <w:highlight w:val="none"/>
          <w:lang w:val="en-US" w:eastAsia="zh-CN"/>
        </w:rPr>
        <w:t>投标人须知前附表</w:t>
      </w:r>
    </w:p>
    <w:p w14:paraId="149B17B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72B547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DEEF12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C48C0D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条  款  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FAB2D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编  列  内  容</w:t>
            </w:r>
          </w:p>
        </w:tc>
      </w:tr>
      <w:tr w14:paraId="51BDDD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FA7D0D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412EB5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招标人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FAC03A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详见第一章招标公告。</w:t>
            </w:r>
          </w:p>
        </w:tc>
      </w:tr>
      <w:tr w14:paraId="4E5FEC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4DEDF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130DD5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招标</w:t>
            </w:r>
            <w:r>
              <w:rPr>
                <w:rFonts w:hint="eastAsia" w:ascii="Times New Roman" w:hAnsi="Times New Roman" w:cs="Times New Roman"/>
                <w:color w:val="auto"/>
                <w:szCs w:val="21"/>
                <w:highlight w:val="none"/>
                <w:lang w:val="en-US" w:eastAsia="zh-CN"/>
              </w:rPr>
              <w:t>平台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59C4F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详见第一章招标公告。</w:t>
            </w:r>
          </w:p>
        </w:tc>
      </w:tr>
      <w:tr w14:paraId="6B2E82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FED311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D5F0F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D599E5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详见第一章招标公告。</w:t>
            </w:r>
          </w:p>
        </w:tc>
      </w:tr>
      <w:tr w14:paraId="136B26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514F7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6F8BC9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建设</w:t>
            </w:r>
            <w:r>
              <w:rPr>
                <w:rFonts w:hint="default" w:ascii="Times New Roman" w:hAnsi="Times New Roman" w:cs="Times New Roman"/>
                <w:color w:val="auto"/>
                <w:szCs w:val="21"/>
                <w:highlight w:val="none"/>
              </w:rPr>
              <w:t>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E2BEF0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详见第一章招标公告。</w:t>
            </w:r>
          </w:p>
        </w:tc>
      </w:tr>
      <w:tr w14:paraId="7585F6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07202F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1.1.6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1AC90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项目建设规模</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571F9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详见第一章招标公告。</w:t>
            </w:r>
          </w:p>
        </w:tc>
      </w:tr>
      <w:tr w14:paraId="78869C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8AB955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1.1.7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7D975B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项目投资估算</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BE7DC2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详见第一章招标公告。</w:t>
            </w:r>
          </w:p>
        </w:tc>
      </w:tr>
      <w:tr w14:paraId="366426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C7F6E6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4D7F9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资金来源</w:t>
            </w:r>
            <w:r>
              <w:rPr>
                <w:rFonts w:hint="eastAsia" w:ascii="Times New Roman" w:hAnsi="Times New Roman" w:cs="Times New Roman"/>
                <w:color w:val="auto"/>
                <w:szCs w:val="21"/>
                <w:highlight w:val="none"/>
                <w:lang w:val="en-US" w:eastAsia="zh-CN"/>
              </w:rPr>
              <w:t>及比例</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1C18D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详见第一章招标公告。</w:t>
            </w:r>
          </w:p>
        </w:tc>
      </w:tr>
      <w:tr w14:paraId="26D5BD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AB726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1.2.</w:t>
            </w:r>
            <w:r>
              <w:rPr>
                <w:rFonts w:hint="eastAsia" w:ascii="Times New Roman" w:hAnsi="Times New Roman" w:cs="Times New Roman"/>
                <w:color w:val="auto"/>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F67523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资金落实情况</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3ADBF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已落实</w:t>
            </w:r>
          </w:p>
        </w:tc>
      </w:tr>
      <w:tr w14:paraId="2571D7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562806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63F24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招标范围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1B5D8C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详见第一章招标公告。</w:t>
            </w:r>
          </w:p>
        </w:tc>
      </w:tr>
      <w:tr w14:paraId="434EEA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F12244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565F6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服务期限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D371B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详见第一章招标公告。</w:t>
            </w:r>
          </w:p>
        </w:tc>
      </w:tr>
      <w:tr w14:paraId="2304BB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4497C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1.3.3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588EB4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质量</w:t>
            </w:r>
            <w:r>
              <w:rPr>
                <w:rFonts w:hint="eastAsia" w:ascii="Times New Roman" w:hAnsi="Times New Roman" w:cs="Times New Roman"/>
                <w:color w:val="auto"/>
                <w:szCs w:val="21"/>
                <w:highlight w:val="none"/>
                <w:lang w:val="en-US" w:eastAsia="zh-CN"/>
              </w:rPr>
              <w:t>标准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BFABD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详见第一章招标公告。</w:t>
            </w:r>
          </w:p>
        </w:tc>
      </w:tr>
      <w:tr w14:paraId="61B768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2D4A78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1.4.1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83F95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投标人资质条件、能力</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AC6E472">
            <w:pPr>
              <w:autoSpaceDE w:val="0"/>
              <w:autoSpaceDN w:val="0"/>
              <w:adjustRightInd w:val="0"/>
              <w:snapToGrid w:val="0"/>
              <w:spacing w:line="440" w:lineRule="exact"/>
              <w:jc w:val="left"/>
              <w:rPr>
                <w:rFonts w:hint="eastAsia" w:ascii="宋体" w:hAnsi="宋体" w:cs="宋体"/>
                <w:color w:val="auto"/>
                <w:szCs w:val="21"/>
              </w:rPr>
            </w:pPr>
            <w:r>
              <w:rPr>
                <w:rFonts w:hint="eastAsia"/>
                <w:color w:val="auto"/>
                <w:szCs w:val="21"/>
              </w:rPr>
              <w:t>1、投标人资格要求：详见招标公告。</w:t>
            </w:r>
          </w:p>
          <w:p w14:paraId="6C1D7B26">
            <w:pPr>
              <w:autoSpaceDE w:val="0"/>
              <w:autoSpaceDN w:val="0"/>
              <w:adjustRightInd w:val="0"/>
              <w:snapToGrid w:val="0"/>
              <w:spacing w:line="440" w:lineRule="exact"/>
              <w:jc w:val="left"/>
              <w:rPr>
                <w:rFonts w:hint="eastAsia" w:hAnsi="宋体"/>
                <w:color w:val="auto"/>
                <w:szCs w:val="21"/>
              </w:rPr>
            </w:pPr>
            <w:permStart w:id="31" w:edGrp="everyone"/>
            <w:r>
              <w:rPr>
                <w:rFonts w:hint="eastAsia" w:hAnsi="宋体"/>
                <w:color w:val="auto"/>
                <w:szCs w:val="21"/>
                <w:lang w:val="en-US" w:eastAsia="zh-CN"/>
              </w:rPr>
              <w:t>2</w:t>
            </w:r>
            <w:r>
              <w:rPr>
                <w:rFonts w:hint="eastAsia" w:hAnsi="宋体"/>
                <w:color w:val="auto"/>
                <w:szCs w:val="21"/>
              </w:rPr>
              <w:t>、财务要求：</w:t>
            </w:r>
          </w:p>
          <w:p w14:paraId="22A1415D">
            <w:pPr>
              <w:autoSpaceDE w:val="0"/>
              <w:autoSpaceDN w:val="0"/>
              <w:adjustRightInd w:val="0"/>
              <w:snapToGrid w:val="0"/>
              <w:spacing w:line="440" w:lineRule="exact"/>
              <w:ind w:firstLine="308" w:firstLineChars="147"/>
              <w:jc w:val="left"/>
              <w:rPr>
                <w:rFonts w:hint="eastAsia" w:hAnsi="宋体" w:eastAsiaTheme="minorEastAsia"/>
                <w:color w:val="auto"/>
                <w:szCs w:val="21"/>
                <w:lang w:eastAsia="zh-CN"/>
              </w:rPr>
            </w:pPr>
            <w:r>
              <w:rPr>
                <w:rFonts w:hint="eastAsia" w:hAnsi="宋体"/>
                <w:color w:val="auto"/>
                <w:szCs w:val="21"/>
              </w:rPr>
              <w:t>不需要</w:t>
            </w:r>
            <w:r>
              <w:rPr>
                <w:rFonts w:hint="eastAsia" w:hAnsi="宋体"/>
                <w:color w:val="auto"/>
                <w:szCs w:val="21"/>
                <w:lang w:eastAsia="zh-CN"/>
              </w:rPr>
              <w:t>☑</w:t>
            </w:r>
          </w:p>
          <w:p w14:paraId="1567F189">
            <w:pPr>
              <w:autoSpaceDE w:val="0"/>
              <w:autoSpaceDN w:val="0"/>
              <w:adjustRightInd w:val="0"/>
              <w:snapToGrid w:val="0"/>
              <w:spacing w:line="440" w:lineRule="exact"/>
              <w:rPr>
                <w:rFonts w:hint="eastAsia" w:hAnsi="宋体"/>
                <w:color w:val="auto"/>
                <w:szCs w:val="21"/>
              </w:rPr>
            </w:pPr>
            <w:r>
              <w:rPr>
                <w:rFonts w:hint="eastAsia" w:hAnsi="宋体"/>
                <w:color w:val="auto"/>
                <w:szCs w:val="21"/>
              </w:rPr>
              <w:t xml:space="preserve">   需  要□，提供</w:t>
            </w:r>
            <w:r>
              <w:rPr>
                <w:rFonts w:hint="eastAsia" w:hAnsi="宋体"/>
                <w:snapToGrid w:val="0"/>
                <w:color w:val="auto"/>
                <w:spacing w:val="-4"/>
                <w:kern w:val="0"/>
                <w:sz w:val="24"/>
                <w:u w:val="single"/>
              </w:rPr>
              <w:t xml:space="preserve">   </w:t>
            </w:r>
            <w:r>
              <w:rPr>
                <w:rFonts w:hint="eastAsia" w:hAnsi="宋体"/>
                <w:color w:val="auto"/>
                <w:szCs w:val="21"/>
              </w:rPr>
              <w:t>年至</w:t>
            </w:r>
            <w:r>
              <w:rPr>
                <w:rFonts w:hint="eastAsia" w:hAnsi="宋体"/>
                <w:snapToGrid w:val="0"/>
                <w:color w:val="auto"/>
                <w:spacing w:val="-4"/>
                <w:kern w:val="0"/>
                <w:sz w:val="24"/>
                <w:u w:val="single"/>
              </w:rPr>
              <w:t xml:space="preserve">   </w:t>
            </w:r>
            <w:r>
              <w:rPr>
                <w:rFonts w:hint="eastAsia" w:hAnsi="宋体"/>
                <w:color w:val="auto"/>
                <w:szCs w:val="21"/>
              </w:rPr>
              <w:t>年经审计的财务状况表。</w:t>
            </w:r>
          </w:p>
          <w:permEnd w:id="31"/>
          <w:p w14:paraId="2CE0F097">
            <w:pPr>
              <w:autoSpaceDE w:val="0"/>
              <w:autoSpaceDN w:val="0"/>
              <w:adjustRightInd w:val="0"/>
              <w:snapToGrid w:val="0"/>
              <w:spacing w:line="440" w:lineRule="exact"/>
              <w:jc w:val="left"/>
              <w:rPr>
                <w:rFonts w:hint="eastAsia"/>
                <w:color w:val="auto"/>
              </w:rPr>
            </w:pPr>
            <w:r>
              <w:rPr>
                <w:rFonts w:hint="eastAsia"/>
                <w:color w:val="auto"/>
                <w:lang w:val="en-US" w:eastAsia="zh-CN"/>
              </w:rPr>
              <w:t>3</w:t>
            </w:r>
            <w:r>
              <w:rPr>
                <w:rFonts w:hint="eastAsia"/>
                <w:color w:val="auto"/>
              </w:rPr>
              <w:t>、其他要求：</w:t>
            </w:r>
          </w:p>
          <w:p w14:paraId="49C4E644">
            <w:pPr>
              <w:pStyle w:val="6"/>
              <w:topLinePunct/>
              <w:spacing w:line="440" w:lineRule="exact"/>
              <w:ind w:firstLine="420" w:firstLineChars="200"/>
              <w:rPr>
                <w:rFonts w:hint="default" w:ascii="Times New Roman" w:hAnsi="Times New Roman" w:cs="Times New Roman"/>
                <w:color w:val="auto"/>
                <w:szCs w:val="21"/>
                <w:highlight w:val="none"/>
              </w:rPr>
            </w:pPr>
            <w:permStart w:id="32" w:edGrp="everyone"/>
            <w:r>
              <w:rPr>
                <w:rFonts w:hint="eastAsia" w:hAnsi="宋体"/>
                <w:color w:val="auto"/>
                <w:sz w:val="21"/>
                <w:szCs w:val="21"/>
                <w:lang w:val="en-US" w:eastAsia="zh-CN"/>
              </w:rPr>
              <w:t>/</w:t>
            </w:r>
            <w:permEnd w:id="32"/>
          </w:p>
        </w:tc>
      </w:tr>
      <w:tr w14:paraId="4B1339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EEFE87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1.4.2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CED12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是否接受联合体投标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DC330A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 w:val="21"/>
                <w:szCs w:val="21"/>
                <w:highlight w:val="none"/>
                <w:lang w:val="en-US" w:eastAsia="zh-CN"/>
              </w:rPr>
            </w:pPr>
            <w:permStart w:id="33" w:edGrp="everyone"/>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 w:val="21"/>
                <w:szCs w:val="21"/>
                <w:highlight w:val="none"/>
              </w:rPr>
              <w:t>不</w:t>
            </w:r>
            <w:r>
              <w:rPr>
                <w:rFonts w:hint="eastAsia" w:ascii="Times New Roman" w:hAnsi="Times New Roman" w:cs="Times New Roman"/>
                <w:color w:val="auto"/>
                <w:sz w:val="21"/>
                <w:szCs w:val="21"/>
                <w:highlight w:val="none"/>
                <w:lang w:val="en-US" w:eastAsia="zh-CN"/>
              </w:rPr>
              <w:t>接受</w:t>
            </w:r>
          </w:p>
          <w:p w14:paraId="669AD26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hAnsi="宋体"/>
                <w:color w:val="auto"/>
                <w:sz w:val="21"/>
                <w:szCs w:val="21"/>
                <w:lang w:val="en-US" w:eastAsia="zh-CN"/>
              </w:rPr>
            </w:pPr>
            <w:r>
              <w:rPr>
                <w:rFonts w:hint="default" w:ascii="Times New Roman" w:hAnsi="Times New Roman" w:eastAsia="仿宋_GB2312" w:cs="Times New Roman"/>
                <w:color w:val="auto"/>
                <w:sz w:val="24"/>
                <w:szCs w:val="24"/>
                <w:lang w:val="en-US" w:eastAsia="zh-CN"/>
              </w:rPr>
              <w:sym w:font="Wingdings" w:char="00A8"/>
            </w:r>
            <w:r>
              <w:rPr>
                <w:rFonts w:hint="eastAsia" w:ascii="Times New Roman" w:hAnsi="Times New Roman" w:cs="Times New Roman"/>
                <w:color w:val="auto"/>
                <w:sz w:val="21"/>
                <w:szCs w:val="21"/>
                <w:highlight w:val="none"/>
                <w:lang w:val="en-US" w:eastAsia="zh-CN"/>
              </w:rPr>
              <w:t>接受</w:t>
            </w:r>
            <w:permEnd w:id="33"/>
          </w:p>
        </w:tc>
      </w:tr>
      <w:tr w14:paraId="2675A3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456238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1.4.3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29C586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投标人不得存在的其他情形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5624D0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hAnsi="宋体"/>
                <w:color w:val="auto"/>
                <w:sz w:val="21"/>
                <w:szCs w:val="21"/>
                <w:lang w:val="en-US" w:eastAsia="zh-CN"/>
              </w:rPr>
            </w:pPr>
            <w:permStart w:id="34" w:edGrp="everyone"/>
            <w:r>
              <w:rPr>
                <w:rFonts w:hint="eastAsia" w:hAnsi="宋体"/>
                <w:color w:val="auto"/>
                <w:sz w:val="21"/>
                <w:szCs w:val="21"/>
                <w:lang w:val="en-US" w:eastAsia="zh-CN"/>
              </w:rPr>
              <w:t>/</w:t>
            </w:r>
            <w:permEnd w:id="34"/>
          </w:p>
        </w:tc>
      </w:tr>
      <w:tr w14:paraId="75AE78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7517AE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permStart w:id="35" w:edGrp="everyone" w:colFirst="2" w:colLast="2"/>
            <w:r>
              <w:rPr>
                <w:rFonts w:hint="default" w:ascii="Times New Roman" w:hAnsi="Times New Roman" w:cs="Times New Roman"/>
                <w:color w:val="auto"/>
                <w:szCs w:val="21"/>
                <w:highlight w:val="none"/>
              </w:rPr>
              <w:t>1.9.1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C35892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踏勘</w:t>
            </w:r>
            <w:r>
              <w:rPr>
                <w:rFonts w:hint="eastAsia" w:ascii="Times New Roman" w:hAnsi="Times New Roman" w:cs="Times New Roman"/>
                <w:color w:val="auto"/>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FD3F817">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 w:val="21"/>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 w:val="21"/>
                <w:szCs w:val="21"/>
                <w:highlight w:val="none"/>
              </w:rPr>
              <w:t>不组织</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自行踏勘现场</w:t>
            </w:r>
          </w:p>
          <w:p w14:paraId="3592F842">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A8"/>
            </w:r>
            <w:r>
              <w:rPr>
                <w:rFonts w:hint="default" w:ascii="Times New Roman" w:hAnsi="Times New Roman" w:cs="Times New Roman"/>
                <w:color w:val="auto"/>
                <w:sz w:val="21"/>
                <w:szCs w:val="21"/>
                <w:highlight w:val="none"/>
              </w:rPr>
              <w:t>组织</w:t>
            </w:r>
          </w:p>
        </w:tc>
      </w:tr>
      <w:permEnd w:id="35"/>
      <w:tr w14:paraId="689B85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312FA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permStart w:id="36" w:edGrp="everyone" w:colFirst="2" w:colLast="2"/>
            <w:r>
              <w:rPr>
                <w:rFonts w:hint="default" w:ascii="Times New Roman" w:hAnsi="Times New Roman" w:cs="Times New Roman"/>
                <w:color w:val="auto"/>
                <w:szCs w:val="21"/>
                <w:highlight w:val="none"/>
              </w:rPr>
              <w:t>1.10.1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B33FE5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投标预备会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D9777AE">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 w:val="21"/>
                <w:szCs w:val="21"/>
                <w:highlight w:val="none"/>
              </w:rPr>
            </w:pPr>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 w:val="21"/>
                <w:szCs w:val="21"/>
                <w:highlight w:val="none"/>
              </w:rPr>
              <w:t>不召开</w:t>
            </w:r>
          </w:p>
          <w:p w14:paraId="67ECDFA6">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 w:val="32"/>
                <w:szCs w:val="32"/>
                <w:highlight w:val="none"/>
              </w:rPr>
            </w:pPr>
            <w:r>
              <w:rPr>
                <w:rFonts w:hint="default" w:ascii="Times New Roman" w:hAnsi="Times New Roman" w:eastAsia="仿宋_GB2312" w:cs="Times New Roman"/>
                <w:color w:val="auto"/>
                <w:sz w:val="24"/>
                <w:szCs w:val="24"/>
                <w:lang w:val="en-US" w:eastAsia="zh-CN"/>
              </w:rPr>
              <w:sym w:font="Wingdings" w:char="00A8"/>
            </w:r>
            <w:r>
              <w:rPr>
                <w:rFonts w:hint="default" w:ascii="Times New Roman" w:hAnsi="Times New Roman" w:cs="Times New Roman"/>
                <w:color w:val="auto"/>
                <w:sz w:val="21"/>
                <w:szCs w:val="21"/>
                <w:highlight w:val="none"/>
              </w:rPr>
              <w:t>召开</w:t>
            </w:r>
          </w:p>
        </w:tc>
      </w:tr>
      <w:permEnd w:id="36"/>
      <w:tr w14:paraId="142E75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2F494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93A186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FFECB6">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不适用</w:t>
            </w:r>
          </w:p>
        </w:tc>
      </w:tr>
      <w:tr w14:paraId="6E91AF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943833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A1435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BB8D84E">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不适用</w:t>
            </w:r>
          </w:p>
        </w:tc>
      </w:tr>
      <w:tr w14:paraId="7CED74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A995F5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1</w:t>
            </w:r>
            <w:r>
              <w:rPr>
                <w:rFonts w:hint="eastAsia" w:ascii="Times New Roman" w:hAnsi="Times New Roman" w:cs="Times New Roman"/>
                <w:color w:val="auto"/>
                <w:szCs w:val="21"/>
                <w:highlight w:val="none"/>
                <w:lang w:val="en-US" w:eastAsia="zh-CN"/>
              </w:rPr>
              <w:t>.11.1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25598D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BC2F98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sz w:val="21"/>
                <w:szCs w:val="21"/>
                <w:highlight w:val="none"/>
                <w:lang w:val="en-US" w:eastAsia="zh-CN"/>
              </w:rPr>
            </w:pPr>
            <w:permStart w:id="37" w:edGrp="everyone"/>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 w:val="21"/>
                <w:szCs w:val="21"/>
                <w:highlight w:val="none"/>
              </w:rPr>
              <w:t>不</w:t>
            </w:r>
            <w:r>
              <w:rPr>
                <w:rFonts w:hint="eastAsia" w:ascii="Times New Roman" w:hAnsi="Times New Roman" w:cs="Times New Roman"/>
                <w:color w:val="auto"/>
                <w:sz w:val="21"/>
                <w:szCs w:val="21"/>
                <w:highlight w:val="none"/>
                <w:lang w:val="en-US" w:eastAsia="zh-CN"/>
              </w:rPr>
              <w:t>允许</w:t>
            </w:r>
          </w:p>
          <w:p w14:paraId="63ADE4B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 w:val="21"/>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A8"/>
            </w:r>
            <w:r>
              <w:rPr>
                <w:rFonts w:hint="eastAsia" w:ascii="Times New Roman" w:hAnsi="Times New Roman" w:cs="Times New Roman"/>
                <w:color w:val="auto"/>
                <w:sz w:val="21"/>
                <w:szCs w:val="21"/>
                <w:highlight w:val="none"/>
                <w:lang w:val="en-US" w:eastAsia="zh-CN"/>
              </w:rPr>
              <w:t>允许</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分包内容要求：</w:t>
            </w:r>
          </w:p>
          <w:p w14:paraId="51209CE3">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分包金额要求：</w:t>
            </w:r>
          </w:p>
          <w:p w14:paraId="23A98C40">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eastAsiaTheme="minorEastAsia"/>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对分包人的资质要求：</w:t>
            </w:r>
            <w:permEnd w:id="37"/>
          </w:p>
        </w:tc>
      </w:tr>
      <w:tr w14:paraId="0A5113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AD5F57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1.12.1</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5C1E1D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实质性要求和条件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2BB951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kern w:val="2"/>
                <w:sz w:val="21"/>
                <w:szCs w:val="21"/>
                <w:highlight w:val="none"/>
                <w:lang w:val="en-US" w:eastAsia="zh-CN" w:bidi="ar-SA"/>
              </w:rPr>
            </w:pPr>
            <w:permStart w:id="38" w:edGrp="everyone"/>
            <w:r>
              <w:rPr>
                <w:rFonts w:hint="eastAsia" w:hAnsi="宋体"/>
                <w:color w:val="auto"/>
                <w:sz w:val="21"/>
                <w:szCs w:val="21"/>
                <w:lang w:val="en-US" w:eastAsia="zh-CN"/>
              </w:rPr>
              <w:t>详见第一章招标公告、第四章合同条款及格式、第五章发包人要求。</w:t>
            </w:r>
            <w:r>
              <w:rPr>
                <w:rFonts w:hint="eastAsia" w:ascii="Times New Roman" w:hAnsi="Times New Roman" w:cs="Times New Roman"/>
                <w:color w:val="auto"/>
                <w:sz w:val="21"/>
                <w:szCs w:val="21"/>
                <w:highlight w:val="none"/>
                <w:lang w:val="en-US" w:eastAsia="zh-CN"/>
              </w:rPr>
              <w:t xml:space="preserve"> </w:t>
            </w:r>
            <w:permEnd w:id="38"/>
          </w:p>
        </w:tc>
      </w:tr>
      <w:tr w14:paraId="4F7188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D5849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1AFD1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构成招标文件的其他材料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678DB9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招标人发出的澄清、修改及补充文件等。</w:t>
            </w:r>
          </w:p>
        </w:tc>
      </w:tr>
      <w:tr w14:paraId="636B2A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5" w:hRule="atLeast"/>
        </w:trPr>
        <w:tc>
          <w:tcPr>
            <w:tcW w:w="1008" w:type="dxa"/>
            <w:vMerge w:val="restart"/>
            <w:tcBorders>
              <w:top w:val="single" w:color="auto" w:sz="4" w:space="0"/>
              <w:left w:val="single" w:color="auto" w:sz="4" w:space="0"/>
              <w:right w:val="single" w:color="auto" w:sz="4" w:space="0"/>
            </w:tcBorders>
            <w:noWrap w:val="0"/>
            <w:vAlign w:val="center"/>
          </w:tcPr>
          <w:p w14:paraId="4910192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2.2.1</w:t>
            </w:r>
          </w:p>
        </w:tc>
        <w:tc>
          <w:tcPr>
            <w:tcW w:w="2753" w:type="dxa"/>
            <w:vMerge w:val="restart"/>
            <w:tcBorders>
              <w:top w:val="single" w:color="auto" w:sz="4" w:space="0"/>
              <w:left w:val="single" w:color="auto" w:sz="4" w:space="0"/>
              <w:right w:val="single" w:color="auto" w:sz="4" w:space="0"/>
            </w:tcBorders>
            <w:noWrap w:val="0"/>
            <w:vAlign w:val="center"/>
          </w:tcPr>
          <w:p w14:paraId="2E77ECB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投标人要求澄清招标文件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62B76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single"/>
                <w:lang w:val="en-US" w:eastAsia="zh-CN"/>
              </w:rPr>
              <w:t>2025</w:t>
            </w:r>
            <w:r>
              <w:rPr>
                <w:rFonts w:hint="eastAsia" w:ascii="Times New Roman" w:hAnsi="Times New Roman" w:cs="Times New Roman"/>
                <w:color w:val="auto"/>
                <w:szCs w:val="21"/>
                <w:highlight w:val="none"/>
                <w:u w:val="none"/>
                <w:lang w:val="en-US" w:eastAsia="zh-CN"/>
              </w:rPr>
              <w:t>年</w:t>
            </w:r>
            <w:r>
              <w:rPr>
                <w:rFonts w:hint="eastAsia" w:ascii="Times New Roman" w:hAnsi="Times New Roman" w:cs="Times New Roman"/>
                <w:color w:val="auto"/>
                <w:szCs w:val="21"/>
                <w:highlight w:val="none"/>
                <w:u w:val="single"/>
                <w:lang w:val="en-US" w:eastAsia="zh-CN"/>
              </w:rPr>
              <w:t>1</w:t>
            </w:r>
            <w:r>
              <w:rPr>
                <w:rFonts w:hint="eastAsia" w:ascii="Times New Roman" w:hAnsi="Times New Roman" w:cs="Times New Roman"/>
                <w:color w:val="auto"/>
                <w:szCs w:val="21"/>
                <w:highlight w:val="none"/>
                <w:u w:val="none"/>
                <w:lang w:val="en-US" w:eastAsia="zh-CN"/>
              </w:rPr>
              <w:t>月</w:t>
            </w:r>
            <w:r>
              <w:rPr>
                <w:rFonts w:hint="eastAsia" w:ascii="Times New Roman" w:hAnsi="Times New Roman" w:cs="Times New Roman"/>
                <w:color w:val="auto"/>
                <w:szCs w:val="21"/>
                <w:highlight w:val="none"/>
                <w:u w:val="single"/>
                <w:lang w:val="en-US" w:eastAsia="zh-CN"/>
              </w:rPr>
              <w:t>22</w:t>
            </w:r>
            <w:r>
              <w:rPr>
                <w:rFonts w:hint="eastAsia" w:ascii="Times New Roman" w:hAnsi="Times New Roman" w:cs="Times New Roman"/>
                <w:color w:val="auto"/>
                <w:szCs w:val="21"/>
                <w:highlight w:val="none"/>
                <w:u w:val="none"/>
                <w:lang w:val="en-US" w:eastAsia="zh-CN"/>
              </w:rPr>
              <w:t>日前，投标人应仔细阅读和检查招标文件的全部内容。如发现缺页或附件不全，应及时向招标人提出，以便补齐。</w:t>
            </w:r>
          </w:p>
        </w:tc>
      </w:tr>
      <w:tr w14:paraId="216DFC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14:paraId="3836EEC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color w:val="auto"/>
              </w:rPr>
            </w:pPr>
          </w:p>
        </w:tc>
        <w:tc>
          <w:tcPr>
            <w:tcW w:w="2753" w:type="dxa"/>
            <w:vMerge w:val="continue"/>
            <w:tcBorders>
              <w:left w:val="single" w:color="auto" w:sz="4" w:space="0"/>
              <w:bottom w:val="single" w:color="auto" w:sz="4" w:space="0"/>
              <w:right w:val="single" w:color="auto" w:sz="4" w:space="0"/>
            </w:tcBorders>
            <w:noWrap w:val="0"/>
            <w:vAlign w:val="center"/>
          </w:tcPr>
          <w:p w14:paraId="280CF10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color w:val="auto"/>
              </w:rPr>
            </w:pP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366C5C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14:paraId="4DC4AC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9DC9BC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49B36A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招标文件澄清发出的形式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ADDA20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default" w:ascii="Times New Roman" w:hAnsi="Times New Roman" w:cs="Times New Roman"/>
                <w:color w:val="auto"/>
                <w:szCs w:val="21"/>
                <w:highlight w:val="none"/>
                <w:u w:val="none"/>
                <w:lang w:val="en-US" w:eastAsia="zh-CN"/>
              </w:rPr>
              <w:t>投标截止时间前，招标文件的澄清将在</w:t>
            </w:r>
            <w:r>
              <w:rPr>
                <w:rFonts w:hint="eastAsia" w:ascii="Times New Roman" w:hAnsi="Times New Roman" w:cs="Times New Roman"/>
                <w:color w:val="auto"/>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color w:val="auto"/>
                <w:szCs w:val="21"/>
                <w:highlight w:val="none"/>
                <w:u w:val="none"/>
                <w:lang w:val="en-US" w:eastAsia="zh-CN"/>
              </w:rPr>
              <w:t>上进行发布。</w:t>
            </w:r>
          </w:p>
        </w:tc>
      </w:tr>
      <w:tr w14:paraId="76AC7F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14:paraId="0F3F225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2.2.3</w:t>
            </w:r>
          </w:p>
        </w:tc>
        <w:tc>
          <w:tcPr>
            <w:tcW w:w="2753" w:type="dxa"/>
            <w:vMerge w:val="restart"/>
            <w:tcBorders>
              <w:top w:val="single" w:color="auto" w:sz="4" w:space="0"/>
              <w:left w:val="single" w:color="auto" w:sz="4" w:space="0"/>
              <w:right w:val="single" w:color="auto" w:sz="4" w:space="0"/>
            </w:tcBorders>
            <w:noWrap w:val="0"/>
            <w:vAlign w:val="center"/>
          </w:tcPr>
          <w:p w14:paraId="222B0AD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投标人确认收到招标文件澄清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CC2C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时间：</w:t>
            </w:r>
            <w:r>
              <w:rPr>
                <w:rFonts w:hint="default" w:ascii="Times New Roman" w:hAnsi="Times New Roman" w:cs="Times New Roman"/>
                <w:color w:val="auto"/>
                <w:szCs w:val="21"/>
                <w:highlight w:val="none"/>
                <w:u w:val="none"/>
                <w:lang w:val="en-US" w:eastAsia="zh-CN"/>
              </w:rPr>
              <w:t>招标文件的澄清在</w:t>
            </w:r>
            <w:r>
              <w:rPr>
                <w:rFonts w:hint="eastAsia" w:ascii="Times New Roman" w:hAnsi="Times New Roman" w:cs="Times New Roman"/>
                <w:color w:val="auto"/>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color w:val="auto"/>
                <w:szCs w:val="21"/>
                <w:highlight w:val="none"/>
                <w:u w:val="none"/>
                <w:lang w:val="en-US" w:eastAsia="zh-CN"/>
              </w:rPr>
              <w:t>上的发布时间，视为投标人确认收到招标文件澄清的时间。</w:t>
            </w:r>
          </w:p>
        </w:tc>
      </w:tr>
      <w:tr w14:paraId="6FD89E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14:paraId="50998D0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color w:val="auto"/>
              </w:rPr>
            </w:pPr>
          </w:p>
        </w:tc>
        <w:tc>
          <w:tcPr>
            <w:tcW w:w="2753" w:type="dxa"/>
            <w:vMerge w:val="continue"/>
            <w:tcBorders>
              <w:left w:val="single" w:color="auto" w:sz="4" w:space="0"/>
              <w:bottom w:val="single" w:color="auto" w:sz="4" w:space="0"/>
              <w:right w:val="single" w:color="auto" w:sz="4" w:space="0"/>
            </w:tcBorders>
            <w:noWrap w:val="0"/>
            <w:vAlign w:val="center"/>
          </w:tcPr>
          <w:p w14:paraId="14BCE32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color w:val="auto"/>
              </w:rPr>
            </w:pP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A5938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形式：</w:t>
            </w:r>
            <w:r>
              <w:rPr>
                <w:rFonts w:hint="default" w:ascii="Times New Roman" w:hAnsi="Times New Roman" w:cs="Times New Roman"/>
                <w:color w:val="auto"/>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color w:val="auto"/>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color w:val="auto"/>
                <w:szCs w:val="21"/>
                <w:highlight w:val="none"/>
                <w:u w:val="none"/>
                <w:lang w:val="en-US" w:eastAsia="zh-CN"/>
              </w:rPr>
              <w:t>，请及时与招标人联系。否则，造成的一切后果由投标人自行承担。</w:t>
            </w:r>
          </w:p>
        </w:tc>
      </w:tr>
      <w:tr w14:paraId="66C864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18D684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C16C1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招标文件修改发出的形式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1E9D36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default" w:ascii="Times New Roman" w:hAnsi="Times New Roman" w:cs="Times New Roman"/>
                <w:color w:val="auto"/>
                <w:szCs w:val="21"/>
                <w:highlight w:val="none"/>
                <w:u w:val="none"/>
                <w:lang w:val="en-US" w:eastAsia="zh-CN"/>
              </w:rPr>
              <w:t>投标截止时间前，招标文件的</w:t>
            </w:r>
            <w:r>
              <w:rPr>
                <w:rFonts w:hint="eastAsia" w:ascii="Times New Roman" w:hAnsi="Times New Roman" w:cs="Times New Roman"/>
                <w:color w:val="auto"/>
                <w:szCs w:val="21"/>
                <w:highlight w:val="none"/>
                <w:u w:val="none"/>
                <w:lang w:val="en-US" w:eastAsia="zh-CN"/>
              </w:rPr>
              <w:t>修改</w:t>
            </w:r>
            <w:r>
              <w:rPr>
                <w:rFonts w:hint="default" w:ascii="Times New Roman" w:hAnsi="Times New Roman" w:cs="Times New Roman"/>
                <w:color w:val="auto"/>
                <w:szCs w:val="21"/>
                <w:highlight w:val="none"/>
                <w:u w:val="none"/>
                <w:lang w:val="en-US" w:eastAsia="zh-CN"/>
              </w:rPr>
              <w:t>将在</w:t>
            </w:r>
            <w:r>
              <w:rPr>
                <w:rFonts w:hint="eastAsia" w:ascii="Times New Roman" w:hAnsi="Times New Roman" w:cs="Times New Roman"/>
                <w:color w:val="auto"/>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color w:val="auto"/>
                <w:szCs w:val="21"/>
                <w:highlight w:val="none"/>
                <w:u w:val="none"/>
                <w:lang w:val="en-US" w:eastAsia="zh-CN"/>
              </w:rPr>
              <w:t>上进行发布。</w:t>
            </w:r>
          </w:p>
        </w:tc>
      </w:tr>
      <w:tr w14:paraId="7AA6F1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14:paraId="3431889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2.3.2</w:t>
            </w:r>
          </w:p>
        </w:tc>
        <w:tc>
          <w:tcPr>
            <w:tcW w:w="2753" w:type="dxa"/>
            <w:vMerge w:val="restart"/>
            <w:tcBorders>
              <w:top w:val="single" w:color="auto" w:sz="4" w:space="0"/>
              <w:left w:val="single" w:color="auto" w:sz="4" w:space="0"/>
              <w:right w:val="single" w:color="auto" w:sz="4" w:space="0"/>
            </w:tcBorders>
            <w:noWrap w:val="0"/>
            <w:vAlign w:val="center"/>
          </w:tcPr>
          <w:p w14:paraId="0C876B0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招标人确认收到招标文件修改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F3D91E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时间：</w:t>
            </w:r>
            <w:r>
              <w:rPr>
                <w:rFonts w:hint="default" w:ascii="Times New Roman" w:hAnsi="Times New Roman" w:cs="Times New Roman"/>
                <w:color w:val="auto"/>
                <w:szCs w:val="21"/>
                <w:highlight w:val="none"/>
                <w:u w:val="none"/>
                <w:lang w:val="en-US" w:eastAsia="zh-CN"/>
              </w:rPr>
              <w:t>招标文件的</w:t>
            </w:r>
            <w:r>
              <w:rPr>
                <w:rFonts w:hint="eastAsia" w:ascii="Times New Roman" w:hAnsi="Times New Roman" w:cs="Times New Roman"/>
                <w:color w:val="auto"/>
                <w:szCs w:val="21"/>
                <w:highlight w:val="none"/>
                <w:u w:val="none"/>
                <w:lang w:val="en-US" w:eastAsia="zh-CN"/>
              </w:rPr>
              <w:t>修改</w:t>
            </w:r>
            <w:r>
              <w:rPr>
                <w:rFonts w:hint="default" w:ascii="Times New Roman" w:hAnsi="Times New Roman" w:cs="Times New Roman"/>
                <w:color w:val="auto"/>
                <w:szCs w:val="21"/>
                <w:highlight w:val="none"/>
                <w:u w:val="none"/>
                <w:lang w:val="en-US" w:eastAsia="zh-CN"/>
              </w:rPr>
              <w:t>在</w:t>
            </w:r>
            <w:r>
              <w:rPr>
                <w:rFonts w:hint="eastAsia" w:ascii="Times New Roman" w:hAnsi="Times New Roman" w:cs="Times New Roman"/>
                <w:color w:val="auto"/>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color w:val="auto"/>
                <w:szCs w:val="21"/>
                <w:highlight w:val="none"/>
                <w:u w:val="none"/>
                <w:lang w:val="en-US" w:eastAsia="zh-CN"/>
              </w:rPr>
              <w:t>上的发布时间，视为投标人确认收到招标文件</w:t>
            </w:r>
            <w:r>
              <w:rPr>
                <w:rFonts w:hint="eastAsia" w:ascii="Times New Roman" w:hAnsi="Times New Roman" w:cs="Times New Roman"/>
                <w:color w:val="auto"/>
                <w:szCs w:val="21"/>
                <w:highlight w:val="none"/>
                <w:u w:val="none"/>
                <w:lang w:val="en-US" w:eastAsia="zh-CN"/>
              </w:rPr>
              <w:t>修改</w:t>
            </w:r>
            <w:r>
              <w:rPr>
                <w:rFonts w:hint="default" w:ascii="Times New Roman" w:hAnsi="Times New Roman" w:cs="Times New Roman"/>
                <w:color w:val="auto"/>
                <w:szCs w:val="21"/>
                <w:highlight w:val="none"/>
                <w:u w:val="none"/>
                <w:lang w:val="en-US" w:eastAsia="zh-CN"/>
              </w:rPr>
              <w:t>的时间。</w:t>
            </w:r>
          </w:p>
        </w:tc>
      </w:tr>
      <w:tr w14:paraId="3EAB1D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14:paraId="36305F8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color w:val="auto"/>
              </w:rPr>
            </w:pPr>
          </w:p>
        </w:tc>
        <w:tc>
          <w:tcPr>
            <w:tcW w:w="2753" w:type="dxa"/>
            <w:vMerge w:val="continue"/>
            <w:tcBorders>
              <w:left w:val="single" w:color="auto" w:sz="4" w:space="0"/>
              <w:bottom w:val="single" w:color="auto" w:sz="4" w:space="0"/>
              <w:right w:val="single" w:color="auto" w:sz="4" w:space="0"/>
            </w:tcBorders>
            <w:noWrap w:val="0"/>
            <w:vAlign w:val="center"/>
          </w:tcPr>
          <w:p w14:paraId="1A4EFD3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color w:val="auto"/>
              </w:rPr>
            </w:pP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8A490A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形式：</w:t>
            </w:r>
            <w:r>
              <w:rPr>
                <w:rFonts w:hint="default" w:ascii="Times New Roman" w:hAnsi="Times New Roman" w:cs="Times New Roman"/>
                <w:color w:val="auto"/>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color w:val="auto"/>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color w:val="auto"/>
                <w:szCs w:val="21"/>
                <w:highlight w:val="none"/>
                <w:u w:val="none"/>
                <w:lang w:val="en-US" w:eastAsia="zh-CN"/>
              </w:rPr>
              <w:t>，请及时与招标人联系。否则，造成的一切后果由投标人自行承担。</w:t>
            </w:r>
          </w:p>
        </w:tc>
      </w:tr>
      <w:tr w14:paraId="700BCB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F16E94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F894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构成投标文件的其他材料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BB18D1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投标人的书面澄清、说明和补正（但不得改变投标文件的实质性内容）。</w:t>
            </w:r>
          </w:p>
        </w:tc>
      </w:tr>
      <w:tr w14:paraId="3DFB5E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AC283D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3.2.1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D82CE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2B0DD3A">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none"/>
                <w:lang w:val="en-US" w:eastAsia="zh-CN"/>
              </w:rPr>
              <w:t>投标报价应包括国家规定的增值税税金，增值税税金按一般计税方法计算。</w:t>
            </w:r>
          </w:p>
        </w:tc>
      </w:tr>
      <w:tr w14:paraId="0F6086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F9454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09DD5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最高投标限价或其计算方法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312C3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详见第一章招标公告。</w:t>
            </w:r>
          </w:p>
        </w:tc>
      </w:tr>
      <w:tr w14:paraId="16EC7B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CE84FC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3.2.3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5FDA76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投标报价的其他要求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BCBA99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2"/>
                <w:sz w:val="21"/>
                <w:szCs w:val="21"/>
                <w:highlight w:val="none"/>
                <w:u w:val="single"/>
                <w:lang w:val="en-US" w:eastAsia="zh-CN" w:bidi="ar-SA"/>
              </w:rPr>
            </w:pPr>
            <w:permStart w:id="39" w:edGrp="everyone"/>
            <w:r>
              <w:rPr>
                <w:rFonts w:hint="eastAsia" w:ascii="Times New Roman" w:hAnsi="Times New Roman" w:cs="Times New Roman"/>
                <w:color w:val="auto"/>
                <w:szCs w:val="21"/>
                <w:highlight w:val="none"/>
                <w:u w:val="none"/>
                <w:lang w:val="en-US" w:eastAsia="zh-CN"/>
              </w:rPr>
              <w:t>详见第一章招标公告。</w:t>
            </w:r>
            <w:r>
              <w:rPr>
                <w:rFonts w:hint="eastAsia" w:ascii="Times New Roman" w:hAnsi="Times New Roman" w:cs="Times New Roman"/>
                <w:color w:val="auto"/>
                <w:kern w:val="2"/>
                <w:sz w:val="21"/>
                <w:szCs w:val="21"/>
                <w:highlight w:val="none"/>
                <w:u w:val="single"/>
                <w:lang w:val="en-US" w:eastAsia="zh-CN" w:bidi="ar-SA"/>
              </w:rPr>
              <w:t xml:space="preserve"> </w:t>
            </w:r>
            <w:permEnd w:id="39"/>
          </w:p>
        </w:tc>
      </w:tr>
      <w:tr w14:paraId="2856A0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02E26D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368CC8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07144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cs="Times New Roman"/>
                <w:color w:val="auto"/>
                <w:szCs w:val="21"/>
                <w:highlight w:val="none"/>
              </w:rPr>
              <w:t>投标截止之日起</w:t>
            </w:r>
            <w:r>
              <w:rPr>
                <w:rFonts w:hint="eastAsia" w:ascii="Times New Roman" w:hAnsi="Times New Roman" w:cs="Times New Roman"/>
                <w:color w:val="auto"/>
                <w:szCs w:val="21"/>
                <w:highlight w:val="none"/>
                <w:u w:val="single"/>
                <w:lang w:val="en-US" w:eastAsia="zh-CN"/>
              </w:rPr>
              <w:t>120</w:t>
            </w:r>
            <w:r>
              <w:rPr>
                <w:rFonts w:hint="default" w:ascii="Times New Roman" w:hAnsi="Times New Roman" w:cs="Times New Roman"/>
                <w:color w:val="auto"/>
                <w:szCs w:val="21"/>
                <w:highlight w:val="none"/>
              </w:rPr>
              <w:t>天</w:t>
            </w:r>
          </w:p>
        </w:tc>
      </w:tr>
      <w:tr w14:paraId="225102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45E7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3.4.1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EE35B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288F7C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是否要求</w:t>
            </w:r>
            <w:r>
              <w:rPr>
                <w:rFonts w:hint="default" w:ascii="Times New Roman" w:hAnsi="Times New Roman" w:cs="Times New Roman"/>
                <w:color w:val="auto"/>
                <w:szCs w:val="21"/>
                <w:highlight w:val="none"/>
              </w:rPr>
              <w:t>递交投标保证金</w:t>
            </w:r>
          </w:p>
          <w:p w14:paraId="6301D5E7">
            <w:pPr>
              <w:autoSpaceDE w:val="0"/>
              <w:autoSpaceDN w:val="0"/>
              <w:adjustRightInd w:val="0"/>
              <w:snapToGrid w:val="0"/>
              <w:spacing w:line="440" w:lineRule="exact"/>
              <w:jc w:val="left"/>
              <w:rPr>
                <w:rFonts w:hint="eastAsia" w:hAnsi="宋体"/>
                <w:color w:val="auto"/>
                <w:szCs w:val="21"/>
              </w:rPr>
            </w:pPr>
            <w:permStart w:id="40" w:edGrp="everyone"/>
            <w:r>
              <w:rPr>
                <w:rFonts w:hint="eastAsia" w:hAnsi="宋体"/>
                <w:color w:val="auto"/>
                <w:szCs w:val="21"/>
              </w:rPr>
              <w:t>不需要</w:t>
            </w:r>
            <w:r>
              <w:rPr>
                <w:rFonts w:hint="eastAsia" w:hAnsi="宋体"/>
                <w:color w:val="auto"/>
                <w:szCs w:val="21"/>
              </w:rPr>
              <w:sym w:font="Wingdings 2" w:char="00A3"/>
            </w:r>
          </w:p>
          <w:p w14:paraId="7B9FDFB5">
            <w:pPr>
              <w:autoSpaceDE w:val="0"/>
              <w:autoSpaceDN w:val="0"/>
              <w:adjustRightInd w:val="0"/>
              <w:snapToGrid w:val="0"/>
              <w:spacing w:line="440" w:lineRule="exact"/>
              <w:jc w:val="left"/>
              <w:rPr>
                <w:rFonts w:hint="eastAsia" w:ascii="Times New Roman" w:hAnsi="Times New Roman" w:cs="Times New Roman" w:eastAsiaTheme="minorEastAsia"/>
                <w:color w:val="auto"/>
                <w:szCs w:val="21"/>
                <w:highlight w:val="none"/>
                <w:lang w:eastAsia="zh-CN"/>
              </w:rPr>
            </w:pPr>
            <w:r>
              <w:rPr>
                <w:rFonts w:hint="eastAsia" w:hAnsi="宋体"/>
                <w:color w:val="auto"/>
                <w:szCs w:val="21"/>
              </w:rPr>
              <w:t xml:space="preserve">需 </w:t>
            </w:r>
            <w:r>
              <w:rPr>
                <w:rFonts w:hint="eastAsia" w:hAnsi="宋体"/>
                <w:color w:val="auto"/>
                <w:szCs w:val="21"/>
                <w:lang w:val="en-US" w:eastAsia="zh-CN"/>
              </w:rPr>
              <w:t xml:space="preserve"> </w:t>
            </w:r>
            <w:r>
              <w:rPr>
                <w:rFonts w:hint="eastAsia" w:hAnsi="宋体"/>
                <w:color w:val="auto"/>
                <w:szCs w:val="21"/>
              </w:rPr>
              <w:t>要</w:t>
            </w:r>
            <w:r>
              <w:rPr>
                <w:rFonts w:hint="eastAsia" w:hAnsi="宋体"/>
                <w:color w:val="auto"/>
                <w:szCs w:val="21"/>
                <w:lang w:eastAsia="zh-CN"/>
              </w:rPr>
              <w:t>☑</w:t>
            </w:r>
          </w:p>
          <w:permEnd w:id="40"/>
          <w:p w14:paraId="64BDB03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投标保证金的形式：</w:t>
            </w:r>
            <w:permStart w:id="41" w:edGrp="everyone"/>
            <w:r>
              <w:rPr>
                <w:rFonts w:hint="default" w:ascii="Times New Roman" w:hAnsi="Times New Roman" w:cs="Times New Roman"/>
                <w:color w:val="auto"/>
                <w:szCs w:val="21"/>
                <w:highlight w:val="none"/>
              </w:rPr>
              <w:t>银行汇款或转账</w:t>
            </w:r>
            <w:permEnd w:id="41"/>
          </w:p>
          <w:p w14:paraId="469381DE">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投标保证金的金额：</w:t>
            </w:r>
            <w:permStart w:id="42" w:edGrp="everyone"/>
            <w:r>
              <w:rPr>
                <w:rFonts w:hint="eastAsia" w:ascii="Times New Roman" w:hAnsi="Times New Roman" w:cs="Times New Roman"/>
                <w:color w:val="auto"/>
                <w:szCs w:val="21"/>
                <w:highlight w:val="none"/>
                <w:u w:val="single"/>
                <w:lang w:val="en-US" w:eastAsia="zh-CN"/>
              </w:rPr>
              <w:t>8000元</w:t>
            </w:r>
            <w:permEnd w:id="42"/>
          </w:p>
          <w:p w14:paraId="2B25487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收取投标保证金的账号信息：</w:t>
            </w:r>
          </w:p>
          <w:p w14:paraId="1534FE3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开户名称：亳州交通投资控股集团有限公司</w:t>
            </w:r>
          </w:p>
          <w:p w14:paraId="1E2FA52D">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开户银行：中国农业银行亳州分行营业部</w:t>
            </w:r>
          </w:p>
          <w:p w14:paraId="193F5D1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银行账号：12670801040009482</w:t>
            </w:r>
          </w:p>
          <w:p w14:paraId="09A41C7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其他要求：</w:t>
            </w:r>
          </w:p>
          <w:p w14:paraId="4173070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color w:val="auto"/>
                <w:szCs w:val="21"/>
                <w:highlight w:val="none"/>
                <w:lang w:eastAsia="zh-CN"/>
              </w:rPr>
              <w:t>“</w:t>
            </w:r>
            <w:permStart w:id="43" w:edGrp="everyone"/>
            <w:r>
              <w:rPr>
                <w:rFonts w:hint="eastAsia" w:ascii="Times New Roman" w:hAnsi="Times New Roman" w:cs="Times New Roman"/>
                <w:color w:val="auto"/>
                <w:szCs w:val="21"/>
                <w:highlight w:val="none"/>
                <w:lang w:val="en-US" w:eastAsia="zh-CN"/>
              </w:rPr>
              <w:t>BZJK-2025-003号保证金</w:t>
            </w:r>
            <w:permEnd w:id="43"/>
            <w:r>
              <w:rPr>
                <w:rFonts w:hint="eastAsia" w:ascii="Times New Roman" w:hAnsi="Times New Roman" w:cs="Times New Roman"/>
                <w:color w:val="auto"/>
                <w:szCs w:val="21"/>
                <w:highlight w:val="none"/>
                <w:lang w:val="en-US" w:eastAsia="zh-CN"/>
              </w:rPr>
              <w:t>”</w:t>
            </w:r>
            <w:r>
              <w:rPr>
                <w:rFonts w:hint="default" w:ascii="Times New Roman" w:hAnsi="Times New Roman" w:cs="Times New Roman"/>
                <w:color w:val="auto"/>
                <w:szCs w:val="21"/>
                <w:highlight w:val="none"/>
              </w:rPr>
              <w:t>，否则</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责任自负。</w:t>
            </w:r>
          </w:p>
          <w:p w14:paraId="0F81CC2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投标保证金以到账时间为准，未按时汇入或非投标人基本账户汇出或收款银行账号错误无法判定保证金对应关系的，保证金无效；现金存入或以其他方式存入（转入）的视为无效。</w:t>
            </w:r>
          </w:p>
          <w:p w14:paraId="608D5A6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投标保证金</w:t>
            </w:r>
            <w:r>
              <w:rPr>
                <w:rFonts w:hint="eastAsia" w:ascii="Times New Roman" w:hAnsi="Times New Roman" w:cs="Times New Roman"/>
                <w:b/>
                <w:bCs/>
                <w:color w:val="auto"/>
                <w:szCs w:val="21"/>
                <w:highlight w:val="none"/>
                <w:lang w:val="en-US" w:eastAsia="zh-CN"/>
              </w:rPr>
              <w:t>的</w:t>
            </w:r>
            <w:r>
              <w:rPr>
                <w:rFonts w:hint="default" w:ascii="Times New Roman" w:hAnsi="Times New Roman" w:cs="Times New Roman"/>
                <w:b/>
                <w:bCs/>
                <w:color w:val="auto"/>
                <w:szCs w:val="21"/>
                <w:highlight w:val="none"/>
              </w:rPr>
              <w:t>退还（本金无息）：</w:t>
            </w:r>
          </w:p>
          <w:p w14:paraId="177F4226">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（1）招标不成功（或开标现场拒收投标文件）的，5日内直接退还至该投标人汇出</w:t>
            </w:r>
            <w:r>
              <w:rPr>
                <w:rFonts w:hint="eastAsia" w:ascii="Times New Roman" w:hAnsi="Times New Roman" w:cs="Times New Roman"/>
                <w:color w:val="auto"/>
                <w:szCs w:val="21"/>
                <w:highlight w:val="none"/>
                <w:lang w:val="en-US" w:eastAsia="zh-CN"/>
              </w:rPr>
              <w:t>账</w:t>
            </w:r>
            <w:r>
              <w:rPr>
                <w:rFonts w:hint="default" w:ascii="Times New Roman" w:hAnsi="Times New Roman" w:cs="Times New Roman"/>
                <w:color w:val="auto"/>
                <w:szCs w:val="21"/>
                <w:highlight w:val="none"/>
              </w:rPr>
              <w:t>户。</w:t>
            </w:r>
          </w:p>
          <w:p w14:paraId="416FCE6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cs="Times New Roman"/>
                <w:color w:val="auto"/>
                <w:szCs w:val="21"/>
                <w:highlight w:val="none"/>
              </w:rPr>
              <w:t>（2）中标</w:t>
            </w:r>
            <w:r>
              <w:rPr>
                <w:rFonts w:hint="eastAsia" w:ascii="Times New Roman" w:hAnsi="Times New Roman" w:cs="Times New Roman"/>
                <w:color w:val="auto"/>
                <w:szCs w:val="21"/>
                <w:highlight w:val="none"/>
                <w:lang w:val="en-US" w:eastAsia="zh-CN"/>
              </w:rPr>
              <w:t>候</w:t>
            </w:r>
            <w:r>
              <w:rPr>
                <w:rFonts w:hint="default" w:ascii="Times New Roman" w:hAnsi="Times New Roman" w:cs="Times New Roman"/>
                <w:color w:val="auto"/>
                <w:szCs w:val="21"/>
                <w:highlight w:val="none"/>
              </w:rPr>
              <w:t>选人公示期满且确定中标人后，未中标人的投标保证金</w:t>
            </w:r>
            <w:r>
              <w:rPr>
                <w:rFonts w:hint="eastAsia" w:ascii="Times New Roman" w:hAnsi="Times New Roman" w:cs="Times New Roman"/>
                <w:color w:val="auto"/>
                <w:szCs w:val="21"/>
                <w:highlight w:val="none"/>
                <w:lang w:val="en-US" w:eastAsia="zh-CN"/>
              </w:rPr>
              <w:t>在</w:t>
            </w:r>
            <w:r>
              <w:rPr>
                <w:rFonts w:hint="default" w:ascii="Times New Roman" w:hAnsi="Times New Roman" w:cs="Times New Roman"/>
                <w:color w:val="auto"/>
                <w:szCs w:val="21"/>
                <w:highlight w:val="none"/>
              </w:rPr>
              <w:t>5日内直接退还至该投标人汇出</w:t>
            </w:r>
            <w:r>
              <w:rPr>
                <w:rFonts w:hint="eastAsia" w:ascii="Times New Roman" w:hAnsi="Times New Roman" w:cs="Times New Roman"/>
                <w:color w:val="auto"/>
                <w:szCs w:val="21"/>
                <w:highlight w:val="none"/>
                <w:lang w:val="en-US" w:eastAsia="zh-CN"/>
              </w:rPr>
              <w:t>账</w:t>
            </w:r>
            <w:r>
              <w:rPr>
                <w:rFonts w:hint="default" w:ascii="Times New Roman" w:hAnsi="Times New Roman" w:cs="Times New Roman"/>
                <w:color w:val="auto"/>
                <w:szCs w:val="21"/>
                <w:highlight w:val="none"/>
              </w:rPr>
              <w:t>户。</w:t>
            </w:r>
          </w:p>
        </w:tc>
      </w:tr>
      <w:tr w14:paraId="0755A9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33A6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3.4.2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8692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其他不予退还投标保证金的情形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1D706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增加：</w:t>
            </w:r>
          </w:p>
          <w:p w14:paraId="6F1FF95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（3）</w:t>
            </w:r>
            <w:r>
              <w:rPr>
                <w:rFonts w:hint="default" w:ascii="Times New Roman" w:hAnsi="Times New Roman" w:cs="Times New Roman"/>
                <w:color w:val="auto"/>
                <w:szCs w:val="21"/>
                <w:highlight w:val="none"/>
              </w:rPr>
              <w:t>投标人采用不正当手段（串通投标、弄虚作假、行贿等）骗取中标的；</w:t>
            </w:r>
          </w:p>
          <w:p w14:paraId="4C2561C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4</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投标人经评标委员会认定为异常低价竞标或不以中标为目的的投标的；</w:t>
            </w:r>
          </w:p>
          <w:p w14:paraId="63E5115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5</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国家法律法规规定的其他情形。</w:t>
            </w:r>
          </w:p>
        </w:tc>
      </w:tr>
      <w:tr w14:paraId="3CFFBB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569609E">
            <w:pPr>
              <w:spacing w:line="382" w:lineRule="auto"/>
              <w:jc w:val="center"/>
              <w:rPr>
                <w:rFonts w:ascii="Arial"/>
                <w:color w:val="auto"/>
                <w:sz w:val="21"/>
              </w:rPr>
            </w:pPr>
          </w:p>
          <w:p w14:paraId="0D1DBBF5">
            <w:pPr>
              <w:spacing w:before="60" w:line="187" w:lineRule="auto"/>
              <w:jc w:val="center"/>
              <w:rPr>
                <w:rFonts w:hint="eastAsia" w:ascii="Times New Roman" w:hAnsi="Times New Roman" w:cs="Times New Roman"/>
                <w:color w:val="auto"/>
                <w:szCs w:val="21"/>
                <w:highlight w:val="none"/>
                <w:lang w:val="en-US" w:eastAsia="zh-CN"/>
              </w:rPr>
            </w:pPr>
            <w:r>
              <w:rPr>
                <w:rFonts w:ascii="Times New Roman" w:hAnsi="Times New Roman" w:eastAsia="Times New Roman" w:cs="Times New Roman"/>
                <w:color w:val="auto"/>
                <w:spacing w:val="-2"/>
                <w:sz w:val="21"/>
                <w:szCs w:val="21"/>
              </w:rPr>
              <w:t>3.5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1087405">
            <w:pPr>
              <w:pStyle w:val="29"/>
              <w:spacing w:before="68" w:line="221" w:lineRule="auto"/>
              <w:jc w:val="center"/>
              <w:rPr>
                <w:rFonts w:hint="eastAsia" w:ascii="Times New Roman" w:hAnsi="Times New Roman" w:cs="Times New Roman"/>
                <w:color w:val="auto"/>
                <w:szCs w:val="21"/>
                <w:highlight w:val="none"/>
                <w:lang w:val="en-US" w:eastAsia="zh-CN"/>
              </w:rPr>
            </w:pPr>
            <w:r>
              <w:rPr>
                <w:color w:val="auto"/>
                <w:spacing w:val="-2"/>
              </w:rPr>
              <w:t>资格审查资料的特殊要求</w:t>
            </w:r>
          </w:p>
        </w:tc>
        <w:tc>
          <w:tcPr>
            <w:tcW w:w="4761" w:type="dxa"/>
            <w:tcBorders>
              <w:top w:val="single" w:color="auto" w:sz="4" w:space="0"/>
              <w:left w:val="single" w:color="auto" w:sz="4" w:space="0"/>
              <w:bottom w:val="single" w:color="auto" w:sz="4" w:space="0"/>
              <w:right w:val="single" w:color="auto" w:sz="4" w:space="0"/>
            </w:tcBorders>
            <w:noWrap w:val="0"/>
            <w:vAlign w:val="top"/>
          </w:tcPr>
          <w:p w14:paraId="523184F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color w:val="auto"/>
                <w:szCs w:val="21"/>
                <w:highlight w:val="none"/>
                <w:lang w:val="en-US" w:eastAsia="zh-CN"/>
              </w:rPr>
            </w:pPr>
            <w:permStart w:id="44" w:edGrp="everyone"/>
            <w:r>
              <w:rPr>
                <w:rFonts w:hint="eastAsia" w:asciiTheme="minorEastAsia" w:hAnsiTheme="minorEastAsia" w:cstheme="minorEastAsia"/>
                <w:color w:val="auto"/>
                <w:szCs w:val="21"/>
                <w:highlight w:val="none"/>
                <w:lang w:val="en-US" w:eastAsia="zh-CN"/>
              </w:rPr>
              <w:t>☑无</w:t>
            </w:r>
          </w:p>
          <w:p w14:paraId="4295960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heme="minorEastAsia" w:hAnsiTheme="minorEastAsia" w:cstheme="minorEastAsia"/>
                <w:color w:val="auto"/>
                <w:szCs w:val="21"/>
                <w:highlight w:val="none"/>
                <w:lang w:val="en-US" w:eastAsia="zh-CN"/>
              </w:rPr>
              <w:t>□有，具体要求：</w:t>
            </w:r>
            <w:permEnd w:id="44"/>
          </w:p>
        </w:tc>
      </w:tr>
      <w:tr w14:paraId="1A4639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1B0CBE2">
            <w:pPr>
              <w:spacing w:before="60" w:line="187" w:lineRule="auto"/>
              <w:jc w:val="center"/>
              <w:rPr>
                <w:rFonts w:hint="eastAsia" w:ascii="Times New Roman" w:hAnsi="Times New Roman" w:cs="Times New Roman"/>
                <w:color w:val="auto"/>
                <w:szCs w:val="21"/>
                <w:highlight w:val="none"/>
                <w:lang w:val="en-US" w:eastAsia="zh-CN"/>
              </w:rPr>
            </w:pPr>
            <w:r>
              <w:rPr>
                <w:rFonts w:ascii="Times New Roman" w:hAnsi="Times New Roman" w:eastAsia="Times New Roman" w:cs="Times New Roman"/>
                <w:color w:val="auto"/>
                <w:spacing w:val="-1"/>
                <w:sz w:val="21"/>
                <w:szCs w:val="21"/>
              </w:rPr>
              <w:t>3.5.2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8D3528F">
            <w:pPr>
              <w:pStyle w:val="29"/>
              <w:spacing w:before="69" w:line="221" w:lineRule="auto"/>
              <w:jc w:val="center"/>
              <w:rPr>
                <w:rFonts w:hint="eastAsia" w:ascii="Times New Roman" w:hAnsi="Times New Roman" w:cs="Times New Roman"/>
                <w:color w:val="auto"/>
                <w:szCs w:val="21"/>
                <w:highlight w:val="none"/>
                <w:lang w:val="en-US" w:eastAsia="zh-CN"/>
              </w:rPr>
            </w:pPr>
            <w:r>
              <w:rPr>
                <w:color w:val="auto"/>
                <w:spacing w:val="-1"/>
              </w:rPr>
              <w:t>近年财务状况的年份要求</w:t>
            </w:r>
          </w:p>
        </w:tc>
        <w:tc>
          <w:tcPr>
            <w:tcW w:w="4761" w:type="dxa"/>
            <w:tcBorders>
              <w:top w:val="single" w:color="auto" w:sz="4" w:space="0"/>
              <w:left w:val="single" w:color="auto" w:sz="4" w:space="0"/>
              <w:bottom w:val="single" w:color="auto" w:sz="4" w:space="0"/>
              <w:right w:val="single" w:color="auto" w:sz="4" w:space="0"/>
            </w:tcBorders>
            <w:noWrap w:val="0"/>
            <w:vAlign w:val="top"/>
          </w:tcPr>
          <w:p w14:paraId="3C6C4C1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color w:val="auto"/>
                <w:szCs w:val="21"/>
                <w:highlight w:val="none"/>
                <w:lang w:val="en-US" w:eastAsia="zh-CN"/>
              </w:rPr>
            </w:pPr>
            <w:permStart w:id="45" w:edGrp="everyone"/>
            <w:r>
              <w:rPr>
                <w:rFonts w:hint="eastAsia" w:asciiTheme="minorEastAsia" w:hAnsiTheme="minorEastAsia" w:cstheme="minorEastAsia"/>
                <w:color w:val="auto"/>
                <w:szCs w:val="21"/>
                <w:highlight w:val="none"/>
                <w:lang w:val="en-US" w:eastAsia="zh-CN"/>
              </w:rPr>
              <w:t>/年至/年</w:t>
            </w:r>
            <w:permEnd w:id="45"/>
          </w:p>
        </w:tc>
      </w:tr>
      <w:tr w14:paraId="44E304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403FA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3.5.3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81A004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近年完成的类似项目的年份要求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BC16F8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color w:val="auto"/>
                <w:szCs w:val="21"/>
                <w:highlight w:val="none"/>
                <w:lang w:val="en-US" w:eastAsia="zh-CN"/>
              </w:rPr>
            </w:pPr>
            <w:r>
              <w:rPr>
                <w:rFonts w:hint="eastAsia" w:asciiTheme="minorEastAsia" w:hAnsiTheme="minorEastAsia" w:cstheme="minorEastAsia"/>
                <w:color w:val="auto"/>
                <w:szCs w:val="21"/>
                <w:highlight w:val="none"/>
                <w:lang w:val="en-US" w:eastAsia="zh-CN"/>
              </w:rPr>
              <w:t>详见第一章招标公告。</w:t>
            </w:r>
          </w:p>
        </w:tc>
      </w:tr>
      <w:tr w14:paraId="69FD89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57A0B">
            <w:pPr>
              <w:spacing w:before="60" w:line="187" w:lineRule="auto"/>
              <w:jc w:val="center"/>
              <w:rPr>
                <w:rFonts w:hint="eastAsia" w:ascii="Times New Roman" w:hAnsi="Times New Roman" w:eastAsia="Times New Roman" w:cs="Times New Roman"/>
                <w:color w:val="auto"/>
                <w:spacing w:val="-1"/>
                <w:sz w:val="21"/>
                <w:szCs w:val="21"/>
                <w:lang w:val="en-US" w:eastAsia="zh-CN"/>
              </w:rPr>
            </w:pPr>
            <w:r>
              <w:rPr>
                <w:rFonts w:ascii="Times New Roman" w:hAnsi="Times New Roman" w:eastAsia="Times New Roman" w:cs="Times New Roman"/>
                <w:color w:val="auto"/>
                <w:spacing w:val="-1"/>
                <w:sz w:val="21"/>
                <w:szCs w:val="21"/>
              </w:rPr>
              <w:t>3.5.5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2317721">
            <w:pPr>
              <w:spacing w:before="60" w:line="187" w:lineRule="auto"/>
              <w:jc w:val="center"/>
              <w:rPr>
                <w:rFonts w:hint="eastAsia" w:ascii="Times New Roman" w:hAnsi="Times New Roman" w:eastAsia="Times New Roman" w:cs="Times New Roman"/>
                <w:color w:val="auto"/>
                <w:spacing w:val="-1"/>
                <w:sz w:val="21"/>
                <w:szCs w:val="21"/>
                <w:lang w:val="en-US" w:eastAsia="zh-CN"/>
              </w:rPr>
            </w:pPr>
            <w:r>
              <w:rPr>
                <w:rFonts w:ascii="Times New Roman" w:hAnsi="Times New Roman" w:eastAsia="Times New Roman" w:cs="Times New Roman"/>
                <w:color w:val="auto"/>
                <w:spacing w:val="-1"/>
                <w:sz w:val="21"/>
                <w:szCs w:val="21"/>
              </w:rPr>
              <w:t>近年发生的诉讼及仲裁情况的时间要求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59C5DF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color w:val="auto"/>
                <w:szCs w:val="21"/>
                <w:highlight w:val="none"/>
                <w:lang w:val="en-US" w:eastAsia="zh-CN"/>
              </w:rPr>
            </w:pPr>
            <w:permStart w:id="46" w:edGrp="everyone"/>
            <w:r>
              <w:rPr>
                <w:rFonts w:hint="eastAsia" w:asciiTheme="minorEastAsia" w:hAnsiTheme="minorEastAsia" w:cstheme="minorEastAsia"/>
                <w:color w:val="auto"/>
                <w:szCs w:val="21"/>
                <w:highlight w:val="none"/>
                <w:lang w:val="en-US" w:eastAsia="zh-CN"/>
              </w:rPr>
              <w:t>/年至/年</w:t>
            </w:r>
            <w:permEnd w:id="46"/>
          </w:p>
        </w:tc>
      </w:tr>
      <w:tr w14:paraId="3F77C3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AC3C5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9D2374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是否允许递交备选投标方案</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7E5C9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color w:val="auto"/>
                <w:szCs w:val="21"/>
                <w:highlight w:val="none"/>
                <w:lang w:val="en-US" w:eastAsia="zh-CN"/>
              </w:rPr>
            </w:pPr>
            <w:permStart w:id="47" w:edGrp="everyone"/>
            <w:r>
              <w:rPr>
                <w:rFonts w:hint="default" w:ascii="Times New Roman" w:hAnsi="Times New Roman" w:eastAsia="仿宋_GB2312" w:cs="Times New Roman"/>
                <w:color w:val="auto"/>
                <w:sz w:val="24"/>
                <w:szCs w:val="24"/>
                <w:lang w:val="en-US" w:eastAsia="zh-CN"/>
              </w:rPr>
              <w:sym w:font="Wingdings" w:char="00FE"/>
            </w:r>
            <w:r>
              <w:rPr>
                <w:rFonts w:hint="eastAsia" w:asciiTheme="minorEastAsia" w:hAnsiTheme="minorEastAsia" w:cstheme="minorEastAsia"/>
                <w:color w:val="auto"/>
                <w:szCs w:val="21"/>
                <w:highlight w:val="none"/>
                <w:lang w:val="en-US" w:eastAsia="zh-CN"/>
              </w:rPr>
              <w:t>不允许</w:t>
            </w:r>
          </w:p>
          <w:p w14:paraId="420A039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rPr>
            </w:pPr>
            <w:r>
              <w:rPr>
                <w:rFonts w:hint="default" w:ascii="Times New Roman" w:hAnsi="Times New Roman" w:eastAsia="仿宋_GB2312" w:cs="Times New Roman"/>
                <w:color w:val="auto"/>
                <w:sz w:val="24"/>
                <w:szCs w:val="24"/>
                <w:lang w:val="en-US" w:eastAsia="zh-CN"/>
              </w:rPr>
              <w:sym w:font="Wingdings" w:char="00A8"/>
            </w:r>
            <w:r>
              <w:rPr>
                <w:rFonts w:hint="eastAsia" w:asciiTheme="minorEastAsia" w:hAnsiTheme="minorEastAsia" w:cstheme="minorEastAsia"/>
                <w:color w:val="auto"/>
                <w:szCs w:val="21"/>
                <w:highlight w:val="none"/>
                <w:lang w:val="en-US" w:eastAsia="zh-CN"/>
              </w:rPr>
              <w:t>允许</w:t>
            </w:r>
            <w:permEnd w:id="47"/>
          </w:p>
        </w:tc>
      </w:tr>
      <w:tr w14:paraId="5FE4B5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E1EE84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3.7.1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9F243E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D7F1C9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（1）盖章：除另有规定外，投标文件封面、封套封口处及文件中规定盖章处均须加盖投标人公章（鲜章），不得使用其</w:t>
            </w:r>
            <w:r>
              <w:rPr>
                <w:rFonts w:hint="eastAsia" w:ascii="Times New Roman" w:hAnsi="Times New Roman" w:cs="Times New Roman"/>
                <w:color w:val="auto"/>
                <w:szCs w:val="21"/>
                <w:highlight w:val="none"/>
                <w:lang w:val="en-US" w:eastAsia="zh-CN"/>
              </w:rPr>
              <w:t>他</w:t>
            </w:r>
            <w:r>
              <w:rPr>
                <w:rFonts w:hint="default" w:ascii="Times New Roman" w:hAnsi="Times New Roman" w:cs="Times New Roman"/>
                <w:color w:val="auto"/>
                <w:szCs w:val="21"/>
                <w:highlight w:val="none"/>
              </w:rPr>
              <w:t>如带有“专用章”、“合同章”、“财务章”、“业务章”、下属单位或分支机构印章代替，否则其投标无效；</w:t>
            </w:r>
          </w:p>
          <w:p w14:paraId="70897C5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cs="Times New Roman"/>
                <w:color w:val="auto"/>
                <w:szCs w:val="21"/>
                <w:highlight w:val="none"/>
              </w:rPr>
              <w:t>（2）签字：除文件另有规定外，均应为手写签字，否则其投标无效。</w:t>
            </w:r>
          </w:p>
        </w:tc>
      </w:tr>
      <w:tr w14:paraId="0338E2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CEEBDD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3.7.2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68F39B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B471FB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投标文件份数：正本1份、副本4份</w:t>
            </w:r>
          </w:p>
          <w:p w14:paraId="532A3B4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permStart w:id="48" w:edGrp="everyone"/>
            <w:r>
              <w:rPr>
                <w:rFonts w:hint="eastAsia" w:ascii="Times New Roman" w:hAnsi="Times New Roman" w:cs="Times New Roman"/>
                <w:color w:val="auto"/>
                <w:szCs w:val="21"/>
                <w:highlight w:val="none"/>
                <w:u w:val="none"/>
                <w:lang w:val="en-US" w:eastAsia="zh-CN"/>
              </w:rPr>
              <w:t xml:space="preserve">是否要求述标：          </w:t>
            </w:r>
            <w:r>
              <w:rPr>
                <w:rFonts w:hint="default" w:ascii="Times New Roman" w:hAnsi="Times New Roman" w:eastAsia="仿宋_GB2312" w:cs="Times New Roman"/>
                <w:color w:val="auto"/>
                <w:sz w:val="24"/>
                <w:szCs w:val="24"/>
                <w:lang w:val="en-US" w:eastAsia="zh-CN"/>
              </w:rPr>
              <w:sym w:font="Wingdings" w:char="00FE"/>
            </w:r>
            <w:r>
              <w:rPr>
                <w:rFonts w:hint="eastAsia" w:asciiTheme="minorEastAsia" w:hAnsiTheme="minorEastAsia" w:cstheme="minorEastAsia"/>
                <w:color w:val="auto"/>
                <w:szCs w:val="21"/>
                <w:highlight w:val="none"/>
                <w:lang w:val="en-US" w:eastAsia="zh-CN"/>
              </w:rPr>
              <w:t xml:space="preserve">不要求   </w:t>
            </w:r>
            <w:r>
              <w:rPr>
                <w:rFonts w:hint="default" w:ascii="Times New Roman" w:hAnsi="Times New Roman" w:eastAsia="仿宋_GB2312" w:cs="Times New Roman"/>
                <w:color w:val="auto"/>
                <w:sz w:val="24"/>
                <w:szCs w:val="24"/>
                <w:lang w:val="en-US" w:eastAsia="zh-CN"/>
              </w:rPr>
              <w:sym w:font="Wingdings" w:char="00A8"/>
            </w:r>
            <w:r>
              <w:rPr>
                <w:rFonts w:hint="eastAsia" w:asciiTheme="minorEastAsia" w:hAnsiTheme="minorEastAsia" w:cstheme="minorEastAsia"/>
                <w:color w:val="auto"/>
                <w:szCs w:val="21"/>
                <w:highlight w:val="none"/>
                <w:lang w:val="en-US" w:eastAsia="zh-CN"/>
              </w:rPr>
              <w:t>要求</w:t>
            </w:r>
          </w:p>
          <w:p w14:paraId="11CA4B2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是否要求提交电子版文件：</w:t>
            </w:r>
            <w:r>
              <w:rPr>
                <w:rFonts w:hint="default" w:ascii="Times New Roman" w:hAnsi="Times New Roman" w:eastAsia="仿宋_GB2312" w:cs="Times New Roman"/>
                <w:color w:val="auto"/>
                <w:sz w:val="24"/>
                <w:szCs w:val="24"/>
                <w:lang w:val="en-US" w:eastAsia="zh-CN"/>
              </w:rPr>
              <w:sym w:font="Wingdings" w:char="00FE"/>
            </w:r>
            <w:r>
              <w:rPr>
                <w:rFonts w:hint="eastAsia" w:asciiTheme="minorEastAsia" w:hAnsiTheme="minorEastAsia" w:cstheme="minorEastAsia"/>
                <w:color w:val="auto"/>
                <w:szCs w:val="21"/>
                <w:highlight w:val="none"/>
                <w:lang w:val="en-US" w:eastAsia="zh-CN"/>
              </w:rPr>
              <w:t xml:space="preserve">不要求   </w:t>
            </w:r>
            <w:r>
              <w:rPr>
                <w:rFonts w:hint="default" w:ascii="Times New Roman" w:hAnsi="Times New Roman" w:eastAsia="仿宋_GB2312" w:cs="Times New Roman"/>
                <w:color w:val="auto"/>
                <w:sz w:val="24"/>
                <w:szCs w:val="24"/>
                <w:lang w:val="en-US" w:eastAsia="zh-CN"/>
              </w:rPr>
              <w:sym w:font="Wingdings" w:char="00A8"/>
            </w:r>
            <w:r>
              <w:rPr>
                <w:rFonts w:hint="eastAsia" w:asciiTheme="minorEastAsia" w:hAnsiTheme="minorEastAsia" w:cstheme="minorEastAsia"/>
                <w:color w:val="auto"/>
                <w:szCs w:val="21"/>
                <w:highlight w:val="none"/>
                <w:lang w:val="en-US" w:eastAsia="zh-CN"/>
              </w:rPr>
              <w:t xml:space="preserve">要求 </w:t>
            </w:r>
            <w:permEnd w:id="48"/>
          </w:p>
          <w:p w14:paraId="4D1EAB1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其他要求：</w:t>
            </w:r>
          </w:p>
          <w:p w14:paraId="0EA5105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（1）所有正本与副本封装在一个密封袋中，且在投标文件封面标明“正本”或“副本”的字样；</w:t>
            </w:r>
          </w:p>
          <w:p w14:paraId="3D12BC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（2）投标文件应按要求密封，密封袋封口加盖投标单位印章；</w:t>
            </w:r>
          </w:p>
          <w:p w14:paraId="74E23E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eastAsia" w:ascii="Times New Roman" w:hAnsi="Times New Roman" w:cs="Times New Roman"/>
                <w:color w:val="auto"/>
                <w:szCs w:val="21"/>
                <w:highlight w:val="none"/>
                <w:u w:val="none"/>
                <w:lang w:val="en-US" w:eastAsia="zh-CN"/>
              </w:rPr>
              <w:t>（3）投标文件须采用胶粘方式装订，装订应牢固、不易拆散和换页，不得采用活页装订。</w:t>
            </w:r>
          </w:p>
        </w:tc>
      </w:tr>
      <w:tr w14:paraId="2E0D0F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469403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3.7.3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072404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投标文件是否需分册装订</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873E83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auto"/>
                <w:szCs w:val="21"/>
                <w:highlight w:val="none"/>
                <w:u w:val="single"/>
                <w:lang w:val="en-US" w:eastAsia="zh-CN"/>
              </w:rPr>
            </w:pPr>
            <w:permStart w:id="49" w:edGrp="everyone"/>
            <w:r>
              <w:rPr>
                <w:rFonts w:hint="default" w:ascii="Times New Roman" w:hAnsi="Times New Roman" w:eastAsia="仿宋_GB2312" w:cs="Times New Roman"/>
                <w:color w:val="auto"/>
                <w:sz w:val="24"/>
                <w:szCs w:val="24"/>
                <w:lang w:val="en-US" w:eastAsia="zh-CN"/>
              </w:rPr>
              <w:sym w:font="Wingdings" w:char="00FE"/>
            </w:r>
            <w:r>
              <w:rPr>
                <w:rFonts w:hint="eastAsia" w:asciiTheme="minorEastAsia" w:hAnsiTheme="minorEastAsia" w:cstheme="minorEastAsia"/>
                <w:color w:val="auto"/>
                <w:szCs w:val="21"/>
                <w:highlight w:val="none"/>
                <w:lang w:val="en-US" w:eastAsia="zh-CN"/>
              </w:rPr>
              <w:t>不需要</w:t>
            </w:r>
          </w:p>
          <w:p w14:paraId="6E3480B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eastAsia="仿宋_GB2312" w:cs="Times New Roman"/>
                <w:color w:val="auto"/>
                <w:sz w:val="24"/>
                <w:szCs w:val="24"/>
                <w:lang w:val="en-US" w:eastAsia="zh-CN"/>
              </w:rPr>
              <w:sym w:font="Wingdings" w:char="00A8"/>
            </w:r>
            <w:r>
              <w:rPr>
                <w:rFonts w:hint="eastAsia" w:asciiTheme="minorEastAsia" w:hAnsiTheme="minorEastAsia" w:cstheme="minorEastAsia"/>
                <w:color w:val="auto"/>
                <w:szCs w:val="21"/>
                <w:highlight w:val="none"/>
                <w:lang w:val="en-US" w:eastAsia="zh-CN"/>
              </w:rPr>
              <w:t>需要，分册装订要求：</w:t>
            </w:r>
            <w:permEnd w:id="49"/>
          </w:p>
        </w:tc>
      </w:tr>
      <w:tr w14:paraId="1A41EF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97DDE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76394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AA6EFA1">
            <w:pPr>
              <w:keepNext w:val="0"/>
              <w:keepLines w:val="0"/>
              <w:pageBreakBefore w:val="0"/>
              <w:widowControl w:val="0"/>
              <w:kinsoku/>
              <w:wordWrap/>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auto"/>
                <w:szCs w:val="21"/>
                <w:highlight w:val="none"/>
                <w:lang w:val="en-US" w:eastAsia="zh-CN"/>
              </w:rPr>
            </w:pPr>
            <w:permStart w:id="50" w:edGrp="everyone"/>
            <w:r>
              <w:rPr>
                <w:rFonts w:hint="eastAsia" w:ascii="Times New Roman" w:hAnsi="Times New Roman" w:cs="Times New Roman"/>
                <w:color w:val="auto"/>
                <w:szCs w:val="21"/>
                <w:highlight w:val="none"/>
                <w:lang w:val="en-US" w:eastAsia="zh-CN"/>
              </w:rPr>
              <w:t>开标地址：亳州交通投资控股集团有限公司15楼开标室（药都大道与希夷大道交叉口东北角15楼）</w:t>
            </w:r>
          </w:p>
          <w:p w14:paraId="6336E26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招标人：亳州通恒置业有限公司</w:t>
            </w:r>
          </w:p>
          <w:p w14:paraId="7108DD6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u w:val="single"/>
                <w:lang w:val="en-US" w:eastAsia="zh-CN"/>
              </w:rPr>
              <w:t>亳州逸合府项目北区工程建设全周期内检测工程（二次）</w:t>
            </w:r>
            <w:r>
              <w:rPr>
                <w:rFonts w:hint="eastAsia" w:ascii="Times New Roman" w:hAnsi="Times New Roman" w:cs="Times New Roman"/>
                <w:color w:val="auto"/>
                <w:szCs w:val="21"/>
                <w:highlight w:val="none"/>
                <w:lang w:val="en-US" w:eastAsia="zh-CN"/>
              </w:rPr>
              <w:t>投标文件</w:t>
            </w:r>
          </w:p>
          <w:p w14:paraId="16FBD68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项目编号：BZJK-2025</w:t>
            </w:r>
            <w:r>
              <w:rPr>
                <w:rFonts w:hint="eastAsia" w:ascii="Times New Roman" w:hAnsi="Times New Roman" w:cs="Times New Roman"/>
                <w:color w:val="auto"/>
                <w:szCs w:val="21"/>
                <w:highlight w:val="none"/>
                <w:u w:val="none"/>
                <w:lang w:val="en-US" w:eastAsia="zh-CN"/>
              </w:rPr>
              <w:t>-003号</w:t>
            </w:r>
          </w:p>
          <w:p w14:paraId="6BE0E59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color w:val="auto"/>
                <w:sz w:val="24"/>
                <w:szCs w:val="24"/>
                <w:lang w:val="en-US" w:eastAsia="zh-CN"/>
              </w:rPr>
            </w:pPr>
            <w:r>
              <w:rPr>
                <w:rFonts w:hint="eastAsia" w:ascii="Times New Roman" w:hAnsi="Times New Roman" w:cs="Times New Roman"/>
                <w:color w:val="auto"/>
                <w:szCs w:val="21"/>
                <w:highlight w:val="none"/>
                <w:lang w:val="en-US" w:eastAsia="zh-CN"/>
              </w:rPr>
              <w:t>在</w:t>
            </w:r>
            <w:r>
              <w:rPr>
                <w:rFonts w:hint="eastAsia" w:ascii="Times New Roman" w:hAnsi="Times New Roman" w:cs="Times New Roman"/>
                <w:color w:val="auto"/>
                <w:szCs w:val="21"/>
                <w:highlight w:val="none"/>
                <w:u w:val="single"/>
                <w:lang w:val="en-US" w:eastAsia="zh-CN"/>
              </w:rPr>
              <w:t>2025</w:t>
            </w:r>
            <w:r>
              <w:rPr>
                <w:rFonts w:hint="eastAsia" w:ascii="Times New Roman" w:hAnsi="Times New Roman" w:cs="Times New Roman"/>
                <w:color w:val="auto"/>
                <w:szCs w:val="21"/>
                <w:highlight w:val="none"/>
                <w:u w:val="none"/>
                <w:lang w:val="en-US" w:eastAsia="zh-CN"/>
              </w:rPr>
              <w:t>年</w:t>
            </w:r>
            <w:r>
              <w:rPr>
                <w:rFonts w:hint="eastAsia" w:ascii="Times New Roman" w:hAnsi="Times New Roman" w:cs="Times New Roman"/>
                <w:color w:val="auto"/>
                <w:szCs w:val="21"/>
                <w:highlight w:val="none"/>
                <w:u w:val="single"/>
                <w:lang w:val="en-US" w:eastAsia="zh-CN"/>
              </w:rPr>
              <w:t>1</w:t>
            </w:r>
            <w:r>
              <w:rPr>
                <w:rFonts w:hint="eastAsia" w:ascii="Times New Roman" w:hAnsi="Times New Roman" w:cs="Times New Roman"/>
                <w:color w:val="auto"/>
                <w:szCs w:val="21"/>
                <w:highlight w:val="none"/>
                <w:u w:val="none"/>
                <w:lang w:val="en-US" w:eastAsia="zh-CN"/>
              </w:rPr>
              <w:t>月</w:t>
            </w:r>
            <w:r>
              <w:rPr>
                <w:rFonts w:hint="eastAsia" w:ascii="Times New Roman" w:hAnsi="Times New Roman" w:cs="Times New Roman"/>
                <w:color w:val="auto"/>
                <w:szCs w:val="21"/>
                <w:highlight w:val="none"/>
                <w:u w:val="single"/>
                <w:lang w:val="en-US" w:eastAsia="zh-CN"/>
              </w:rPr>
              <w:t>24</w:t>
            </w:r>
            <w:r>
              <w:rPr>
                <w:rFonts w:hint="eastAsia" w:ascii="Times New Roman" w:hAnsi="Times New Roman" w:cs="Times New Roman"/>
                <w:color w:val="auto"/>
                <w:szCs w:val="21"/>
                <w:highlight w:val="none"/>
                <w:u w:val="none"/>
                <w:lang w:val="en-US" w:eastAsia="zh-CN"/>
              </w:rPr>
              <w:t>日</w:t>
            </w:r>
            <w:r>
              <w:rPr>
                <w:rFonts w:hint="eastAsia" w:ascii="Times New Roman" w:hAnsi="Times New Roman" w:cs="Times New Roman"/>
                <w:color w:val="auto"/>
                <w:szCs w:val="21"/>
                <w:highlight w:val="none"/>
                <w:u w:val="single"/>
                <w:lang w:val="en-US" w:eastAsia="zh-CN"/>
              </w:rPr>
              <w:t>9</w:t>
            </w:r>
            <w:r>
              <w:rPr>
                <w:rFonts w:hint="eastAsia" w:ascii="Times New Roman" w:hAnsi="Times New Roman" w:cs="Times New Roman"/>
                <w:color w:val="auto"/>
                <w:szCs w:val="21"/>
                <w:highlight w:val="none"/>
                <w:u w:val="none"/>
                <w:lang w:val="en-US" w:eastAsia="zh-CN"/>
              </w:rPr>
              <w:t>时</w:t>
            </w:r>
            <w:r>
              <w:rPr>
                <w:rFonts w:hint="eastAsia" w:ascii="Times New Roman" w:hAnsi="Times New Roman" w:cs="Times New Roman"/>
                <w:color w:val="auto"/>
                <w:szCs w:val="21"/>
                <w:highlight w:val="none"/>
                <w:u w:val="single"/>
                <w:lang w:val="en-US" w:eastAsia="zh-CN"/>
              </w:rPr>
              <w:t>00</w:t>
            </w:r>
            <w:r>
              <w:rPr>
                <w:rFonts w:hint="eastAsia" w:ascii="Times New Roman" w:hAnsi="Times New Roman" w:cs="Times New Roman"/>
                <w:color w:val="auto"/>
                <w:szCs w:val="21"/>
                <w:highlight w:val="none"/>
                <w:u w:val="none"/>
                <w:lang w:val="en-US" w:eastAsia="zh-CN"/>
              </w:rPr>
              <w:t>分</w:t>
            </w:r>
            <w:r>
              <w:rPr>
                <w:rFonts w:hint="eastAsia" w:ascii="Times New Roman" w:hAnsi="Times New Roman" w:cs="Times New Roman"/>
                <w:color w:val="auto"/>
                <w:szCs w:val="21"/>
                <w:highlight w:val="none"/>
                <w:lang w:val="en-US" w:eastAsia="zh-CN"/>
              </w:rPr>
              <w:t>前不得开启</w:t>
            </w:r>
            <w:permEnd w:id="50"/>
          </w:p>
        </w:tc>
      </w:tr>
      <w:tr w14:paraId="731E57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2EE4B1">
            <w:pPr>
              <w:spacing w:before="212" w:line="187" w:lineRule="auto"/>
              <w:jc w:val="center"/>
              <w:rPr>
                <w:rFonts w:hint="eastAsia" w:ascii="Times New Roman" w:hAnsi="Times New Roman" w:eastAsia="Times New Roman" w:cs="Times New Roman"/>
                <w:color w:val="auto"/>
                <w:kern w:val="2"/>
                <w:sz w:val="21"/>
                <w:szCs w:val="21"/>
                <w:lang w:val="en-US" w:eastAsia="zh-CN" w:bidi="ar-SA"/>
              </w:rPr>
            </w:pPr>
            <w:r>
              <w:rPr>
                <w:rFonts w:ascii="Times New Roman" w:hAnsi="Times New Roman" w:eastAsia="Times New Roman" w:cs="Times New Roman"/>
                <w:color w:val="auto"/>
                <w:spacing w:val="-1"/>
                <w:sz w:val="21"/>
                <w:szCs w:val="21"/>
              </w:rPr>
              <w:t>4.2.1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1ECD2BC">
            <w:pPr>
              <w:pStyle w:val="29"/>
              <w:spacing w:before="174" w:line="221" w:lineRule="auto"/>
              <w:jc w:val="center"/>
              <w:rPr>
                <w:rFonts w:hint="eastAsia" w:ascii="宋体" w:hAnsi="宋体" w:eastAsia="宋体" w:cs="宋体"/>
                <w:color w:val="auto"/>
                <w:kern w:val="2"/>
                <w:sz w:val="21"/>
                <w:szCs w:val="21"/>
                <w:lang w:val="en-US" w:eastAsia="zh-CN" w:bidi="ar-SA"/>
              </w:rPr>
            </w:pPr>
            <w:r>
              <w:rPr>
                <w:color w:val="auto"/>
                <w:spacing w:val="-2"/>
              </w:rPr>
              <w:t>投标截止时间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C0CED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详见第一章招标公告。</w:t>
            </w:r>
          </w:p>
        </w:tc>
      </w:tr>
      <w:tr w14:paraId="653383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4F773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B6886E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递交投标文件地点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754FCB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eastAsia" w:ascii="Times New Roman" w:hAnsi="Times New Roman" w:cs="Times New Roman"/>
                <w:color w:val="auto"/>
                <w:szCs w:val="21"/>
                <w:highlight w:val="none"/>
                <w:lang w:val="en-US" w:eastAsia="zh-CN"/>
              </w:rPr>
              <w:t>详见第一章招标公告。</w:t>
            </w:r>
          </w:p>
        </w:tc>
      </w:tr>
      <w:tr w14:paraId="261B84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435785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F79658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是否退还投标文件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87D7AA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eastAsia="仿宋_GB2312" w:cs="Times New Roman"/>
                <w:color w:val="auto"/>
                <w:sz w:val="24"/>
                <w:szCs w:val="24"/>
                <w:lang w:val="en-US" w:eastAsia="zh-CN"/>
              </w:rPr>
              <w:sym w:font="Wingdings" w:char="00FE"/>
            </w:r>
            <w:r>
              <w:rPr>
                <w:rFonts w:hint="eastAsia" w:ascii="Times New Roman" w:hAnsi="Times New Roman" w:cs="Times New Roman"/>
                <w:color w:val="auto"/>
                <w:szCs w:val="21"/>
                <w:highlight w:val="none"/>
                <w:lang w:val="en-US" w:eastAsia="zh-CN"/>
              </w:rPr>
              <w:t>否</w:t>
            </w:r>
          </w:p>
        </w:tc>
      </w:tr>
      <w:tr w14:paraId="062D24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2532DB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A0DBB4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开标时间和地点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19285F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开标时间：同投标截止时间</w:t>
            </w:r>
          </w:p>
          <w:p w14:paraId="1A5775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开标地点：</w:t>
            </w:r>
            <w:r>
              <w:rPr>
                <w:rFonts w:hint="eastAsia" w:ascii="Times New Roman" w:hAnsi="Times New Roman" w:cs="Times New Roman"/>
                <w:color w:val="auto"/>
                <w:szCs w:val="21"/>
                <w:highlight w:val="none"/>
                <w:lang w:val="en-US" w:eastAsia="zh-CN"/>
              </w:rPr>
              <w:t>同递交投标文件地点</w:t>
            </w:r>
          </w:p>
          <w:p w14:paraId="017DBDE2">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cs="Times New Roman"/>
                <w:b/>
                <w:bCs/>
                <w:color w:val="auto"/>
                <w:szCs w:val="21"/>
                <w:highlight w:val="none"/>
                <w:lang w:val="en-US" w:eastAsia="zh-CN"/>
              </w:rPr>
              <w:t>注：投标人代表应持授权委托书及有效身份证件递交投标文件，否则招标平台有权拒收，有效身份证件是指中华人民共和国第二代居民身份证，其他证明无效。</w:t>
            </w:r>
          </w:p>
        </w:tc>
      </w:tr>
      <w:tr w14:paraId="4B0E1E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725D1E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974AB5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开标程序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A8735B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密封情况检查：</w:t>
            </w:r>
            <w:permStart w:id="51" w:edGrp="everyone"/>
            <w:r>
              <w:rPr>
                <w:rFonts w:hint="eastAsia" w:ascii="Times New Roman" w:hAnsi="Times New Roman" w:cs="Times New Roman"/>
                <w:color w:val="auto"/>
                <w:szCs w:val="21"/>
                <w:highlight w:val="none"/>
                <w:lang w:val="en-US" w:eastAsia="zh-CN"/>
              </w:rPr>
              <w:t>由投标人代表或招标平台工作人员检查确认。</w:t>
            </w:r>
            <w:permEnd w:id="51"/>
          </w:p>
          <w:p w14:paraId="5A9A9E5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cs="Times New Roman"/>
                <w:color w:val="auto"/>
                <w:szCs w:val="21"/>
                <w:highlight w:val="none"/>
              </w:rPr>
              <w:t>开标顺序：按签到正顺序开标。</w:t>
            </w:r>
          </w:p>
        </w:tc>
      </w:tr>
      <w:tr w14:paraId="5BAAB6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923E16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AC57D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评标委员会的组建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718697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cs="Times New Roman"/>
                <w:color w:val="auto"/>
                <w:szCs w:val="21"/>
                <w:highlight w:val="none"/>
              </w:rPr>
              <w:t>评标委员会组建：按有关规定组建。</w:t>
            </w:r>
          </w:p>
        </w:tc>
      </w:tr>
      <w:tr w14:paraId="403EFC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645A48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6.2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49FF4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评标委员会推荐中标候选人的人数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78BD2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none"/>
                <w:lang w:val="en-US" w:eastAsia="zh-CN"/>
              </w:rPr>
              <w:t>1—3人</w:t>
            </w:r>
          </w:p>
        </w:tc>
      </w:tr>
      <w:tr w14:paraId="5735CD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CA512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646254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是否授权评标委员会确定中标人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A4BD1C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sym w:font="Wingdings" w:char="00FE"/>
            </w:r>
            <w:r>
              <w:rPr>
                <w:rFonts w:hint="eastAsia" w:ascii="Times New Roman" w:hAnsi="Times New Roman" w:cs="Times New Roman"/>
                <w:color w:val="auto"/>
                <w:szCs w:val="21"/>
                <w:highlight w:val="none"/>
                <w:u w:val="none"/>
                <w:lang w:val="en-US" w:eastAsia="zh-CN"/>
              </w:rPr>
              <w:t>否</w:t>
            </w:r>
          </w:p>
        </w:tc>
      </w:tr>
      <w:tr w14:paraId="03CB8C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95AE39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419E42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中标候选人公示媒介及期限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8110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14:paraId="41F07AD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 w:val="32"/>
                <w:szCs w:val="32"/>
                <w:highlight w:val="none"/>
              </w:rPr>
            </w:pPr>
            <w:r>
              <w:rPr>
                <w:rFonts w:hint="default" w:ascii="Times New Roman" w:hAnsi="Times New Roman" w:cs="Times New Roman"/>
                <w:color w:val="auto"/>
                <w:szCs w:val="21"/>
                <w:highlight w:val="none"/>
              </w:rPr>
              <w:t>公示期限：3日</w:t>
            </w:r>
          </w:p>
        </w:tc>
      </w:tr>
      <w:tr w14:paraId="4C1C59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9ED572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1BB7B4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中标结果异议提出时间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0192F8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中标结果公示期内提出</w:t>
            </w:r>
          </w:p>
        </w:tc>
      </w:tr>
      <w:tr w14:paraId="7968EB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7DB120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D38DD8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99229E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联系人：</w:t>
            </w:r>
            <w:r>
              <w:rPr>
                <w:rFonts w:hint="default" w:ascii="Times New Roman" w:hAnsi="Times New Roman" w:cs="Times New Roman"/>
                <w:color w:val="auto"/>
                <w:szCs w:val="21"/>
                <w:highlight w:val="none"/>
                <w:u w:val="single"/>
                <w:lang w:val="en-US" w:eastAsia="zh-CN"/>
              </w:rPr>
              <w:t>亳州交控集团招投标中心 张工、田工</w:t>
            </w:r>
            <w:r>
              <w:rPr>
                <w:rFonts w:hint="default" w:ascii="Times New Roman" w:hAnsi="Times New Roman" w:cs="Times New Roman"/>
                <w:color w:val="auto"/>
                <w:szCs w:val="21"/>
                <w:highlight w:val="none"/>
                <w:lang w:val="en-US" w:eastAsia="zh-CN"/>
              </w:rPr>
              <w:t xml:space="preserve">  </w:t>
            </w:r>
          </w:p>
          <w:p w14:paraId="5E935FF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联系方式：</w:t>
            </w:r>
            <w:r>
              <w:rPr>
                <w:rFonts w:hint="default" w:ascii="Times New Roman" w:hAnsi="Times New Roman" w:cs="Times New Roman"/>
                <w:color w:val="auto"/>
                <w:szCs w:val="21"/>
                <w:highlight w:val="none"/>
                <w:u w:val="single"/>
                <w:lang w:val="en-US" w:eastAsia="zh-CN"/>
              </w:rPr>
              <w:t>0558-5190035</w:t>
            </w:r>
          </w:p>
          <w:p w14:paraId="46DD714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地址：</w:t>
            </w:r>
            <w:r>
              <w:rPr>
                <w:rFonts w:hint="default" w:ascii="Times New Roman" w:hAnsi="Times New Roman" w:cs="Times New Roman"/>
                <w:color w:val="auto"/>
                <w:szCs w:val="21"/>
                <w:highlight w:val="none"/>
                <w:u w:val="single"/>
                <w:lang w:val="en-US" w:eastAsia="zh-CN"/>
              </w:rPr>
              <w:t>亳州市谯城区药都大道1289号</w:t>
            </w:r>
          </w:p>
          <w:p w14:paraId="6C99C32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val="en-US" w:eastAsia="zh-CN"/>
              </w:rPr>
              <w:t>其他：投标人或其他利害关系人应按照招标文件规定的程序提出异议，否则视为无效异议，不予受理。</w:t>
            </w:r>
          </w:p>
        </w:tc>
      </w:tr>
      <w:tr w14:paraId="7B658F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61453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D4A4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投诉不予受理情形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49FD9B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有下列情形之一的投诉，不予受理：</w:t>
            </w:r>
          </w:p>
          <w:p w14:paraId="1209826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（1）投诉人不是所投诉招标投标活动的参与者，或者与投诉项目无任何利害关系；</w:t>
            </w:r>
          </w:p>
          <w:p w14:paraId="4A47E6D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（2）投诉事项不具体，且未提供有效线索，难以查证的；</w:t>
            </w:r>
          </w:p>
          <w:p w14:paraId="73CB364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（3）投诉书未署具投诉人真实姓名、签字和有效联系方式的；以法人名义投诉的，投诉书未经法定代表人签字并加盖公章的；</w:t>
            </w:r>
          </w:p>
          <w:p w14:paraId="10E3928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（4）超过投诉时效的；</w:t>
            </w:r>
          </w:p>
          <w:p w14:paraId="35D32CF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（5）已经作出处理决定，并且投诉人没有提出新的证据的；</w:t>
            </w:r>
          </w:p>
          <w:p w14:paraId="4FE91D9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val="en-US" w:eastAsia="zh-CN"/>
              </w:rPr>
              <w:t>（6）投诉事项应先提出异议没有提出异议、已进入行政复议或行政诉讼程序的。</w:t>
            </w:r>
          </w:p>
        </w:tc>
      </w:tr>
      <w:tr w14:paraId="0EAB11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AB7AE8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7.5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DEB4D3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技术成果经济补偿</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4631A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2"/>
                <w:sz w:val="21"/>
                <w:szCs w:val="21"/>
                <w:highlight w:val="none"/>
                <w:lang w:val="en-US" w:eastAsia="zh-CN" w:bidi="ar-SA"/>
              </w:rPr>
            </w:pPr>
            <w:permStart w:id="52" w:edGrp="everyone"/>
            <w:r>
              <w:rPr>
                <w:rFonts w:hint="default" w:ascii="Times New Roman" w:hAnsi="Times New Roman" w:cs="Times New Roman"/>
                <w:color w:val="auto"/>
                <w:szCs w:val="21"/>
                <w:highlight w:val="none"/>
                <w:lang w:val="en-US" w:eastAsia="zh-CN"/>
              </w:rPr>
              <w:t xml:space="preserve">不补偿 </w:t>
            </w:r>
            <w:permEnd w:id="52"/>
          </w:p>
        </w:tc>
      </w:tr>
      <w:tr w14:paraId="5904D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2B5D0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BA497C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10C4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14:paraId="489F18B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permStart w:id="53" w:edGrp="everyone"/>
            <w:r>
              <w:rPr>
                <w:rFonts w:hint="default" w:ascii="Times New Roman" w:hAnsi="Times New Roman" w:eastAsia="仿宋_GB2312" w:cs="Times New Roman"/>
                <w:color w:val="auto"/>
                <w:sz w:val="24"/>
                <w:szCs w:val="24"/>
                <w:lang w:val="en-US" w:eastAsia="zh-CN"/>
              </w:rPr>
              <w:sym w:font="Wingdings" w:char="00A8"/>
            </w:r>
            <w:r>
              <w:rPr>
                <w:rFonts w:hint="eastAsia" w:ascii="Times New Roman" w:hAnsi="Times New Roman" w:cs="Times New Roman"/>
                <w:color w:val="auto"/>
                <w:szCs w:val="21"/>
                <w:highlight w:val="none"/>
                <w:lang w:val="en-US" w:eastAsia="zh-CN"/>
              </w:rPr>
              <w:t>不要求</w:t>
            </w:r>
          </w:p>
          <w:p w14:paraId="1D2CC79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仿宋_GB2312" w:cs="Times New Roman"/>
                <w:color w:val="auto"/>
                <w:sz w:val="24"/>
                <w:szCs w:val="24"/>
                <w:lang w:val="en-US" w:eastAsia="zh-CN"/>
              </w:rPr>
              <w:sym w:font="Wingdings" w:char="00FE"/>
            </w:r>
            <w:r>
              <w:rPr>
                <w:rFonts w:hint="eastAsia" w:ascii="Times New Roman" w:hAnsi="Times New Roman" w:cs="Times New Roman"/>
                <w:color w:val="auto"/>
                <w:szCs w:val="21"/>
                <w:highlight w:val="none"/>
                <w:lang w:val="en-US" w:eastAsia="zh-CN"/>
              </w:rPr>
              <w:t>要求</w:t>
            </w:r>
          </w:p>
          <w:permEnd w:id="53"/>
          <w:p w14:paraId="697CA42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收</w:t>
            </w:r>
            <w:r>
              <w:rPr>
                <w:rFonts w:hint="default" w:ascii="Times New Roman" w:hAnsi="Times New Roman" w:cs="Times New Roman"/>
                <w:color w:val="auto"/>
                <w:szCs w:val="21"/>
                <w:highlight w:val="none"/>
              </w:rPr>
              <w:t>取履约保证金的账户信息：</w:t>
            </w:r>
          </w:p>
          <w:p w14:paraId="16CF5EB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开户名称：</w:t>
            </w:r>
            <w:r>
              <w:rPr>
                <w:rFonts w:hint="default" w:ascii="Times New Roman" w:hAnsi="Times New Roman" w:cs="Times New Roman"/>
                <w:color w:val="auto"/>
                <w:szCs w:val="21"/>
                <w:highlight w:val="none"/>
                <w:lang w:val="en-US" w:eastAsia="zh-CN"/>
              </w:rPr>
              <w:t>亳州通恒置业有限公司</w:t>
            </w:r>
          </w:p>
          <w:p w14:paraId="68149E5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开户银行：</w:t>
            </w:r>
            <w:r>
              <w:rPr>
                <w:rFonts w:hint="default" w:ascii="Times New Roman" w:hAnsi="Times New Roman" w:cs="Times New Roman"/>
                <w:color w:val="auto"/>
                <w:szCs w:val="21"/>
                <w:highlight w:val="none"/>
                <w:lang w:val="en-US" w:eastAsia="zh-CN"/>
              </w:rPr>
              <w:t>建行亳州市分行</w:t>
            </w:r>
          </w:p>
          <w:p w14:paraId="639DD4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银行账号：</w:t>
            </w:r>
            <w:r>
              <w:rPr>
                <w:rFonts w:hint="default" w:ascii="Times New Roman" w:hAnsi="Times New Roman" w:cs="Times New Roman"/>
                <w:color w:val="auto"/>
                <w:szCs w:val="21"/>
                <w:highlight w:val="none"/>
                <w:lang w:val="en-US" w:eastAsia="zh-CN"/>
              </w:rPr>
              <w:t>34050188860800002404</w:t>
            </w:r>
          </w:p>
          <w:p w14:paraId="59281E3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履约担保的形式：</w:t>
            </w:r>
            <w:permStart w:id="54" w:edGrp="everyone"/>
            <w:r>
              <w:rPr>
                <w:rFonts w:hint="default" w:ascii="Times New Roman" w:hAnsi="Times New Roman" w:cs="Times New Roman"/>
                <w:color w:val="auto"/>
                <w:szCs w:val="21"/>
                <w:highlight w:val="none"/>
              </w:rPr>
              <w:t>中标后，投标保证金自动转为履约保证金，履约保证金不足部分由中标人在收到中标通知书</w:t>
            </w:r>
            <w:r>
              <w:rPr>
                <w:rFonts w:hint="eastAsia" w:ascii="Times New Roman" w:hAnsi="Times New Roman" w:cs="Times New Roman"/>
                <w:color w:val="auto"/>
                <w:szCs w:val="21"/>
                <w:highlight w:val="none"/>
                <w:lang w:val="en-US" w:eastAsia="zh-CN"/>
              </w:rPr>
              <w:t>后</w:t>
            </w:r>
            <w:r>
              <w:rPr>
                <w:rFonts w:hint="default" w:ascii="Times New Roman" w:hAnsi="Times New Roman" w:cs="Times New Roman"/>
                <w:color w:val="auto"/>
                <w:szCs w:val="21"/>
                <w:highlight w:val="none"/>
              </w:rPr>
              <w:t>1</w:t>
            </w:r>
            <w:r>
              <w:rPr>
                <w:rFonts w:hint="eastAsia" w:ascii="Times New Roman" w:hAnsi="Times New Roman" w:cs="Times New Roman"/>
                <w:color w:val="auto"/>
                <w:szCs w:val="21"/>
                <w:highlight w:val="none"/>
                <w:lang w:val="en-US" w:eastAsia="zh-CN"/>
              </w:rPr>
              <w:t>0</w:t>
            </w:r>
            <w:r>
              <w:rPr>
                <w:rFonts w:hint="default" w:ascii="Times New Roman" w:hAnsi="Times New Roman" w:cs="Times New Roman"/>
                <w:color w:val="auto"/>
                <w:szCs w:val="21"/>
                <w:highlight w:val="none"/>
              </w:rPr>
              <w:t>日内从其基本账户开户行银行汇款。</w:t>
            </w:r>
            <w:permEnd w:id="54"/>
          </w:p>
          <w:p w14:paraId="25C85EC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yellow"/>
                <w:lang w:val="en-US" w:eastAsia="zh-CN"/>
              </w:rPr>
            </w:pPr>
            <w:r>
              <w:rPr>
                <w:rFonts w:hint="default" w:ascii="Times New Roman" w:hAnsi="Times New Roman" w:cs="Times New Roman"/>
                <w:color w:val="auto"/>
                <w:szCs w:val="21"/>
                <w:highlight w:val="none"/>
              </w:rPr>
              <w:t>履约担保的金额：</w:t>
            </w:r>
            <w:permStart w:id="55" w:edGrp="everyone"/>
            <w:r>
              <w:rPr>
                <w:rFonts w:hint="eastAsia" w:ascii="Times New Roman" w:hAnsi="Times New Roman" w:cs="Times New Roman"/>
                <w:b/>
                <w:bCs/>
                <w:color w:val="auto"/>
                <w:szCs w:val="21"/>
                <w:highlight w:val="none"/>
                <w:lang w:val="en-US" w:eastAsia="zh-CN"/>
              </w:rPr>
              <w:t>中标价款的10%</w:t>
            </w:r>
            <w:permEnd w:id="55"/>
          </w:p>
          <w:p w14:paraId="2B9B81D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 w:val="32"/>
                <w:szCs w:val="32"/>
                <w:highlight w:val="none"/>
              </w:rPr>
            </w:pPr>
            <w:r>
              <w:rPr>
                <w:rFonts w:hint="default" w:ascii="Times New Roman" w:hAnsi="Times New Roman" w:cs="Times New Roman"/>
                <w:color w:val="auto"/>
                <w:szCs w:val="21"/>
                <w:highlight w:val="none"/>
              </w:rPr>
              <w:t>履约保证金的退还：</w:t>
            </w:r>
            <w:permStart w:id="56" w:edGrp="everyone"/>
            <w:r>
              <w:rPr>
                <w:rFonts w:hint="default" w:ascii="Times New Roman" w:hAnsi="Times New Roman" w:cs="Times New Roman"/>
                <w:color w:val="auto"/>
                <w:szCs w:val="21"/>
                <w:highlight w:val="none"/>
              </w:rPr>
              <w:t>无违约行为发生或违约行为已处理的情况下</w:t>
            </w: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服务期满</w:t>
            </w:r>
            <w:r>
              <w:rPr>
                <w:rFonts w:hint="default" w:ascii="Times New Roman" w:hAnsi="Times New Roman" w:cs="Times New Roman"/>
                <w:color w:val="auto"/>
                <w:szCs w:val="21"/>
                <w:highlight w:val="none"/>
              </w:rPr>
              <w:t>后</w:t>
            </w:r>
            <w:r>
              <w:rPr>
                <w:rFonts w:hint="eastAsia" w:ascii="Times New Roman" w:hAnsi="Times New Roman" w:cs="Times New Roman"/>
                <w:color w:val="auto"/>
                <w:szCs w:val="21"/>
                <w:highlight w:val="none"/>
                <w:lang w:val="en-US" w:eastAsia="zh-CN"/>
              </w:rPr>
              <w:t>退</w:t>
            </w:r>
            <w:r>
              <w:rPr>
                <w:rFonts w:hint="default" w:ascii="Times New Roman" w:hAnsi="Times New Roman" w:cs="Times New Roman"/>
                <w:color w:val="auto"/>
                <w:szCs w:val="21"/>
                <w:highlight w:val="none"/>
              </w:rPr>
              <w:t>还</w:t>
            </w:r>
            <w:r>
              <w:rPr>
                <w:rFonts w:hint="eastAsia" w:ascii="Times New Roman" w:hAnsi="Times New Roman" w:cs="Times New Roman"/>
                <w:color w:val="auto"/>
                <w:szCs w:val="21"/>
                <w:highlight w:val="none"/>
                <w:lang w:val="en-US" w:eastAsia="zh-CN"/>
              </w:rPr>
              <w:t>全部</w:t>
            </w:r>
            <w:r>
              <w:rPr>
                <w:rFonts w:hint="default" w:ascii="Times New Roman" w:hAnsi="Times New Roman" w:cs="Times New Roman"/>
                <w:color w:val="auto"/>
                <w:szCs w:val="21"/>
                <w:highlight w:val="none"/>
              </w:rPr>
              <w:t>履约保证金（本金</w:t>
            </w:r>
            <w:r>
              <w:rPr>
                <w:rFonts w:hint="eastAsia" w:ascii="Times New Roman" w:hAnsi="Times New Roman" w:cs="Times New Roman"/>
                <w:color w:val="auto"/>
                <w:szCs w:val="21"/>
                <w:highlight w:val="none"/>
                <w:lang w:val="en-US" w:eastAsia="zh-CN"/>
              </w:rPr>
              <w:t>无息</w:t>
            </w:r>
            <w:r>
              <w:rPr>
                <w:rFonts w:hint="default" w:ascii="Times New Roman" w:hAnsi="Times New Roman" w:cs="Times New Roman"/>
                <w:color w:val="auto"/>
                <w:szCs w:val="21"/>
                <w:highlight w:val="none"/>
              </w:rPr>
              <w:t>）。</w:t>
            </w:r>
            <w:permEnd w:id="56"/>
          </w:p>
        </w:tc>
      </w:tr>
      <w:tr w14:paraId="72E4BE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58016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0D5D3A1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b/>
                <w:bCs/>
                <w:color w:val="auto"/>
                <w:szCs w:val="21"/>
                <w:highlight w:val="none"/>
                <w:lang w:val="en-US" w:eastAsia="zh-CN"/>
              </w:rPr>
              <w:t>需要补充的其他内容</w:t>
            </w:r>
          </w:p>
        </w:tc>
      </w:tr>
      <w:tr w14:paraId="4E2721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B163CA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74DC9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电子招标投标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E2840A1">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color w:val="auto"/>
                <w:sz w:val="24"/>
                <w:szCs w:val="24"/>
                <w:lang w:val="en-US" w:eastAsia="zh-CN"/>
              </w:rPr>
              <w:sym w:font="Wingdings" w:char="00FE"/>
            </w:r>
            <w:r>
              <w:rPr>
                <w:rFonts w:hint="default" w:ascii="Times New Roman" w:hAnsi="Times New Roman" w:cs="Times New Roman"/>
                <w:color w:val="auto"/>
                <w:szCs w:val="21"/>
                <w:highlight w:val="none"/>
              </w:rPr>
              <w:t>否</w:t>
            </w:r>
          </w:p>
        </w:tc>
      </w:tr>
      <w:tr w14:paraId="285A8F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8129B4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11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F57DF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804539">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14:paraId="2DA5D8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058FD0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11.2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40A68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不良行为记录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E511C10">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14:paraId="57C42ED7">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常见的供应商不良行为有：</w:t>
            </w:r>
          </w:p>
          <w:p w14:paraId="4CAD987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（一）无正当理由放弃中标、成交、入围的；</w:t>
            </w:r>
          </w:p>
          <w:p w14:paraId="103F5B61">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（二）在法定或约定期限内拒绝签订采购合同的；</w:t>
            </w:r>
          </w:p>
          <w:p w14:paraId="58C41822">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（三）非不可抗力原因不能履行采购合同的；</w:t>
            </w:r>
          </w:p>
          <w:p w14:paraId="402522B5">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（四）不按照招标文件、谈判文件、询价通知书要求提供履约担保的；</w:t>
            </w:r>
          </w:p>
          <w:p w14:paraId="30F49854">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（五）违法转包、分包的；</w:t>
            </w:r>
          </w:p>
          <w:p w14:paraId="4375D8C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（六）克扣、无故拖欠农民工工资报酬的；</w:t>
            </w:r>
          </w:p>
          <w:p w14:paraId="3562A2B2">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（七）提供虚假材料谋取中标、成交、入围的；</w:t>
            </w:r>
          </w:p>
          <w:p w14:paraId="129CCAF8">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（八）采取不正当手段诋毁、排挤其他供应商的；</w:t>
            </w:r>
          </w:p>
          <w:p w14:paraId="38317647">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（九）与其他采购参加人恶意串通的；</w:t>
            </w:r>
          </w:p>
          <w:p w14:paraId="7681726E">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（十）向集团工作人员及其他采购参加人行贿或者提供其他不正当利益的；</w:t>
            </w:r>
          </w:p>
          <w:p w14:paraId="4988A567">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（十一）在签订采购合同时提出附加条件的；</w:t>
            </w:r>
          </w:p>
          <w:p w14:paraId="6346FEA7">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（十二）进行虚假、恶意投诉的；</w:t>
            </w:r>
          </w:p>
          <w:p w14:paraId="0F6B0D0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（十三）在有关部门、子公司实施争议处理、监督检查、审计监督过程中拒绝配合、提供虚假情况或隐瞒真实情况的；</w:t>
            </w:r>
          </w:p>
          <w:p w14:paraId="2A014CDE">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cs="Times New Roman"/>
                <w:color w:val="auto"/>
                <w:szCs w:val="21"/>
                <w:highlight w:val="none"/>
              </w:rPr>
              <w:t>（十四）其他不良行为。</w:t>
            </w:r>
          </w:p>
        </w:tc>
      </w:tr>
      <w:tr w14:paraId="713F5F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E567E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7B4849F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r>
    </w:tbl>
    <w:p w14:paraId="04480CD3">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auto"/>
          <w:highlight w:val="none"/>
        </w:rPr>
      </w:pPr>
      <w:r>
        <w:rPr>
          <w:rFonts w:hint="eastAsia" w:ascii="黑体" w:hAnsi="黑体" w:eastAsia="黑体" w:cs="黑体"/>
          <w:color w:val="auto"/>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color w:val="auto"/>
          <w:lang w:eastAsia="zh-CN"/>
        </w:rPr>
      </w:pPr>
      <w:bookmarkStart w:id="16" w:name="_Toc152042305"/>
      <w:bookmarkStart w:id="17" w:name="_Toc152045529"/>
      <w:bookmarkStart w:id="18" w:name="_Toc296602420"/>
      <w:bookmarkStart w:id="19" w:name="_Toc246996175"/>
      <w:bookmarkStart w:id="20" w:name="_Toc144974497"/>
      <w:bookmarkStart w:id="21" w:name="_Toc179632546"/>
      <w:bookmarkStart w:id="22" w:name="_Toc247085689"/>
      <w:bookmarkStart w:id="23" w:name="_Toc246996918"/>
      <w:r>
        <w:rPr>
          <w:rFonts w:hint="eastAsia"/>
          <w:color w:val="auto"/>
          <w:lang w:val="en-US" w:eastAsia="zh-CN"/>
        </w:rPr>
        <w:t>一、说明</w:t>
      </w:r>
    </w:p>
    <w:p w14:paraId="6431DA3A">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lang w:val="en-US" w:eastAsia="zh-CN"/>
        </w:rPr>
      </w:pPr>
      <w:r>
        <w:rPr>
          <w:rFonts w:hint="eastAsia"/>
          <w:color w:val="auto"/>
          <w:lang w:val="en-US" w:eastAsia="zh-CN"/>
        </w:rPr>
        <w:t>1.项目描述</w:t>
      </w:r>
    </w:p>
    <w:p w14:paraId="24ED21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招标人计划将资金的一部分用于支付本次招标项目的合同款项</w:t>
      </w:r>
      <w:r>
        <w:rPr>
          <w:rFonts w:hint="eastAsia"/>
          <w:color w:val="auto"/>
          <w:lang w:eastAsia="zh-CN"/>
        </w:rPr>
        <w:t>。</w:t>
      </w:r>
    </w:p>
    <w:p w14:paraId="711EF0AF">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color w:val="auto"/>
          <w:lang w:val="en-US" w:eastAsia="zh-CN"/>
        </w:rPr>
      </w:pPr>
      <w:r>
        <w:rPr>
          <w:rFonts w:hint="eastAsia"/>
          <w:color w:val="auto"/>
          <w:lang w:val="en-US" w:eastAsia="zh-CN"/>
        </w:rPr>
        <w:t>2.招标方式</w:t>
      </w:r>
    </w:p>
    <w:p w14:paraId="0DEB17A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招标将以国内公开招标方式进行</w:t>
      </w:r>
      <w:r>
        <w:rPr>
          <w:rFonts w:hint="eastAsia"/>
          <w:color w:val="auto"/>
          <w:lang w:eastAsia="zh-CN"/>
        </w:rPr>
        <w:t>。</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3.</w:t>
      </w:r>
      <w:r>
        <w:rPr>
          <w:rFonts w:hint="eastAsia"/>
          <w:color w:val="auto"/>
        </w:rPr>
        <w:t>合格投标人</w:t>
      </w:r>
    </w:p>
    <w:p w14:paraId="76E05D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3.1</w:t>
      </w:r>
      <w:r>
        <w:rPr>
          <w:rFonts w:hint="eastAsia"/>
          <w:color w:val="auto"/>
        </w:rPr>
        <w:t>凡来自中华人民共和国或是与中华人民共和国有正常贸易往来的国家</w:t>
      </w:r>
      <w:r>
        <w:rPr>
          <w:rFonts w:hint="eastAsia"/>
          <w:color w:val="auto"/>
          <w:lang w:val="en-US" w:eastAsia="zh-CN"/>
        </w:rPr>
        <w:t>或地</w:t>
      </w:r>
      <w:r>
        <w:rPr>
          <w:rFonts w:hint="eastAsia"/>
          <w:color w:val="auto"/>
        </w:rPr>
        <w:t>区的获得一般纳税人的法人均为合格投标人</w:t>
      </w:r>
      <w:r>
        <w:rPr>
          <w:rFonts w:hint="eastAsia"/>
          <w:color w:val="auto"/>
          <w:lang w:eastAsia="zh-CN"/>
        </w:rPr>
        <w:t>。</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3.2投标人不得与本次招标项下编制设计、技术规格和其他文件的公司或提咨询服务的公司包括其附属机构有任何关联</w:t>
      </w:r>
      <w:r>
        <w:rPr>
          <w:rFonts w:hint="eastAsia"/>
          <w:color w:val="auto"/>
          <w:lang w:eastAsia="zh-CN"/>
        </w:rPr>
        <w:t>。</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3.3 投标人之间如果存在下列情形之一的</w:t>
      </w:r>
      <w:r>
        <w:rPr>
          <w:rFonts w:hint="eastAsia"/>
          <w:color w:val="auto"/>
          <w:lang w:eastAsia="zh-CN"/>
        </w:rPr>
        <w:t>，</w:t>
      </w:r>
      <w:r>
        <w:rPr>
          <w:rFonts w:hint="eastAsia"/>
          <w:color w:val="auto"/>
        </w:rPr>
        <w:t>不得同时参加本项目投标</w:t>
      </w:r>
      <w:r>
        <w:rPr>
          <w:rFonts w:hint="eastAsia"/>
          <w:color w:val="auto"/>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（1）与招标人存在利害关系且可能影响招标公正性</w:t>
      </w:r>
      <w:r>
        <w:rPr>
          <w:rFonts w:hint="eastAsia"/>
          <w:color w:val="auto"/>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w:t>
      </w:r>
      <w:r>
        <w:rPr>
          <w:rFonts w:hint="eastAsia"/>
          <w:color w:val="auto"/>
          <w:lang w:val="en-US" w:eastAsia="zh-CN"/>
        </w:rPr>
        <w:t>2</w:t>
      </w:r>
      <w:r>
        <w:rPr>
          <w:rFonts w:hint="eastAsia"/>
          <w:color w:val="auto"/>
        </w:rPr>
        <w:t>）与本招标项目的其他投标人为同一个法定代表人</w:t>
      </w:r>
      <w:r>
        <w:rPr>
          <w:rFonts w:hint="eastAsia"/>
          <w:color w:val="auto"/>
          <w:lang w:eastAsia="zh-CN"/>
        </w:rPr>
        <w:t>（</w:t>
      </w:r>
      <w:r>
        <w:rPr>
          <w:rFonts w:hint="eastAsia"/>
          <w:color w:val="auto"/>
        </w:rPr>
        <w:t>单位负责人</w:t>
      </w:r>
      <w:r>
        <w:rPr>
          <w:rFonts w:hint="eastAsia"/>
          <w:color w:val="auto"/>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w:t>
      </w:r>
      <w:r>
        <w:rPr>
          <w:rFonts w:hint="eastAsia"/>
          <w:color w:val="auto"/>
          <w:lang w:val="en-US" w:eastAsia="zh-CN"/>
        </w:rPr>
        <w:t>3</w:t>
      </w:r>
      <w:r>
        <w:rPr>
          <w:rFonts w:hint="eastAsia"/>
          <w:color w:val="auto"/>
        </w:rPr>
        <w:t>）与本招标项目的其他投标人存在控股、管理关系</w:t>
      </w:r>
      <w:r>
        <w:rPr>
          <w:rFonts w:hint="eastAsia"/>
          <w:color w:val="auto"/>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w:t>
      </w:r>
      <w:r>
        <w:rPr>
          <w:rFonts w:hint="eastAsia"/>
          <w:color w:val="auto"/>
          <w:lang w:val="en-US" w:eastAsia="zh-CN"/>
        </w:rPr>
        <w:t>4</w:t>
      </w:r>
      <w:r>
        <w:rPr>
          <w:rFonts w:hint="eastAsia"/>
          <w:color w:val="auto"/>
        </w:rPr>
        <w:t>）为本招标项目的招标代理机构</w:t>
      </w:r>
      <w:r>
        <w:rPr>
          <w:rFonts w:hint="eastAsia"/>
          <w:color w:val="auto"/>
          <w:lang w:eastAsia="zh-CN"/>
        </w:rPr>
        <w:t>；</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w:t>
      </w:r>
      <w:r>
        <w:rPr>
          <w:rFonts w:hint="eastAsia"/>
          <w:color w:val="auto"/>
          <w:lang w:val="en-US" w:eastAsia="zh-CN"/>
        </w:rPr>
        <w:t>5</w:t>
      </w:r>
      <w:r>
        <w:rPr>
          <w:rFonts w:hint="eastAsia"/>
          <w:color w:val="auto"/>
        </w:rPr>
        <w:t>）被责令停产停业、暂扣或者吊销许可证、暂扣或者吊销执照</w:t>
      </w:r>
      <w:r>
        <w:rPr>
          <w:rFonts w:hint="eastAsia"/>
          <w:color w:val="auto"/>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w:t>
      </w:r>
      <w:r>
        <w:rPr>
          <w:rFonts w:hint="eastAsia"/>
          <w:color w:val="auto"/>
          <w:lang w:val="en-US" w:eastAsia="zh-CN"/>
        </w:rPr>
        <w:t>6</w:t>
      </w:r>
      <w:r>
        <w:rPr>
          <w:rFonts w:hint="eastAsia"/>
          <w:color w:val="auto"/>
        </w:rPr>
        <w:t>）进入清算程序</w:t>
      </w:r>
      <w:r>
        <w:rPr>
          <w:rFonts w:hint="eastAsia"/>
          <w:color w:val="auto"/>
          <w:lang w:eastAsia="zh-CN"/>
        </w:rPr>
        <w:t>，</w:t>
      </w:r>
      <w:r>
        <w:rPr>
          <w:rFonts w:hint="eastAsia"/>
          <w:color w:val="auto"/>
        </w:rPr>
        <w:t>或被</w:t>
      </w:r>
      <w:r>
        <w:rPr>
          <w:rFonts w:hint="eastAsia"/>
          <w:color w:val="auto"/>
          <w:lang w:val="en-US" w:eastAsia="zh-CN"/>
        </w:rPr>
        <w:t>宣</w:t>
      </w:r>
      <w:r>
        <w:rPr>
          <w:rFonts w:hint="eastAsia"/>
          <w:color w:val="auto"/>
        </w:rPr>
        <w:t>告破产</w:t>
      </w:r>
      <w:r>
        <w:rPr>
          <w:rFonts w:hint="eastAsia"/>
          <w:color w:val="auto"/>
          <w:lang w:eastAsia="zh-CN"/>
        </w:rPr>
        <w:t>，</w:t>
      </w:r>
      <w:r>
        <w:rPr>
          <w:rFonts w:hint="eastAsia"/>
          <w:color w:val="auto"/>
        </w:rPr>
        <w:t>或其他丧失履约能力的情形</w:t>
      </w:r>
      <w:r>
        <w:rPr>
          <w:rFonts w:hint="eastAsia"/>
          <w:color w:val="auto"/>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w:t>
      </w:r>
      <w:r>
        <w:rPr>
          <w:rFonts w:hint="eastAsia"/>
          <w:color w:val="auto"/>
          <w:lang w:val="en-US" w:eastAsia="zh-CN"/>
        </w:rPr>
        <w:t>7</w:t>
      </w:r>
      <w:r>
        <w:rPr>
          <w:rFonts w:hint="eastAsia"/>
          <w:color w:val="auto"/>
        </w:rPr>
        <w:t>）法律法规或投标人须知前附表及招标公告规定的其他情形</w:t>
      </w:r>
      <w:r>
        <w:rPr>
          <w:rFonts w:hint="eastAsia"/>
          <w:color w:val="auto"/>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4.</w:t>
      </w:r>
      <w:r>
        <w:rPr>
          <w:rFonts w:hint="eastAsia"/>
          <w:color w:val="auto"/>
        </w:rPr>
        <w:t>投标费用</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投标人应承担所有与准备和参加投标有关的费用</w:t>
      </w:r>
      <w:r>
        <w:rPr>
          <w:rFonts w:hint="eastAsia"/>
          <w:color w:val="auto"/>
          <w:lang w:eastAsia="zh-CN"/>
        </w:rPr>
        <w:t>。</w:t>
      </w:r>
      <w:r>
        <w:rPr>
          <w:rFonts w:hint="eastAsia"/>
          <w:color w:val="auto"/>
        </w:rPr>
        <w:t>无论投标的结果如何</w:t>
      </w:r>
      <w:r>
        <w:rPr>
          <w:rFonts w:hint="eastAsia"/>
          <w:color w:val="auto"/>
          <w:lang w:eastAsia="zh-CN"/>
        </w:rPr>
        <w:t>，</w:t>
      </w:r>
      <w:r>
        <w:rPr>
          <w:rFonts w:hint="eastAsia"/>
          <w:color w:val="auto"/>
        </w:rPr>
        <w:t>或项目因故取消</w:t>
      </w:r>
      <w:r>
        <w:rPr>
          <w:rFonts w:hint="eastAsia"/>
          <w:color w:val="auto"/>
          <w:lang w:eastAsia="zh-CN"/>
        </w:rPr>
        <w:t>，</w:t>
      </w:r>
      <w:r>
        <w:rPr>
          <w:rFonts w:hint="eastAsia"/>
          <w:color w:val="auto"/>
        </w:rPr>
        <w:t>招标人和招标代理机构对上述费用不承担任何责任和义务</w:t>
      </w:r>
      <w:r>
        <w:rPr>
          <w:rFonts w:hint="eastAsia"/>
          <w:color w:val="auto"/>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5</w:t>
      </w:r>
      <w:r>
        <w:rPr>
          <w:rFonts w:hint="eastAsia"/>
          <w:color w:val="auto"/>
        </w:rPr>
        <w:t>.保密</w:t>
      </w:r>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rPr>
      </w:pPr>
      <w:r>
        <w:rPr>
          <w:rFonts w:hint="eastAsia"/>
          <w:color w:val="auto"/>
        </w:rPr>
        <w:t>参与招标投标活动的各方应对招标文件和投标文件中的商业和技术等秘密保密，违者应对由此造成的后果承担法律责任</w:t>
      </w:r>
      <w:r>
        <w:rPr>
          <w:rFonts w:hint="eastAsia"/>
          <w:color w:val="auto"/>
          <w:lang w:eastAsia="zh-CN"/>
        </w:rPr>
        <w:t>。</w:t>
      </w:r>
      <w:r>
        <w:rPr>
          <w:rFonts w:hint="eastAsia"/>
          <w:color w:val="auto"/>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6</w:t>
      </w:r>
      <w:r>
        <w:rPr>
          <w:rFonts w:hint="eastAsia"/>
          <w:color w:val="auto"/>
        </w:rPr>
        <w:t>.语言文字</w:t>
      </w:r>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招标投标文件使用的语言文字为中文</w:t>
      </w:r>
      <w:r>
        <w:rPr>
          <w:rFonts w:hint="eastAsia"/>
          <w:color w:val="auto"/>
          <w:lang w:eastAsia="zh-CN"/>
        </w:rPr>
        <w:t>。</w:t>
      </w:r>
      <w:r>
        <w:rPr>
          <w:rFonts w:hint="eastAsia"/>
          <w:color w:val="auto"/>
        </w:rPr>
        <w:t>专用术语使用外文的，应附有中文注释</w:t>
      </w:r>
      <w:r>
        <w:rPr>
          <w:rFonts w:hint="eastAsia"/>
          <w:color w:val="auto"/>
          <w:lang w:eastAsia="zh-CN"/>
        </w:rPr>
        <w:t>。</w:t>
      </w:r>
    </w:p>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二</w:t>
      </w:r>
      <w:r>
        <w:rPr>
          <w:rFonts w:hint="eastAsia"/>
          <w:color w:val="auto"/>
          <w:lang w:eastAsia="zh-CN"/>
        </w:rPr>
        <w:t>、</w:t>
      </w:r>
      <w:r>
        <w:rPr>
          <w:rFonts w:hint="eastAsia"/>
          <w:color w:val="auto"/>
        </w:rPr>
        <w:t>招标文件</w:t>
      </w:r>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lang w:eastAsia="zh-CN"/>
        </w:rPr>
      </w:pPr>
      <w:r>
        <w:rPr>
          <w:rFonts w:hint="eastAsia"/>
          <w:color w:val="auto"/>
          <w:lang w:val="en-US" w:eastAsia="zh-CN"/>
        </w:rPr>
        <w:t>7.</w:t>
      </w:r>
      <w:r>
        <w:rPr>
          <w:rFonts w:hint="eastAsia"/>
          <w:color w:val="auto"/>
        </w:rPr>
        <w:t>招标文件的组成</w:t>
      </w:r>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投标人应检查招标文件中所有的须知、格式、条款、技术规格和其他资料</w:t>
      </w:r>
      <w:r>
        <w:rPr>
          <w:rFonts w:hint="eastAsia"/>
          <w:color w:val="auto"/>
          <w:lang w:eastAsia="zh-CN"/>
        </w:rPr>
        <w:t>。</w:t>
      </w:r>
      <w:r>
        <w:rPr>
          <w:rFonts w:hint="eastAsia"/>
          <w:color w:val="auto"/>
        </w:rPr>
        <w:t>如果投标人没有按照招标文件的要求提交全部资料，或者提交的资料没有对招标文件在各方面作出实质性响应</w:t>
      </w:r>
      <w:r>
        <w:rPr>
          <w:rFonts w:hint="eastAsia"/>
          <w:color w:val="auto"/>
          <w:lang w:eastAsia="zh-CN"/>
        </w:rPr>
        <w:t>，</w:t>
      </w:r>
      <w:r>
        <w:rPr>
          <w:rFonts w:hint="eastAsia"/>
          <w:color w:val="auto"/>
        </w:rPr>
        <w:t>可能导致其投标被拒绝</w:t>
      </w:r>
      <w:r>
        <w:rPr>
          <w:rFonts w:hint="eastAsia"/>
          <w:color w:val="auto"/>
          <w:lang w:eastAsia="zh-CN"/>
        </w:rPr>
        <w:t>，</w:t>
      </w:r>
      <w:r>
        <w:rPr>
          <w:rFonts w:hint="eastAsia"/>
          <w:color w:val="auto"/>
        </w:rPr>
        <w:t>该风险由投标人承担</w:t>
      </w:r>
      <w:r>
        <w:rPr>
          <w:rFonts w:hint="eastAsia"/>
          <w:color w:val="auto"/>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8.</w:t>
      </w:r>
      <w:r>
        <w:rPr>
          <w:rFonts w:hint="eastAsia"/>
          <w:color w:val="auto"/>
        </w:rPr>
        <w:t xml:space="preserve">招标文件的澄清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8.1</w:t>
      </w:r>
      <w:r>
        <w:rPr>
          <w:rFonts w:hint="eastAsia"/>
          <w:color w:val="auto"/>
        </w:rPr>
        <w:t>投标人要求对招标文件进行澄清的</w:t>
      </w:r>
      <w:r>
        <w:rPr>
          <w:rFonts w:hint="eastAsia"/>
          <w:color w:val="auto"/>
          <w:lang w:eastAsia="zh-CN"/>
        </w:rPr>
        <w:t>，</w:t>
      </w:r>
      <w:r>
        <w:rPr>
          <w:rFonts w:hint="eastAsia"/>
          <w:color w:val="auto"/>
        </w:rPr>
        <w:t>应以书面或扫描电邮方式通知招标人/招标代理机构</w:t>
      </w:r>
      <w:r>
        <w:rPr>
          <w:rFonts w:hint="eastAsia"/>
          <w:color w:val="auto"/>
          <w:lang w:eastAsia="zh-CN"/>
        </w:rPr>
        <w:t>。</w:t>
      </w:r>
      <w:r>
        <w:rPr>
          <w:rFonts w:hint="eastAsia"/>
          <w:color w:val="auto"/>
        </w:rPr>
        <w:t>对前附表规定的时间以前收到的对招标文件的澄清要求</w:t>
      </w:r>
      <w:r>
        <w:rPr>
          <w:rFonts w:hint="eastAsia"/>
          <w:color w:val="auto"/>
          <w:lang w:eastAsia="zh-CN"/>
        </w:rPr>
        <w:t>，</w:t>
      </w:r>
      <w:r>
        <w:rPr>
          <w:rFonts w:hint="eastAsia"/>
          <w:color w:val="auto"/>
        </w:rPr>
        <w:t>招标人/招标代理机构予以答复</w:t>
      </w:r>
      <w:r>
        <w:rPr>
          <w:rFonts w:hint="eastAsia"/>
          <w:color w:val="auto"/>
          <w:lang w:eastAsia="zh-CN"/>
        </w:rPr>
        <w:t>。</w:t>
      </w:r>
      <w:r>
        <w:rPr>
          <w:rFonts w:hint="eastAsia"/>
          <w:color w:val="auto"/>
        </w:rPr>
        <w:t>投标人应当在投标截止时间之前自行查看</w:t>
      </w:r>
      <w:r>
        <w:rPr>
          <w:rFonts w:hint="eastAsia"/>
          <w:color w:val="auto"/>
          <w:lang w:eastAsia="zh-CN"/>
        </w:rPr>
        <w:t>，</w:t>
      </w:r>
      <w:r>
        <w:rPr>
          <w:rFonts w:hint="eastAsia"/>
          <w:color w:val="auto"/>
        </w:rPr>
        <w:t>如有遗漏</w:t>
      </w:r>
      <w:r>
        <w:rPr>
          <w:rFonts w:hint="eastAsia"/>
          <w:color w:val="auto"/>
          <w:lang w:eastAsia="zh-CN"/>
        </w:rPr>
        <w:t>，</w:t>
      </w:r>
      <w:r>
        <w:rPr>
          <w:rFonts w:hint="eastAsia"/>
          <w:color w:val="auto"/>
        </w:rPr>
        <w:t>投标人自行承担责任</w:t>
      </w:r>
      <w:r>
        <w:rPr>
          <w:rFonts w:hint="eastAsia"/>
          <w:color w:val="auto"/>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color w:val="auto"/>
          <w:sz w:val="32"/>
          <w:szCs w:val="32"/>
        </w:rPr>
      </w:pPr>
      <w:r>
        <w:rPr>
          <w:rFonts w:hint="eastAsia"/>
          <w:color w:val="auto"/>
          <w:lang w:val="en-US" w:eastAsia="zh-CN"/>
        </w:rPr>
        <w:t>8</w:t>
      </w:r>
      <w:r>
        <w:rPr>
          <w:rFonts w:hint="eastAsia"/>
          <w:color w:val="auto"/>
        </w:rPr>
        <w:t>.2投标人要求对招标文件的澄清必须在投标人须知前附表规定的时间内提出</w:t>
      </w:r>
      <w:r>
        <w:rPr>
          <w:rFonts w:hint="eastAsia"/>
          <w:color w:val="auto"/>
          <w:lang w:eastAsia="zh-CN"/>
        </w:rPr>
        <w:t>。</w:t>
      </w:r>
      <w:r>
        <w:rPr>
          <w:rFonts w:hint="eastAsia"/>
          <w:color w:val="auto"/>
        </w:rPr>
        <w:t>招标人/招标代理机构有权不接收逾期提出的异议</w:t>
      </w:r>
      <w:r>
        <w:rPr>
          <w:rFonts w:hint="eastAsia"/>
          <w:color w:val="auto"/>
          <w:lang w:eastAsia="zh-CN"/>
        </w:rPr>
        <w:t>。</w:t>
      </w:r>
      <w:r>
        <w:rPr>
          <w:rFonts w:hint="eastAsia" w:ascii="方正仿宋_GB2312" w:hAnsi="方正仿宋_GB2312" w:eastAsia="方正仿宋_GB2312"/>
          <w:color w:val="auto"/>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9.</w:t>
      </w:r>
      <w:r>
        <w:rPr>
          <w:rFonts w:hint="eastAsia"/>
          <w:color w:val="auto"/>
        </w:rPr>
        <w:t>招标文件的修改</w:t>
      </w:r>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9.1招标人或招标代理机构可以因任何原因</w:t>
      </w:r>
      <w:r>
        <w:rPr>
          <w:rFonts w:hint="eastAsia"/>
          <w:color w:val="auto"/>
          <w:lang w:eastAsia="zh-CN"/>
        </w:rPr>
        <w:t>，</w:t>
      </w:r>
      <w:r>
        <w:rPr>
          <w:rFonts w:hint="eastAsia"/>
          <w:color w:val="auto"/>
        </w:rPr>
        <w:t>在投标截止期前对招标文件进行修改</w:t>
      </w:r>
      <w:r>
        <w:rPr>
          <w:rFonts w:hint="eastAsia"/>
          <w:color w:val="auto"/>
          <w:lang w:eastAsia="zh-CN"/>
        </w:rPr>
        <w:t>，</w:t>
      </w:r>
      <w:r>
        <w:rPr>
          <w:rFonts w:hint="eastAsia"/>
          <w:color w:val="auto"/>
        </w:rPr>
        <w:t>并通知所有获取招标文件的投标人</w:t>
      </w:r>
      <w:r>
        <w:rPr>
          <w:rFonts w:hint="eastAsia"/>
          <w:color w:val="auto"/>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9.2招标文件的修改内容将作为招标文件的组成部分</w:t>
      </w:r>
      <w:r>
        <w:rPr>
          <w:rFonts w:hint="eastAsia"/>
          <w:color w:val="auto"/>
          <w:lang w:eastAsia="zh-CN"/>
        </w:rPr>
        <w:t>，</w:t>
      </w:r>
      <w:r>
        <w:rPr>
          <w:rFonts w:hint="eastAsia"/>
          <w:color w:val="auto"/>
        </w:rPr>
        <w:t>对投标人具有同样约束力</w:t>
      </w:r>
      <w:r>
        <w:rPr>
          <w:rFonts w:hint="eastAsia"/>
          <w:color w:val="auto"/>
          <w:lang w:eastAsia="zh-CN"/>
        </w:rPr>
        <w:t>。</w:t>
      </w:r>
      <w:r>
        <w:rPr>
          <w:rFonts w:hint="eastAsia"/>
          <w:color w:val="auto"/>
        </w:rPr>
        <w:t>当招标文件的答疑、澄清、变更、通知或补充等在同一内容的表述上不一致时以最后发出的书面文件为准</w:t>
      </w:r>
      <w:r>
        <w:rPr>
          <w:rFonts w:hint="eastAsia"/>
          <w:color w:val="auto"/>
          <w:lang w:eastAsia="zh-CN"/>
        </w:rPr>
        <w:t>。</w:t>
      </w:r>
      <w:r>
        <w:rPr>
          <w:rFonts w:hint="eastAsia"/>
          <w:color w:val="auto"/>
        </w:rPr>
        <w:t>投标人应主动查询</w:t>
      </w:r>
      <w:r>
        <w:rPr>
          <w:rFonts w:hint="eastAsia"/>
          <w:color w:val="auto"/>
          <w:lang w:eastAsia="zh-CN"/>
        </w:rPr>
        <w:t>。</w:t>
      </w:r>
      <w:r>
        <w:rPr>
          <w:rFonts w:hint="eastAsia"/>
          <w:color w:val="auto"/>
        </w:rPr>
        <w:t>招标人/招标代理机构不承担投标人未及时关注相关信息引发的相关责任</w:t>
      </w:r>
      <w:r>
        <w:rPr>
          <w:rFonts w:hint="eastAsia"/>
          <w:color w:val="auto"/>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9.3招标文件的修改应考虑给予投标人合理的时间制作相应的投标文件</w:t>
      </w:r>
      <w:r>
        <w:rPr>
          <w:rFonts w:hint="eastAsia"/>
          <w:color w:val="auto"/>
          <w:lang w:eastAsia="zh-CN"/>
        </w:rPr>
        <w:t>。</w:t>
      </w:r>
      <w:r>
        <w:rPr>
          <w:rFonts w:hint="eastAsia"/>
          <w:color w:val="auto"/>
        </w:rPr>
        <w:t>招标人/招标代理机构可酌情延长投标截止日期</w:t>
      </w:r>
      <w:r>
        <w:rPr>
          <w:rFonts w:hint="eastAsia"/>
          <w:color w:val="auto"/>
          <w:lang w:eastAsia="zh-CN"/>
        </w:rPr>
        <w:t>，</w:t>
      </w:r>
      <w:r>
        <w:rPr>
          <w:rFonts w:hint="eastAsia"/>
          <w:color w:val="auto"/>
        </w:rPr>
        <w:t>并通知招标文件</w:t>
      </w:r>
      <w:r>
        <w:rPr>
          <w:rFonts w:hint="eastAsia"/>
          <w:color w:val="auto"/>
          <w:lang w:val="en-US" w:eastAsia="zh-CN"/>
        </w:rPr>
        <w:t>获取</w:t>
      </w:r>
      <w:r>
        <w:rPr>
          <w:rFonts w:hint="eastAsia"/>
          <w:color w:val="auto"/>
        </w:rPr>
        <w:t>人</w:t>
      </w:r>
      <w:r>
        <w:rPr>
          <w:rFonts w:hint="eastAsia"/>
          <w:color w:val="auto"/>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三、</w:t>
      </w:r>
      <w:r>
        <w:rPr>
          <w:rFonts w:hint="eastAsia"/>
          <w:color w:val="auto"/>
        </w:rPr>
        <w:t>投标文件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color w:val="auto"/>
        </w:rPr>
      </w:pPr>
      <w:r>
        <w:rPr>
          <w:rFonts w:hint="eastAsia"/>
          <w:color w:val="auto"/>
          <w:lang w:val="en-US" w:eastAsia="zh-CN"/>
        </w:rPr>
        <w:t>10.</w:t>
      </w:r>
      <w:r>
        <w:rPr>
          <w:rFonts w:hint="eastAsia"/>
          <w:color w:val="auto"/>
        </w:rPr>
        <w:t>投标文件的</w:t>
      </w:r>
      <w:r>
        <w:rPr>
          <w:rFonts w:hint="eastAsia"/>
          <w:color w:val="auto"/>
          <w:lang w:val="en-US" w:eastAsia="zh-CN"/>
        </w:rPr>
        <w:t>构</w:t>
      </w:r>
      <w:r>
        <w:rPr>
          <w:rFonts w:hint="eastAsia"/>
          <w:color w:val="auto"/>
        </w:rPr>
        <w:t>成</w:t>
      </w:r>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rPr>
        <w:t>10.</w:t>
      </w:r>
      <w:r>
        <w:rPr>
          <w:rFonts w:hint="eastAsia"/>
          <w:color w:val="auto"/>
          <w:lang w:val="en-US" w:eastAsia="zh-CN"/>
        </w:rPr>
        <w:t>1</w:t>
      </w:r>
      <w:r>
        <w:rPr>
          <w:rFonts w:hint="eastAsia"/>
          <w:color w:val="auto"/>
        </w:rPr>
        <w:t>投标文件的构成</w:t>
      </w:r>
      <w:r>
        <w:rPr>
          <w:rFonts w:hint="eastAsia"/>
          <w:color w:val="auto"/>
          <w:lang w:eastAsia="zh-CN"/>
        </w:rPr>
        <w:t>：</w:t>
      </w:r>
      <w:r>
        <w:rPr>
          <w:rFonts w:hint="eastAsia"/>
          <w:color w:val="auto"/>
        </w:rPr>
        <w:t>投标方应按照</w:t>
      </w:r>
      <w:r>
        <w:rPr>
          <w:rFonts w:hint="eastAsia"/>
          <w:color w:val="auto"/>
          <w:lang w:val="en-US" w:eastAsia="zh-CN"/>
        </w:rPr>
        <w:t>第八</w:t>
      </w:r>
      <w:r>
        <w:rPr>
          <w:rFonts w:hint="eastAsia"/>
          <w:color w:val="auto"/>
        </w:rPr>
        <w:t>章所述投标文件格式的要求装订并连续编写页码</w:t>
      </w:r>
      <w:r>
        <w:rPr>
          <w:rFonts w:hint="eastAsia"/>
          <w:color w:val="auto"/>
          <w:lang w:eastAsia="zh-CN"/>
        </w:rPr>
        <w:t>，</w:t>
      </w:r>
      <w:r>
        <w:rPr>
          <w:rFonts w:hint="eastAsia"/>
          <w:color w:val="auto"/>
        </w:rPr>
        <w:t>认真按照格式填写全部内容</w:t>
      </w:r>
      <w:r>
        <w:rPr>
          <w:rFonts w:hint="eastAsia"/>
          <w:color w:val="auto"/>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rPr>
        <w:t>注</w:t>
      </w:r>
      <w:r>
        <w:rPr>
          <w:rFonts w:hint="eastAsia"/>
          <w:color w:val="auto"/>
          <w:lang w:eastAsia="zh-CN"/>
        </w:rPr>
        <w:t>：</w:t>
      </w:r>
      <w:r>
        <w:rPr>
          <w:rFonts w:hint="eastAsia"/>
          <w:color w:val="auto"/>
        </w:rPr>
        <w:t>投标文件如未按照本条要求提供相应材料可能导致其投标被否决</w:t>
      </w:r>
      <w:r>
        <w:rPr>
          <w:rFonts w:hint="eastAsia"/>
          <w:color w:val="auto"/>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rPr>
        <w:t>10</w:t>
      </w:r>
      <w:r>
        <w:rPr>
          <w:rFonts w:hint="eastAsia"/>
          <w:color w:val="auto"/>
          <w:lang w:val="en-US" w:eastAsia="zh-CN"/>
        </w:rPr>
        <w:t>.</w:t>
      </w:r>
      <w:r>
        <w:rPr>
          <w:rFonts w:hint="eastAsia"/>
          <w:color w:val="auto"/>
        </w:rPr>
        <w:t>2如投标人无详细说明对招标文件的商务和技术不响应或者没有填写商务技术偏离表</w:t>
      </w:r>
      <w:r>
        <w:rPr>
          <w:rFonts w:hint="eastAsia"/>
          <w:color w:val="auto"/>
          <w:lang w:eastAsia="zh-CN"/>
        </w:rPr>
        <w:t>，</w:t>
      </w:r>
      <w:r>
        <w:rPr>
          <w:rFonts w:hint="eastAsia"/>
          <w:color w:val="auto"/>
        </w:rPr>
        <w:t>则视为投标人默认响应招标文件的商务和技术全部要求</w:t>
      </w:r>
      <w:r>
        <w:rPr>
          <w:rFonts w:hint="eastAsia"/>
          <w:color w:val="auto"/>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rPr>
        <w:t>10</w:t>
      </w:r>
      <w:r>
        <w:rPr>
          <w:rFonts w:hint="eastAsia"/>
          <w:color w:val="auto"/>
          <w:lang w:eastAsia="zh-CN"/>
        </w:rPr>
        <w:t>.</w:t>
      </w:r>
      <w:r>
        <w:rPr>
          <w:rFonts w:hint="eastAsia"/>
          <w:color w:val="auto"/>
        </w:rPr>
        <w:t>3所提供的全部文件应是真实的、可靠的、在有效期内的</w:t>
      </w:r>
      <w:r>
        <w:rPr>
          <w:rFonts w:hint="eastAsia"/>
          <w:color w:val="auto"/>
          <w:lang w:eastAsia="zh-CN"/>
        </w:rPr>
        <w:t>。</w:t>
      </w:r>
      <w:r>
        <w:rPr>
          <w:rFonts w:hint="eastAsia"/>
          <w:color w:val="auto"/>
        </w:rPr>
        <w:t>如经审查有行为的</w:t>
      </w:r>
      <w:r>
        <w:rPr>
          <w:rFonts w:hint="eastAsia"/>
          <w:color w:val="auto"/>
          <w:lang w:eastAsia="zh-CN"/>
        </w:rPr>
        <w:t>，</w:t>
      </w:r>
      <w:r>
        <w:rPr>
          <w:rFonts w:hint="eastAsia"/>
          <w:color w:val="auto"/>
        </w:rPr>
        <w:t>视其投标无效并不予退还投标担保</w:t>
      </w:r>
      <w:r>
        <w:rPr>
          <w:rFonts w:hint="eastAsia"/>
          <w:color w:val="auto"/>
          <w:lang w:eastAsia="zh-CN"/>
        </w:rPr>
        <w:t>。</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rPr>
        <w:t>10.4不接受电话、传真等形式的投标</w:t>
      </w:r>
      <w:r>
        <w:rPr>
          <w:rFonts w:hint="eastAsia"/>
          <w:color w:val="auto"/>
          <w:lang w:eastAsia="zh-CN"/>
        </w:rPr>
        <w:t>，</w:t>
      </w:r>
      <w:r>
        <w:rPr>
          <w:rFonts w:hint="eastAsia"/>
          <w:color w:val="auto"/>
        </w:rPr>
        <w:t>投标文件不退回</w:t>
      </w:r>
      <w:r>
        <w:rPr>
          <w:rFonts w:hint="eastAsia"/>
          <w:color w:val="auto"/>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color w:val="auto"/>
          <w:sz w:val="21"/>
          <w:szCs w:val="21"/>
          <w:lang w:eastAsia="zh-CN"/>
        </w:rPr>
      </w:pPr>
      <w:r>
        <w:rPr>
          <w:rFonts w:hint="eastAsia"/>
          <w:color w:val="auto"/>
          <w:lang w:val="en-US" w:eastAsia="zh-CN"/>
        </w:rPr>
        <w:t>11.</w:t>
      </w:r>
      <w:r>
        <w:rPr>
          <w:rFonts w:hint="eastAsia"/>
          <w:color w:val="auto"/>
        </w:rPr>
        <w:t>投标</w:t>
      </w:r>
      <w:r>
        <w:rPr>
          <w:rFonts w:hint="eastAsia"/>
          <w:color w:val="auto"/>
          <w:lang w:val="en-US" w:eastAsia="zh-CN"/>
        </w:rPr>
        <w:t>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11.1根据招标文件规定的供货和责任范围</w:t>
      </w:r>
      <w:r>
        <w:rPr>
          <w:rFonts w:hint="eastAsia"/>
          <w:color w:val="auto"/>
          <w:lang w:eastAsia="zh-CN"/>
        </w:rPr>
        <w:t>，</w:t>
      </w:r>
      <w:r>
        <w:rPr>
          <w:rFonts w:hint="eastAsia"/>
          <w:color w:val="auto"/>
        </w:rPr>
        <w:t>投标人的报价应包含所投服务、</w:t>
      </w:r>
      <w:r>
        <w:rPr>
          <w:rFonts w:hint="eastAsia"/>
          <w:color w:val="auto"/>
          <w:lang w:val="en-US" w:eastAsia="zh-CN"/>
        </w:rPr>
        <w:t>保</w:t>
      </w:r>
      <w:r>
        <w:rPr>
          <w:rFonts w:hint="eastAsia"/>
          <w:color w:val="auto"/>
        </w:rPr>
        <w:t>险、税费、免费后续服务等工作所发生的一切应有费用</w:t>
      </w:r>
      <w:r>
        <w:rPr>
          <w:rFonts w:hint="eastAsia"/>
          <w:color w:val="auto"/>
          <w:lang w:eastAsia="zh-CN"/>
        </w:rPr>
        <w:t>。</w:t>
      </w:r>
      <w:r>
        <w:rPr>
          <w:rFonts w:hint="eastAsia"/>
          <w:color w:val="auto"/>
        </w:rPr>
        <w:t>投标报价为签订合同的依据投标人应按开标一览表和分项价格表指定的格式报出现场交货的人民币分项价格总价</w:t>
      </w:r>
      <w:r>
        <w:rPr>
          <w:rFonts w:hint="eastAsia"/>
          <w:color w:val="auto"/>
          <w:lang w:eastAsia="zh-CN"/>
        </w:rPr>
        <w:t>，</w:t>
      </w:r>
      <w:r>
        <w:rPr>
          <w:rFonts w:hint="eastAsia"/>
          <w:color w:val="auto"/>
        </w:rPr>
        <w:t>如分项报价中存在缺漏项</w:t>
      </w:r>
      <w:r>
        <w:rPr>
          <w:rFonts w:hint="eastAsia"/>
          <w:color w:val="auto"/>
          <w:lang w:eastAsia="zh-CN"/>
        </w:rPr>
        <w:t>，</w:t>
      </w:r>
      <w:r>
        <w:rPr>
          <w:rFonts w:hint="eastAsia"/>
          <w:color w:val="auto"/>
        </w:rPr>
        <w:t>则视为缺漏项价格已包含在其他分项报价之中</w:t>
      </w:r>
      <w:r>
        <w:rPr>
          <w:rFonts w:hint="eastAsia"/>
          <w:color w:val="auto"/>
          <w:lang w:eastAsia="zh-CN"/>
        </w:rPr>
        <w:t>。</w:t>
      </w:r>
      <w:r>
        <w:rPr>
          <w:rFonts w:hint="eastAsia"/>
          <w:color w:val="auto"/>
        </w:rPr>
        <w:t>投标人不接受此种修正</w:t>
      </w:r>
      <w:r>
        <w:rPr>
          <w:rFonts w:hint="eastAsia"/>
          <w:color w:val="auto"/>
          <w:lang w:eastAsia="zh-CN"/>
        </w:rPr>
        <w:t>，</w:t>
      </w:r>
      <w:r>
        <w:rPr>
          <w:rFonts w:hint="eastAsia"/>
          <w:color w:val="auto"/>
        </w:rPr>
        <w:t>评标委员会有权否决其投标</w:t>
      </w:r>
      <w:r>
        <w:rPr>
          <w:rFonts w:hint="eastAsia"/>
          <w:color w:val="auto"/>
          <w:lang w:eastAsia="zh-CN"/>
        </w:rPr>
        <w:t>（</w:t>
      </w:r>
      <w:r>
        <w:rPr>
          <w:rFonts w:hint="eastAsia"/>
          <w:color w:val="auto"/>
        </w:rPr>
        <w:t>免费赠送部分除外</w:t>
      </w:r>
      <w:r>
        <w:rPr>
          <w:rFonts w:hint="eastAsia"/>
          <w:color w:val="auto"/>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11.2投标人应按照招标文件规定的商务、合同和技术责任进行报价</w:t>
      </w:r>
      <w:r>
        <w:rPr>
          <w:rFonts w:hint="eastAsia"/>
          <w:color w:val="auto"/>
          <w:lang w:eastAsia="zh-CN"/>
        </w:rPr>
        <w:t>。</w:t>
      </w:r>
      <w:r>
        <w:rPr>
          <w:rFonts w:hint="eastAsia"/>
          <w:color w:val="auto"/>
        </w:rPr>
        <w:t>如投标作出商务和技术的偏离</w:t>
      </w:r>
      <w:r>
        <w:rPr>
          <w:rFonts w:hint="eastAsia"/>
          <w:color w:val="auto"/>
          <w:lang w:eastAsia="zh-CN"/>
        </w:rPr>
        <w:t>，</w:t>
      </w:r>
      <w:r>
        <w:rPr>
          <w:rFonts w:hint="eastAsia"/>
          <w:color w:val="auto"/>
        </w:rPr>
        <w:t>应在相应偏离表中列出</w:t>
      </w:r>
      <w:r>
        <w:rPr>
          <w:rFonts w:hint="eastAsia"/>
          <w:color w:val="auto"/>
          <w:lang w:eastAsia="zh-CN"/>
        </w:rPr>
        <w:t>，</w:t>
      </w:r>
      <w:r>
        <w:rPr>
          <w:rFonts w:hint="eastAsia"/>
          <w:color w:val="auto"/>
        </w:rPr>
        <w:t>并提供由于偏离所引起的价格差异</w:t>
      </w:r>
      <w:r>
        <w:rPr>
          <w:rFonts w:hint="eastAsia"/>
          <w:color w:val="auto"/>
          <w:lang w:eastAsia="zh-CN"/>
        </w:rPr>
        <w:t>。</w:t>
      </w:r>
      <w:r>
        <w:rPr>
          <w:rFonts w:hint="eastAsia"/>
          <w:color w:val="auto"/>
        </w:rPr>
        <w:t>不提供商务和技术偏离表的</w:t>
      </w:r>
      <w:r>
        <w:rPr>
          <w:rFonts w:hint="eastAsia"/>
          <w:color w:val="auto"/>
          <w:lang w:eastAsia="zh-CN"/>
        </w:rPr>
        <w:t>，</w:t>
      </w:r>
      <w:r>
        <w:rPr>
          <w:rFonts w:hint="eastAsia"/>
          <w:color w:val="auto"/>
        </w:rPr>
        <w:t>视为全部满足本招标文件的要求</w:t>
      </w:r>
      <w:r>
        <w:rPr>
          <w:rFonts w:hint="eastAsia"/>
          <w:color w:val="auto"/>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11.3投标人所报的价格在合同执行过程中是固定的</w:t>
      </w:r>
      <w:r>
        <w:rPr>
          <w:rFonts w:hint="eastAsia"/>
          <w:color w:val="auto"/>
          <w:lang w:eastAsia="zh-CN"/>
        </w:rPr>
        <w:t>，</w:t>
      </w:r>
      <w:r>
        <w:rPr>
          <w:rFonts w:hint="eastAsia"/>
          <w:color w:val="auto"/>
        </w:rPr>
        <w:t>不得以任何理由予以变更</w:t>
      </w:r>
      <w:r>
        <w:rPr>
          <w:rFonts w:hint="eastAsia"/>
          <w:color w:val="auto"/>
          <w:lang w:eastAsia="zh-CN"/>
        </w:rPr>
        <w:t>。</w:t>
      </w:r>
    </w:p>
    <w:p w14:paraId="222B8A6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11.4除投标人须知前附表有特殊规定外</w:t>
      </w:r>
      <w:r>
        <w:rPr>
          <w:rFonts w:hint="eastAsia"/>
          <w:color w:val="auto"/>
          <w:lang w:eastAsia="zh-CN"/>
        </w:rPr>
        <w:t>，</w:t>
      </w:r>
      <w:r>
        <w:rPr>
          <w:rFonts w:hint="eastAsia"/>
          <w:color w:val="auto"/>
        </w:rPr>
        <w:t>不接受备选方案或者2个及以上报方案</w:t>
      </w:r>
      <w:r>
        <w:rPr>
          <w:rFonts w:hint="eastAsia"/>
          <w:color w:val="auto"/>
          <w:lang w:eastAsia="zh-CN"/>
        </w:rPr>
        <w:t>。</w:t>
      </w:r>
    </w:p>
    <w:p w14:paraId="6ABA944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11.5本项目为交钥匙工程</w:t>
      </w:r>
      <w:r>
        <w:rPr>
          <w:rFonts w:hint="eastAsia"/>
          <w:color w:val="auto"/>
          <w:lang w:eastAsia="zh-CN"/>
        </w:rPr>
        <w:t>，</w:t>
      </w:r>
      <w:r>
        <w:rPr>
          <w:rFonts w:hint="eastAsia"/>
          <w:color w:val="auto"/>
        </w:rPr>
        <w:t>报价应包括外购、外协、配套件</w:t>
      </w:r>
      <w:r>
        <w:rPr>
          <w:rFonts w:hint="eastAsia"/>
          <w:color w:val="auto"/>
          <w:lang w:eastAsia="zh-CN"/>
        </w:rPr>
        <w:t>，</w:t>
      </w:r>
      <w:r>
        <w:rPr>
          <w:rFonts w:hint="eastAsia"/>
          <w:color w:val="auto"/>
        </w:rPr>
        <w:t>原材料及生产制造检验、出成品、包装</w:t>
      </w:r>
      <w:r>
        <w:rPr>
          <w:rFonts w:hint="eastAsia"/>
          <w:color w:val="auto"/>
          <w:lang w:eastAsia="zh-CN"/>
        </w:rPr>
        <w:t>，</w:t>
      </w:r>
      <w:r>
        <w:rPr>
          <w:rFonts w:hint="eastAsia"/>
          <w:color w:val="auto"/>
        </w:rPr>
        <w:t>保险、利税、关税、管理、运费、装卸、安装、调试、检测</w:t>
      </w:r>
      <w:r>
        <w:rPr>
          <w:rFonts w:hint="eastAsia"/>
          <w:color w:val="auto"/>
          <w:lang w:eastAsia="zh-CN"/>
        </w:rPr>
        <w:t>，</w:t>
      </w:r>
      <w:r>
        <w:rPr>
          <w:rFonts w:hint="eastAsia"/>
          <w:color w:val="auto"/>
        </w:rPr>
        <w:t>软件、硬件质量技术监督部门检测费</w:t>
      </w:r>
      <w:r>
        <w:rPr>
          <w:rFonts w:hint="eastAsia"/>
          <w:color w:val="auto"/>
          <w:lang w:eastAsia="zh-CN"/>
        </w:rPr>
        <w:t>，</w:t>
      </w:r>
      <w:r>
        <w:rPr>
          <w:rFonts w:hint="eastAsia"/>
          <w:color w:val="auto"/>
        </w:rPr>
        <w:t>取证</w:t>
      </w:r>
      <w:r>
        <w:rPr>
          <w:rFonts w:hint="eastAsia"/>
          <w:color w:val="auto"/>
          <w:lang w:eastAsia="zh-CN"/>
        </w:rPr>
        <w:t>（</w:t>
      </w:r>
      <w:r>
        <w:rPr>
          <w:rFonts w:hint="eastAsia"/>
          <w:color w:val="auto"/>
        </w:rPr>
        <w:t>如有</w:t>
      </w:r>
      <w:r>
        <w:rPr>
          <w:rFonts w:hint="eastAsia"/>
          <w:color w:val="auto"/>
          <w:lang w:eastAsia="zh-CN"/>
        </w:rPr>
        <w:t>）</w:t>
      </w:r>
      <w:r>
        <w:rPr>
          <w:rFonts w:hint="eastAsia"/>
          <w:color w:val="auto"/>
        </w:rPr>
        <w:t>以及所有项目下装修施工等直至交钥匙工所发生的全部费用</w:t>
      </w:r>
      <w:r>
        <w:rPr>
          <w:rFonts w:hint="eastAsia"/>
          <w:color w:val="auto"/>
          <w:lang w:eastAsia="zh-CN"/>
        </w:rPr>
        <w:t>。</w:t>
      </w:r>
    </w:p>
    <w:p w14:paraId="15D061B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11.6最低报价不能作为中标的保证</w:t>
      </w:r>
      <w:r>
        <w:rPr>
          <w:rFonts w:hint="eastAsia"/>
          <w:color w:val="auto"/>
          <w:lang w:eastAsia="zh-CN"/>
        </w:rPr>
        <w:t>。</w:t>
      </w:r>
    </w:p>
    <w:p w14:paraId="55EF55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11.7安装和/或装饰工程费用的计价</w:t>
      </w:r>
      <w:r>
        <w:rPr>
          <w:rFonts w:hint="eastAsia"/>
          <w:color w:val="auto"/>
          <w:lang w:eastAsia="zh-CN"/>
        </w:rPr>
        <w:t>（</w:t>
      </w:r>
      <w:r>
        <w:rPr>
          <w:rFonts w:hint="eastAsia"/>
          <w:color w:val="auto"/>
        </w:rPr>
        <w:t>如有</w:t>
      </w:r>
      <w:r>
        <w:rPr>
          <w:rFonts w:hint="eastAsia"/>
          <w:color w:val="auto"/>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投标人应依据《安徽省建设工程工程量清单计价规范》</w:t>
      </w:r>
      <w:r>
        <w:rPr>
          <w:rFonts w:hint="eastAsia"/>
          <w:color w:val="auto"/>
          <w:lang w:eastAsia="zh-CN"/>
        </w:rPr>
        <w:t>（</w:t>
      </w:r>
      <w:r>
        <w:rPr>
          <w:rFonts w:hint="eastAsia"/>
          <w:color w:val="auto"/>
        </w:rPr>
        <w:t>DBJ34/T-206-2018</w:t>
      </w:r>
      <w:r>
        <w:rPr>
          <w:rFonts w:hint="eastAsia"/>
          <w:color w:val="auto"/>
          <w:lang w:eastAsia="zh-CN"/>
        </w:rPr>
        <w:t>）</w:t>
      </w:r>
      <w:r>
        <w:rPr>
          <w:rFonts w:hint="eastAsia"/>
          <w:color w:val="auto"/>
        </w:rPr>
        <w:t>及其配套定额规定</w:t>
      </w:r>
      <w:r>
        <w:rPr>
          <w:rFonts w:hint="eastAsia"/>
          <w:color w:val="auto"/>
          <w:lang w:eastAsia="zh-CN"/>
        </w:rPr>
        <w:t>，</w:t>
      </w:r>
      <w:r>
        <w:rPr>
          <w:rFonts w:hint="eastAsia"/>
          <w:color w:val="auto"/>
        </w:rPr>
        <w:t>并结合省市最新的计价规范性文件</w:t>
      </w:r>
      <w:r>
        <w:rPr>
          <w:rFonts w:hint="eastAsia"/>
          <w:color w:val="auto"/>
          <w:lang w:eastAsia="zh-CN"/>
        </w:rPr>
        <w:t>，</w:t>
      </w:r>
      <w:r>
        <w:rPr>
          <w:rFonts w:hint="eastAsia"/>
          <w:color w:val="auto"/>
        </w:rPr>
        <w:t>足额计取最新规定的各类规费和不可竞争费</w:t>
      </w:r>
      <w:r>
        <w:rPr>
          <w:rFonts w:hint="eastAsia"/>
          <w:color w:val="auto"/>
          <w:lang w:eastAsia="zh-CN"/>
        </w:rPr>
        <w:t>，</w:t>
      </w:r>
      <w:r>
        <w:rPr>
          <w:rFonts w:hint="eastAsia"/>
          <w:color w:val="auto"/>
        </w:rPr>
        <w:t>并考虑专项工程的各种报建报审报验等费用</w:t>
      </w:r>
      <w:r>
        <w:rPr>
          <w:rFonts w:hint="eastAsia"/>
          <w:color w:val="auto"/>
          <w:lang w:eastAsia="zh-CN"/>
        </w:rPr>
        <w:t>。</w:t>
      </w:r>
      <w:r>
        <w:rPr>
          <w:rFonts w:hint="eastAsia"/>
          <w:color w:val="auto"/>
        </w:rPr>
        <w:t>投标人若获得中标资格</w:t>
      </w:r>
      <w:r>
        <w:rPr>
          <w:rFonts w:hint="eastAsia"/>
          <w:color w:val="auto"/>
          <w:lang w:eastAsia="zh-CN"/>
        </w:rPr>
        <w:t>，</w:t>
      </w:r>
      <w:r>
        <w:rPr>
          <w:rFonts w:hint="eastAsia"/>
          <w:color w:val="auto"/>
        </w:rPr>
        <w:t>不得就上述因素向招标人提出任何补偿费用</w:t>
      </w:r>
      <w:r>
        <w:rPr>
          <w:rFonts w:hint="eastAsia"/>
          <w:color w:val="auto"/>
          <w:lang w:eastAsia="zh-CN"/>
        </w:rPr>
        <w:t>。</w:t>
      </w:r>
    </w:p>
    <w:p w14:paraId="67B32F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rPr>
      </w:pPr>
      <w:r>
        <w:rPr>
          <w:rFonts w:hint="eastAsia"/>
          <w:color w:val="auto"/>
        </w:rPr>
        <w:t>11.8现场踏勘</w:t>
      </w:r>
      <w:r>
        <w:rPr>
          <w:rFonts w:hint="eastAsia"/>
          <w:color w:val="auto"/>
          <w:lang w:eastAsia="zh-CN"/>
        </w:rPr>
        <w:t>：</w:t>
      </w:r>
      <w:r>
        <w:rPr>
          <w:rFonts w:hint="eastAsia"/>
          <w:color w:val="auto"/>
        </w:rPr>
        <w:t>除投标人须知前附表有规定外</w:t>
      </w:r>
      <w:r>
        <w:rPr>
          <w:rFonts w:hint="eastAsia"/>
          <w:color w:val="auto"/>
          <w:lang w:eastAsia="zh-CN"/>
        </w:rPr>
        <w:t>，</w:t>
      </w:r>
      <w:r>
        <w:rPr>
          <w:rFonts w:hint="eastAsia"/>
          <w:color w:val="auto"/>
        </w:rPr>
        <w:t>招标人不组织现场踏勘，</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lang w:eastAsia="zh-CN"/>
        </w:rPr>
      </w:pPr>
      <w:r>
        <w:rPr>
          <w:rFonts w:hint="eastAsia"/>
          <w:color w:val="auto"/>
          <w:lang w:val="en-US" w:eastAsia="zh-CN"/>
        </w:rPr>
        <w:t>12.</w:t>
      </w:r>
      <w:r>
        <w:rPr>
          <w:rFonts w:hint="eastAsia"/>
          <w:color w:val="auto"/>
        </w:rPr>
        <w:t>投标</w:t>
      </w:r>
      <w:r>
        <w:rPr>
          <w:rFonts w:hint="eastAsia"/>
          <w:color w:val="auto"/>
          <w:lang w:val="en-US" w:eastAsia="zh-CN"/>
        </w:rPr>
        <w:t>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12.1 投标人应按照招标文件的相关规定提交投标担保</w:t>
      </w:r>
      <w:r>
        <w:rPr>
          <w:rFonts w:hint="eastAsia"/>
          <w:color w:val="auto"/>
          <w:lang w:eastAsia="zh-CN"/>
        </w:rPr>
        <w:t>，</w:t>
      </w:r>
      <w:r>
        <w:rPr>
          <w:rFonts w:hint="eastAsia"/>
          <w:color w:val="auto"/>
        </w:rPr>
        <w:t>并作为其投标文件的组成部分</w:t>
      </w:r>
      <w:r>
        <w:rPr>
          <w:rFonts w:hint="eastAsia"/>
          <w:color w:val="auto"/>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12.2 投标人以现金方式提交投标担保的</w:t>
      </w:r>
      <w:r>
        <w:rPr>
          <w:rFonts w:hint="eastAsia"/>
          <w:color w:val="auto"/>
          <w:lang w:eastAsia="zh-CN"/>
        </w:rPr>
        <w:t>，</w:t>
      </w:r>
      <w:r>
        <w:rPr>
          <w:rFonts w:hint="eastAsia"/>
          <w:color w:val="auto"/>
        </w:rPr>
        <w:t>须从投标人本单位账户汇出，不接受其他单位或个人代缴的投标担保</w:t>
      </w:r>
      <w:r>
        <w:rPr>
          <w:rFonts w:hint="eastAsia"/>
          <w:color w:val="auto"/>
          <w:lang w:eastAsia="zh-CN"/>
        </w:rPr>
        <w:t>。</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12.3 未按照招标文件的规定提交投标担保的</w:t>
      </w:r>
      <w:r>
        <w:rPr>
          <w:rFonts w:hint="eastAsia"/>
          <w:color w:val="auto"/>
          <w:lang w:eastAsia="zh-CN"/>
        </w:rPr>
        <w:t>，</w:t>
      </w:r>
      <w:r>
        <w:rPr>
          <w:rFonts w:hint="eastAsia"/>
          <w:color w:val="auto"/>
        </w:rPr>
        <w:t>其投标将被否决</w:t>
      </w:r>
      <w:r>
        <w:rPr>
          <w:rFonts w:hint="eastAsia"/>
          <w:color w:val="auto"/>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12.4投标人以现金方式提交的投标担保将一律按电汇或转账方式退还至投标人单位账户，不退至个人，不退纸币</w:t>
      </w:r>
      <w:r>
        <w:rPr>
          <w:rFonts w:hint="eastAsia"/>
          <w:color w:val="auto"/>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12.5下列任何情况发生时</w:t>
      </w:r>
      <w:r>
        <w:rPr>
          <w:rFonts w:hint="eastAsia"/>
          <w:color w:val="auto"/>
          <w:lang w:eastAsia="zh-CN"/>
        </w:rPr>
        <w:t>，</w:t>
      </w:r>
      <w:r>
        <w:rPr>
          <w:rFonts w:hint="eastAsia"/>
          <w:color w:val="auto"/>
        </w:rPr>
        <w:t>投标担保将不予退还</w:t>
      </w:r>
      <w:r>
        <w:rPr>
          <w:rFonts w:hint="eastAsia"/>
          <w:color w:val="auto"/>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w:t>
      </w:r>
      <w:r>
        <w:rPr>
          <w:rFonts w:hint="eastAsia"/>
          <w:color w:val="auto"/>
        </w:rPr>
        <w:t>1</w:t>
      </w:r>
      <w:r>
        <w:rPr>
          <w:rFonts w:hint="eastAsia"/>
          <w:color w:val="auto"/>
          <w:lang w:eastAsia="zh-CN"/>
        </w:rPr>
        <w:t>）</w:t>
      </w:r>
      <w:r>
        <w:rPr>
          <w:rFonts w:hint="eastAsia"/>
          <w:color w:val="auto"/>
        </w:rPr>
        <w:t>投标人在投标有效期内撤销其投标</w:t>
      </w:r>
      <w:r>
        <w:rPr>
          <w:rFonts w:hint="eastAsia"/>
          <w:color w:val="auto"/>
          <w:lang w:eastAsia="zh-CN"/>
        </w:rPr>
        <w:t>；</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w:t>
      </w:r>
      <w:r>
        <w:rPr>
          <w:rFonts w:hint="eastAsia"/>
          <w:color w:val="auto"/>
        </w:rPr>
        <w:t>2</w:t>
      </w:r>
      <w:r>
        <w:rPr>
          <w:rFonts w:hint="eastAsia"/>
          <w:color w:val="auto"/>
          <w:lang w:eastAsia="zh-CN"/>
        </w:rPr>
        <w:t>）</w:t>
      </w:r>
      <w:r>
        <w:rPr>
          <w:rFonts w:hint="eastAsia"/>
          <w:color w:val="auto"/>
        </w:rPr>
        <w:t>中标人未能在规定的时间内签署合同</w:t>
      </w:r>
      <w:r>
        <w:rPr>
          <w:rFonts w:hint="eastAsia"/>
          <w:color w:val="auto"/>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w:t>
      </w:r>
      <w:r>
        <w:rPr>
          <w:rFonts w:hint="eastAsia"/>
          <w:color w:val="auto"/>
        </w:rPr>
        <w:t>3</w:t>
      </w:r>
      <w:r>
        <w:rPr>
          <w:rFonts w:hint="eastAsia"/>
          <w:color w:val="auto"/>
          <w:lang w:eastAsia="zh-CN"/>
        </w:rPr>
        <w:t>）</w:t>
      </w:r>
      <w:r>
        <w:rPr>
          <w:rFonts w:hint="eastAsia"/>
          <w:color w:val="auto"/>
        </w:rPr>
        <w:t>未能在规定的时间内提供履约担保</w:t>
      </w:r>
      <w:r>
        <w:rPr>
          <w:rFonts w:hint="eastAsia"/>
          <w:color w:val="auto"/>
          <w:lang w:eastAsia="zh-CN"/>
        </w:rPr>
        <w:t>；</w:t>
      </w:r>
    </w:p>
    <w:p w14:paraId="28B9032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w:t>
      </w:r>
      <w:r>
        <w:rPr>
          <w:rFonts w:hint="eastAsia"/>
          <w:color w:val="auto"/>
        </w:rPr>
        <w:t>4</w:t>
      </w:r>
      <w:r>
        <w:rPr>
          <w:rFonts w:hint="eastAsia"/>
          <w:color w:val="auto"/>
          <w:lang w:eastAsia="zh-CN"/>
        </w:rPr>
        <w:t>）</w:t>
      </w:r>
      <w:r>
        <w:rPr>
          <w:rFonts w:hint="eastAsia"/>
          <w:color w:val="auto"/>
        </w:rPr>
        <w:t>投标人未按规定缴纳中标服务费</w:t>
      </w:r>
      <w:r>
        <w:rPr>
          <w:rFonts w:hint="eastAsia"/>
          <w:color w:val="auto"/>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w:t>
      </w:r>
      <w:r>
        <w:rPr>
          <w:rFonts w:hint="eastAsia"/>
          <w:color w:val="auto"/>
        </w:rPr>
        <w:t>5</w:t>
      </w:r>
      <w:r>
        <w:rPr>
          <w:rFonts w:hint="eastAsia"/>
          <w:color w:val="auto"/>
          <w:lang w:eastAsia="zh-CN"/>
        </w:rPr>
        <w:t>）</w:t>
      </w:r>
      <w:r>
        <w:rPr>
          <w:rFonts w:hint="eastAsia"/>
          <w:color w:val="auto"/>
        </w:rPr>
        <w:t>投标人在投标文件中提供虚假材料或有串标、围标等恶意行为的</w:t>
      </w:r>
      <w:r>
        <w:rPr>
          <w:rFonts w:hint="eastAsia"/>
          <w:color w:val="auto"/>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w:t>
      </w:r>
      <w:r>
        <w:rPr>
          <w:rFonts w:hint="eastAsia"/>
          <w:color w:val="auto"/>
        </w:rPr>
        <w:t>6</w:t>
      </w:r>
      <w:r>
        <w:rPr>
          <w:rFonts w:hint="eastAsia"/>
          <w:color w:val="auto"/>
          <w:lang w:eastAsia="zh-CN"/>
        </w:rPr>
        <w:t>）</w:t>
      </w:r>
      <w:r>
        <w:rPr>
          <w:rFonts w:hint="eastAsia"/>
          <w:color w:val="auto"/>
        </w:rPr>
        <w:t>法律法规规定的其他不予退还的情形</w:t>
      </w:r>
      <w:r>
        <w:rPr>
          <w:rFonts w:hint="eastAsia"/>
          <w:color w:val="auto"/>
          <w:lang w:eastAsia="zh-CN"/>
        </w:rPr>
        <w:t>。</w:t>
      </w:r>
    </w:p>
    <w:p w14:paraId="2F152B2F">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lang w:eastAsia="zh-CN"/>
        </w:rPr>
      </w:pPr>
      <w:r>
        <w:rPr>
          <w:rFonts w:hint="eastAsia"/>
          <w:color w:val="auto"/>
          <w:lang w:val="en-US" w:eastAsia="zh-CN"/>
        </w:rPr>
        <w:t>13.</w:t>
      </w:r>
      <w:r>
        <w:rPr>
          <w:rFonts w:hint="eastAsia"/>
          <w:color w:val="auto"/>
        </w:rPr>
        <w:t>投标</w:t>
      </w:r>
      <w:r>
        <w:rPr>
          <w:rFonts w:hint="eastAsia"/>
          <w:color w:val="auto"/>
          <w:lang w:val="en-US" w:eastAsia="zh-CN"/>
        </w:rPr>
        <w:t>文件的有效期</w:t>
      </w:r>
    </w:p>
    <w:p w14:paraId="3C7B253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13.1投标文件应在投标文件有效期内有效</w:t>
      </w:r>
      <w:r>
        <w:rPr>
          <w:rFonts w:hint="eastAsia"/>
          <w:color w:val="auto"/>
          <w:lang w:eastAsia="zh-CN"/>
        </w:rPr>
        <w:t>。</w:t>
      </w:r>
      <w:r>
        <w:rPr>
          <w:rFonts w:hint="eastAsia"/>
          <w:color w:val="auto"/>
        </w:rPr>
        <w:t>投标文件有效期短于招标文件规定的投标有效期的</w:t>
      </w:r>
      <w:r>
        <w:rPr>
          <w:rFonts w:hint="eastAsia"/>
          <w:color w:val="auto"/>
          <w:lang w:eastAsia="zh-CN"/>
        </w:rPr>
        <w:t>，</w:t>
      </w:r>
      <w:r>
        <w:rPr>
          <w:rFonts w:hint="eastAsia"/>
          <w:color w:val="auto"/>
        </w:rPr>
        <w:t>其投标将被否决</w:t>
      </w:r>
      <w:r>
        <w:rPr>
          <w:rFonts w:hint="eastAsia"/>
          <w:color w:val="auto"/>
          <w:lang w:eastAsia="zh-CN"/>
        </w:rPr>
        <w:t>。</w:t>
      </w:r>
    </w:p>
    <w:p w14:paraId="551D262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楷体_GB2312" w:hAnsi="宋体" w:eastAsiaTheme="minorEastAsia"/>
          <w:color w:val="auto"/>
          <w:szCs w:val="21"/>
          <w:lang w:eastAsia="zh-CN"/>
        </w:rPr>
      </w:pPr>
      <w:r>
        <w:rPr>
          <w:rFonts w:hint="eastAsia"/>
          <w:color w:val="auto"/>
        </w:rPr>
        <w:t>13.2特殊情况下</w:t>
      </w:r>
      <w:r>
        <w:rPr>
          <w:rFonts w:hint="eastAsia"/>
          <w:color w:val="auto"/>
          <w:lang w:eastAsia="zh-CN"/>
        </w:rPr>
        <w:t>，</w:t>
      </w:r>
      <w:r>
        <w:rPr>
          <w:rFonts w:hint="eastAsia"/>
          <w:color w:val="auto"/>
        </w:rPr>
        <w:t>在投标有效期截止之前</w:t>
      </w:r>
      <w:r>
        <w:rPr>
          <w:rFonts w:hint="eastAsia"/>
          <w:color w:val="auto"/>
          <w:lang w:eastAsia="zh-CN"/>
        </w:rPr>
        <w:t>，</w:t>
      </w:r>
      <w:r>
        <w:rPr>
          <w:rFonts w:hint="eastAsia"/>
          <w:color w:val="auto"/>
        </w:rPr>
        <w:t>招标人或招标代理机构可要求投标人同意延长投标有效期</w:t>
      </w:r>
      <w:r>
        <w:rPr>
          <w:rFonts w:hint="eastAsia"/>
          <w:color w:val="auto"/>
          <w:lang w:eastAsia="zh-CN"/>
        </w:rPr>
        <w:t>，</w:t>
      </w:r>
      <w:r>
        <w:rPr>
          <w:rFonts w:hint="eastAsia"/>
          <w:color w:val="auto"/>
        </w:rPr>
        <w:t>这种要求与答复均应以书面形式提交</w:t>
      </w:r>
      <w:r>
        <w:rPr>
          <w:rFonts w:hint="eastAsia"/>
          <w:color w:val="auto"/>
          <w:lang w:eastAsia="zh-CN"/>
        </w:rPr>
        <w:t>，</w:t>
      </w:r>
      <w:r>
        <w:rPr>
          <w:rFonts w:hint="eastAsia"/>
          <w:color w:val="auto"/>
        </w:rPr>
        <w:t>投标人可拒绝</w:t>
      </w:r>
      <w:r>
        <w:rPr>
          <w:rFonts w:hint="eastAsia"/>
          <w:color w:val="auto"/>
          <w:lang w:eastAsia="zh-CN"/>
        </w:rPr>
        <w:t>，</w:t>
      </w:r>
      <w:r>
        <w:rPr>
          <w:rFonts w:hint="eastAsia"/>
          <w:color w:val="auto"/>
        </w:rPr>
        <w:t>但应当退还其投标担保</w:t>
      </w:r>
      <w:r>
        <w:rPr>
          <w:rFonts w:hint="eastAsia"/>
          <w:color w:val="auto"/>
          <w:lang w:eastAsia="zh-CN"/>
        </w:rPr>
        <w:t>。</w:t>
      </w:r>
      <w:r>
        <w:rPr>
          <w:rFonts w:hint="eastAsia"/>
          <w:color w:val="auto"/>
        </w:rPr>
        <w:t>同意延长投标有效期的投标人将相应地延长其投标担保的有效期</w:t>
      </w:r>
      <w:r>
        <w:rPr>
          <w:rFonts w:hint="eastAsia"/>
          <w:color w:val="auto"/>
          <w:lang w:eastAsia="zh-CN"/>
        </w:rPr>
        <w:t>，</w:t>
      </w:r>
      <w:r>
        <w:rPr>
          <w:rFonts w:hint="eastAsia"/>
          <w:color w:val="auto"/>
        </w:rPr>
        <w:t>但不得修正投标文件的其他内容</w:t>
      </w:r>
      <w:r>
        <w:rPr>
          <w:rFonts w:hint="eastAsia"/>
          <w:color w:val="auto"/>
          <w:lang w:eastAsia="zh-CN"/>
        </w:rPr>
        <w:t>。</w:t>
      </w:r>
    </w:p>
    <w:p w14:paraId="4FB9A498">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14.</w:t>
      </w:r>
      <w:r>
        <w:rPr>
          <w:rFonts w:hint="eastAsia"/>
          <w:color w:val="auto"/>
        </w:rPr>
        <w:t>投标文件的制作和签署</w:t>
      </w:r>
    </w:p>
    <w:p w14:paraId="2C71E5A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14.</w:t>
      </w:r>
      <w:r>
        <w:rPr>
          <w:rFonts w:hint="eastAsia"/>
          <w:color w:val="auto"/>
          <w:lang w:val="en-US" w:eastAsia="zh-CN"/>
        </w:rPr>
        <w:t>1</w:t>
      </w:r>
      <w:r>
        <w:rPr>
          <w:rFonts w:hint="eastAsia"/>
          <w:color w:val="auto"/>
        </w:rPr>
        <w:t>投标人应按照投标人须知前附表的要求准备投标文件</w:t>
      </w:r>
      <w:r>
        <w:rPr>
          <w:rFonts w:hint="eastAsia"/>
          <w:color w:val="auto"/>
          <w:lang w:eastAsia="zh-CN"/>
        </w:rPr>
        <w:t>（</w:t>
      </w:r>
      <w:r>
        <w:rPr>
          <w:rFonts w:hint="eastAsia"/>
          <w:color w:val="auto"/>
        </w:rPr>
        <w:t>包含电子版</w:t>
      </w:r>
      <w:r>
        <w:rPr>
          <w:rFonts w:hint="eastAsia"/>
          <w:color w:val="auto"/>
          <w:lang w:val="en-US" w:eastAsia="zh-CN"/>
        </w:rPr>
        <w:t>投标文件</w:t>
      </w:r>
      <w:r>
        <w:rPr>
          <w:rFonts w:hint="eastAsia"/>
          <w:color w:val="auto"/>
          <w:lang w:eastAsia="zh-CN"/>
        </w:rPr>
        <w:t>），</w:t>
      </w:r>
      <w:r>
        <w:rPr>
          <w:rFonts w:hint="eastAsia"/>
          <w:color w:val="auto"/>
        </w:rPr>
        <w:t>并在封而上注明“正本”和“副本”字样</w:t>
      </w:r>
      <w:r>
        <w:rPr>
          <w:rFonts w:hint="eastAsia"/>
          <w:color w:val="auto"/>
          <w:lang w:eastAsia="zh-CN"/>
        </w:rPr>
        <w:t>。</w:t>
      </w:r>
      <w:r>
        <w:rPr>
          <w:rFonts w:hint="eastAsia"/>
          <w:color w:val="auto"/>
        </w:rPr>
        <w:t>投标文件的副本可采用正本的</w:t>
      </w:r>
      <w:r>
        <w:rPr>
          <w:rFonts w:hint="eastAsia"/>
          <w:color w:val="auto"/>
          <w:lang w:val="en-US" w:eastAsia="zh-CN"/>
        </w:rPr>
        <w:t>复印件。为</w:t>
      </w:r>
      <w:r>
        <w:rPr>
          <w:rFonts w:hint="eastAsia"/>
          <w:color w:val="auto"/>
        </w:rPr>
        <w:t>节约</w:t>
      </w:r>
      <w:r>
        <w:rPr>
          <w:rFonts w:hint="eastAsia"/>
          <w:color w:val="auto"/>
          <w:lang w:val="en-US" w:eastAsia="zh-CN"/>
        </w:rPr>
        <w:t>纸张</w:t>
      </w:r>
      <w:r>
        <w:rPr>
          <w:rFonts w:hint="eastAsia"/>
          <w:color w:val="auto"/>
          <w:lang w:eastAsia="zh-CN"/>
        </w:rPr>
        <w:t>，</w:t>
      </w:r>
      <w:r>
        <w:rPr>
          <w:rFonts w:hint="eastAsia"/>
          <w:color w:val="auto"/>
        </w:rPr>
        <w:t>建议双面打印并简装投标文件</w:t>
      </w:r>
      <w:r>
        <w:rPr>
          <w:rFonts w:hint="eastAsia"/>
          <w:color w:val="auto"/>
          <w:lang w:eastAsia="zh-CN"/>
        </w:rPr>
        <w:t>。</w:t>
      </w:r>
      <w:r>
        <w:rPr>
          <w:rFonts w:hint="eastAsia"/>
          <w:color w:val="auto"/>
        </w:rPr>
        <w:t>投标文件的正本与副本如有不</w:t>
      </w:r>
      <w:r>
        <w:rPr>
          <w:rFonts w:hint="eastAsia"/>
          <w:color w:val="auto"/>
          <w:lang w:val="en-US" w:eastAsia="zh-CN"/>
        </w:rPr>
        <w:t>一</w:t>
      </w:r>
      <w:r>
        <w:rPr>
          <w:rFonts w:hint="eastAsia"/>
          <w:color w:val="auto"/>
        </w:rPr>
        <w:t>致</w:t>
      </w:r>
      <w:r>
        <w:rPr>
          <w:rFonts w:hint="eastAsia"/>
          <w:color w:val="auto"/>
          <w:lang w:val="en-US" w:eastAsia="zh-CN"/>
        </w:rPr>
        <w:t>之</w:t>
      </w:r>
      <w:r>
        <w:rPr>
          <w:rFonts w:hint="eastAsia"/>
          <w:color w:val="auto"/>
        </w:rPr>
        <w:t>处</w:t>
      </w:r>
      <w:r>
        <w:rPr>
          <w:rFonts w:hint="eastAsia"/>
          <w:color w:val="auto"/>
          <w:lang w:eastAsia="zh-CN"/>
        </w:rPr>
        <w:t>。</w:t>
      </w:r>
      <w:r>
        <w:rPr>
          <w:rFonts w:hint="eastAsia"/>
          <w:color w:val="auto"/>
        </w:rPr>
        <w:t>以正本为准</w:t>
      </w:r>
      <w:r>
        <w:rPr>
          <w:rFonts w:hint="eastAsia"/>
          <w:color w:val="auto"/>
          <w:lang w:eastAsia="zh-CN"/>
        </w:rPr>
        <w:t>。</w:t>
      </w:r>
    </w:p>
    <w:p w14:paraId="244A3A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14</w:t>
      </w:r>
      <w:r>
        <w:rPr>
          <w:rFonts w:hint="eastAsia"/>
          <w:color w:val="auto"/>
          <w:lang w:val="en-US" w:eastAsia="zh-CN"/>
        </w:rPr>
        <w:t>.</w:t>
      </w:r>
      <w:r>
        <w:rPr>
          <w:rFonts w:hint="eastAsia"/>
          <w:color w:val="auto"/>
        </w:rPr>
        <w:t>2</w:t>
      </w:r>
      <w:r>
        <w:rPr>
          <w:rFonts w:hint="eastAsia"/>
          <w:color w:val="auto"/>
          <w:lang w:val="en-US" w:eastAsia="zh-CN"/>
        </w:rPr>
        <w:t>若项目</w:t>
      </w:r>
      <w:r>
        <w:rPr>
          <w:rFonts w:hint="eastAsia"/>
          <w:color w:val="auto"/>
        </w:rPr>
        <w:t>分包</w:t>
      </w:r>
      <w:r>
        <w:rPr>
          <w:rFonts w:hint="eastAsia"/>
          <w:color w:val="auto"/>
          <w:lang w:eastAsia="zh-CN"/>
        </w:rPr>
        <w:t>，</w:t>
      </w:r>
      <w:r>
        <w:rPr>
          <w:rFonts w:hint="eastAsia"/>
          <w:color w:val="auto"/>
        </w:rPr>
        <w:t>投标文件按包分别制作</w:t>
      </w:r>
      <w:r>
        <w:rPr>
          <w:rFonts w:hint="eastAsia"/>
          <w:color w:val="auto"/>
          <w:lang w:eastAsia="zh-CN"/>
        </w:rPr>
        <w:t>，</w:t>
      </w:r>
      <w:r>
        <w:rPr>
          <w:rFonts w:hint="eastAsia"/>
          <w:color w:val="auto"/>
        </w:rPr>
        <w:t>采用非活页方式装订</w:t>
      </w:r>
      <w:r>
        <w:rPr>
          <w:rFonts w:hint="eastAsia"/>
          <w:color w:val="auto"/>
          <w:lang w:eastAsia="zh-CN"/>
        </w:rPr>
        <w:t>。</w:t>
      </w:r>
      <w:r>
        <w:rPr>
          <w:rFonts w:hint="eastAsia"/>
          <w:color w:val="auto"/>
        </w:rPr>
        <w:t>若投标人为需要附产品样本等资料的</w:t>
      </w:r>
      <w:r>
        <w:rPr>
          <w:rFonts w:hint="eastAsia"/>
          <w:color w:val="auto"/>
          <w:lang w:eastAsia="zh-CN"/>
        </w:rPr>
        <w:t>，</w:t>
      </w:r>
      <w:r>
        <w:rPr>
          <w:rFonts w:hint="eastAsia"/>
          <w:color w:val="auto"/>
        </w:rPr>
        <w:t>相关资料不得散装</w:t>
      </w:r>
      <w:r>
        <w:rPr>
          <w:rFonts w:hint="eastAsia"/>
          <w:color w:val="auto"/>
          <w:lang w:eastAsia="zh-CN"/>
        </w:rPr>
        <w:t>，</w:t>
      </w:r>
      <w:r>
        <w:rPr>
          <w:rFonts w:hint="eastAsia"/>
          <w:color w:val="auto"/>
        </w:rPr>
        <w:t>可装订在投标文件的最后部分</w:t>
      </w:r>
      <w:r>
        <w:rPr>
          <w:rFonts w:hint="eastAsia"/>
          <w:color w:val="auto"/>
          <w:lang w:eastAsia="zh-CN"/>
        </w:rPr>
        <w:t>（</w:t>
      </w:r>
      <w:r>
        <w:rPr>
          <w:rFonts w:hint="eastAsia"/>
          <w:color w:val="auto"/>
        </w:rPr>
        <w:t>殊规格的图纸、方案、图片、资料除外</w:t>
      </w:r>
      <w:r>
        <w:rPr>
          <w:rFonts w:hint="eastAsia"/>
          <w:color w:val="auto"/>
          <w:lang w:eastAsia="zh-CN"/>
        </w:rPr>
        <w:t>）。</w:t>
      </w:r>
      <w:r>
        <w:rPr>
          <w:rFonts w:hint="eastAsia"/>
          <w:color w:val="auto"/>
        </w:rPr>
        <w:t>投标文件如采用不牢固装订，不牢固装</w:t>
      </w:r>
      <w:r>
        <w:rPr>
          <w:rFonts w:hint="eastAsia"/>
          <w:color w:val="auto"/>
          <w:lang w:val="en-US" w:eastAsia="zh-CN"/>
        </w:rPr>
        <w:t>订包</w:t>
      </w:r>
      <w:r>
        <w:rPr>
          <w:rFonts w:hint="eastAsia"/>
          <w:color w:val="auto"/>
        </w:rPr>
        <w:t>括但不限于各种活页夹、文件夹、塑料方便式书籍</w:t>
      </w:r>
      <w:r>
        <w:rPr>
          <w:rFonts w:hint="eastAsia"/>
          <w:color w:val="auto"/>
          <w:lang w:eastAsia="zh-CN"/>
        </w:rPr>
        <w:t>（</w:t>
      </w:r>
      <w:r>
        <w:rPr>
          <w:rFonts w:hint="eastAsia"/>
          <w:color w:val="auto"/>
        </w:rPr>
        <w:t>插人式或穿孔式</w:t>
      </w:r>
      <w:r>
        <w:rPr>
          <w:rFonts w:hint="eastAsia"/>
          <w:color w:val="auto"/>
          <w:lang w:eastAsia="zh-CN"/>
        </w:rPr>
        <w:t>）</w:t>
      </w:r>
      <w:r>
        <w:rPr>
          <w:rFonts w:hint="eastAsia"/>
          <w:color w:val="auto"/>
        </w:rPr>
        <w:t>等</w:t>
      </w:r>
      <w:r>
        <w:rPr>
          <w:rFonts w:hint="eastAsia"/>
          <w:color w:val="auto"/>
          <w:lang w:eastAsia="zh-CN"/>
        </w:rPr>
        <w:t>，</w:t>
      </w:r>
      <w:r>
        <w:rPr>
          <w:rFonts w:hint="eastAsia"/>
          <w:color w:val="auto"/>
        </w:rPr>
        <w:t>导致</w:t>
      </w:r>
      <w:r>
        <w:rPr>
          <w:rFonts w:hint="eastAsia"/>
          <w:color w:val="auto"/>
          <w:lang w:val="en-US" w:eastAsia="zh-CN"/>
        </w:rPr>
        <w:t>投标</w:t>
      </w:r>
      <w:r>
        <w:rPr>
          <w:rFonts w:hint="eastAsia"/>
          <w:color w:val="auto"/>
        </w:rPr>
        <w:t>文件不完整、影响评审的，一切后果由投标人自行承担</w:t>
      </w:r>
      <w:r>
        <w:rPr>
          <w:rFonts w:hint="eastAsia"/>
          <w:color w:val="auto"/>
          <w:lang w:eastAsia="zh-CN"/>
        </w:rPr>
        <w:t>。</w:t>
      </w:r>
    </w:p>
    <w:p w14:paraId="26C6CE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14.3每份投标文件正本和所有副本均需打印</w:t>
      </w:r>
      <w:r>
        <w:rPr>
          <w:rFonts w:hint="eastAsia"/>
          <w:color w:val="auto"/>
          <w:lang w:eastAsia="zh-CN"/>
        </w:rPr>
        <w:t>，</w:t>
      </w:r>
      <w:r>
        <w:rPr>
          <w:rFonts w:hint="eastAsia"/>
          <w:color w:val="auto"/>
        </w:rPr>
        <w:t>且用不褪色墨水书写</w:t>
      </w:r>
      <w:r>
        <w:rPr>
          <w:rFonts w:hint="eastAsia"/>
          <w:color w:val="auto"/>
          <w:lang w:eastAsia="zh-CN"/>
        </w:rPr>
        <w:t>，</w:t>
      </w:r>
      <w:r>
        <w:rPr>
          <w:rFonts w:hint="eastAsia"/>
          <w:color w:val="auto"/>
        </w:rPr>
        <w:t>并由投人法定代表人</w:t>
      </w:r>
      <w:r>
        <w:rPr>
          <w:rFonts w:hint="eastAsia"/>
          <w:color w:val="auto"/>
          <w:lang w:eastAsia="zh-CN"/>
        </w:rPr>
        <w:t>（</w:t>
      </w:r>
      <w:r>
        <w:rPr>
          <w:rFonts w:hint="eastAsia"/>
          <w:color w:val="auto"/>
        </w:rPr>
        <w:t>单位负责人</w:t>
      </w:r>
      <w:r>
        <w:rPr>
          <w:rFonts w:hint="eastAsia"/>
          <w:color w:val="auto"/>
          <w:lang w:eastAsia="zh-CN"/>
        </w:rPr>
        <w:t>）</w:t>
      </w:r>
      <w:r>
        <w:rPr>
          <w:rFonts w:hint="eastAsia"/>
          <w:color w:val="auto"/>
        </w:rPr>
        <w:t>或经其授权的授权代表签字或盖单位章</w:t>
      </w:r>
      <w:r>
        <w:rPr>
          <w:rFonts w:hint="eastAsia"/>
          <w:color w:val="auto"/>
          <w:lang w:eastAsia="zh-CN"/>
        </w:rPr>
        <w:t>。</w:t>
      </w:r>
      <w:r>
        <w:rPr>
          <w:rFonts w:hint="eastAsia"/>
          <w:color w:val="auto"/>
        </w:rPr>
        <w:t>投标人须按投标文件格式的规定出具《法定代表人</w:t>
      </w:r>
      <w:r>
        <w:rPr>
          <w:rFonts w:hint="eastAsia"/>
          <w:color w:val="auto"/>
          <w:lang w:eastAsia="zh-CN"/>
        </w:rPr>
        <w:t>（</w:t>
      </w:r>
      <w:r>
        <w:rPr>
          <w:rFonts w:hint="eastAsia"/>
          <w:color w:val="auto"/>
        </w:rPr>
        <w:t>单位负责人</w:t>
      </w:r>
      <w:r>
        <w:rPr>
          <w:rFonts w:hint="eastAsia"/>
          <w:color w:val="auto"/>
          <w:lang w:eastAsia="zh-CN"/>
        </w:rPr>
        <w:t>）</w:t>
      </w:r>
      <w:r>
        <w:rPr>
          <w:rFonts w:hint="eastAsia"/>
          <w:color w:val="auto"/>
        </w:rPr>
        <w:t>授权书》</w:t>
      </w:r>
      <w:r>
        <w:rPr>
          <w:rFonts w:hint="eastAsia"/>
          <w:color w:val="auto"/>
          <w:lang w:eastAsia="zh-CN"/>
        </w:rPr>
        <w:t>，</w:t>
      </w:r>
      <w:r>
        <w:rPr>
          <w:rFonts w:hint="eastAsia"/>
          <w:color w:val="auto"/>
        </w:rPr>
        <w:t>并附在投标文件中</w:t>
      </w:r>
      <w:r>
        <w:rPr>
          <w:rFonts w:hint="eastAsia"/>
          <w:color w:val="auto"/>
          <w:lang w:eastAsia="zh-CN"/>
        </w:rPr>
        <w:t>。</w:t>
      </w:r>
    </w:p>
    <w:p w14:paraId="5B6EDB9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val="en-US" w:eastAsia="zh-CN"/>
        </w:rPr>
      </w:pPr>
      <w:r>
        <w:rPr>
          <w:rFonts w:hint="eastAsia"/>
          <w:color w:val="auto"/>
        </w:rPr>
        <w:t>14.4投标文件中尽量避免行间插字、涂改和增删</w:t>
      </w:r>
      <w:r>
        <w:rPr>
          <w:rFonts w:hint="eastAsia"/>
          <w:color w:val="auto"/>
          <w:lang w:eastAsia="zh-CN"/>
        </w:rPr>
        <w:t>。</w:t>
      </w:r>
      <w:r>
        <w:rPr>
          <w:rFonts w:hint="eastAsia"/>
          <w:color w:val="auto"/>
        </w:rPr>
        <w:t>如果出现上述情况</w:t>
      </w:r>
      <w:r>
        <w:rPr>
          <w:rFonts w:hint="eastAsia"/>
          <w:color w:val="auto"/>
          <w:lang w:eastAsia="zh-CN"/>
        </w:rPr>
        <w:t>，</w:t>
      </w:r>
      <w:r>
        <w:rPr>
          <w:rFonts w:hint="eastAsia"/>
          <w:color w:val="auto"/>
        </w:rPr>
        <w:t>必须投标人的法定代表人</w:t>
      </w:r>
      <w:r>
        <w:rPr>
          <w:rFonts w:hint="eastAsia"/>
          <w:color w:val="auto"/>
          <w:lang w:eastAsia="zh-CN"/>
        </w:rPr>
        <w:t>（</w:t>
      </w:r>
      <w:r>
        <w:rPr>
          <w:rFonts w:hint="eastAsia"/>
          <w:color w:val="auto"/>
        </w:rPr>
        <w:t>单位负责人</w:t>
      </w:r>
      <w:r>
        <w:rPr>
          <w:rFonts w:hint="eastAsia"/>
          <w:color w:val="auto"/>
          <w:lang w:eastAsia="zh-CN"/>
        </w:rPr>
        <w:t>）</w:t>
      </w:r>
      <w:r>
        <w:rPr>
          <w:rFonts w:hint="eastAsia"/>
          <w:color w:val="auto"/>
        </w:rPr>
        <w:t>或其授权的授权代表签字或盖单位</w:t>
      </w:r>
      <w:r>
        <w:rPr>
          <w:rFonts w:hint="eastAsia"/>
          <w:color w:val="auto"/>
          <w:lang w:val="en-US" w:eastAsia="zh-CN"/>
        </w:rPr>
        <w:t>章。</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四</w:t>
      </w:r>
      <w:r>
        <w:rPr>
          <w:rFonts w:hint="eastAsia"/>
          <w:color w:val="auto"/>
          <w:lang w:eastAsia="zh-CN"/>
        </w:rPr>
        <w:t>、</w:t>
      </w:r>
      <w:r>
        <w:rPr>
          <w:rFonts w:hint="eastAsia"/>
          <w:color w:val="auto"/>
        </w:rPr>
        <w:t>投标文件的提交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15.</w:t>
      </w:r>
      <w:r>
        <w:rPr>
          <w:rFonts w:hint="eastAsia"/>
          <w:color w:val="auto"/>
        </w:rPr>
        <w:t>投标文件的密封和标识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15.1投标文件正本和所有的副本须密封装在单独的包装中</w:t>
      </w:r>
      <w:r>
        <w:rPr>
          <w:rFonts w:hint="eastAsia"/>
          <w:color w:val="auto"/>
          <w:lang w:eastAsia="zh-CN"/>
        </w:rPr>
        <w:t>，</w:t>
      </w:r>
      <w:r>
        <w:rPr>
          <w:rFonts w:hint="eastAsia"/>
          <w:color w:val="auto"/>
        </w:rPr>
        <w:t>包装上正确标明“正本”“副本”字样</w:t>
      </w:r>
      <w:r>
        <w:rPr>
          <w:rFonts w:hint="eastAsia"/>
          <w:color w:val="auto"/>
          <w:lang w:eastAsia="zh-CN"/>
        </w:rPr>
        <w:t>。</w:t>
      </w:r>
      <w:r>
        <w:rPr>
          <w:rFonts w:hint="eastAsia"/>
          <w:color w:val="auto"/>
        </w:rPr>
        <w:t>若项目分包</w:t>
      </w:r>
      <w:r>
        <w:rPr>
          <w:rFonts w:hint="eastAsia"/>
          <w:color w:val="auto"/>
          <w:lang w:eastAsia="zh-CN"/>
        </w:rPr>
        <w:t>，</w:t>
      </w:r>
      <w:r>
        <w:rPr>
          <w:rFonts w:hint="eastAsia"/>
          <w:color w:val="auto"/>
        </w:rPr>
        <w:t>投标人参加多个包号投标的</w:t>
      </w:r>
      <w:r>
        <w:rPr>
          <w:rFonts w:hint="eastAsia"/>
          <w:color w:val="auto"/>
          <w:lang w:eastAsia="zh-CN"/>
        </w:rPr>
        <w:t>，</w:t>
      </w:r>
      <w:r>
        <w:rPr>
          <w:rFonts w:hint="eastAsia"/>
          <w:color w:val="auto"/>
        </w:rPr>
        <w:t>投标文件按包号分别密封和标示</w:t>
      </w:r>
      <w:r>
        <w:rPr>
          <w:rFonts w:hint="eastAsia"/>
          <w:color w:val="auto"/>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val="en-US" w:eastAsia="zh-CN"/>
        </w:rPr>
      </w:pPr>
      <w:r>
        <w:rPr>
          <w:rFonts w:hint="eastAsia"/>
          <w:color w:val="auto"/>
          <w:lang w:val="en-US" w:eastAsia="zh-CN"/>
        </w:rPr>
        <w:t>15.2</w:t>
      </w:r>
      <w:r>
        <w:rPr>
          <w:rFonts w:hint="eastAsia"/>
          <w:color w:val="auto"/>
        </w:rPr>
        <w:t>如果包装未按规定标记并密封</w:t>
      </w:r>
      <w:r>
        <w:rPr>
          <w:rFonts w:hint="eastAsia"/>
          <w:color w:val="auto"/>
          <w:lang w:eastAsia="zh-CN"/>
        </w:rPr>
        <w:t>，</w:t>
      </w:r>
      <w:r>
        <w:rPr>
          <w:rFonts w:hint="eastAsia"/>
          <w:color w:val="auto"/>
        </w:rPr>
        <w:t>招标人或招标代理机构将不承担错放或</w:t>
      </w:r>
      <w:r>
        <w:rPr>
          <w:rFonts w:hint="eastAsia"/>
          <w:color w:val="auto"/>
          <w:lang w:val="en-US" w:eastAsia="zh-CN"/>
        </w:rPr>
        <w:t>提前启封的责任。</w:t>
      </w:r>
    </w:p>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16.</w:t>
      </w:r>
      <w:r>
        <w:rPr>
          <w:rFonts w:hint="eastAsia"/>
          <w:color w:val="auto"/>
        </w:rPr>
        <w:t>提交投标文件的截止日期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16.1投标文件应于规定的投标截止日期之前送达规定的地点</w:t>
      </w:r>
      <w:r>
        <w:rPr>
          <w:rFonts w:hint="eastAsia"/>
          <w:color w:val="auto"/>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16.2招标人和招标代理机构可以依照法律规定延长投标截止期</w:t>
      </w:r>
      <w:r>
        <w:rPr>
          <w:rFonts w:hint="eastAsia"/>
          <w:color w:val="auto"/>
          <w:lang w:eastAsia="zh-CN"/>
        </w:rPr>
        <w:t>。</w:t>
      </w:r>
      <w:r>
        <w:rPr>
          <w:rFonts w:hint="eastAsia"/>
          <w:color w:val="auto"/>
        </w:rPr>
        <w:t>在此情况下招标代理机构和投标人受投标截止期制约的所有权利和义务均应延长至新的截止日期</w:t>
      </w:r>
      <w:r>
        <w:rPr>
          <w:rFonts w:hint="eastAsia"/>
          <w:color w:val="auto"/>
          <w:lang w:eastAsia="zh-CN"/>
        </w:rPr>
        <w:t>。</w:t>
      </w:r>
    </w:p>
    <w:p w14:paraId="6B5AD322">
      <w:pPr>
        <w:pStyle w:val="13"/>
        <w:ind w:firstLine="420" w:firstLineChars="200"/>
        <w:rPr>
          <w:rFonts w:hint="eastAsia"/>
          <w:color w:val="auto"/>
        </w:rPr>
      </w:pPr>
      <w:r>
        <w:rPr>
          <w:rFonts w:hint="eastAsia" w:asciiTheme="minorHAnsi" w:hAnsiTheme="minorHAnsi" w:eastAsiaTheme="minorEastAsia" w:cstheme="minorBidi"/>
          <w:color w:val="auto"/>
          <w:kern w:val="2"/>
          <w:sz w:val="21"/>
          <w:szCs w:val="24"/>
          <w:lang w:val="en-US" w:eastAsia="zh-CN" w:bidi="ar-SA"/>
        </w:rPr>
        <w:t>16.3招标人和招标代理机构将拒绝并退回在投标截止期后收到的任何投标文件</w:t>
      </w:r>
      <w:r>
        <w:rPr>
          <w:rFonts w:hint="eastAsia" w:asciiTheme="minorHAnsi" w:hAnsiTheme="minorHAnsi" w:cstheme="minorBidi"/>
          <w:color w:val="auto"/>
          <w:kern w:val="2"/>
          <w:sz w:val="21"/>
          <w:szCs w:val="24"/>
          <w:lang w:val="en-US" w:eastAsia="zh-CN" w:bidi="ar-SA"/>
        </w:rPr>
        <w:t>。</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17.</w:t>
      </w:r>
      <w:r>
        <w:rPr>
          <w:rFonts w:hint="eastAsia"/>
          <w:color w:val="auto"/>
        </w:rPr>
        <w:t>投标文件的修改与撤回</w:t>
      </w:r>
    </w:p>
    <w:p w14:paraId="05BF97C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17.1投标人在提交投标文件后</w:t>
      </w:r>
      <w:r>
        <w:rPr>
          <w:rFonts w:hint="eastAsia"/>
          <w:color w:val="auto"/>
          <w:lang w:eastAsia="zh-CN"/>
        </w:rPr>
        <w:t>，</w:t>
      </w:r>
      <w:r>
        <w:rPr>
          <w:rFonts w:hint="eastAsia"/>
          <w:color w:val="auto"/>
        </w:rPr>
        <w:t>可以修改或撤回其投标</w:t>
      </w:r>
      <w:r>
        <w:rPr>
          <w:rFonts w:hint="eastAsia"/>
          <w:color w:val="auto"/>
          <w:lang w:eastAsia="zh-CN"/>
        </w:rPr>
        <w:t>，</w:t>
      </w:r>
      <w:r>
        <w:rPr>
          <w:rFonts w:hint="eastAsia"/>
          <w:color w:val="auto"/>
        </w:rPr>
        <w:t>但这种修改和撤回，必须在规定的投标截止时间前</w:t>
      </w:r>
      <w:r>
        <w:rPr>
          <w:rFonts w:hint="eastAsia"/>
          <w:color w:val="auto"/>
          <w:lang w:eastAsia="zh-CN"/>
        </w:rPr>
        <w:t>，</w:t>
      </w:r>
      <w:r>
        <w:rPr>
          <w:rFonts w:hint="eastAsia"/>
          <w:color w:val="auto"/>
        </w:rPr>
        <w:t>并以书面形式通知招标代理机构</w:t>
      </w:r>
      <w:r>
        <w:rPr>
          <w:rFonts w:hint="eastAsia"/>
          <w:color w:val="auto"/>
          <w:lang w:eastAsia="zh-CN"/>
        </w:rPr>
        <w:t>。</w:t>
      </w:r>
      <w:r>
        <w:rPr>
          <w:rFonts w:hint="eastAsia"/>
          <w:color w:val="auto"/>
        </w:rPr>
        <w:t>在投标截止时间后</w:t>
      </w:r>
      <w:r>
        <w:rPr>
          <w:rFonts w:hint="eastAsia"/>
          <w:color w:val="auto"/>
          <w:lang w:eastAsia="zh-CN"/>
        </w:rPr>
        <w:t>，</w:t>
      </w:r>
      <w:r>
        <w:rPr>
          <w:rFonts w:hint="eastAsia"/>
          <w:color w:val="auto"/>
        </w:rPr>
        <w:t>投标人不得再要求修改或撤销其投标文件</w:t>
      </w:r>
      <w:r>
        <w:rPr>
          <w:rFonts w:hint="eastAsia"/>
          <w:color w:val="auto"/>
          <w:lang w:eastAsia="zh-CN"/>
        </w:rPr>
        <w:t>。</w:t>
      </w:r>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17.2投标人的修改或撤回通知应按照投标人须知相关的规定</w:t>
      </w:r>
      <w:r>
        <w:rPr>
          <w:rFonts w:hint="eastAsia"/>
          <w:color w:val="auto"/>
          <w:lang w:eastAsia="zh-CN"/>
        </w:rPr>
        <w:t>，</w:t>
      </w:r>
      <w:r>
        <w:rPr>
          <w:rFonts w:hint="eastAsia"/>
          <w:color w:val="auto"/>
        </w:rPr>
        <w:t>进行编制、签章、密封、标记和提交</w:t>
      </w:r>
      <w:r>
        <w:rPr>
          <w:rFonts w:hint="eastAsia"/>
          <w:color w:val="auto"/>
          <w:lang w:eastAsia="zh-CN"/>
        </w:rPr>
        <w:t>，</w:t>
      </w:r>
      <w:r>
        <w:rPr>
          <w:rFonts w:hint="eastAsia"/>
          <w:color w:val="auto"/>
        </w:rPr>
        <w:t>并在外装信封上明显标明“投标文件修改书’或“投标文件撤回通知”字样</w:t>
      </w:r>
      <w:r>
        <w:rPr>
          <w:rFonts w:hint="eastAsia"/>
          <w:color w:val="auto"/>
          <w:lang w:eastAsia="zh-CN"/>
        </w:rPr>
        <w:t>。</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17.3从投标截止期至投标文件有效期结束为止</w:t>
      </w:r>
      <w:r>
        <w:rPr>
          <w:rFonts w:hint="eastAsia"/>
          <w:color w:val="auto"/>
          <w:lang w:eastAsia="zh-CN"/>
        </w:rPr>
        <w:t>，</w:t>
      </w:r>
      <w:r>
        <w:rPr>
          <w:rFonts w:hint="eastAsia"/>
          <w:color w:val="auto"/>
        </w:rPr>
        <w:t>投标人不得撤销其投标，否则将不予退还其投标担保</w:t>
      </w:r>
      <w:r>
        <w:rPr>
          <w:rFonts w:hint="eastAsia"/>
          <w:color w:val="auto"/>
          <w:lang w:eastAsia="zh-CN"/>
        </w:rPr>
        <w:t>。</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五</w:t>
      </w:r>
      <w:r>
        <w:rPr>
          <w:rFonts w:hint="eastAsia"/>
          <w:color w:val="auto"/>
          <w:lang w:eastAsia="zh-CN"/>
        </w:rPr>
        <w:t>、</w:t>
      </w:r>
      <w:r>
        <w:rPr>
          <w:rFonts w:hint="eastAsia"/>
          <w:color w:val="auto"/>
        </w:rPr>
        <w:t>开标</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18.</w:t>
      </w:r>
      <w:r>
        <w:rPr>
          <w:rFonts w:hint="eastAsia"/>
          <w:color w:val="auto"/>
        </w:rPr>
        <w:t>开标时间和地点</w:t>
      </w:r>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18.1招标代理机构在投标人须知前附表规定的时间和地点公开开标</w:t>
      </w:r>
      <w:r>
        <w:rPr>
          <w:rFonts w:hint="eastAsia"/>
          <w:color w:val="auto"/>
          <w:lang w:eastAsia="zh-CN"/>
        </w:rPr>
        <w:t>。</w:t>
      </w:r>
      <w:r>
        <w:rPr>
          <w:rFonts w:hint="eastAsia"/>
          <w:color w:val="auto"/>
        </w:rPr>
        <w:t>出席开标仪式的投标人的授权代表携带身份证明</w:t>
      </w:r>
      <w:r>
        <w:rPr>
          <w:rFonts w:hint="eastAsia"/>
          <w:color w:val="auto"/>
          <w:lang w:eastAsia="zh-CN"/>
        </w:rPr>
        <w:t>，</w:t>
      </w:r>
      <w:r>
        <w:rPr>
          <w:rFonts w:hint="eastAsia"/>
          <w:color w:val="auto"/>
        </w:rPr>
        <w:t>签名报到以证明其出席</w:t>
      </w:r>
      <w:r>
        <w:rPr>
          <w:rFonts w:hint="eastAsia"/>
          <w:color w:val="auto"/>
          <w:lang w:eastAsia="zh-CN"/>
        </w:rPr>
        <w:t>。</w:t>
      </w:r>
      <w:r>
        <w:rPr>
          <w:rFonts w:hint="eastAsia"/>
          <w:color w:val="auto"/>
        </w:rPr>
        <w:t>在评审结束前，未得到招标人或招标代理机构的允许</w:t>
      </w:r>
      <w:r>
        <w:rPr>
          <w:rFonts w:hint="eastAsia"/>
          <w:color w:val="auto"/>
          <w:lang w:eastAsia="zh-CN"/>
        </w:rPr>
        <w:t>，</w:t>
      </w:r>
      <w:r>
        <w:rPr>
          <w:rFonts w:hint="eastAsia"/>
          <w:color w:val="auto"/>
        </w:rPr>
        <w:t>投标人授权代表不得离开开标现场</w:t>
      </w:r>
      <w:r>
        <w:rPr>
          <w:rFonts w:hint="eastAsia"/>
          <w:color w:val="auto"/>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18.2在开标时</w:t>
      </w:r>
      <w:r>
        <w:rPr>
          <w:rFonts w:hint="eastAsia"/>
          <w:color w:val="auto"/>
          <w:lang w:eastAsia="zh-CN"/>
        </w:rPr>
        <w:t>，</w:t>
      </w:r>
      <w:r>
        <w:rPr>
          <w:rFonts w:hint="eastAsia"/>
          <w:color w:val="auto"/>
        </w:rPr>
        <w:t>招标代理机构宣读投标人名称、投标价格</w:t>
      </w:r>
      <w:r>
        <w:rPr>
          <w:rFonts w:hint="eastAsia"/>
          <w:color w:val="auto"/>
          <w:lang w:eastAsia="zh-CN"/>
        </w:rPr>
        <w:t>，</w:t>
      </w:r>
      <w:r>
        <w:rPr>
          <w:rFonts w:hint="eastAsia"/>
          <w:color w:val="auto"/>
        </w:rPr>
        <w:t>以及招标代理机构认为合适的其他内容</w:t>
      </w:r>
      <w:r>
        <w:rPr>
          <w:rFonts w:hint="eastAsia"/>
          <w:color w:val="auto"/>
          <w:lang w:eastAsia="zh-CN"/>
        </w:rPr>
        <w:t>。</w:t>
      </w:r>
      <w:r>
        <w:rPr>
          <w:rFonts w:hint="eastAsia"/>
          <w:color w:val="auto"/>
        </w:rPr>
        <w:t>开标结束后</w:t>
      </w:r>
      <w:r>
        <w:rPr>
          <w:rFonts w:hint="eastAsia"/>
          <w:color w:val="auto"/>
          <w:lang w:eastAsia="zh-CN"/>
        </w:rPr>
        <w:t>，</w:t>
      </w:r>
      <w:r>
        <w:rPr>
          <w:rFonts w:hint="eastAsia"/>
          <w:color w:val="auto"/>
        </w:rPr>
        <w:t>所有被开封唱标的投标文件</w:t>
      </w:r>
      <w:r>
        <w:rPr>
          <w:rFonts w:hint="eastAsia"/>
          <w:color w:val="auto"/>
          <w:lang w:eastAsia="zh-CN"/>
        </w:rPr>
        <w:t>，</w:t>
      </w:r>
      <w:r>
        <w:rPr>
          <w:rFonts w:hint="eastAsia"/>
          <w:color w:val="auto"/>
        </w:rPr>
        <w:t>均提交评标委员会评审</w:t>
      </w:r>
      <w:r>
        <w:rPr>
          <w:rFonts w:hint="eastAsia"/>
          <w:color w:val="auto"/>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19.</w:t>
      </w:r>
      <w:r>
        <w:rPr>
          <w:rFonts w:hint="eastAsia"/>
          <w:color w:val="auto"/>
        </w:rPr>
        <w:t>开标程序</w:t>
      </w:r>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rPr>
      </w:pPr>
      <w:r>
        <w:rPr>
          <w:rFonts w:hint="eastAsia"/>
          <w:color w:val="auto"/>
          <w:lang w:val="en-US" w:eastAsia="zh-CN"/>
        </w:rPr>
        <w:t>19.1评标由依照有关规定组建的评标委员会负责。评标委员会将按照招标文件确定的方法进行评审。在详细评审之前，评标委员会将判定每个投标文件是否完以及是否实质性响应了招标文件的要求。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default" w:eastAsiaTheme="minorEastAsia"/>
          <w:color w:val="auto"/>
          <w:lang w:val="en-US" w:eastAsia="zh-CN"/>
        </w:rPr>
        <w:t>19.2评标委员会成员有下列情形之一的，应当回避</w:t>
      </w:r>
      <w:r>
        <w:rPr>
          <w:rFonts w:hint="eastAsia"/>
          <w:color w:val="auto"/>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eastAsia"/>
          <w:color w:val="auto"/>
          <w:lang w:val="en-US" w:eastAsia="zh-CN"/>
        </w:rPr>
        <w:t>（</w:t>
      </w:r>
      <w:r>
        <w:rPr>
          <w:rFonts w:hint="default" w:eastAsiaTheme="minorEastAsia"/>
          <w:color w:val="auto"/>
          <w:lang w:val="en-US" w:eastAsia="zh-CN"/>
        </w:rPr>
        <w:t>1</w:t>
      </w:r>
      <w:r>
        <w:rPr>
          <w:rFonts w:hint="eastAsia"/>
          <w:color w:val="auto"/>
          <w:lang w:val="en-US" w:eastAsia="zh-CN"/>
        </w:rPr>
        <w:t>）</w:t>
      </w:r>
      <w:r>
        <w:rPr>
          <w:rFonts w:hint="default" w:eastAsiaTheme="minorEastAsia"/>
          <w:color w:val="auto"/>
          <w:lang w:val="en-US" w:eastAsia="zh-CN"/>
        </w:rPr>
        <w:t>投标人或投标人主要负责人的近亲属</w:t>
      </w:r>
      <w:r>
        <w:rPr>
          <w:rFonts w:hint="eastAsia"/>
          <w:color w:val="auto"/>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eastAsia"/>
          <w:color w:val="auto"/>
          <w:lang w:val="en-US" w:eastAsia="zh-CN"/>
        </w:rPr>
        <w:t>（</w:t>
      </w:r>
      <w:r>
        <w:rPr>
          <w:rFonts w:hint="default" w:eastAsiaTheme="minorEastAsia"/>
          <w:color w:val="auto"/>
          <w:lang w:val="en-US" w:eastAsia="zh-CN"/>
        </w:rPr>
        <w:t>2</w:t>
      </w:r>
      <w:r>
        <w:rPr>
          <w:rFonts w:hint="eastAsia"/>
          <w:color w:val="auto"/>
          <w:lang w:val="en-US" w:eastAsia="zh-CN"/>
        </w:rPr>
        <w:t>）</w:t>
      </w:r>
      <w:r>
        <w:rPr>
          <w:rFonts w:hint="default" w:eastAsiaTheme="minorEastAsia"/>
          <w:color w:val="auto"/>
          <w:lang w:val="en-US" w:eastAsia="zh-CN"/>
        </w:rPr>
        <w:t>与投标人有经济利益关系</w:t>
      </w:r>
      <w:r>
        <w:rPr>
          <w:rFonts w:hint="eastAsia"/>
          <w:color w:val="auto"/>
          <w:lang w:val="en-US" w:eastAsia="zh-CN"/>
        </w:rPr>
        <w:t>，</w:t>
      </w:r>
      <w:r>
        <w:rPr>
          <w:rFonts w:hint="default" w:eastAsiaTheme="minorEastAsia"/>
          <w:color w:val="auto"/>
          <w:lang w:val="en-US" w:eastAsia="zh-CN"/>
        </w:rPr>
        <w:t>可能影响对投标公正评审的</w:t>
      </w:r>
      <w:r>
        <w:rPr>
          <w:rFonts w:hint="eastAsia"/>
          <w:color w:val="auto"/>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eastAsia"/>
          <w:color w:val="auto"/>
          <w:lang w:val="en-US" w:eastAsia="zh-CN"/>
        </w:rPr>
        <w:t>（</w:t>
      </w:r>
      <w:r>
        <w:rPr>
          <w:rFonts w:hint="default" w:eastAsiaTheme="minorEastAsia"/>
          <w:color w:val="auto"/>
          <w:lang w:val="en-US" w:eastAsia="zh-CN"/>
        </w:rPr>
        <w:t>3</w:t>
      </w:r>
      <w:r>
        <w:rPr>
          <w:rFonts w:hint="eastAsia"/>
          <w:color w:val="auto"/>
          <w:lang w:val="en-US" w:eastAsia="zh-CN"/>
        </w:rPr>
        <w:t>）</w:t>
      </w:r>
      <w:r>
        <w:rPr>
          <w:rFonts w:hint="default" w:eastAsiaTheme="minorEastAsia"/>
          <w:color w:val="auto"/>
          <w:lang w:val="en-US" w:eastAsia="zh-CN"/>
        </w:rPr>
        <w:t>曾因在招标、评标以及其他与招标投标有关活动中从事违法行为而受过谷政处罚或刑事处罚的</w:t>
      </w:r>
      <w:r>
        <w:rPr>
          <w:rFonts w:hint="eastAsia"/>
          <w:color w:val="auto"/>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eastAsia"/>
          <w:color w:val="auto"/>
          <w:lang w:val="en-US" w:eastAsia="zh-CN"/>
        </w:rPr>
        <w:t>（</w:t>
      </w:r>
      <w:r>
        <w:rPr>
          <w:rFonts w:hint="default" w:eastAsiaTheme="minorEastAsia"/>
          <w:color w:val="auto"/>
          <w:lang w:val="en-US" w:eastAsia="zh-CN"/>
        </w:rPr>
        <w:t>4</w:t>
      </w:r>
      <w:r>
        <w:rPr>
          <w:rFonts w:hint="eastAsia"/>
          <w:color w:val="auto"/>
          <w:lang w:val="en-US" w:eastAsia="zh-CN"/>
        </w:rPr>
        <w:t>）</w:t>
      </w:r>
      <w:r>
        <w:rPr>
          <w:rFonts w:hint="default" w:eastAsiaTheme="minorEastAsia"/>
          <w:color w:val="auto"/>
          <w:lang w:val="en-US" w:eastAsia="zh-CN"/>
        </w:rPr>
        <w:t>与投标人有其他利害关系</w:t>
      </w:r>
      <w:r>
        <w:rPr>
          <w:rFonts w:hint="eastAsia"/>
          <w:color w:val="auto"/>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default" w:eastAsiaTheme="minorEastAsia"/>
          <w:color w:val="auto"/>
          <w:lang w:val="en-US" w:eastAsia="zh-CN"/>
        </w:rPr>
        <w:t>19.3评标过程中</w:t>
      </w:r>
      <w:r>
        <w:rPr>
          <w:rFonts w:hint="eastAsia"/>
          <w:color w:val="auto"/>
          <w:lang w:val="en-US" w:eastAsia="zh-CN"/>
        </w:rPr>
        <w:t>，</w:t>
      </w:r>
      <w:r>
        <w:rPr>
          <w:rFonts w:hint="default" w:eastAsiaTheme="minorEastAsia"/>
          <w:color w:val="auto"/>
          <w:lang w:val="en-US" w:eastAsia="zh-CN"/>
        </w:rPr>
        <w:t>评标委员会成员有回避事由、擅离职守或者因健康等原因不能继续评标的</w:t>
      </w:r>
      <w:r>
        <w:rPr>
          <w:rFonts w:hint="eastAsia"/>
          <w:color w:val="auto"/>
          <w:lang w:val="en-US" w:eastAsia="zh-CN"/>
        </w:rPr>
        <w:t>，</w:t>
      </w:r>
      <w:r>
        <w:rPr>
          <w:rFonts w:hint="default" w:eastAsiaTheme="minorEastAsia"/>
          <w:color w:val="auto"/>
          <w:lang w:val="en-US" w:eastAsia="zh-CN"/>
        </w:rPr>
        <w:t>招标人有权更换</w:t>
      </w:r>
      <w:r>
        <w:rPr>
          <w:rFonts w:hint="eastAsia"/>
          <w:color w:val="auto"/>
          <w:lang w:val="en-US" w:eastAsia="zh-CN"/>
        </w:rPr>
        <w:t>。</w:t>
      </w:r>
      <w:r>
        <w:rPr>
          <w:rFonts w:hint="default" w:eastAsiaTheme="minorEastAsia"/>
          <w:color w:val="auto"/>
          <w:lang w:val="en-US" w:eastAsia="zh-CN"/>
        </w:rPr>
        <w:t>被更换的评标委员会成员作出的评审结论无效</w:t>
      </w:r>
      <w:r>
        <w:rPr>
          <w:rFonts w:hint="eastAsia"/>
          <w:color w:val="auto"/>
          <w:lang w:val="en-US" w:eastAsia="zh-CN"/>
        </w:rPr>
        <w:t>，</w:t>
      </w:r>
      <w:r>
        <w:rPr>
          <w:rFonts w:hint="default" w:eastAsiaTheme="minorEastAsia"/>
          <w:color w:val="auto"/>
          <w:lang w:val="en-US" w:eastAsia="zh-CN"/>
        </w:rPr>
        <w:t>更换后的评标委员会成员重新进行评审</w:t>
      </w:r>
      <w:r>
        <w:rPr>
          <w:rFonts w:hint="eastAsia"/>
          <w:color w:val="auto"/>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default" w:eastAsiaTheme="minorEastAsia"/>
          <w:color w:val="auto"/>
          <w:lang w:val="en-US" w:eastAsia="zh-CN"/>
        </w:rPr>
        <w:t>19.4评标委员会对投标文件响应性的判定基于投标文件本身的内容</w:t>
      </w:r>
      <w:r>
        <w:rPr>
          <w:rFonts w:hint="eastAsia"/>
          <w:color w:val="auto"/>
          <w:lang w:val="en-US" w:eastAsia="zh-CN"/>
        </w:rPr>
        <w:t>，</w:t>
      </w:r>
      <w:r>
        <w:rPr>
          <w:rFonts w:hint="default" w:eastAsiaTheme="minorEastAsia"/>
          <w:color w:val="auto"/>
          <w:lang w:val="en-US" w:eastAsia="zh-CN"/>
        </w:rPr>
        <w:t>而不寻</w:t>
      </w:r>
      <w:r>
        <w:rPr>
          <w:rFonts w:hint="eastAsia"/>
          <w:color w:val="auto"/>
          <w:lang w:val="en-US" w:eastAsia="zh-CN"/>
        </w:rPr>
        <w:t>求</w:t>
      </w:r>
      <w:r>
        <w:rPr>
          <w:rFonts w:hint="default" w:eastAsiaTheme="minorEastAsia"/>
          <w:color w:val="auto"/>
          <w:lang w:val="en-US" w:eastAsia="zh-CN"/>
        </w:rPr>
        <w:t>外部的证据</w:t>
      </w:r>
      <w:r>
        <w:rPr>
          <w:rFonts w:hint="eastAsia"/>
          <w:color w:val="auto"/>
          <w:lang w:val="en-US" w:eastAsia="zh-CN"/>
        </w:rPr>
        <w:t>，</w:t>
      </w:r>
      <w:r>
        <w:rPr>
          <w:rFonts w:hint="default" w:eastAsiaTheme="minorEastAsia"/>
          <w:color w:val="auto"/>
          <w:lang w:val="en-US" w:eastAsia="zh-CN"/>
        </w:rPr>
        <w:t>无论何种原因</w:t>
      </w:r>
      <w:r>
        <w:rPr>
          <w:rFonts w:hint="eastAsia"/>
          <w:color w:val="auto"/>
          <w:lang w:val="en-US" w:eastAsia="zh-CN"/>
        </w:rPr>
        <w:t>，</w:t>
      </w:r>
      <w:r>
        <w:rPr>
          <w:rFonts w:hint="default" w:eastAsiaTheme="minorEastAsia"/>
          <w:color w:val="auto"/>
          <w:lang w:val="en-US" w:eastAsia="zh-CN"/>
        </w:rPr>
        <w:t>即使投标人开标时携带了材料的原件</w:t>
      </w:r>
      <w:r>
        <w:rPr>
          <w:rFonts w:hint="eastAsia"/>
          <w:color w:val="auto"/>
          <w:lang w:val="en-US" w:eastAsia="zh-CN"/>
        </w:rPr>
        <w:t>，</w:t>
      </w:r>
      <w:r>
        <w:rPr>
          <w:rFonts w:hint="default" w:eastAsiaTheme="minorEastAsia"/>
          <w:color w:val="auto"/>
          <w:lang w:val="en-US" w:eastAsia="zh-CN"/>
        </w:rPr>
        <w:t>但在投标文件</w:t>
      </w:r>
      <w:r>
        <w:rPr>
          <w:rFonts w:hint="eastAsia"/>
          <w:color w:val="auto"/>
          <w:lang w:val="en-US" w:eastAsia="zh-CN"/>
        </w:rPr>
        <w:t>中</w:t>
      </w:r>
      <w:r>
        <w:rPr>
          <w:rFonts w:hint="default" w:eastAsiaTheme="minorEastAsia"/>
          <w:color w:val="auto"/>
          <w:lang w:val="en-US" w:eastAsia="zh-CN"/>
        </w:rPr>
        <w:t>未提供与之内容完全一致的复制件的</w:t>
      </w:r>
      <w:r>
        <w:rPr>
          <w:rFonts w:hint="eastAsia"/>
          <w:color w:val="auto"/>
          <w:lang w:val="en-US" w:eastAsia="zh-CN"/>
        </w:rPr>
        <w:t>，</w:t>
      </w:r>
      <w:r>
        <w:rPr>
          <w:rFonts w:hint="default" w:eastAsiaTheme="minorEastAsia"/>
          <w:color w:val="auto"/>
          <w:lang w:val="en-US" w:eastAsia="zh-CN"/>
        </w:rPr>
        <w:t>评标委员会可视</w:t>
      </w:r>
      <w:r>
        <w:rPr>
          <w:rFonts w:hint="eastAsia"/>
          <w:color w:val="auto"/>
          <w:lang w:val="en-US" w:eastAsia="zh-CN"/>
        </w:rPr>
        <w:t>为</w:t>
      </w:r>
      <w:r>
        <w:rPr>
          <w:rFonts w:hint="default" w:eastAsiaTheme="minorEastAsia"/>
          <w:color w:val="auto"/>
          <w:lang w:val="en-US" w:eastAsia="zh-CN"/>
        </w:rPr>
        <w:t>其未提供</w:t>
      </w:r>
      <w:r>
        <w:rPr>
          <w:rFonts w:hint="eastAsia"/>
          <w:color w:val="auto"/>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default" w:eastAsiaTheme="minorEastAsia"/>
          <w:color w:val="auto"/>
          <w:lang w:val="en-US" w:eastAsia="zh-CN"/>
        </w:rPr>
        <w:t>19.5如果投标没有实质性响应招标文件的要求</w:t>
      </w:r>
      <w:r>
        <w:rPr>
          <w:rFonts w:hint="eastAsia"/>
          <w:color w:val="auto"/>
          <w:lang w:val="en-US" w:eastAsia="zh-CN"/>
        </w:rPr>
        <w:t>，</w:t>
      </w:r>
      <w:r>
        <w:rPr>
          <w:rFonts w:hint="default" w:eastAsiaTheme="minorEastAsia"/>
          <w:color w:val="auto"/>
          <w:lang w:val="en-US" w:eastAsia="zh-CN"/>
        </w:rPr>
        <w:t>其投标将被否决</w:t>
      </w:r>
      <w:r>
        <w:rPr>
          <w:rFonts w:hint="eastAsia"/>
          <w:color w:val="auto"/>
          <w:lang w:val="en-US" w:eastAsia="zh-CN"/>
        </w:rPr>
        <w:t>。</w:t>
      </w:r>
      <w:r>
        <w:rPr>
          <w:rFonts w:hint="default" w:eastAsiaTheme="minorEastAsia"/>
          <w:color w:val="auto"/>
          <w:lang w:val="en-US" w:eastAsia="zh-CN"/>
        </w:rPr>
        <w:t>投标人不</w:t>
      </w:r>
      <w:r>
        <w:rPr>
          <w:rFonts w:hint="eastAsia"/>
          <w:color w:val="auto"/>
          <w:lang w:val="en-US" w:eastAsia="zh-CN"/>
        </w:rPr>
        <w:t>得</w:t>
      </w:r>
      <w:r>
        <w:rPr>
          <w:rFonts w:hint="default" w:eastAsiaTheme="minorEastAsia"/>
          <w:color w:val="auto"/>
          <w:lang w:val="en-US" w:eastAsia="zh-CN"/>
        </w:rPr>
        <w:t>通过修正或撤销不合要求的偏离或保留从而使其投标成为实质性响应的投标</w:t>
      </w:r>
      <w:r>
        <w:rPr>
          <w:rFonts w:hint="eastAsia"/>
          <w:color w:val="auto"/>
          <w:lang w:val="en-US" w:eastAsia="zh-CN"/>
        </w:rPr>
        <w:t>。</w:t>
      </w:r>
      <w:r>
        <w:rPr>
          <w:rFonts w:hint="default" w:eastAsiaTheme="minorEastAsia"/>
          <w:color w:val="auto"/>
          <w:lang w:val="en-US" w:eastAsia="zh-CN"/>
        </w:rPr>
        <w:t>如现有下列情形之一的，其投标将被否决</w:t>
      </w:r>
      <w:r>
        <w:rPr>
          <w:rFonts w:hint="eastAsia"/>
          <w:color w:val="auto"/>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（1）投标人未提交投标担保或提交的担保不符合招标文件要求的：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（2）资格和资质证明文件不全的或不满足招标文件的资格要求的：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（3）投标有效期不足的；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（4）投标文件商务和技术条款有重大偏离的；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（5）未提供招标文件要求的相关评审材料或格式文件造成重大影响无法审的；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（6）投标文件提供虚假材料的；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（7）投标文件附有招标人不能接受的条件的；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（8）评标委员会发现投标人的报价明显低于其他投标报价，而投标人不能合说明或者不能提供相关证明材料，由评标委员会认定该投标人以影响履约的异常价进行报价竞标的；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（9）不符合招标文件中规定的其他实质性要求的；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（10）在评标过程中，评标委员会发现投标人以他人的名义投标、串通投标、以行贿手段谋取中标或者以其他弄虚作假方式投标的；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（11）法律法规规定的其他否决投标的情形。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19.6评标委员会只对在初审中确定为实质性响应的投标文件进行进一步的详细评审。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19.7出现下列情况之一时，评标委员会有权宣布废标：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（1）有效投标人数量不足，导致本次招标缺乏竞争的；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（3）投标人的报价均超过了采购预算，招标人不能支付的；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color w:val="auto"/>
          <w:lang w:val="en-US" w:eastAsia="zh-CN"/>
        </w:rPr>
      </w:pPr>
      <w:r>
        <w:rPr>
          <w:rFonts w:hint="eastAsia"/>
          <w:color w:val="auto"/>
          <w:lang w:val="en-US" w:eastAsia="zh-CN"/>
        </w:rPr>
        <w:t>19.8招标文件中如明确标明需要携带各项资质证书、获奖证书、证明文件、合同中标通知书等材料原件以备评标委员会查验的，投标人须将相关原件单独用一个密封袋封装，注明“原件”和“投标人全称”字样并列明清单备查。相关原件返还时，投标人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20.</w:t>
      </w:r>
      <w:r>
        <w:rPr>
          <w:rFonts w:hint="eastAsia"/>
          <w:color w:val="auto"/>
        </w:rPr>
        <w:t>投标文件的澄清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rPr>
        <w:t>20.1对于投标文件中含义不明确、同类问题表述不一致或者有明显文字和计算错误的内容</w:t>
      </w:r>
      <w:r>
        <w:rPr>
          <w:rFonts w:hint="eastAsia"/>
          <w:color w:val="auto"/>
          <w:lang w:eastAsia="zh-CN"/>
        </w:rPr>
        <w:t>，</w:t>
      </w:r>
      <w:r>
        <w:rPr>
          <w:rFonts w:hint="eastAsia"/>
          <w:color w:val="auto"/>
        </w:rPr>
        <w:t>评标委员会应当以书面形式要求投标人作出必要的澄清、说明或者补正</w:t>
      </w:r>
      <w:r>
        <w:rPr>
          <w:rFonts w:hint="eastAsia"/>
          <w:color w:val="auto"/>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rPr>
      </w:pPr>
      <w:r>
        <w:rPr>
          <w:rFonts w:hint="eastAsia"/>
          <w:color w:val="auto"/>
        </w:rPr>
        <w:t>20.2投标人的澄清、说明或者补正应当采用书面形式</w:t>
      </w:r>
      <w:r>
        <w:rPr>
          <w:rFonts w:hint="eastAsia"/>
          <w:color w:val="auto"/>
          <w:lang w:eastAsia="zh-CN"/>
        </w:rPr>
        <w:t>，</w:t>
      </w:r>
      <w:r>
        <w:rPr>
          <w:rFonts w:hint="eastAsia"/>
          <w:color w:val="auto"/>
        </w:rPr>
        <w:t>并加盖公章或者由法定代表人</w:t>
      </w:r>
      <w:r>
        <w:rPr>
          <w:rFonts w:hint="eastAsia"/>
          <w:color w:val="auto"/>
          <w:lang w:eastAsia="zh-CN"/>
        </w:rPr>
        <w:t>（</w:t>
      </w:r>
      <w:r>
        <w:rPr>
          <w:rFonts w:hint="eastAsia"/>
          <w:color w:val="auto"/>
        </w:rPr>
        <w:t>单位负责人</w:t>
      </w:r>
      <w:r>
        <w:rPr>
          <w:rFonts w:hint="eastAsia"/>
          <w:color w:val="auto"/>
          <w:lang w:eastAsia="zh-CN"/>
        </w:rPr>
        <w:t>）</w:t>
      </w:r>
      <w:r>
        <w:rPr>
          <w:rFonts w:hint="eastAsia"/>
          <w:color w:val="auto"/>
        </w:rPr>
        <w:t>或其授权的代表签字</w:t>
      </w:r>
      <w:r>
        <w:rPr>
          <w:rFonts w:hint="eastAsia"/>
          <w:color w:val="auto"/>
          <w:lang w:eastAsia="zh-CN"/>
        </w:rPr>
        <w:t>。</w:t>
      </w:r>
      <w:r>
        <w:rPr>
          <w:rFonts w:hint="eastAsia"/>
          <w:color w:val="auto"/>
        </w:rPr>
        <w:t>投标人的澄清、说明或者补正不得超出投标文件的范围或者改变投标文件的实质性内容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21.</w:t>
      </w:r>
      <w:r>
        <w:rPr>
          <w:rFonts w:hint="eastAsia"/>
          <w:color w:val="auto"/>
        </w:rPr>
        <w:t>投标文件的详细评审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rPr>
        <w:t>21.1在初步评审中</w:t>
      </w:r>
      <w:r>
        <w:rPr>
          <w:rFonts w:hint="eastAsia"/>
          <w:color w:val="auto"/>
          <w:lang w:eastAsia="zh-CN"/>
        </w:rPr>
        <w:t>，</w:t>
      </w:r>
      <w:r>
        <w:rPr>
          <w:rFonts w:hint="eastAsia"/>
          <w:color w:val="auto"/>
        </w:rPr>
        <w:t>若评标委员会成员对同一投标人的评审结论不一致的</w:t>
      </w:r>
      <w:r>
        <w:rPr>
          <w:rFonts w:hint="eastAsia"/>
          <w:color w:val="auto"/>
          <w:lang w:eastAsia="zh-CN"/>
        </w:rPr>
        <w:t>，</w:t>
      </w:r>
      <w:r>
        <w:rPr>
          <w:rFonts w:hint="eastAsia"/>
          <w:color w:val="auto"/>
        </w:rPr>
        <w:t>按照少数服从多数原则确定最终初步评审结论</w:t>
      </w:r>
      <w:r>
        <w:rPr>
          <w:rFonts w:hint="eastAsia"/>
          <w:color w:val="auto"/>
          <w:lang w:eastAsia="zh-CN"/>
        </w:rPr>
        <w:t>。</w:t>
      </w:r>
      <w:r>
        <w:rPr>
          <w:rFonts w:hint="eastAsia"/>
          <w:color w:val="auto"/>
        </w:rPr>
        <w:t>评标委员会只对通过初步评审的投标文件进行详细评审</w:t>
      </w:r>
      <w:r>
        <w:rPr>
          <w:rFonts w:hint="eastAsia"/>
          <w:color w:val="auto"/>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eastAsia"/>
          <w:color w:val="auto"/>
        </w:rPr>
        <w:t>21.2投标人投标报价修正</w:t>
      </w:r>
      <w:r>
        <w:rPr>
          <w:rFonts w:hint="eastAsia"/>
          <w:color w:val="auto"/>
          <w:lang w:eastAsia="zh-CN"/>
        </w:rPr>
        <w:t>。</w:t>
      </w:r>
      <w:r>
        <w:rPr>
          <w:rFonts w:hint="eastAsia"/>
          <w:color w:val="auto"/>
        </w:rPr>
        <w:t>由评标委员会根据招标文件的要求，以招标文件规定的</w:t>
      </w:r>
      <w:r>
        <w:rPr>
          <w:rFonts w:hint="eastAsia"/>
          <w:color w:val="auto"/>
          <w:lang w:val="en-US" w:eastAsia="zh-CN"/>
        </w:rPr>
        <w:t>招标</w:t>
      </w:r>
      <w:r>
        <w:rPr>
          <w:rFonts w:hint="eastAsia"/>
          <w:color w:val="auto"/>
        </w:rPr>
        <w:t>范围为基准</w:t>
      </w:r>
      <w:r>
        <w:rPr>
          <w:rFonts w:hint="eastAsia"/>
          <w:color w:val="auto"/>
          <w:lang w:eastAsia="zh-CN"/>
        </w:rPr>
        <w:t>，</w:t>
      </w:r>
      <w:r>
        <w:rPr>
          <w:rFonts w:hint="eastAsia"/>
          <w:color w:val="auto"/>
        </w:rPr>
        <w:t>对各投标人的报价内容和范围进行核定</w:t>
      </w:r>
      <w:r>
        <w:rPr>
          <w:rFonts w:hint="eastAsia"/>
          <w:color w:val="auto"/>
          <w:lang w:eastAsia="zh-CN"/>
        </w:rPr>
        <w:t>，</w:t>
      </w:r>
      <w:r>
        <w:rPr>
          <w:rFonts w:hint="eastAsia"/>
          <w:color w:val="auto"/>
        </w:rPr>
        <w:t>以确定其投标报价总价的合理性和有效性</w:t>
      </w:r>
      <w:r>
        <w:rPr>
          <w:rFonts w:hint="eastAsia"/>
          <w:color w:val="auto"/>
          <w:lang w:eastAsia="zh-CN"/>
        </w:rPr>
        <w:t>，</w:t>
      </w:r>
      <w:r>
        <w:rPr>
          <w:rFonts w:hint="eastAsia"/>
          <w:color w:val="auto"/>
        </w:rPr>
        <w:t>并调整到同一可比基准</w:t>
      </w:r>
      <w:r>
        <w:rPr>
          <w:rFonts w:hint="eastAsia"/>
          <w:color w:val="auto"/>
          <w:lang w:eastAsia="zh-CN"/>
        </w:rPr>
        <w:t>。</w:t>
      </w:r>
      <w:r>
        <w:rPr>
          <w:rFonts w:hint="eastAsia"/>
          <w:color w:val="auto"/>
          <w:lang w:val="en-US" w:eastAsia="zh-CN"/>
        </w:rPr>
        <w:t>检查和评审承诺服务范围完整性</w:t>
      </w:r>
      <w:r>
        <w:rPr>
          <w:rFonts w:hint="eastAsia"/>
          <w:color w:val="auto"/>
          <w:lang w:eastAsia="zh-CN"/>
        </w:rPr>
        <w:t>，</w:t>
      </w:r>
      <w:r>
        <w:rPr>
          <w:rFonts w:hint="eastAsia"/>
          <w:color w:val="auto"/>
          <w:lang w:val="en-US" w:eastAsia="zh-CN"/>
        </w:rPr>
        <w:t>投标人缺报、漏报项的，</w:t>
      </w:r>
      <w:r>
        <w:rPr>
          <w:rFonts w:hint="eastAsia"/>
          <w:color w:val="auto"/>
        </w:rPr>
        <w:t>将以其他投标人所报该项目的最高价增加该投标人的</w:t>
      </w:r>
      <w:r>
        <w:rPr>
          <w:rFonts w:hint="eastAsia"/>
          <w:color w:val="auto"/>
          <w:lang w:val="en-US" w:eastAsia="zh-CN"/>
        </w:rPr>
        <w:t>评标价。该评标</w:t>
      </w:r>
      <w:r>
        <w:rPr>
          <w:rFonts w:hint="eastAsia"/>
          <w:color w:val="auto"/>
        </w:rPr>
        <w:t>价</w:t>
      </w:r>
      <w:r>
        <w:rPr>
          <w:rFonts w:hint="eastAsia"/>
          <w:color w:val="auto"/>
          <w:lang w:val="en-US" w:eastAsia="zh-CN"/>
        </w:rPr>
        <w:t>仅</w:t>
      </w:r>
      <w:r>
        <w:rPr>
          <w:rFonts w:hint="eastAsia"/>
          <w:color w:val="auto"/>
        </w:rPr>
        <w:t>为</w:t>
      </w:r>
      <w:r>
        <w:rPr>
          <w:rFonts w:hint="eastAsia"/>
          <w:color w:val="auto"/>
          <w:lang w:val="en-US" w:eastAsia="zh-CN"/>
        </w:rPr>
        <w:t>评标</w:t>
      </w:r>
      <w:r>
        <w:rPr>
          <w:rFonts w:hint="eastAsia"/>
          <w:color w:val="auto"/>
        </w:rPr>
        <w:t>比较之用，投标人的投标价仍然不变</w:t>
      </w:r>
      <w:r>
        <w:rPr>
          <w:rFonts w:hint="eastAsia"/>
          <w:color w:val="auto"/>
          <w:lang w:eastAsia="zh-CN"/>
        </w:rPr>
        <w:t>。</w:t>
      </w:r>
      <w:r>
        <w:rPr>
          <w:rFonts w:hint="eastAsia"/>
          <w:color w:val="auto"/>
        </w:rPr>
        <w:t>若投标人提供了</w:t>
      </w:r>
      <w:r>
        <w:rPr>
          <w:rFonts w:hint="eastAsia"/>
          <w:color w:val="auto"/>
          <w:lang w:val="en-US" w:eastAsia="zh-CN"/>
        </w:rPr>
        <w:t>超过招标文件要求</w:t>
      </w:r>
      <w:r>
        <w:rPr>
          <w:rFonts w:hint="eastAsia"/>
          <w:color w:val="auto"/>
        </w:rPr>
        <w:t>的</w:t>
      </w:r>
      <w:r>
        <w:rPr>
          <w:rFonts w:hint="eastAsia"/>
          <w:color w:val="auto"/>
          <w:lang w:val="en-US" w:eastAsia="zh-CN"/>
        </w:rPr>
        <w:t>功</w:t>
      </w:r>
      <w:r>
        <w:rPr>
          <w:rFonts w:hint="eastAsia"/>
          <w:color w:val="auto"/>
        </w:rPr>
        <w:t>能、部件或服务</w:t>
      </w:r>
      <w:r>
        <w:rPr>
          <w:rFonts w:hint="eastAsia"/>
          <w:color w:val="auto"/>
          <w:lang w:eastAsia="zh-CN"/>
        </w:rPr>
        <w:t>，</w:t>
      </w:r>
      <w:r>
        <w:rPr>
          <w:rFonts w:hint="eastAsia"/>
          <w:color w:val="auto"/>
        </w:rPr>
        <w:t>不</w:t>
      </w:r>
      <w:r>
        <w:rPr>
          <w:rFonts w:hint="eastAsia"/>
          <w:color w:val="auto"/>
          <w:lang w:val="en-US" w:eastAsia="zh-CN"/>
        </w:rPr>
        <w:t>予</w:t>
      </w:r>
      <w:r>
        <w:rPr>
          <w:rFonts w:hint="eastAsia"/>
          <w:color w:val="auto"/>
        </w:rPr>
        <w:t>核减</w:t>
      </w:r>
      <w:r>
        <w:rPr>
          <w:rFonts w:hint="eastAsia"/>
          <w:color w:val="auto"/>
          <w:lang w:eastAsia="zh-CN"/>
        </w:rPr>
        <w:t>。</w:t>
      </w:r>
      <w:r>
        <w:rPr>
          <w:rFonts w:hint="eastAsia"/>
          <w:color w:val="auto"/>
        </w:rPr>
        <w:t>评审后的投标报价总价作为价格评</w:t>
      </w:r>
      <w:r>
        <w:rPr>
          <w:rFonts w:hint="eastAsia"/>
          <w:color w:val="auto"/>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eastAsia"/>
          <w:color w:val="auto"/>
        </w:rPr>
        <w:t>21</w:t>
      </w:r>
      <w:r>
        <w:rPr>
          <w:rFonts w:hint="eastAsia"/>
          <w:color w:val="auto"/>
          <w:lang w:eastAsia="zh-CN"/>
        </w:rPr>
        <w:t>.</w:t>
      </w:r>
      <w:r>
        <w:rPr>
          <w:rFonts w:hint="eastAsia"/>
          <w:color w:val="auto"/>
        </w:rPr>
        <w:t>3投标文件报价出现前后不一致的</w:t>
      </w:r>
      <w:r>
        <w:rPr>
          <w:rFonts w:hint="eastAsia"/>
          <w:color w:val="auto"/>
          <w:lang w:eastAsia="zh-CN"/>
        </w:rPr>
        <w:t>，</w:t>
      </w:r>
      <w:r>
        <w:rPr>
          <w:rFonts w:hint="eastAsia"/>
          <w:color w:val="auto"/>
        </w:rPr>
        <w:t>除投标人须知前附表另有规定外</w:t>
      </w:r>
      <w:r>
        <w:rPr>
          <w:rFonts w:hint="eastAsia"/>
          <w:color w:val="auto"/>
          <w:lang w:eastAsia="zh-CN"/>
        </w:rPr>
        <w:t>，</w:t>
      </w:r>
      <w:r>
        <w:rPr>
          <w:rFonts w:hint="eastAsia"/>
          <w:color w:val="auto"/>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eastAsia="zh-CN"/>
        </w:rPr>
        <w:t>（</w:t>
      </w:r>
      <w:r>
        <w:rPr>
          <w:rFonts w:hint="eastAsia"/>
          <w:color w:val="auto"/>
        </w:rPr>
        <w:t>1</w:t>
      </w:r>
      <w:r>
        <w:rPr>
          <w:rFonts w:hint="eastAsia"/>
          <w:color w:val="auto"/>
          <w:lang w:eastAsia="zh-CN"/>
        </w:rPr>
        <w:t>）</w:t>
      </w:r>
      <w:r>
        <w:rPr>
          <w:rFonts w:hint="eastAsia"/>
          <w:color w:val="auto"/>
        </w:rPr>
        <w:t>投标文件中开标一览表</w:t>
      </w:r>
      <w:r>
        <w:rPr>
          <w:rFonts w:hint="eastAsia"/>
          <w:color w:val="auto"/>
          <w:lang w:eastAsia="zh-CN"/>
        </w:rPr>
        <w:t>（</w:t>
      </w:r>
      <w:r>
        <w:rPr>
          <w:rFonts w:hint="eastAsia"/>
          <w:color w:val="auto"/>
        </w:rPr>
        <w:t>报价表</w:t>
      </w:r>
      <w:r>
        <w:rPr>
          <w:rFonts w:hint="eastAsia"/>
          <w:color w:val="auto"/>
          <w:lang w:eastAsia="zh-CN"/>
        </w:rPr>
        <w:t>）</w:t>
      </w:r>
      <w:r>
        <w:rPr>
          <w:rFonts w:hint="eastAsia"/>
          <w:color w:val="auto"/>
        </w:rPr>
        <w:t>内容与投标文件中相应内容不一致的</w:t>
      </w:r>
      <w:r>
        <w:rPr>
          <w:rFonts w:hint="eastAsia"/>
          <w:color w:val="auto"/>
          <w:lang w:eastAsia="zh-CN"/>
        </w:rPr>
        <w:t>，</w:t>
      </w:r>
      <w:r>
        <w:rPr>
          <w:rFonts w:hint="eastAsia"/>
          <w:color w:val="auto"/>
        </w:rPr>
        <w:t>下列规定修正</w:t>
      </w:r>
      <w:r>
        <w:rPr>
          <w:rFonts w:hint="eastAsia"/>
          <w:color w:val="auto"/>
          <w:lang w:eastAsia="zh-CN"/>
        </w:rPr>
        <w:t>：</w:t>
      </w:r>
      <w:r>
        <w:rPr>
          <w:rFonts w:hint="eastAsia"/>
          <w:color w:val="auto"/>
        </w:rPr>
        <w:t>开标一览表</w:t>
      </w:r>
      <w:r>
        <w:rPr>
          <w:rFonts w:hint="eastAsia"/>
          <w:color w:val="auto"/>
          <w:lang w:eastAsia="zh-CN"/>
        </w:rPr>
        <w:t>（</w:t>
      </w:r>
      <w:r>
        <w:rPr>
          <w:rFonts w:hint="eastAsia"/>
          <w:color w:val="auto"/>
        </w:rPr>
        <w:t>报价表</w:t>
      </w:r>
      <w:r>
        <w:rPr>
          <w:rFonts w:hint="eastAsia"/>
          <w:color w:val="auto"/>
          <w:lang w:eastAsia="zh-CN"/>
        </w:rPr>
        <w:t>）</w:t>
      </w:r>
      <w:r>
        <w:rPr>
          <w:rFonts w:hint="eastAsia"/>
          <w:color w:val="auto"/>
        </w:rPr>
        <w:t>为准</w:t>
      </w:r>
      <w:r>
        <w:rPr>
          <w:rFonts w:hint="eastAsia"/>
          <w:color w:val="auto"/>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eastAsia="zh-CN"/>
        </w:rPr>
        <w:t>（</w:t>
      </w:r>
      <w:r>
        <w:rPr>
          <w:rFonts w:hint="eastAsia"/>
          <w:color w:val="auto"/>
        </w:rPr>
        <w:t>2</w:t>
      </w:r>
      <w:r>
        <w:rPr>
          <w:rFonts w:hint="eastAsia"/>
          <w:color w:val="auto"/>
          <w:lang w:eastAsia="zh-CN"/>
        </w:rPr>
        <w:t>）</w:t>
      </w:r>
      <w:r>
        <w:rPr>
          <w:rFonts w:hint="eastAsia"/>
          <w:color w:val="auto"/>
        </w:rPr>
        <w:t>大写金额和小写金额不一致的</w:t>
      </w:r>
      <w:r>
        <w:rPr>
          <w:rFonts w:hint="eastAsia"/>
          <w:color w:val="auto"/>
          <w:lang w:eastAsia="zh-CN"/>
        </w:rPr>
        <w:t>，</w:t>
      </w:r>
      <w:r>
        <w:rPr>
          <w:rFonts w:hint="eastAsia"/>
          <w:color w:val="auto"/>
        </w:rPr>
        <w:t>以大写金额为准</w:t>
      </w:r>
      <w:r>
        <w:rPr>
          <w:rFonts w:hint="eastAsia"/>
          <w:color w:val="auto"/>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eastAsia="zh-CN"/>
        </w:rPr>
        <w:t>（</w:t>
      </w:r>
      <w:r>
        <w:rPr>
          <w:rFonts w:hint="eastAsia"/>
          <w:color w:val="auto"/>
        </w:rPr>
        <w:t>3</w:t>
      </w:r>
      <w:r>
        <w:rPr>
          <w:rFonts w:hint="eastAsia"/>
          <w:color w:val="auto"/>
          <w:lang w:eastAsia="zh-CN"/>
        </w:rPr>
        <w:t>）</w:t>
      </w:r>
      <w:r>
        <w:rPr>
          <w:rFonts w:hint="eastAsia"/>
          <w:color w:val="auto"/>
        </w:rPr>
        <w:t>单价金额小数点或者百分比有明显错位的</w:t>
      </w:r>
      <w:r>
        <w:rPr>
          <w:rFonts w:hint="eastAsia"/>
          <w:color w:val="auto"/>
          <w:lang w:eastAsia="zh-CN"/>
        </w:rPr>
        <w:t>，</w:t>
      </w:r>
      <w:r>
        <w:rPr>
          <w:rFonts w:hint="eastAsia"/>
          <w:color w:val="auto"/>
        </w:rPr>
        <w:t>以开标一览表的总价为准</w:t>
      </w:r>
      <w:r>
        <w:rPr>
          <w:rFonts w:hint="eastAsia"/>
          <w:color w:val="auto"/>
          <w:lang w:eastAsia="zh-CN"/>
        </w:rPr>
        <w:t>，</w:t>
      </w:r>
      <w:r>
        <w:rPr>
          <w:rFonts w:hint="eastAsia"/>
          <w:color w:val="auto"/>
          <w:lang w:val="en-US" w:eastAsia="zh-CN"/>
        </w:rPr>
        <w:t>并</w:t>
      </w:r>
      <w:r>
        <w:rPr>
          <w:rFonts w:hint="eastAsia"/>
          <w:color w:val="auto"/>
        </w:rPr>
        <w:t>修改单价</w:t>
      </w:r>
      <w:r>
        <w:rPr>
          <w:rFonts w:hint="eastAsia"/>
          <w:color w:val="auto"/>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eastAsia="zh-CN"/>
        </w:rPr>
        <w:t>（</w:t>
      </w:r>
      <w:r>
        <w:rPr>
          <w:rFonts w:hint="eastAsia"/>
          <w:color w:val="auto"/>
        </w:rPr>
        <w:t>4</w:t>
      </w:r>
      <w:r>
        <w:rPr>
          <w:rFonts w:hint="eastAsia"/>
          <w:color w:val="auto"/>
          <w:lang w:eastAsia="zh-CN"/>
        </w:rPr>
        <w:t>）</w:t>
      </w:r>
      <w:r>
        <w:rPr>
          <w:rFonts w:hint="eastAsia"/>
          <w:color w:val="auto"/>
        </w:rPr>
        <w:t>总价金额与按单价汇总金额不一致的</w:t>
      </w:r>
      <w:r>
        <w:rPr>
          <w:rFonts w:hint="eastAsia"/>
          <w:color w:val="auto"/>
          <w:lang w:eastAsia="zh-CN"/>
        </w:rPr>
        <w:t>，</w:t>
      </w:r>
      <w:r>
        <w:rPr>
          <w:rFonts w:hint="eastAsia"/>
          <w:color w:val="auto"/>
        </w:rPr>
        <w:t>以单价金额计算结果为准</w:t>
      </w:r>
      <w:r>
        <w:rPr>
          <w:rFonts w:hint="eastAsia"/>
          <w:color w:val="auto"/>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rPr>
        <w:t>同时出现两种以上不一致的</w:t>
      </w:r>
      <w:r>
        <w:rPr>
          <w:rFonts w:hint="eastAsia"/>
          <w:color w:val="auto"/>
          <w:lang w:eastAsia="zh-CN"/>
        </w:rPr>
        <w:t>，</w:t>
      </w:r>
      <w:r>
        <w:rPr>
          <w:rFonts w:hint="eastAsia"/>
          <w:color w:val="auto"/>
        </w:rPr>
        <w:t>按照有利于非过错方的公平公正原则进行</w:t>
      </w:r>
      <w:r>
        <w:rPr>
          <w:rFonts w:hint="eastAsia"/>
          <w:color w:val="auto"/>
          <w:lang w:val="en-US" w:eastAsia="zh-CN"/>
        </w:rPr>
        <w:t>修正，</w:t>
      </w:r>
      <w:r>
        <w:rPr>
          <w:rFonts w:hint="eastAsia"/>
          <w:color w:val="auto"/>
        </w:rPr>
        <w:t>修正后的报价经投标人确认后产生约束力</w:t>
      </w:r>
      <w:r>
        <w:rPr>
          <w:rFonts w:hint="eastAsia"/>
          <w:color w:val="auto"/>
          <w:lang w:eastAsia="zh-CN"/>
        </w:rPr>
        <w:t>，</w:t>
      </w:r>
      <w:r>
        <w:rPr>
          <w:rFonts w:hint="eastAsia"/>
          <w:color w:val="auto"/>
        </w:rPr>
        <w:t>投标人不确认的</w:t>
      </w:r>
      <w:r>
        <w:rPr>
          <w:rFonts w:hint="eastAsia"/>
          <w:color w:val="auto"/>
          <w:lang w:eastAsia="zh-CN"/>
        </w:rPr>
        <w:t>，</w:t>
      </w:r>
      <w:r>
        <w:rPr>
          <w:rFonts w:hint="eastAsia"/>
          <w:color w:val="auto"/>
        </w:rPr>
        <w:t>其投标将被否决</w:t>
      </w:r>
      <w:r>
        <w:rPr>
          <w:rFonts w:hint="eastAsia"/>
          <w:color w:val="auto"/>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rPr>
        <w:t>21.4投标人不足3家处理预案</w:t>
      </w:r>
      <w:r>
        <w:rPr>
          <w:rFonts w:hint="eastAsia"/>
          <w:color w:val="auto"/>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rPr>
        <w:t>投标文件提交截止时间后投标人不足3家的</w:t>
      </w:r>
      <w:r>
        <w:rPr>
          <w:rFonts w:hint="eastAsia"/>
          <w:color w:val="auto"/>
          <w:lang w:eastAsia="zh-CN"/>
        </w:rPr>
        <w:t>，</w:t>
      </w:r>
      <w:r>
        <w:rPr>
          <w:rFonts w:hint="eastAsia"/>
          <w:color w:val="auto"/>
        </w:rPr>
        <w:t>招标人可以因</w:t>
      </w:r>
      <w:r>
        <w:rPr>
          <w:rFonts w:hint="eastAsia"/>
          <w:color w:val="auto"/>
          <w:lang w:val="en-US" w:eastAsia="zh-CN"/>
        </w:rPr>
        <w:t>竞</w:t>
      </w:r>
      <w:r>
        <w:rPr>
          <w:rFonts w:hint="eastAsia"/>
          <w:color w:val="auto"/>
        </w:rPr>
        <w:t>争性不足宣布流标</w:t>
      </w:r>
      <w:r>
        <w:rPr>
          <w:rFonts w:hint="eastAsia"/>
          <w:color w:val="auto"/>
          <w:lang w:eastAsia="zh-CN"/>
        </w:rPr>
        <w:t>，</w:t>
      </w:r>
      <w:r>
        <w:rPr>
          <w:rFonts w:hint="eastAsia"/>
          <w:color w:val="auto"/>
        </w:rPr>
        <w:t>或在征得现场投标人同意下转为其他采购方式</w:t>
      </w:r>
      <w:r>
        <w:rPr>
          <w:rFonts w:hint="eastAsia"/>
          <w:color w:val="auto"/>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22.</w:t>
      </w:r>
      <w:r>
        <w:rPr>
          <w:rFonts w:hint="eastAsia"/>
          <w:color w:val="auto"/>
        </w:rPr>
        <w:t>与招标人和招标代理机构的接触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22.1除按评标委员会要求的澄清外</w:t>
      </w:r>
      <w:r>
        <w:rPr>
          <w:rFonts w:hint="eastAsia"/>
          <w:color w:val="auto"/>
          <w:lang w:eastAsia="zh-CN"/>
        </w:rPr>
        <w:t>，</w:t>
      </w:r>
      <w:r>
        <w:rPr>
          <w:rFonts w:hint="eastAsia"/>
          <w:color w:val="auto"/>
        </w:rPr>
        <w:t>从开标到签署合同期间</w:t>
      </w:r>
      <w:r>
        <w:rPr>
          <w:rFonts w:hint="eastAsia"/>
          <w:color w:val="auto"/>
          <w:lang w:eastAsia="zh-CN"/>
        </w:rPr>
        <w:t>，</w:t>
      </w:r>
      <w:r>
        <w:rPr>
          <w:rFonts w:hint="eastAsia"/>
          <w:color w:val="auto"/>
        </w:rPr>
        <w:t>投标人不得就与其投标有关的任何事项与招标代理机构、招标人和评标委员会联系</w:t>
      </w:r>
      <w:r>
        <w:rPr>
          <w:rFonts w:hint="eastAsia"/>
          <w:color w:val="auto"/>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22.2投标人试图对招标代理机构、招标人和评标委员会的评标、确定中标人或签署合同的决定进行影响</w:t>
      </w:r>
      <w:r>
        <w:rPr>
          <w:rFonts w:hint="eastAsia"/>
          <w:color w:val="auto"/>
          <w:lang w:eastAsia="zh-CN"/>
        </w:rPr>
        <w:t>，</w:t>
      </w:r>
      <w:r>
        <w:rPr>
          <w:rFonts w:hint="eastAsia"/>
          <w:color w:val="auto"/>
        </w:rPr>
        <w:t>都可能导致废标</w:t>
      </w:r>
      <w:r>
        <w:rPr>
          <w:rFonts w:hint="eastAsia"/>
          <w:color w:val="auto"/>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rPr>
      </w:pPr>
      <w:r>
        <w:rPr>
          <w:rFonts w:hint="eastAsia"/>
          <w:color w:val="auto"/>
        </w:rPr>
        <w:t>22.3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22.3.1如对招标文件内容有异议</w:t>
      </w:r>
      <w:r>
        <w:rPr>
          <w:rFonts w:hint="eastAsia"/>
          <w:color w:val="auto"/>
          <w:lang w:eastAsia="zh-CN"/>
        </w:rPr>
        <w:t>，</w:t>
      </w:r>
      <w:r>
        <w:rPr>
          <w:rFonts w:hint="eastAsia"/>
          <w:color w:val="auto"/>
        </w:rPr>
        <w:t>请在《投标人须知》前附表规定的时间前提出</w:t>
      </w:r>
      <w:r>
        <w:rPr>
          <w:rFonts w:hint="eastAsia"/>
          <w:color w:val="auto"/>
          <w:lang w:eastAsia="zh-CN"/>
        </w:rPr>
        <w:t>。</w:t>
      </w:r>
      <w:r>
        <w:rPr>
          <w:rFonts w:hint="eastAsia"/>
          <w:color w:val="auto"/>
        </w:rPr>
        <w:t>招标人及代理机构有权不接受逾期提出的异议</w:t>
      </w:r>
      <w:r>
        <w:rPr>
          <w:rFonts w:hint="eastAsia"/>
          <w:color w:val="auto"/>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rPr>
        <w:t>22.3.2对开标环节有异议的</w:t>
      </w:r>
      <w:r>
        <w:rPr>
          <w:rFonts w:hint="eastAsia"/>
          <w:color w:val="auto"/>
          <w:lang w:eastAsia="zh-CN"/>
        </w:rPr>
        <w:t>，</w:t>
      </w:r>
      <w:r>
        <w:rPr>
          <w:rFonts w:hint="eastAsia"/>
          <w:color w:val="auto"/>
        </w:rPr>
        <w:t>投标人须在开评标现场提出</w:t>
      </w:r>
      <w:r>
        <w:rPr>
          <w:rFonts w:hint="eastAsia"/>
          <w:color w:val="auto"/>
          <w:lang w:eastAsia="zh-CN"/>
        </w:rPr>
        <w:t>。</w:t>
      </w:r>
      <w:r>
        <w:rPr>
          <w:rFonts w:hint="eastAsia"/>
          <w:color w:val="auto"/>
        </w:rPr>
        <w:t>相关环节结束后</w:t>
      </w:r>
      <w:r>
        <w:rPr>
          <w:rFonts w:hint="eastAsia"/>
          <w:color w:val="auto"/>
          <w:lang w:eastAsia="zh-CN"/>
        </w:rPr>
        <w:t>，</w:t>
      </w:r>
      <w:r>
        <w:rPr>
          <w:rFonts w:hint="eastAsia"/>
          <w:color w:val="auto"/>
          <w:lang w:val="en-US" w:eastAsia="zh-CN"/>
        </w:rPr>
        <w:t>招标人及招标代理机构将不接收对该环节提出的异议。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22.3.3各投标人的各细项评审内容、分项得分和总分均属于需保密的评标过程内容，招标人和招标代理机构无义务向各投标人公布。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22.3.4投标人认为中标结果使自己的合法权益受到损害的，可以在公示期内，由投标人授权代表（或法定代表人（单位负责人》）附身份证明材料，以书面形式向招标人或招标代理机构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22.3.5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22.3.6有以下情形之一的，视为无效异议：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22.3.7异议人有下列情形之一的，属于虚假、恶意异议，招标人和招标代理机构将驳回异议，将其列人不良行为记录名单，限制或拒绝其参加招标人和招标代理机构组织的采购活动，并视情况上报招标人采购主管部门或单位（包括招标人内部主管采购的部门、招标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val="en-US" w:eastAsia="zh-CN"/>
        </w:rPr>
      </w:pPr>
      <w:r>
        <w:rPr>
          <w:rFonts w:hint="eastAsia"/>
          <w:color w:val="auto"/>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color w:val="auto"/>
          <w:lang w:val="en-US" w:eastAsia="zh-CN"/>
        </w:rPr>
      </w:pPr>
      <w:r>
        <w:rPr>
          <w:rFonts w:hint="eastAsia"/>
          <w:color w:val="auto"/>
          <w:lang w:val="en-US" w:eastAsia="zh-CN"/>
        </w:rPr>
        <w:t>六</w:t>
      </w:r>
      <w:r>
        <w:rPr>
          <w:rFonts w:hint="eastAsia"/>
          <w:color w:val="auto"/>
          <w:lang w:eastAsia="zh-CN"/>
        </w:rPr>
        <w:t>、</w:t>
      </w:r>
      <w:r>
        <w:rPr>
          <w:rFonts w:hint="eastAsia"/>
          <w:color w:val="auto"/>
          <w:lang w:val="en-US" w:eastAsia="zh-CN"/>
        </w:rPr>
        <w:t>中标人确定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23.</w:t>
      </w:r>
      <w:r>
        <w:rPr>
          <w:rFonts w:hint="eastAsia"/>
          <w:color w:val="auto"/>
        </w:rPr>
        <w:t>审查确认</w:t>
      </w:r>
    </w:p>
    <w:p w14:paraId="54C3060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rPr>
      </w:pPr>
      <w:r>
        <w:rPr>
          <w:rFonts w:hint="eastAsia"/>
          <w:color w:val="auto"/>
        </w:rPr>
        <w:t>23.审查确认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23.1中标候选人的经营、财务状况发生较大变化或者存在违法行为</w:t>
      </w:r>
      <w:r>
        <w:rPr>
          <w:rFonts w:hint="eastAsia"/>
          <w:color w:val="auto"/>
          <w:lang w:eastAsia="zh-CN"/>
        </w:rPr>
        <w:t>，</w:t>
      </w:r>
      <w:r>
        <w:rPr>
          <w:rFonts w:hint="eastAsia"/>
          <w:color w:val="auto"/>
        </w:rPr>
        <w:t>招标人认为可能影响其履约能力的</w:t>
      </w:r>
      <w:r>
        <w:rPr>
          <w:rFonts w:hint="eastAsia"/>
          <w:color w:val="auto"/>
          <w:lang w:eastAsia="zh-CN"/>
        </w:rPr>
        <w:t>，</w:t>
      </w:r>
      <w:r>
        <w:rPr>
          <w:rFonts w:hint="eastAsia"/>
          <w:color w:val="auto"/>
        </w:rPr>
        <w:t>应当在发出中标通知书前由原评标委员会按照招标文件规定的标准和方法审查确认</w:t>
      </w:r>
      <w:r>
        <w:rPr>
          <w:rFonts w:hint="eastAsia"/>
          <w:color w:val="auto"/>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23.2如审查第一中标候选人不符合中标条件</w:t>
      </w:r>
      <w:r>
        <w:rPr>
          <w:rFonts w:hint="eastAsia"/>
          <w:color w:val="auto"/>
          <w:lang w:eastAsia="zh-CN"/>
        </w:rPr>
        <w:t>，</w:t>
      </w:r>
      <w:r>
        <w:rPr>
          <w:rFonts w:hint="eastAsia"/>
          <w:color w:val="auto"/>
        </w:rPr>
        <w:t>招标人有权取消其中标资格</w:t>
      </w:r>
      <w:r>
        <w:rPr>
          <w:rFonts w:hint="eastAsia"/>
          <w:color w:val="auto"/>
          <w:lang w:eastAsia="zh-CN"/>
        </w:rPr>
        <w:t>，</w:t>
      </w:r>
      <w:r>
        <w:rPr>
          <w:rFonts w:hint="eastAsia"/>
          <w:color w:val="auto"/>
        </w:rPr>
        <w:t>重新组织招标或者委托评标委员会按照排名依次审查确认其他中标候选人</w:t>
      </w:r>
      <w:r>
        <w:rPr>
          <w:rFonts w:hint="eastAsia"/>
          <w:color w:val="auto"/>
          <w:lang w:eastAsia="zh-CN"/>
        </w:rPr>
        <w:t>。</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24" w:name="_Toc296602457"/>
      <w:r>
        <w:rPr>
          <w:rFonts w:hint="eastAsia"/>
          <w:color w:val="auto"/>
          <w:lang w:val="en-US" w:eastAsia="zh-CN"/>
        </w:rPr>
        <w:t>24.</w:t>
      </w:r>
      <w:bookmarkEnd w:id="24"/>
      <w:r>
        <w:rPr>
          <w:rFonts w:hint="eastAsia"/>
          <w:color w:val="auto"/>
        </w:rPr>
        <w:t>确定中标人的标准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评标委员会将根据招标文件确定的评分办法及评审标准对所有投标文件进行相同程序的评审和比较</w:t>
      </w:r>
      <w:r>
        <w:rPr>
          <w:rFonts w:hint="eastAsia"/>
          <w:color w:val="auto"/>
          <w:lang w:eastAsia="zh-CN"/>
        </w:rPr>
        <w:t>，</w:t>
      </w:r>
      <w:r>
        <w:rPr>
          <w:rFonts w:hint="eastAsia"/>
          <w:color w:val="auto"/>
        </w:rPr>
        <w:t>并根据评审结果推荐1~3名中标候选人</w:t>
      </w:r>
      <w:r>
        <w:rPr>
          <w:rFonts w:hint="eastAsia"/>
          <w:color w:val="auto"/>
          <w:lang w:eastAsia="zh-CN"/>
        </w:rPr>
        <w:t>，</w:t>
      </w:r>
      <w:r>
        <w:rPr>
          <w:rFonts w:hint="eastAsia"/>
          <w:color w:val="auto"/>
        </w:rPr>
        <w:t>且标明排序</w:t>
      </w:r>
      <w:r>
        <w:rPr>
          <w:rFonts w:hint="eastAsia"/>
          <w:color w:val="auto"/>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color w:val="auto"/>
          <w:lang w:val="en-US" w:eastAsia="zh-CN"/>
        </w:rPr>
      </w:pPr>
      <w:r>
        <w:rPr>
          <w:rFonts w:hint="eastAsia"/>
          <w:color w:val="auto"/>
          <w:lang w:val="en-US" w:eastAsia="zh-CN"/>
        </w:rPr>
        <w:t>25.招标人的权利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招标人在中标通知发出之前的任何时候</w:t>
      </w:r>
      <w:r>
        <w:rPr>
          <w:rFonts w:hint="eastAsia"/>
          <w:color w:val="auto"/>
          <w:lang w:eastAsia="zh-CN"/>
        </w:rPr>
        <w:t>，</w:t>
      </w:r>
      <w:r>
        <w:rPr>
          <w:rFonts w:hint="eastAsia"/>
          <w:color w:val="auto"/>
        </w:rPr>
        <w:t>有取消本次招标或宣布投标无效或</w:t>
      </w:r>
      <w:r>
        <w:rPr>
          <w:rFonts w:hint="eastAsia"/>
          <w:color w:val="auto"/>
          <w:lang w:val="en-US" w:eastAsia="zh-CN"/>
        </w:rPr>
        <w:t>拒</w:t>
      </w:r>
      <w:r>
        <w:rPr>
          <w:rFonts w:hint="eastAsia"/>
          <w:color w:val="auto"/>
        </w:rPr>
        <w:t>绝所有投标的权利</w:t>
      </w:r>
      <w:r>
        <w:rPr>
          <w:rFonts w:hint="eastAsia"/>
          <w:color w:val="auto"/>
          <w:lang w:eastAsia="zh-CN"/>
        </w:rPr>
        <w:t>，</w:t>
      </w:r>
      <w:r>
        <w:rPr>
          <w:rFonts w:hint="eastAsia"/>
          <w:color w:val="auto"/>
        </w:rPr>
        <w:t>对因此而受影响的投标人不承担任何责任，也没有义务向受</w:t>
      </w:r>
      <w:r>
        <w:rPr>
          <w:rFonts w:hint="eastAsia"/>
          <w:color w:val="auto"/>
          <w:lang w:val="en-US" w:eastAsia="zh-CN"/>
        </w:rPr>
        <w:t>影</w:t>
      </w:r>
      <w:r>
        <w:rPr>
          <w:rFonts w:hint="eastAsia"/>
          <w:color w:val="auto"/>
        </w:rPr>
        <w:t>响的投标人解释采取这一行动的理由并不承担任何赔偿费用</w:t>
      </w:r>
      <w:r>
        <w:rPr>
          <w:rFonts w:hint="eastAsia"/>
          <w:color w:val="auto"/>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color w:val="auto"/>
          <w:lang w:val="en-US" w:eastAsia="zh-CN"/>
        </w:rPr>
      </w:pPr>
      <w:r>
        <w:rPr>
          <w:rFonts w:hint="eastAsia"/>
          <w:color w:val="auto"/>
          <w:lang w:val="en-US" w:eastAsia="zh-CN"/>
        </w:rPr>
        <w:t>26.中标通知书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在投标有效期满之前</w:t>
      </w:r>
      <w:r>
        <w:rPr>
          <w:rFonts w:hint="eastAsia"/>
          <w:color w:val="auto"/>
          <w:lang w:eastAsia="zh-CN"/>
        </w:rPr>
        <w:t>，</w:t>
      </w:r>
      <w:r>
        <w:rPr>
          <w:rFonts w:hint="eastAsia"/>
          <w:color w:val="auto"/>
        </w:rPr>
        <w:t>招标人向中标人发出中标通知书</w:t>
      </w:r>
      <w:r>
        <w:rPr>
          <w:rFonts w:hint="eastAsia"/>
          <w:color w:val="auto"/>
          <w:lang w:eastAsia="zh-CN"/>
        </w:rPr>
        <w:t>。</w:t>
      </w:r>
      <w:r>
        <w:rPr>
          <w:rFonts w:hint="eastAsia"/>
          <w:color w:val="auto"/>
        </w:rPr>
        <w:t>中标通知书将构成合同的一部分</w:t>
      </w:r>
      <w:r>
        <w:rPr>
          <w:rFonts w:hint="eastAsia"/>
          <w:color w:val="auto"/>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color w:val="auto"/>
          <w:lang w:val="en-US" w:eastAsia="zh-CN"/>
        </w:rPr>
      </w:pPr>
      <w:r>
        <w:rPr>
          <w:rFonts w:hint="eastAsia"/>
          <w:color w:val="auto"/>
          <w:lang w:val="en-US" w:eastAsia="zh-CN"/>
        </w:rPr>
        <w:t>七、合同的签署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color w:val="auto"/>
          <w:lang w:val="en-US" w:eastAsia="zh-CN"/>
        </w:rPr>
      </w:pPr>
      <w:r>
        <w:rPr>
          <w:rFonts w:hint="eastAsia"/>
          <w:color w:val="auto"/>
          <w:lang w:val="en-US" w:eastAsia="zh-CN"/>
        </w:rPr>
        <w:t>27.合同的签署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27.1中标人应按法律法规及招标文件规定的时间与招标人签订合同</w:t>
      </w:r>
      <w:r>
        <w:rPr>
          <w:rFonts w:hint="eastAsia"/>
          <w:color w:val="auto"/>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27.2采购双方必须严格按照招标文件、投标文件及有关承诺签订采购合同</w:t>
      </w:r>
      <w:r>
        <w:rPr>
          <w:rFonts w:hint="eastAsia"/>
          <w:color w:val="auto"/>
          <w:lang w:eastAsia="zh-CN"/>
        </w:rPr>
        <w:t>，</w:t>
      </w:r>
      <w:r>
        <w:rPr>
          <w:rFonts w:hint="eastAsia"/>
          <w:color w:val="auto"/>
        </w:rPr>
        <w:t>不得擅自变更</w:t>
      </w:r>
      <w:r>
        <w:rPr>
          <w:rFonts w:hint="eastAsia"/>
          <w:color w:val="auto"/>
          <w:lang w:eastAsia="zh-CN"/>
        </w:rPr>
        <w:t>。</w:t>
      </w:r>
      <w:r>
        <w:rPr>
          <w:rFonts w:hint="eastAsia"/>
          <w:color w:val="auto"/>
        </w:rPr>
        <w:t>合同的标的、价款、质量、履行期限等主要条款应当与招标文件和中标人的投标文件的内容一致</w:t>
      </w:r>
      <w:r>
        <w:rPr>
          <w:rFonts w:hint="eastAsia"/>
          <w:color w:val="auto"/>
          <w:lang w:eastAsia="zh-CN"/>
        </w:rPr>
        <w:t>，</w:t>
      </w:r>
      <w:r>
        <w:rPr>
          <w:rFonts w:hint="eastAsia"/>
          <w:color w:val="auto"/>
        </w:rPr>
        <w:t>招标人和中标人不得再行订立背离合同实质性内容的期他协议</w:t>
      </w:r>
      <w:r>
        <w:rPr>
          <w:rFonts w:hint="eastAsia"/>
          <w:color w:val="auto"/>
          <w:lang w:eastAsia="zh-CN"/>
        </w:rPr>
        <w:t>。</w:t>
      </w:r>
      <w:r>
        <w:rPr>
          <w:rFonts w:hint="eastAsia"/>
          <w:color w:val="auto"/>
        </w:rPr>
        <w:t>对任何因双方擅自变更合同实质性内容引起的问题，由双方通过其他法途径解决</w:t>
      </w:r>
      <w:r>
        <w:rPr>
          <w:rFonts w:hint="eastAsia"/>
          <w:color w:val="auto"/>
          <w:lang w:eastAsia="zh-CN"/>
        </w:rPr>
        <w:t>，</w:t>
      </w:r>
      <w:r>
        <w:rPr>
          <w:rFonts w:hint="eastAsia"/>
          <w:color w:val="auto"/>
        </w:rPr>
        <w:t>招标代理机构对此不承担责任，合同风险由双方自行承担</w:t>
      </w:r>
      <w:r>
        <w:rPr>
          <w:rFonts w:hint="eastAsia"/>
          <w:color w:val="auto"/>
          <w:lang w:eastAsia="zh-CN"/>
        </w:rPr>
        <w:t>。</w:t>
      </w:r>
    </w:p>
    <w:p w14:paraId="70794AD4">
      <w:pPr>
        <w:pStyle w:val="4"/>
        <w:spacing w:line="240" w:lineRule="auto"/>
        <w:rPr>
          <w:rFonts w:hint="eastAsia" w:eastAsiaTheme="minorEastAsia"/>
          <w:color w:val="auto"/>
          <w:lang w:eastAsia="zh-CN"/>
        </w:rPr>
      </w:pPr>
      <w:r>
        <w:rPr>
          <w:rFonts w:hint="eastAsia"/>
          <w:color w:val="auto"/>
          <w:lang w:val="en-US" w:eastAsia="zh-CN"/>
        </w:rPr>
        <w:t>28.履约担保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28.1中标人须按照投标人须知前附表中的规定提交履约担保</w:t>
      </w:r>
      <w:r>
        <w:rPr>
          <w:rFonts w:hint="eastAsia"/>
          <w:color w:val="auto"/>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28.2招标人与中标人签订书面合同后</w:t>
      </w:r>
      <w:r>
        <w:rPr>
          <w:rFonts w:hint="eastAsia"/>
          <w:color w:val="auto"/>
          <w:lang w:eastAsia="zh-CN"/>
        </w:rPr>
        <w:t>，</w:t>
      </w:r>
      <w:r>
        <w:rPr>
          <w:rFonts w:hint="eastAsia"/>
          <w:color w:val="auto"/>
        </w:rPr>
        <w:t>招标代理机构将通知所有未中标的</w:t>
      </w:r>
      <w:r>
        <w:rPr>
          <w:rFonts w:hint="eastAsia"/>
          <w:color w:val="auto"/>
          <w:lang w:val="en-US" w:eastAsia="zh-CN"/>
        </w:rPr>
        <w:t>投标</w:t>
      </w:r>
      <w:r>
        <w:rPr>
          <w:rFonts w:hint="eastAsia"/>
          <w:color w:val="auto"/>
        </w:rPr>
        <w:t>人，并退还其投标担保</w:t>
      </w:r>
      <w:r>
        <w:rPr>
          <w:rFonts w:hint="eastAsia"/>
          <w:color w:val="auto"/>
          <w:lang w:eastAsia="zh-CN"/>
        </w:rPr>
        <w:t>。</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28.3如果中标人没有遵守本章 27.1、28.1的规定</w:t>
      </w:r>
      <w:r>
        <w:rPr>
          <w:rFonts w:hint="eastAsia"/>
          <w:color w:val="auto"/>
          <w:lang w:eastAsia="zh-CN"/>
        </w:rPr>
        <w:t>，</w:t>
      </w:r>
      <w:r>
        <w:rPr>
          <w:rFonts w:hint="eastAsia"/>
          <w:color w:val="auto"/>
        </w:rPr>
        <w:t>或出现《招标投标法》及其实施条例规定的其他不符合中标条件的情形的</w:t>
      </w:r>
      <w:r>
        <w:rPr>
          <w:rFonts w:hint="eastAsia"/>
          <w:color w:val="auto"/>
          <w:lang w:eastAsia="zh-CN"/>
        </w:rPr>
        <w:t>，</w:t>
      </w:r>
      <w:r>
        <w:rPr>
          <w:rFonts w:hint="eastAsia"/>
          <w:color w:val="auto"/>
        </w:rPr>
        <w:t>招标人有权取消其中标资格、不予还其提交的投标担保</w:t>
      </w:r>
      <w:r>
        <w:rPr>
          <w:rFonts w:hint="eastAsia"/>
          <w:color w:val="auto"/>
          <w:lang w:eastAsia="zh-CN"/>
        </w:rPr>
        <w:t>。</w:t>
      </w:r>
      <w:r>
        <w:rPr>
          <w:rFonts w:hint="eastAsia"/>
          <w:color w:val="auto"/>
        </w:rPr>
        <w:t>在此情况下</w:t>
      </w:r>
      <w:r>
        <w:rPr>
          <w:rFonts w:hint="eastAsia"/>
          <w:color w:val="auto"/>
          <w:lang w:eastAsia="zh-CN"/>
        </w:rPr>
        <w:t>，</w:t>
      </w:r>
      <w:r>
        <w:rPr>
          <w:rFonts w:hint="eastAsia"/>
          <w:color w:val="auto"/>
        </w:rPr>
        <w:t>招标人可以确定下一个综合排名最高的投标人为中标人并授予其合同</w:t>
      </w:r>
      <w:r>
        <w:rPr>
          <w:rFonts w:hint="eastAsia"/>
          <w:color w:val="auto"/>
          <w:lang w:eastAsia="zh-CN"/>
        </w:rPr>
        <w:t>，</w:t>
      </w:r>
      <w:r>
        <w:rPr>
          <w:rFonts w:hint="eastAsia"/>
          <w:color w:val="auto"/>
        </w:rPr>
        <w:t>或重新招标</w:t>
      </w:r>
      <w:r>
        <w:rPr>
          <w:rFonts w:hint="eastAsia"/>
          <w:color w:val="auto"/>
          <w:lang w:eastAsia="zh-CN"/>
        </w:rPr>
        <w:t>。</w:t>
      </w:r>
    </w:p>
    <w:p w14:paraId="2A165E4C">
      <w:pPr>
        <w:pStyle w:val="4"/>
        <w:pageBreakBefore w:val="0"/>
        <w:widowControl/>
        <w:kinsoku/>
        <w:wordWrap/>
        <w:overflowPunct/>
        <w:topLinePunct w:val="0"/>
        <w:autoSpaceDE/>
        <w:autoSpaceDN/>
        <w:bidi w:val="0"/>
        <w:adjustRightInd/>
        <w:snapToGrid/>
        <w:spacing w:line="240" w:lineRule="auto"/>
        <w:textAlignment w:val="auto"/>
        <w:rPr>
          <w:rFonts w:hint="eastAsia" w:eastAsiaTheme="minorEastAsia"/>
          <w:color w:val="auto"/>
          <w:lang w:val="en-US" w:eastAsia="zh-CN"/>
        </w:rPr>
      </w:pPr>
      <w:r>
        <w:rPr>
          <w:rFonts w:hint="eastAsia"/>
          <w:color w:val="auto"/>
          <w:lang w:val="en-US" w:eastAsia="zh-CN"/>
        </w:rPr>
        <w:t>29.解释权</w:t>
      </w:r>
    </w:p>
    <w:p w14:paraId="30C64DE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rPr>
      </w:pPr>
      <w:r>
        <w:rPr>
          <w:rFonts w:hint="eastAsia" w:asciiTheme="minorHAnsi" w:hAnsiTheme="minorHAnsi" w:eastAsiaTheme="minorEastAsia"/>
          <w:b w:val="0"/>
          <w:bCs w:val="0"/>
          <w:color w:val="auto"/>
          <w:sz w:val="21"/>
          <w:szCs w:val="24"/>
        </w:rPr>
        <w:t>本招标文件的最终解释权归招标人所有</w:t>
      </w:r>
      <w:r>
        <w:rPr>
          <w:rFonts w:hint="eastAsia" w:asciiTheme="minorHAnsi" w:hAnsiTheme="minorHAnsi" w:eastAsiaTheme="minorEastAsia"/>
          <w:b w:val="0"/>
          <w:bCs w:val="0"/>
          <w:color w:val="auto"/>
          <w:sz w:val="21"/>
          <w:szCs w:val="24"/>
          <w:lang w:eastAsia="zh-CN"/>
        </w:rPr>
        <w:t>。</w:t>
      </w:r>
      <w:bookmarkEnd w:id="16"/>
      <w:bookmarkEnd w:id="17"/>
      <w:bookmarkEnd w:id="18"/>
      <w:bookmarkEnd w:id="19"/>
      <w:bookmarkEnd w:id="20"/>
      <w:bookmarkEnd w:id="21"/>
      <w:bookmarkEnd w:id="22"/>
      <w:bookmarkEnd w:id="23"/>
    </w:p>
    <w:p w14:paraId="5376A635">
      <w:pPr>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br w:type="page"/>
      </w:r>
    </w:p>
    <w:p w14:paraId="3E62D9A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t>第三章 评标办法</w:t>
      </w:r>
      <w:r>
        <w:rPr>
          <w:rFonts w:hint="eastAsia" w:asciiTheme="majorEastAsia" w:hAnsiTheme="majorEastAsia" w:eastAsiaTheme="majorEastAsia" w:cstheme="majorEastAsia"/>
          <w:b/>
          <w:bCs/>
          <w:color w:val="auto"/>
          <w:sz w:val="32"/>
          <w:szCs w:val="32"/>
          <w:highlight w:val="none"/>
          <w:lang w:val="en-US" w:eastAsia="zh-CN"/>
        </w:rPr>
        <w:t>（综合评估法）</w:t>
      </w:r>
    </w:p>
    <w:p w14:paraId="7DA2260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color w:val="auto"/>
          <w:sz w:val="28"/>
          <w:szCs w:val="28"/>
          <w:highlight w:val="none"/>
          <w:lang w:val="en-US" w:eastAsia="zh-CN"/>
        </w:rPr>
      </w:pPr>
    </w:p>
    <w:p w14:paraId="1AB1EFB6">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r>
        <w:rPr>
          <w:rFonts w:hint="eastAsia" w:asciiTheme="majorEastAsia" w:hAnsiTheme="majorEastAsia" w:eastAsiaTheme="majorEastAsia" w:cstheme="majorEastAsia"/>
          <w:b/>
          <w:bCs/>
          <w:color w:val="auto"/>
          <w:sz w:val="28"/>
          <w:szCs w:val="28"/>
          <w:highlight w:val="none"/>
          <w:lang w:val="en-US" w:eastAsia="zh-CN"/>
        </w:rPr>
        <w:t>评标办法前附表</w:t>
      </w:r>
    </w:p>
    <w:p w14:paraId="43CF36B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14:paraId="748AFD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0D005DB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rPr>
            </w:pPr>
            <w:r>
              <w:rPr>
                <w:rFonts w:hint="default" w:ascii="Times New Roman" w:hAnsi="Times New Roman" w:cs="Times New Roman" w:eastAsiaTheme="minorEastAsia"/>
                <w:b/>
                <w:color w:val="auto"/>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F52E81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rPr>
            </w:pPr>
            <w:r>
              <w:rPr>
                <w:rFonts w:hint="default" w:ascii="Times New Roman" w:hAnsi="Times New Roman" w:cs="Times New Roman" w:eastAsiaTheme="minorEastAsia"/>
                <w:b/>
                <w:color w:val="auto"/>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1C8F65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rPr>
            </w:pPr>
            <w:r>
              <w:rPr>
                <w:rFonts w:hint="default" w:ascii="Times New Roman" w:hAnsi="Times New Roman" w:cs="Times New Roman" w:eastAsiaTheme="minorEastAsia"/>
                <w:b/>
                <w:color w:val="auto"/>
                <w:kern w:val="0"/>
                <w:sz w:val="24"/>
                <w:szCs w:val="24"/>
                <w:highlight w:val="none"/>
              </w:rPr>
              <w:t>评审标准</w:t>
            </w:r>
          </w:p>
        </w:tc>
      </w:tr>
      <w:tr w14:paraId="78B1B58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14:paraId="50F84F5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14:paraId="4E7BC9F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907F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49D971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与营业执照、资质证书</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安全生产许可证</w:t>
            </w:r>
            <w:r>
              <w:rPr>
                <w:rFonts w:hint="default" w:ascii="Times New Roman" w:hAnsi="Times New Roman" w:cs="Times New Roman" w:eastAsiaTheme="minorEastAsia"/>
                <w:color w:val="auto"/>
                <w:kern w:val="0"/>
                <w:sz w:val="24"/>
                <w:szCs w:val="24"/>
                <w:highlight w:val="none"/>
              </w:rPr>
              <w:t>一致</w:t>
            </w:r>
          </w:p>
        </w:tc>
      </w:tr>
      <w:tr w14:paraId="374781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0D3268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72B95D6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002B1E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投标函及投标函附录</w:t>
            </w:r>
            <w:r>
              <w:rPr>
                <w:rFonts w:hint="default" w:ascii="Times New Roman" w:hAnsi="Times New Roman" w:cs="Times New Roman" w:eastAsiaTheme="minorEastAsia"/>
                <w:color w:val="auto"/>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D7BB07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kern w:val="0"/>
                <w:sz w:val="24"/>
                <w:szCs w:val="24"/>
                <w:highlight w:val="none"/>
                <w:lang w:eastAsia="zh-CN"/>
              </w:rPr>
            </w:pPr>
            <w:r>
              <w:rPr>
                <w:rFonts w:hint="default" w:ascii="Times New Roman" w:hAnsi="Times New Roman" w:cs="Times New Roman" w:eastAsiaTheme="minorEastAsia"/>
                <w:color w:val="auto"/>
                <w:kern w:val="0"/>
                <w:sz w:val="24"/>
                <w:szCs w:val="24"/>
                <w:highlight w:val="none"/>
              </w:rPr>
              <w:t>有法定代表人</w:t>
            </w:r>
            <w:r>
              <w:rPr>
                <w:rFonts w:hint="eastAsia" w:ascii="Times New Roman" w:hAnsi="Times New Roman" w:cs="Times New Roman"/>
                <w:color w:val="auto"/>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14:paraId="60A2764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58B9CBE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6DE1BA2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78E87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C4E462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color w:val="auto"/>
                <w:kern w:val="0"/>
                <w:sz w:val="24"/>
                <w:szCs w:val="24"/>
                <w:highlight w:val="none"/>
                <w:lang w:eastAsia="zh-CN"/>
              </w:rPr>
            </w:pPr>
            <w:r>
              <w:rPr>
                <w:rFonts w:hint="default" w:ascii="Times New Roman" w:hAnsi="Times New Roman" w:cs="Times New Roman" w:eastAsiaTheme="minorEastAsia"/>
                <w:color w:val="auto"/>
                <w:kern w:val="0"/>
                <w:sz w:val="24"/>
                <w:szCs w:val="24"/>
                <w:highlight w:val="none"/>
              </w:rPr>
              <w:t>符合第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投标文件格式</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的</w:t>
            </w:r>
            <w:r>
              <w:rPr>
                <w:rFonts w:hint="eastAsia" w:ascii="Times New Roman" w:hAnsi="Times New Roman" w:cs="Times New Roman"/>
                <w:color w:val="auto"/>
                <w:kern w:val="0"/>
                <w:sz w:val="24"/>
                <w:szCs w:val="24"/>
                <w:highlight w:val="none"/>
                <w:lang w:val="en-US" w:eastAsia="zh-CN"/>
              </w:rPr>
              <w:t>要求</w:t>
            </w:r>
          </w:p>
        </w:tc>
      </w:tr>
      <w:tr w14:paraId="3AFD2E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3A2203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3A2CB74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68FED2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60FE80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只能有一个有效报价</w:t>
            </w:r>
          </w:p>
        </w:tc>
      </w:tr>
      <w:tr w14:paraId="69DD49D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14:paraId="4F05270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permStart w:id="57" w:edGrp="everyone" w:colFirst="3" w:colLast="3"/>
            <w:r>
              <w:rPr>
                <w:rFonts w:hint="eastAsia" w:ascii="Times New Roman" w:hAnsi="Times New Roman" w:cs="Times New Roman"/>
                <w:color w:val="auto"/>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14:paraId="13DCF8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1F1BF3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0BEA12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符合第二章“投标人须知”第1.4.1项规定</w:t>
            </w:r>
          </w:p>
        </w:tc>
      </w:tr>
      <w:permEnd w:id="57"/>
      <w:tr w14:paraId="31C936D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2DEA435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ermStart w:id="58" w:edGrp="everyone" w:colFirst="3" w:colLast="3"/>
          </w:p>
        </w:tc>
        <w:tc>
          <w:tcPr>
            <w:tcW w:w="850" w:type="dxa"/>
            <w:vMerge w:val="continue"/>
            <w:tcBorders>
              <w:right w:val="single" w:color="auto" w:sz="4" w:space="0"/>
            </w:tcBorders>
            <w:noWrap w:val="0"/>
            <w:vAlign w:val="center"/>
          </w:tcPr>
          <w:p w14:paraId="4339BD4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4FDA13B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4601E7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符合第二章“投标人须知”第1.4.1项规定</w:t>
            </w:r>
          </w:p>
        </w:tc>
      </w:tr>
      <w:permEnd w:id="58"/>
      <w:tr w14:paraId="6386C4F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0BBF83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ermStart w:id="59" w:edGrp="everyone" w:colFirst="3" w:colLast="3"/>
          </w:p>
        </w:tc>
        <w:tc>
          <w:tcPr>
            <w:tcW w:w="850" w:type="dxa"/>
            <w:vMerge w:val="continue"/>
            <w:tcBorders>
              <w:right w:val="single" w:color="auto" w:sz="4" w:space="0"/>
            </w:tcBorders>
            <w:noWrap w:val="0"/>
            <w:vAlign w:val="center"/>
          </w:tcPr>
          <w:p w14:paraId="0DB2775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5FD9129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2C4455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符合第二章“投标人须知”第1.4.1项规定</w:t>
            </w:r>
          </w:p>
        </w:tc>
      </w:tr>
      <w:permEnd w:id="59"/>
      <w:tr w14:paraId="2394A8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36112F4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ermStart w:id="60" w:edGrp="everyone" w:colFirst="3" w:colLast="3"/>
          </w:p>
        </w:tc>
        <w:tc>
          <w:tcPr>
            <w:tcW w:w="850" w:type="dxa"/>
            <w:vMerge w:val="continue"/>
            <w:tcBorders>
              <w:right w:val="single" w:color="auto" w:sz="4" w:space="0"/>
            </w:tcBorders>
            <w:noWrap w:val="0"/>
            <w:vAlign w:val="center"/>
          </w:tcPr>
          <w:p w14:paraId="3EF283D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75426B2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3C7175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符合第二章“投标人须知”第1.4.1项规定</w:t>
            </w:r>
          </w:p>
        </w:tc>
      </w:tr>
      <w:permEnd w:id="60"/>
      <w:tr w14:paraId="05C70D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5BCCAC1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ermStart w:id="61" w:edGrp="everyone" w:colFirst="3" w:colLast="3"/>
          </w:p>
        </w:tc>
        <w:tc>
          <w:tcPr>
            <w:tcW w:w="850" w:type="dxa"/>
            <w:vMerge w:val="continue"/>
            <w:tcBorders>
              <w:right w:val="single" w:color="auto" w:sz="4" w:space="0"/>
            </w:tcBorders>
            <w:noWrap w:val="0"/>
            <w:vAlign w:val="center"/>
          </w:tcPr>
          <w:p w14:paraId="72EF562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342AA11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E2D1BA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符合第二章“投标人须知”第1.4.1项规定</w:t>
            </w:r>
          </w:p>
        </w:tc>
      </w:tr>
      <w:permEnd w:id="61"/>
      <w:tr w14:paraId="08A8A0D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14:paraId="36AC163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850" w:type="dxa"/>
            <w:vMerge w:val="continue"/>
            <w:tcBorders>
              <w:right w:val="single" w:color="auto" w:sz="4" w:space="0"/>
            </w:tcBorders>
            <w:noWrap w:val="0"/>
            <w:vAlign w:val="center"/>
          </w:tcPr>
          <w:p w14:paraId="203AB4D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072D487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6F26FF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kern w:val="0"/>
                <w:sz w:val="24"/>
                <w:szCs w:val="24"/>
                <w:highlight w:val="none"/>
                <w:lang w:val="en-US" w:eastAsia="zh-CN" w:bidi="ar-SA"/>
              </w:rPr>
            </w:pPr>
            <w:permStart w:id="62" w:edGrp="everyone"/>
            <w:r>
              <w:rPr>
                <w:rFonts w:hint="eastAsia" w:ascii="Times New Roman" w:hAnsi="Times New Roman" w:cs="Times New Roman"/>
                <w:color w:val="auto"/>
                <w:kern w:val="0"/>
                <w:sz w:val="24"/>
                <w:szCs w:val="24"/>
                <w:highlight w:val="none"/>
                <w:lang w:val="en-US" w:eastAsia="zh-CN"/>
              </w:rPr>
              <w:t>符合第二章“投标人须知”第1.4.1项规定</w:t>
            </w:r>
            <w:permEnd w:id="62"/>
          </w:p>
        </w:tc>
      </w:tr>
      <w:tr w14:paraId="3028D91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14:paraId="3074865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ermStart w:id="63" w:edGrp="everyone" w:colFirst="3" w:colLast="3"/>
          </w:p>
        </w:tc>
        <w:tc>
          <w:tcPr>
            <w:tcW w:w="850" w:type="dxa"/>
            <w:vMerge w:val="continue"/>
            <w:tcBorders>
              <w:right w:val="single" w:color="auto" w:sz="4" w:space="0"/>
            </w:tcBorders>
            <w:noWrap w:val="0"/>
            <w:vAlign w:val="center"/>
          </w:tcPr>
          <w:p w14:paraId="43FC691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7BB796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27875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符合第二章“投标人须知”第1.4.2项规定</w:t>
            </w:r>
          </w:p>
        </w:tc>
      </w:tr>
      <w:permEnd w:id="63"/>
      <w:tr w14:paraId="508043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14:paraId="4862CF6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ermStart w:id="64" w:edGrp="everyone" w:colFirst="3" w:colLast="3"/>
          </w:p>
        </w:tc>
        <w:tc>
          <w:tcPr>
            <w:tcW w:w="850" w:type="dxa"/>
            <w:vMerge w:val="continue"/>
            <w:tcBorders>
              <w:right w:val="single" w:color="auto" w:sz="4" w:space="0"/>
            </w:tcBorders>
            <w:noWrap w:val="0"/>
            <w:vAlign w:val="center"/>
          </w:tcPr>
          <w:p w14:paraId="60C819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3CA7566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EEACC1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不存在第二章“投标人须知”第1.4.3项规定的任何一种情形</w:t>
            </w:r>
          </w:p>
        </w:tc>
      </w:tr>
      <w:permEnd w:id="64"/>
      <w:tr w14:paraId="5FD86F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5DDA6F9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ermStart w:id="65" w:edGrp="everyone" w:colFirst="3" w:colLast="3"/>
          </w:p>
        </w:tc>
        <w:tc>
          <w:tcPr>
            <w:tcW w:w="850" w:type="dxa"/>
            <w:vMerge w:val="continue"/>
            <w:tcBorders>
              <w:right w:val="single" w:color="auto" w:sz="4" w:space="0"/>
            </w:tcBorders>
            <w:noWrap w:val="0"/>
            <w:vAlign w:val="center"/>
          </w:tcPr>
          <w:p w14:paraId="55FFAD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07F0258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CA88C6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符合第二章“投标人须知”第1.4.1项规定</w:t>
            </w:r>
          </w:p>
        </w:tc>
      </w:tr>
      <w:permEnd w:id="65"/>
      <w:tr w14:paraId="1A3AC7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14:paraId="07EA74B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permStart w:id="66" w:edGrp="everyone" w:colFirst="3" w:colLast="3"/>
            <w:r>
              <w:rPr>
                <w:rFonts w:hint="eastAsia" w:ascii="Times New Roman" w:hAnsi="Times New Roman" w:cs="Times New Roman"/>
                <w:color w:val="auto"/>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14:paraId="2F5BAF8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72B7F2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B284A1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符合第二章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投标人须知</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第3.2.3项</w:t>
            </w:r>
            <w:r>
              <w:rPr>
                <w:rFonts w:hint="default" w:ascii="Times New Roman" w:hAnsi="Times New Roman" w:cs="Times New Roman" w:eastAsiaTheme="minorEastAsia"/>
                <w:color w:val="auto"/>
                <w:kern w:val="0"/>
                <w:sz w:val="24"/>
                <w:szCs w:val="24"/>
                <w:highlight w:val="none"/>
              </w:rPr>
              <w:t>规定</w:t>
            </w:r>
          </w:p>
        </w:tc>
      </w:tr>
      <w:permEnd w:id="66"/>
      <w:tr w14:paraId="2FA0966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53306C3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ermStart w:id="67" w:edGrp="everyone" w:colFirst="3" w:colLast="3"/>
          </w:p>
        </w:tc>
        <w:tc>
          <w:tcPr>
            <w:tcW w:w="850" w:type="dxa"/>
            <w:vMerge w:val="continue"/>
            <w:tcBorders>
              <w:right w:val="single" w:color="auto" w:sz="4" w:space="0"/>
            </w:tcBorders>
            <w:noWrap w:val="0"/>
            <w:vAlign w:val="center"/>
          </w:tcPr>
          <w:p w14:paraId="5581525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683509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55C1B6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符合第二章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投标人须知</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第1.3.1项</w:t>
            </w:r>
            <w:r>
              <w:rPr>
                <w:rFonts w:hint="default" w:ascii="Times New Roman" w:hAnsi="Times New Roman" w:cs="Times New Roman" w:eastAsiaTheme="minorEastAsia"/>
                <w:color w:val="auto"/>
                <w:kern w:val="0"/>
                <w:sz w:val="24"/>
                <w:szCs w:val="24"/>
                <w:highlight w:val="none"/>
              </w:rPr>
              <w:t>规定</w:t>
            </w:r>
          </w:p>
        </w:tc>
      </w:tr>
      <w:permEnd w:id="67"/>
      <w:tr w14:paraId="47D44B7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39952AC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ermStart w:id="68" w:edGrp="everyone" w:colFirst="3" w:colLast="3"/>
          </w:p>
        </w:tc>
        <w:tc>
          <w:tcPr>
            <w:tcW w:w="850" w:type="dxa"/>
            <w:vMerge w:val="continue"/>
            <w:tcBorders>
              <w:right w:val="single" w:color="auto" w:sz="4" w:space="0"/>
            </w:tcBorders>
            <w:noWrap w:val="0"/>
            <w:vAlign w:val="center"/>
          </w:tcPr>
          <w:p w14:paraId="4B46327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3A3AFC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服务期限</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4563A4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符合第二章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投标人须知</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第1.3.2项</w:t>
            </w:r>
            <w:r>
              <w:rPr>
                <w:rFonts w:hint="default" w:ascii="Times New Roman" w:hAnsi="Times New Roman" w:cs="Times New Roman" w:eastAsiaTheme="minorEastAsia"/>
                <w:color w:val="auto"/>
                <w:kern w:val="0"/>
                <w:sz w:val="24"/>
                <w:szCs w:val="24"/>
                <w:highlight w:val="none"/>
              </w:rPr>
              <w:t>规定</w:t>
            </w:r>
          </w:p>
        </w:tc>
      </w:tr>
      <w:permEnd w:id="68"/>
      <w:tr w14:paraId="581A8F4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0BB286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ermStart w:id="69" w:edGrp="everyone" w:colFirst="3" w:colLast="3"/>
          </w:p>
        </w:tc>
        <w:tc>
          <w:tcPr>
            <w:tcW w:w="850" w:type="dxa"/>
            <w:vMerge w:val="continue"/>
            <w:tcBorders>
              <w:right w:val="single" w:color="auto" w:sz="4" w:space="0"/>
            </w:tcBorders>
            <w:noWrap w:val="0"/>
            <w:vAlign w:val="center"/>
          </w:tcPr>
          <w:p w14:paraId="6B4D44C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A4E4CB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服务标准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930EE7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符合第二章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投标人须知</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第1.3.3项</w:t>
            </w:r>
            <w:r>
              <w:rPr>
                <w:rFonts w:hint="default" w:ascii="Times New Roman" w:hAnsi="Times New Roman" w:cs="Times New Roman" w:eastAsiaTheme="minorEastAsia"/>
                <w:color w:val="auto"/>
                <w:kern w:val="0"/>
                <w:sz w:val="24"/>
                <w:szCs w:val="24"/>
                <w:highlight w:val="none"/>
              </w:rPr>
              <w:t>规定</w:t>
            </w:r>
          </w:p>
        </w:tc>
      </w:tr>
      <w:permEnd w:id="69"/>
      <w:tr w14:paraId="6EAAA7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4FB700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ermStart w:id="70" w:edGrp="everyone" w:colFirst="3" w:colLast="3"/>
          </w:p>
        </w:tc>
        <w:tc>
          <w:tcPr>
            <w:tcW w:w="850" w:type="dxa"/>
            <w:vMerge w:val="continue"/>
            <w:tcBorders>
              <w:right w:val="single" w:color="auto" w:sz="4" w:space="0"/>
            </w:tcBorders>
            <w:noWrap w:val="0"/>
            <w:vAlign w:val="center"/>
          </w:tcPr>
          <w:p w14:paraId="7CDE798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A0D18F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9CCB4C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符合第二章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投标人须知</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第3.3.1项</w:t>
            </w:r>
            <w:r>
              <w:rPr>
                <w:rFonts w:hint="default" w:ascii="Times New Roman" w:hAnsi="Times New Roman" w:cs="Times New Roman" w:eastAsiaTheme="minorEastAsia"/>
                <w:color w:val="auto"/>
                <w:kern w:val="0"/>
                <w:sz w:val="24"/>
                <w:szCs w:val="24"/>
                <w:highlight w:val="none"/>
              </w:rPr>
              <w:t>规定</w:t>
            </w:r>
          </w:p>
        </w:tc>
      </w:tr>
      <w:permEnd w:id="70"/>
      <w:tr w14:paraId="58021CF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0FA87A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ermStart w:id="71" w:edGrp="everyone" w:colFirst="3" w:colLast="3"/>
          </w:p>
        </w:tc>
        <w:tc>
          <w:tcPr>
            <w:tcW w:w="850" w:type="dxa"/>
            <w:vMerge w:val="continue"/>
            <w:tcBorders>
              <w:right w:val="single" w:color="auto" w:sz="4" w:space="0"/>
            </w:tcBorders>
            <w:noWrap w:val="0"/>
            <w:vAlign w:val="center"/>
          </w:tcPr>
          <w:p w14:paraId="64F0CC1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C2F7C5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392C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kern w:val="0"/>
                <w:sz w:val="24"/>
                <w:szCs w:val="24"/>
                <w:highlight w:val="none"/>
                <w:lang w:eastAsia="zh-CN"/>
              </w:rPr>
            </w:pPr>
            <w:r>
              <w:rPr>
                <w:rFonts w:hint="default" w:ascii="Times New Roman" w:hAnsi="Times New Roman" w:cs="Times New Roman" w:eastAsiaTheme="minorEastAsia"/>
                <w:color w:val="auto"/>
                <w:kern w:val="0"/>
                <w:sz w:val="24"/>
                <w:szCs w:val="24"/>
                <w:highlight w:val="none"/>
              </w:rPr>
              <w:t>符合第二章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投标人须知</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第3.4.1项</w:t>
            </w:r>
            <w:r>
              <w:rPr>
                <w:rFonts w:hint="default" w:ascii="Times New Roman" w:hAnsi="Times New Roman" w:cs="Times New Roman" w:eastAsiaTheme="minorEastAsia"/>
                <w:color w:val="auto"/>
                <w:kern w:val="0"/>
                <w:sz w:val="24"/>
                <w:szCs w:val="24"/>
                <w:highlight w:val="none"/>
              </w:rPr>
              <w:t>规定</w:t>
            </w:r>
          </w:p>
        </w:tc>
      </w:tr>
      <w:permEnd w:id="71"/>
      <w:tr w14:paraId="1E8B07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05052E5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ermStart w:id="72" w:edGrp="everyone" w:colFirst="3" w:colLast="3"/>
          </w:p>
        </w:tc>
        <w:tc>
          <w:tcPr>
            <w:tcW w:w="850" w:type="dxa"/>
            <w:vMerge w:val="continue"/>
            <w:tcBorders>
              <w:right w:val="single" w:color="auto" w:sz="4" w:space="0"/>
            </w:tcBorders>
            <w:noWrap w:val="0"/>
            <w:vAlign w:val="center"/>
          </w:tcPr>
          <w:p w14:paraId="4473E77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F739A9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9E5F4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符合第二章“投标人须知”第1.12.1项规定和第四章“合同条款及格式”中的实质性要求和条件</w:t>
            </w:r>
          </w:p>
        </w:tc>
      </w:tr>
      <w:permEnd w:id="72"/>
      <w:tr w14:paraId="1AA95B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7CE6082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ermStart w:id="73" w:edGrp="everyone" w:colFirst="3" w:colLast="3"/>
          </w:p>
        </w:tc>
        <w:tc>
          <w:tcPr>
            <w:tcW w:w="850" w:type="dxa"/>
            <w:vMerge w:val="continue"/>
            <w:tcBorders>
              <w:bottom w:val="single" w:color="auto" w:sz="4" w:space="0"/>
              <w:right w:val="single" w:color="auto" w:sz="4" w:space="0"/>
            </w:tcBorders>
            <w:noWrap w:val="0"/>
            <w:vAlign w:val="center"/>
          </w:tcPr>
          <w:p w14:paraId="07A3217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DD40C6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yellow"/>
                <w:lang w:val="en-US" w:eastAsia="zh-CN"/>
              </w:rPr>
            </w:pPr>
            <w:r>
              <w:rPr>
                <w:rFonts w:hint="eastAsia" w:ascii="Times New Roman" w:hAnsi="Times New Roman" w:cs="Times New Roman"/>
                <w:color w:val="auto"/>
                <w:kern w:val="0"/>
                <w:sz w:val="24"/>
                <w:szCs w:val="24"/>
                <w:highlight w:val="none"/>
                <w:lang w:val="en-US" w:eastAsia="zh-CN"/>
              </w:rPr>
              <w:t>服务方案</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028CD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符合第五章“发包人要求”中的实质性要求和条件</w:t>
            </w:r>
          </w:p>
        </w:tc>
      </w:tr>
      <w:permEnd w:id="73"/>
      <w:tr w14:paraId="5712DF9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00FCBB0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color w:val="auto"/>
                <w:kern w:val="0"/>
                <w:sz w:val="24"/>
                <w:szCs w:val="24"/>
                <w:highlight w:val="none"/>
                <w:lang w:val="en-US" w:eastAsia="zh-CN"/>
              </w:rPr>
            </w:pPr>
            <w:bookmarkStart w:id="25" w:name="_Toc246996975"/>
            <w:bookmarkStart w:id="26" w:name="_Toc144974556"/>
            <w:bookmarkStart w:id="27" w:name="_Toc296602477"/>
            <w:bookmarkStart w:id="28" w:name="_Toc152045589"/>
            <w:bookmarkStart w:id="29" w:name="_Toc152042366"/>
            <w:bookmarkStart w:id="30" w:name="_Toc179632607"/>
            <w:bookmarkStart w:id="31" w:name="_Toc247085747"/>
            <w:bookmarkStart w:id="32" w:name="_Toc246996232"/>
            <w:r>
              <w:rPr>
                <w:rFonts w:hint="default" w:ascii="Times New Roman" w:hAnsi="Times New Roman" w:cs="Times New Roman"/>
                <w:b/>
                <w:bCs/>
                <w:color w:val="auto"/>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41780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color w:val="auto"/>
                <w:kern w:val="0"/>
                <w:sz w:val="24"/>
                <w:szCs w:val="24"/>
                <w:highlight w:val="none"/>
                <w:lang w:val="en-US" w:eastAsia="zh-CN"/>
              </w:rPr>
            </w:pPr>
            <w:r>
              <w:rPr>
                <w:rFonts w:hint="default" w:ascii="Times New Roman" w:hAnsi="Times New Roman" w:cs="Times New Roman"/>
                <w:b/>
                <w:bCs/>
                <w:color w:val="auto"/>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360083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color w:val="auto"/>
                <w:kern w:val="0"/>
                <w:sz w:val="24"/>
                <w:szCs w:val="24"/>
                <w:highlight w:val="none"/>
                <w:lang w:val="en-US" w:eastAsia="zh-CN"/>
              </w:rPr>
            </w:pPr>
            <w:r>
              <w:rPr>
                <w:rFonts w:hint="default" w:ascii="Times New Roman" w:hAnsi="Times New Roman" w:cs="Times New Roman"/>
                <w:b/>
                <w:bCs/>
                <w:color w:val="auto"/>
                <w:kern w:val="0"/>
                <w:sz w:val="24"/>
                <w:szCs w:val="24"/>
                <w:highlight w:val="none"/>
                <w:lang w:val="en-US" w:eastAsia="zh-CN"/>
              </w:rPr>
              <w:t>编列内容</w:t>
            </w:r>
          </w:p>
        </w:tc>
      </w:tr>
      <w:tr w14:paraId="2AD698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731571D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permStart w:id="74" w:edGrp="everyone" w:colFirst="2" w:colLast="2"/>
            <w:r>
              <w:rPr>
                <w:rFonts w:hint="eastAsia" w:ascii="Times New Roman" w:hAnsi="Times New Roman" w:cs="Times New Roman"/>
                <w:color w:val="auto"/>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64C801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分值构成</w:t>
            </w:r>
          </w:p>
          <w:p w14:paraId="3FC14B4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7A55411">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资信业绩部分</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 xml:space="preserve"> 20 </w:t>
            </w:r>
            <w:r>
              <w:rPr>
                <w:rFonts w:hint="default" w:ascii="Times New Roman" w:hAnsi="Times New Roman" w:cs="Times New Roman" w:eastAsiaTheme="minorEastAsia"/>
                <w:color w:val="auto"/>
                <w:kern w:val="0"/>
                <w:sz w:val="24"/>
                <w:szCs w:val="24"/>
                <w:highlight w:val="none"/>
              </w:rPr>
              <w:t>分</w:t>
            </w:r>
          </w:p>
          <w:p w14:paraId="34E6CF55">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服务方案部分：</w:t>
            </w:r>
            <w:r>
              <w:rPr>
                <w:rFonts w:hint="eastAsia" w:ascii="Times New Roman" w:hAnsi="Times New Roman" w:cs="Times New Roman"/>
                <w:i w:val="0"/>
                <w:iCs w:val="0"/>
                <w:color w:val="auto"/>
                <w:kern w:val="0"/>
                <w:sz w:val="24"/>
                <w:szCs w:val="24"/>
                <w:highlight w:val="none"/>
                <w:u w:val="single"/>
                <w:lang w:val="en-US" w:eastAsia="zh-CN"/>
              </w:rPr>
              <w:t xml:space="preserve"> 30 </w:t>
            </w:r>
            <w:r>
              <w:rPr>
                <w:rFonts w:hint="default" w:ascii="Times New Roman" w:hAnsi="Times New Roman" w:cs="Times New Roman" w:eastAsiaTheme="minorEastAsia"/>
                <w:color w:val="auto"/>
                <w:kern w:val="0"/>
                <w:sz w:val="24"/>
                <w:szCs w:val="24"/>
                <w:highlight w:val="none"/>
              </w:rPr>
              <w:t>分</w:t>
            </w:r>
          </w:p>
          <w:p w14:paraId="64B0EB7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auto"/>
                <w:kern w:val="0"/>
                <w:sz w:val="24"/>
                <w:szCs w:val="24"/>
                <w:highlight w:val="yellow"/>
                <w:lang w:val="en-US"/>
              </w:rPr>
            </w:pPr>
            <w:r>
              <w:rPr>
                <w:rFonts w:hint="eastAsia" w:ascii="Times New Roman" w:hAnsi="Times New Roman" w:cs="Times New Roman"/>
                <w:color w:val="auto"/>
                <w:kern w:val="0"/>
                <w:sz w:val="24"/>
                <w:szCs w:val="24"/>
                <w:highlight w:val="none"/>
                <w:lang w:val="en-US" w:eastAsia="zh-CN"/>
              </w:rPr>
              <w:t>投标报价部分：</w:t>
            </w:r>
            <w:r>
              <w:rPr>
                <w:rFonts w:hint="eastAsia" w:ascii="Times New Roman" w:hAnsi="Times New Roman" w:cs="Times New Roman"/>
                <w:i w:val="0"/>
                <w:iCs w:val="0"/>
                <w:color w:val="auto"/>
                <w:kern w:val="0"/>
                <w:sz w:val="24"/>
                <w:szCs w:val="24"/>
                <w:highlight w:val="none"/>
                <w:u w:val="single"/>
                <w:lang w:val="en-US" w:eastAsia="zh-CN"/>
              </w:rPr>
              <w:t xml:space="preserve"> 50 </w:t>
            </w:r>
            <w:r>
              <w:rPr>
                <w:rFonts w:hint="default" w:ascii="Times New Roman" w:hAnsi="Times New Roman" w:cs="Times New Roman" w:eastAsiaTheme="minorEastAsia"/>
                <w:color w:val="auto"/>
                <w:kern w:val="0"/>
                <w:sz w:val="24"/>
                <w:szCs w:val="24"/>
                <w:highlight w:val="none"/>
              </w:rPr>
              <w:t>分</w:t>
            </w:r>
          </w:p>
        </w:tc>
      </w:tr>
      <w:permEnd w:id="74"/>
      <w:tr w14:paraId="6950EEB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15F462B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permStart w:id="75" w:edGrp="everyone" w:colFirst="2" w:colLast="2"/>
            <w:r>
              <w:rPr>
                <w:rFonts w:hint="eastAsia" w:ascii="Times New Roman" w:hAnsi="Times New Roman" w:cs="Times New Roman"/>
                <w:color w:val="auto"/>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53179A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42849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u w:val="single"/>
                <w:lang w:val="en-US" w:eastAsia="zh-CN"/>
              </w:rPr>
              <w:t>以所有有效投标人投标报价的算术平均值作为评标基准价。</w:t>
            </w:r>
          </w:p>
        </w:tc>
      </w:tr>
      <w:permEnd w:id="75"/>
      <w:tr w14:paraId="51D7AEC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67B067C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94D60F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FA5163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详见2.2.4（3）投标报价评分标准。</w:t>
            </w:r>
          </w:p>
        </w:tc>
      </w:tr>
      <w:tr w14:paraId="031C137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620F0E7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color w:val="auto"/>
                <w:kern w:val="0"/>
                <w:sz w:val="24"/>
                <w:szCs w:val="24"/>
                <w:highlight w:val="none"/>
                <w:lang w:val="en-US" w:eastAsia="zh-CN"/>
              </w:rPr>
            </w:pPr>
            <w:r>
              <w:rPr>
                <w:rFonts w:hint="default" w:ascii="Times New Roman" w:hAnsi="Times New Roman" w:cs="Times New Roman"/>
                <w:b/>
                <w:bCs/>
                <w:color w:val="auto"/>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A06D6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color w:val="auto"/>
                <w:kern w:val="0"/>
                <w:sz w:val="24"/>
                <w:szCs w:val="24"/>
                <w:highlight w:val="none"/>
                <w:lang w:val="en-US" w:eastAsia="zh-CN"/>
              </w:rPr>
            </w:pPr>
            <w:r>
              <w:rPr>
                <w:rFonts w:hint="default" w:ascii="Times New Roman" w:hAnsi="Times New Roman" w:cs="Times New Roman"/>
                <w:b/>
                <w:bCs/>
                <w:color w:val="auto"/>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41F01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color w:val="auto"/>
                <w:kern w:val="0"/>
                <w:sz w:val="24"/>
                <w:szCs w:val="24"/>
                <w:highlight w:val="none"/>
                <w:lang w:val="en-US" w:eastAsia="zh-CN"/>
              </w:rPr>
            </w:pPr>
            <w:r>
              <w:rPr>
                <w:rFonts w:hint="default" w:ascii="Times New Roman" w:hAnsi="Times New Roman" w:cs="Times New Roman"/>
                <w:b/>
                <w:bCs/>
                <w:color w:val="auto"/>
                <w:kern w:val="0"/>
                <w:sz w:val="24"/>
                <w:szCs w:val="24"/>
                <w:highlight w:val="none"/>
                <w:lang w:val="en-US" w:eastAsia="zh-CN"/>
              </w:rPr>
              <w:t>评分标准</w:t>
            </w:r>
          </w:p>
        </w:tc>
      </w:tr>
      <w:tr w14:paraId="35ECFA9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14:paraId="2DD6C83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permStart w:id="76" w:edGrp="everyone" w:colFirst="1" w:colLast="1"/>
            <w:permStart w:id="77" w:edGrp="everyone" w:colFirst="2" w:colLast="2"/>
            <w:permStart w:id="78" w:edGrp="everyone" w:colFirst="3" w:colLast="3"/>
            <w:r>
              <w:rPr>
                <w:rFonts w:hint="eastAsia" w:ascii="Times New Roman" w:hAnsi="Times New Roman" w:cs="Times New Roman"/>
                <w:color w:val="auto"/>
                <w:kern w:val="0"/>
                <w:sz w:val="24"/>
                <w:szCs w:val="24"/>
                <w:highlight w:val="none"/>
                <w:lang w:val="en-US" w:eastAsia="zh-CN"/>
              </w:rPr>
              <w:t>2.2.4</w:t>
            </w:r>
          </w:p>
          <w:p w14:paraId="5764B5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w:t>
            </w:r>
          </w:p>
        </w:tc>
        <w:tc>
          <w:tcPr>
            <w:tcW w:w="850" w:type="dxa"/>
            <w:vMerge w:val="restart"/>
            <w:tcBorders>
              <w:top w:val="single" w:color="auto" w:sz="4" w:space="0"/>
              <w:right w:val="single" w:color="auto" w:sz="4" w:space="0"/>
            </w:tcBorders>
            <w:noWrap w:val="0"/>
            <w:vAlign w:val="center"/>
          </w:tcPr>
          <w:p w14:paraId="1777C80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资信业绩评分标准</w:t>
            </w:r>
          </w:p>
          <w:p w14:paraId="43845AB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20</w:t>
            </w:r>
            <w:r>
              <w:rPr>
                <w:rFonts w:hint="default" w:ascii="Times New Roman" w:hAnsi="Times New Roman" w:cs="Times New Roman"/>
                <w:i/>
                <w:iCs/>
                <w:color w:val="auto"/>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F3930E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信誉</w:t>
            </w:r>
          </w:p>
          <w:p w14:paraId="7806149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yellow"/>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5</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CB3CE3B">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rPr>
            </w:pPr>
            <w:r>
              <w:rPr>
                <w:rFonts w:hint="eastAsia" w:ascii="宋体" w:hAnsi="宋体" w:cs="Times New Roman"/>
                <w:color w:val="auto"/>
                <w:sz w:val="24"/>
              </w:rPr>
              <w:t>1、企业具有质量管理体系认证、环境管理体系认证、职业健康安全管理体系认证，且均在有效期内的，每个得1分， 满分3分。</w:t>
            </w:r>
          </w:p>
          <w:p w14:paraId="551311AF">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宋体" w:hAnsi="宋体" w:cs="Times New Roman"/>
                <w:color w:val="auto"/>
                <w:sz w:val="24"/>
              </w:rPr>
              <w:t>2、投标人自202</w:t>
            </w:r>
            <w:r>
              <w:rPr>
                <w:rFonts w:hint="eastAsia" w:ascii="宋体" w:hAnsi="宋体" w:cs="Times New Roman"/>
                <w:color w:val="auto"/>
                <w:sz w:val="24"/>
                <w:lang w:val="en-US" w:eastAsia="zh-CN"/>
              </w:rPr>
              <w:t>1</w:t>
            </w:r>
            <w:r>
              <w:rPr>
                <w:rFonts w:hint="eastAsia" w:ascii="宋体" w:hAnsi="宋体" w:cs="Times New Roman"/>
                <w:color w:val="auto"/>
                <w:sz w:val="24"/>
              </w:rPr>
              <w:t>年1月1日以来（以获奖时间为准），获得省级及以上行业主管部门</w:t>
            </w:r>
            <w:r>
              <w:rPr>
                <w:rFonts w:hint="eastAsia" w:ascii="宋体" w:hAnsi="宋体" w:cs="Times New Roman"/>
                <w:color w:val="auto"/>
                <w:sz w:val="24"/>
                <w:lang w:eastAsia="zh-CN"/>
              </w:rPr>
              <w:t>（</w:t>
            </w:r>
            <w:r>
              <w:rPr>
                <w:rFonts w:hint="eastAsia" w:ascii="宋体" w:hAnsi="宋体" w:cs="Times New Roman"/>
                <w:color w:val="auto"/>
                <w:sz w:val="24"/>
              </w:rPr>
              <w:t>含政府</w:t>
            </w:r>
            <w:r>
              <w:rPr>
                <w:rFonts w:hint="eastAsia" w:ascii="宋体" w:hAnsi="宋体" w:cs="Times New Roman"/>
                <w:color w:val="auto"/>
                <w:sz w:val="24"/>
                <w:lang w:eastAsia="zh-CN"/>
              </w:rPr>
              <w:t>）</w:t>
            </w:r>
            <w:r>
              <w:rPr>
                <w:rFonts w:hint="eastAsia" w:ascii="宋体" w:hAnsi="宋体" w:cs="Times New Roman"/>
                <w:color w:val="auto"/>
                <w:sz w:val="24"/>
              </w:rPr>
              <w:t>或行业协会颁发的</w:t>
            </w:r>
            <w:r>
              <w:rPr>
                <w:rFonts w:hint="eastAsia" w:ascii="Times New Roman" w:hAnsi="Times New Roman" w:cs="Times New Roman"/>
                <w:color w:val="auto"/>
                <w:kern w:val="0"/>
                <w:sz w:val="24"/>
                <w:szCs w:val="24"/>
                <w:highlight w:val="none"/>
                <w:lang w:val="en-US" w:eastAsia="zh-CN"/>
              </w:rPr>
              <w:t>建设工程质量检测类荣誉奖项的</w:t>
            </w:r>
            <w:r>
              <w:rPr>
                <w:rFonts w:hint="eastAsia" w:ascii="宋体" w:hAnsi="宋体" w:cs="Times New Roman"/>
                <w:color w:val="auto"/>
                <w:sz w:val="24"/>
                <w:lang w:eastAsia="zh-CN"/>
              </w:rPr>
              <w:t>，</w:t>
            </w:r>
            <w:r>
              <w:rPr>
                <w:rFonts w:hint="eastAsia" w:ascii="宋体" w:hAnsi="宋体" w:cs="Times New Roman"/>
                <w:color w:val="auto"/>
                <w:sz w:val="24"/>
              </w:rPr>
              <w:t>每个得</w:t>
            </w:r>
            <w:r>
              <w:rPr>
                <w:rFonts w:hint="eastAsia" w:ascii="宋体" w:hAnsi="宋体" w:cs="Times New Roman"/>
                <w:color w:val="auto"/>
                <w:sz w:val="24"/>
                <w:lang w:val="en-US" w:eastAsia="zh-CN"/>
              </w:rPr>
              <w:t>2</w:t>
            </w:r>
            <w:r>
              <w:rPr>
                <w:rFonts w:hint="eastAsia" w:ascii="宋体" w:hAnsi="宋体" w:cs="Times New Roman"/>
                <w:color w:val="auto"/>
                <w:sz w:val="24"/>
              </w:rPr>
              <w:t>分</w:t>
            </w:r>
            <w:r>
              <w:rPr>
                <w:rFonts w:hint="eastAsia" w:ascii="宋体" w:hAnsi="宋体" w:cs="Times New Roman"/>
                <w:color w:val="auto"/>
                <w:sz w:val="24"/>
                <w:lang w:eastAsia="zh-CN"/>
              </w:rPr>
              <w:t>；</w:t>
            </w:r>
            <w:r>
              <w:rPr>
                <w:rFonts w:hint="eastAsia" w:ascii="宋体" w:hAnsi="宋体" w:cs="Times New Roman"/>
                <w:color w:val="auto"/>
                <w:sz w:val="24"/>
              </w:rPr>
              <w:t>获得地市级行业主管部门</w:t>
            </w:r>
            <w:r>
              <w:rPr>
                <w:rFonts w:hint="eastAsia" w:ascii="宋体" w:hAnsi="宋体" w:cs="Times New Roman"/>
                <w:color w:val="auto"/>
                <w:sz w:val="24"/>
                <w:lang w:eastAsia="zh-CN"/>
              </w:rPr>
              <w:t>（</w:t>
            </w:r>
            <w:r>
              <w:rPr>
                <w:rFonts w:hint="eastAsia" w:ascii="宋体" w:hAnsi="宋体" w:cs="Times New Roman"/>
                <w:color w:val="auto"/>
                <w:sz w:val="24"/>
              </w:rPr>
              <w:t>含政府</w:t>
            </w:r>
            <w:r>
              <w:rPr>
                <w:rFonts w:hint="eastAsia" w:ascii="宋体" w:hAnsi="宋体" w:cs="Times New Roman"/>
                <w:color w:val="auto"/>
                <w:sz w:val="24"/>
                <w:lang w:eastAsia="zh-CN"/>
              </w:rPr>
              <w:t>）</w:t>
            </w:r>
            <w:r>
              <w:rPr>
                <w:rFonts w:hint="eastAsia" w:ascii="宋体" w:hAnsi="宋体" w:cs="Times New Roman"/>
                <w:color w:val="auto"/>
                <w:sz w:val="24"/>
              </w:rPr>
              <w:t>或行业协会颁发的</w:t>
            </w:r>
            <w:r>
              <w:rPr>
                <w:rFonts w:hint="eastAsia" w:ascii="Times New Roman" w:hAnsi="Times New Roman" w:cs="Times New Roman"/>
                <w:color w:val="auto"/>
                <w:kern w:val="0"/>
                <w:sz w:val="24"/>
                <w:szCs w:val="24"/>
                <w:highlight w:val="none"/>
                <w:lang w:val="en-US" w:eastAsia="zh-CN"/>
              </w:rPr>
              <w:t>建设工程质量检测类荣誉奖项的</w:t>
            </w:r>
            <w:r>
              <w:rPr>
                <w:rFonts w:hint="eastAsia" w:ascii="宋体" w:hAnsi="宋体" w:cs="Times New Roman"/>
                <w:color w:val="auto"/>
                <w:sz w:val="24"/>
              </w:rPr>
              <w:t>，每个得</w:t>
            </w:r>
            <w:r>
              <w:rPr>
                <w:rFonts w:hint="eastAsia" w:ascii="宋体" w:hAnsi="宋体" w:cs="Times New Roman"/>
                <w:color w:val="auto"/>
                <w:sz w:val="24"/>
                <w:lang w:val="en-US" w:eastAsia="zh-CN"/>
              </w:rPr>
              <w:t>1</w:t>
            </w:r>
            <w:r>
              <w:rPr>
                <w:rFonts w:hint="eastAsia" w:ascii="宋体" w:hAnsi="宋体" w:cs="Times New Roman"/>
                <w:color w:val="auto"/>
                <w:sz w:val="24"/>
              </w:rPr>
              <w:t>分。</w:t>
            </w:r>
            <w:r>
              <w:rPr>
                <w:rFonts w:hint="eastAsia" w:ascii="宋体" w:hAnsi="宋体" w:cs="Times New Roman"/>
                <w:color w:val="auto"/>
                <w:sz w:val="24"/>
                <w:lang w:val="en-US" w:eastAsia="zh-CN"/>
              </w:rPr>
              <w:t>本项</w:t>
            </w:r>
            <w:r>
              <w:rPr>
                <w:rFonts w:hint="eastAsia" w:ascii="宋体" w:hAnsi="宋体" w:cs="Times New Roman"/>
                <w:color w:val="auto"/>
                <w:sz w:val="24"/>
              </w:rPr>
              <w:t>满分得</w:t>
            </w:r>
            <w:r>
              <w:rPr>
                <w:rFonts w:hint="eastAsia" w:ascii="宋体" w:hAnsi="宋体" w:cs="Times New Roman"/>
                <w:color w:val="auto"/>
                <w:sz w:val="24"/>
                <w:lang w:val="en-US" w:eastAsia="zh-CN"/>
              </w:rPr>
              <w:t>2</w:t>
            </w:r>
            <w:r>
              <w:rPr>
                <w:rFonts w:hint="eastAsia" w:ascii="宋体" w:hAnsi="宋体" w:cs="Times New Roman"/>
                <w:color w:val="auto"/>
                <w:sz w:val="24"/>
              </w:rPr>
              <w:t>分</w:t>
            </w:r>
            <w:r>
              <w:rPr>
                <w:rFonts w:hint="eastAsia" w:ascii="宋体" w:hAnsi="宋体" w:cs="Times New Roman"/>
                <w:color w:val="auto"/>
                <w:sz w:val="24"/>
                <w:lang w:eastAsia="zh-CN"/>
              </w:rPr>
              <w:t>，</w:t>
            </w:r>
            <w:r>
              <w:rPr>
                <w:rFonts w:hint="eastAsia" w:ascii="宋体" w:hAnsi="宋体" w:cs="Times New Roman"/>
                <w:color w:val="auto"/>
                <w:sz w:val="24"/>
                <w:lang w:val="en-US" w:eastAsia="zh-CN"/>
              </w:rPr>
              <w:t>多分不计</w:t>
            </w:r>
            <w:r>
              <w:rPr>
                <w:rFonts w:hint="eastAsia" w:ascii="宋体" w:hAnsi="宋体" w:cs="Times New Roman"/>
                <w:color w:val="auto"/>
                <w:sz w:val="24"/>
              </w:rPr>
              <w:t>。</w:t>
            </w:r>
          </w:p>
        </w:tc>
      </w:tr>
      <w:permEnd w:id="76"/>
      <w:permEnd w:id="77"/>
      <w:permEnd w:id="78"/>
      <w:tr w14:paraId="0951F21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00C2F5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permStart w:id="79" w:edGrp="everyone" w:colFirst="1" w:colLast="1"/>
            <w:permStart w:id="80" w:edGrp="everyone" w:colFirst="2" w:colLast="2"/>
            <w:permStart w:id="81" w:edGrp="everyone" w:colFirst="3" w:colLast="3"/>
          </w:p>
        </w:tc>
        <w:tc>
          <w:tcPr>
            <w:tcW w:w="850" w:type="dxa"/>
            <w:vMerge w:val="continue"/>
            <w:tcBorders>
              <w:right w:val="single" w:color="auto" w:sz="4" w:space="0"/>
            </w:tcBorders>
            <w:noWrap w:val="0"/>
            <w:vAlign w:val="center"/>
          </w:tcPr>
          <w:p w14:paraId="3D8D0EB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279A74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企业类似</w:t>
            </w:r>
          </w:p>
          <w:p w14:paraId="381A8B9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项目业绩</w:t>
            </w:r>
          </w:p>
          <w:p w14:paraId="2F16D77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6</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2B750B1">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rPr>
            </w:pPr>
            <w:r>
              <w:rPr>
                <w:rFonts w:hint="eastAsia" w:ascii="宋体" w:hAnsi="宋体" w:cs="Times New Roman"/>
                <w:color w:val="auto"/>
                <w:sz w:val="24"/>
                <w:lang w:val="en-US" w:eastAsia="zh-CN"/>
              </w:rPr>
              <w:t>在满足投标人资格要求的基础上，投标人每额外提供一项</w:t>
            </w:r>
            <w:r>
              <w:rPr>
                <w:rFonts w:hint="eastAsia" w:ascii="宋体" w:hAnsi="宋体" w:cs="Times New Roman"/>
                <w:color w:val="auto"/>
                <w:sz w:val="24"/>
              </w:rPr>
              <w:t>20</w:t>
            </w:r>
            <w:r>
              <w:rPr>
                <w:rFonts w:hint="eastAsia" w:ascii="宋体" w:hAnsi="宋体" w:cs="Times New Roman"/>
                <w:color w:val="auto"/>
                <w:sz w:val="24"/>
                <w:lang w:val="en-US" w:eastAsia="zh-CN"/>
              </w:rPr>
              <w:t>21</w:t>
            </w:r>
            <w:r>
              <w:rPr>
                <w:rFonts w:hint="eastAsia" w:ascii="宋体" w:hAnsi="宋体" w:cs="Times New Roman"/>
                <w:color w:val="auto"/>
                <w:sz w:val="24"/>
              </w:rPr>
              <w:t>年1月1日以来</w:t>
            </w:r>
            <w:r>
              <w:rPr>
                <w:rFonts w:hint="eastAsia" w:ascii="宋体" w:hAnsi="宋体" w:cs="Times New Roman"/>
                <w:color w:val="auto"/>
                <w:sz w:val="24"/>
                <w:lang w:val="en-US" w:eastAsia="zh-CN"/>
              </w:rPr>
              <w:t>的企业</w:t>
            </w:r>
            <w:r>
              <w:rPr>
                <w:rFonts w:hint="eastAsia" w:ascii="宋体" w:hAnsi="宋体" w:cs="Times New Roman"/>
                <w:color w:val="auto"/>
                <w:sz w:val="24"/>
              </w:rPr>
              <w:t>类似项目业绩得</w:t>
            </w:r>
            <w:r>
              <w:rPr>
                <w:rFonts w:hint="eastAsia" w:ascii="宋体" w:hAnsi="宋体" w:cs="Times New Roman"/>
                <w:color w:val="auto"/>
                <w:sz w:val="24"/>
                <w:lang w:val="en-US" w:eastAsia="zh-CN"/>
              </w:rPr>
              <w:t>3</w:t>
            </w:r>
            <w:r>
              <w:rPr>
                <w:rFonts w:hint="eastAsia" w:ascii="宋体" w:hAnsi="宋体" w:cs="Times New Roman"/>
                <w:color w:val="auto"/>
                <w:sz w:val="24"/>
              </w:rPr>
              <w:t>分，满分</w:t>
            </w:r>
            <w:r>
              <w:rPr>
                <w:rFonts w:hint="eastAsia" w:ascii="宋体" w:hAnsi="宋体" w:cs="Times New Roman"/>
                <w:color w:val="auto"/>
                <w:sz w:val="24"/>
                <w:lang w:val="en-US" w:eastAsia="zh-CN"/>
              </w:rPr>
              <w:t>6</w:t>
            </w:r>
            <w:r>
              <w:rPr>
                <w:rFonts w:hint="eastAsia" w:ascii="宋体" w:hAnsi="宋体" w:cs="Times New Roman"/>
                <w:color w:val="auto"/>
                <w:sz w:val="24"/>
              </w:rPr>
              <w:t>分。</w:t>
            </w:r>
          </w:p>
          <w:p w14:paraId="7598C38B">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eastAsiaTheme="minorEastAsia"/>
                <w:color w:val="auto"/>
                <w:sz w:val="24"/>
                <w:lang w:eastAsia="zh-CN"/>
              </w:rPr>
            </w:pPr>
            <w:r>
              <w:rPr>
                <w:rFonts w:hint="eastAsia" w:ascii="宋体" w:hAnsi="宋体" w:cs="Times New Roman"/>
                <w:color w:val="auto"/>
                <w:sz w:val="24"/>
              </w:rPr>
              <w:t>注：1、类似项</w:t>
            </w:r>
            <w:r>
              <w:rPr>
                <w:rFonts w:hint="eastAsia" w:ascii="宋体" w:hAnsi="宋体" w:cs="Times New Roman"/>
                <w:color w:val="auto"/>
                <w:sz w:val="24"/>
                <w:lang w:val="en-US" w:eastAsia="zh-CN"/>
              </w:rPr>
              <w:t>目业绩指：单项合同金额不少于30万元或总建筑面积不少于12万㎡的建筑工程第三方检测或交竣工检测业绩，</w:t>
            </w:r>
            <w:r>
              <w:rPr>
                <w:rFonts w:hint="eastAsia" w:ascii="宋体" w:hAnsi="宋体" w:cs="Times New Roman"/>
                <w:color w:val="auto"/>
                <w:sz w:val="24"/>
              </w:rPr>
              <w:t>时间以合同签订日期为准</w:t>
            </w:r>
            <w:r>
              <w:rPr>
                <w:rFonts w:hint="eastAsia" w:ascii="宋体" w:hAnsi="宋体" w:cs="Times New Roman"/>
                <w:color w:val="auto"/>
                <w:sz w:val="24"/>
                <w:lang w:eastAsia="zh-CN"/>
              </w:rPr>
              <w:t>。</w:t>
            </w:r>
          </w:p>
          <w:p w14:paraId="0DC7B481">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宋体" w:hAnsi="宋体" w:cs="Times New Roman"/>
                <w:color w:val="auto"/>
                <w:sz w:val="24"/>
              </w:rPr>
              <w:t>2、有效的业绩证明材料指：</w:t>
            </w:r>
            <w:r>
              <w:rPr>
                <w:rFonts w:hint="default" w:ascii="宋体" w:hAnsi="宋体" w:cs="Times New Roman"/>
                <w:color w:val="auto"/>
                <w:sz w:val="24"/>
                <w:lang w:val="en-US" w:eastAsia="zh-CN"/>
              </w:rPr>
              <w:t>提供业绩合同</w:t>
            </w:r>
            <w:r>
              <w:rPr>
                <w:rFonts w:hint="eastAsia" w:ascii="宋体" w:hAnsi="宋体" w:cs="Times New Roman"/>
                <w:color w:val="auto"/>
                <w:sz w:val="24"/>
                <w:lang w:val="en-US" w:eastAsia="zh-CN"/>
              </w:rPr>
              <w:t>等相关资料</w:t>
            </w:r>
            <w:r>
              <w:rPr>
                <w:rFonts w:hint="default" w:ascii="宋体" w:hAnsi="宋体" w:cs="Times New Roman"/>
                <w:color w:val="auto"/>
                <w:sz w:val="24"/>
                <w:lang w:val="en-US" w:eastAsia="zh-CN"/>
              </w:rPr>
              <w:t>复印件或扫描件装订入投标文件中</w:t>
            </w:r>
            <w:r>
              <w:rPr>
                <w:rFonts w:hint="eastAsia" w:ascii="宋体" w:hAnsi="宋体" w:cs="Times New Roman"/>
                <w:color w:val="auto"/>
                <w:sz w:val="24"/>
              </w:rPr>
              <w:t>。</w:t>
            </w:r>
          </w:p>
        </w:tc>
      </w:tr>
      <w:permEnd w:id="79"/>
      <w:permEnd w:id="80"/>
      <w:permEnd w:id="81"/>
      <w:tr w14:paraId="41A3C7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67D5D8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permStart w:id="82" w:edGrp="everyone" w:colFirst="1" w:colLast="1"/>
            <w:permStart w:id="83" w:edGrp="everyone" w:colFirst="2" w:colLast="2"/>
            <w:permStart w:id="84" w:edGrp="everyone" w:colFirst="3" w:colLast="3"/>
          </w:p>
        </w:tc>
        <w:tc>
          <w:tcPr>
            <w:tcW w:w="850" w:type="dxa"/>
            <w:vMerge w:val="continue"/>
            <w:tcBorders>
              <w:right w:val="single" w:color="auto" w:sz="4" w:space="0"/>
            </w:tcBorders>
            <w:noWrap w:val="0"/>
            <w:vAlign w:val="center"/>
          </w:tcPr>
          <w:p w14:paraId="7028464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CE980E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项目负责人</w:t>
            </w:r>
          </w:p>
          <w:p w14:paraId="4D7259F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资历和业绩</w:t>
            </w:r>
          </w:p>
          <w:p w14:paraId="4B28DA6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5</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685A7D9">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lang w:val="en-US" w:eastAsia="zh-CN"/>
              </w:rPr>
            </w:pPr>
            <w:r>
              <w:rPr>
                <w:rFonts w:hint="eastAsia" w:ascii="宋体" w:hAnsi="宋体" w:cs="Times New Roman"/>
                <w:color w:val="auto"/>
                <w:sz w:val="24"/>
                <w:lang w:val="en-US" w:eastAsia="zh-CN"/>
              </w:rPr>
              <w:t>1、本项目负责人具有建筑工程类高级工程师职称证书，得2分；</w:t>
            </w:r>
          </w:p>
          <w:p w14:paraId="28FD7A1F">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lang w:val="en-US" w:eastAsia="zh-CN"/>
              </w:rPr>
            </w:pPr>
            <w:r>
              <w:rPr>
                <w:rFonts w:hint="eastAsia" w:ascii="宋体" w:hAnsi="宋体" w:cs="Times New Roman"/>
                <w:color w:val="auto"/>
                <w:sz w:val="24"/>
                <w:lang w:val="en-US" w:eastAsia="zh-CN"/>
              </w:rPr>
              <w:t>2、项目负责人每提供1项以项目负责人身份完成的单项合同金额不少于30万元或总建筑面积不少于12万㎡的建筑工程第三方检测或交竣工检测业绩得3分，满分3分。</w:t>
            </w:r>
          </w:p>
          <w:p w14:paraId="69A0EA5E">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宋体" w:hAnsi="宋体" w:cs="Times New Roman"/>
                <w:color w:val="auto"/>
                <w:sz w:val="24"/>
                <w:lang w:val="en-US" w:eastAsia="zh-CN"/>
              </w:rPr>
              <w:t>注：须提供相关证书复印件及近半年（开标之日起上推6个月）投标人为其连续缴纳的3个月社保证明（社保管理单位出具），合同需体现项目负责人身份信息，如无，需委托单位出具证明并加盖公章。</w:t>
            </w:r>
          </w:p>
        </w:tc>
      </w:tr>
      <w:permEnd w:id="82"/>
      <w:permEnd w:id="83"/>
      <w:permEnd w:id="84"/>
      <w:tr w14:paraId="502CCD0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0FD8B6B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permStart w:id="85" w:edGrp="everyone" w:colFirst="1" w:colLast="1"/>
            <w:permStart w:id="86" w:edGrp="everyone" w:colFirst="2" w:colLast="2"/>
            <w:permStart w:id="87" w:edGrp="everyone" w:colFirst="3" w:colLast="3"/>
          </w:p>
        </w:tc>
        <w:tc>
          <w:tcPr>
            <w:tcW w:w="850" w:type="dxa"/>
            <w:vMerge w:val="continue"/>
            <w:tcBorders>
              <w:bottom w:val="single" w:color="auto" w:sz="4" w:space="0"/>
              <w:right w:val="single" w:color="auto" w:sz="4" w:space="0"/>
            </w:tcBorders>
            <w:noWrap w:val="0"/>
            <w:vAlign w:val="center"/>
          </w:tcPr>
          <w:p w14:paraId="54B2F8A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A73533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其他主要人员</w:t>
            </w:r>
          </w:p>
          <w:p w14:paraId="08086F3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资历和业绩</w:t>
            </w:r>
          </w:p>
          <w:p w14:paraId="7DF9D69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4</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23FC0ED">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lang w:val="en-US" w:eastAsia="zh-CN"/>
              </w:rPr>
            </w:pPr>
            <w:r>
              <w:rPr>
                <w:rFonts w:hint="eastAsia" w:ascii="宋体" w:hAnsi="宋体" w:cs="Times New Roman"/>
                <w:color w:val="auto"/>
                <w:sz w:val="24"/>
                <w:lang w:val="en-US" w:eastAsia="zh-CN"/>
              </w:rPr>
              <w:t>拟派的本项目服务的（除项目负责人外）项目组成员中：</w:t>
            </w:r>
          </w:p>
          <w:p w14:paraId="7F9D6B5D">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宋体" w:hAnsi="宋体" w:cs="Times New Roman"/>
                <w:color w:val="auto"/>
                <w:sz w:val="24"/>
                <w:lang w:val="en-US" w:eastAsia="zh-CN"/>
              </w:rPr>
            </w:pPr>
            <w:r>
              <w:rPr>
                <w:rFonts w:hint="eastAsia" w:ascii="宋体" w:hAnsi="宋体" w:cs="Times New Roman"/>
                <w:color w:val="auto"/>
                <w:sz w:val="24"/>
                <w:lang w:val="en-US" w:eastAsia="zh-CN"/>
              </w:rPr>
              <w:t>具有建筑类专业高级及以上技术职称人员，每人得2分，最多得4分；</w:t>
            </w:r>
          </w:p>
          <w:p w14:paraId="6895B097">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宋体" w:hAnsi="宋体" w:cs="Times New Roman"/>
                <w:color w:val="auto"/>
                <w:sz w:val="24"/>
                <w:lang w:val="en-US" w:eastAsia="zh-CN"/>
              </w:rPr>
              <w:t>注：须提供相关证书复印件及近半年（开标之日起上推6个月）投标人为其连续缴纳的3个月社保证明（社保管理单位出具），一人多证的每个人员只计取一个职称得分。</w:t>
            </w:r>
          </w:p>
        </w:tc>
      </w:tr>
      <w:permEnd w:id="85"/>
      <w:permEnd w:id="86"/>
      <w:permEnd w:id="87"/>
      <w:tr w14:paraId="5089197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14:paraId="28123F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permStart w:id="88" w:edGrp="everyone" w:colFirst="1" w:colLast="1"/>
            <w:permStart w:id="89" w:edGrp="everyone" w:colFirst="2" w:colLast="2"/>
            <w:permStart w:id="90" w:edGrp="everyone" w:colFirst="3" w:colLast="3"/>
            <w:r>
              <w:rPr>
                <w:rFonts w:hint="eastAsia" w:ascii="Times New Roman" w:hAnsi="Times New Roman" w:cs="Times New Roman"/>
                <w:color w:val="auto"/>
                <w:kern w:val="0"/>
                <w:sz w:val="24"/>
                <w:szCs w:val="24"/>
                <w:highlight w:val="none"/>
                <w:lang w:val="en-US" w:eastAsia="zh-CN"/>
              </w:rPr>
              <w:t>2.2.4</w:t>
            </w:r>
          </w:p>
          <w:p w14:paraId="6828156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w:t>
            </w:r>
          </w:p>
        </w:tc>
        <w:tc>
          <w:tcPr>
            <w:tcW w:w="850" w:type="dxa"/>
            <w:vMerge w:val="restart"/>
            <w:tcBorders>
              <w:top w:val="single" w:color="auto" w:sz="4" w:space="0"/>
              <w:right w:val="single" w:color="auto" w:sz="4" w:space="0"/>
            </w:tcBorders>
            <w:noWrap w:val="0"/>
            <w:vAlign w:val="center"/>
          </w:tcPr>
          <w:p w14:paraId="013B124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服务方案评分标准</w:t>
            </w:r>
          </w:p>
          <w:p w14:paraId="07AB2AE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30</w:t>
            </w:r>
            <w:r>
              <w:rPr>
                <w:rFonts w:hint="default" w:ascii="Times New Roman" w:hAnsi="Times New Roman" w:cs="Times New Roman"/>
                <w:i/>
                <w:iCs/>
                <w:color w:val="auto"/>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4A87D3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cs="Times New Roman"/>
                <w:color w:val="auto"/>
                <w:sz w:val="24"/>
              </w:rPr>
            </w:pPr>
            <w:r>
              <w:rPr>
                <w:rFonts w:hint="eastAsia" w:ascii="宋体" w:hAnsi="宋体" w:cs="Times New Roman"/>
                <w:color w:val="auto"/>
                <w:sz w:val="24"/>
              </w:rPr>
              <w:t>进度控制</w:t>
            </w:r>
          </w:p>
          <w:p w14:paraId="55A579A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cs="Times New Roman"/>
                <w:color w:val="auto"/>
                <w:sz w:val="24"/>
              </w:rPr>
            </w:pPr>
            <w:r>
              <w:rPr>
                <w:rFonts w:hint="eastAsia" w:ascii="宋体" w:hAnsi="宋体" w:cs="Times New Roman"/>
                <w:color w:val="auto"/>
                <w:sz w:val="24"/>
              </w:rPr>
              <w:t>措施</w:t>
            </w:r>
          </w:p>
          <w:p w14:paraId="6C1C6CA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7</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496A9FE">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lang w:val="en-US" w:eastAsia="zh-CN"/>
              </w:rPr>
            </w:pPr>
            <w:r>
              <w:rPr>
                <w:rFonts w:hint="eastAsia" w:ascii="宋体" w:hAnsi="宋体" w:cs="Times New Roman"/>
                <w:color w:val="auto"/>
                <w:sz w:val="24"/>
                <w:lang w:val="en-US" w:eastAsia="zh-CN"/>
              </w:rPr>
              <w:t>进度控制措施，综合评定：</w:t>
            </w:r>
          </w:p>
          <w:p w14:paraId="44A7DD0F">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lang w:val="en-US" w:eastAsia="zh-CN"/>
              </w:rPr>
            </w:pPr>
            <w:r>
              <w:rPr>
                <w:rFonts w:hint="eastAsia" w:ascii="宋体" w:hAnsi="宋体" w:cs="Times New Roman"/>
                <w:color w:val="auto"/>
                <w:sz w:val="24"/>
                <w:lang w:val="en-US" w:eastAsia="zh-CN"/>
              </w:rPr>
              <w:t>1）合理可行且符合实际情况的酌情按照6.0-7.0分进行评分；</w:t>
            </w:r>
          </w:p>
          <w:p w14:paraId="06CA0AC6">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lang w:val="en-US" w:eastAsia="zh-CN"/>
              </w:rPr>
            </w:pPr>
            <w:r>
              <w:rPr>
                <w:rFonts w:hint="eastAsia" w:ascii="宋体" w:hAnsi="宋体" w:cs="Times New Roman"/>
                <w:color w:val="auto"/>
                <w:sz w:val="24"/>
                <w:lang w:val="en-US" w:eastAsia="zh-CN"/>
              </w:rPr>
              <w:t>2）内容较详细，基本符合实际情况的酌情按照3.0-6.0分进行评分；</w:t>
            </w:r>
          </w:p>
          <w:p w14:paraId="59712034">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lang w:val="en-US" w:eastAsia="zh-CN"/>
              </w:rPr>
            </w:pPr>
            <w:r>
              <w:rPr>
                <w:rFonts w:hint="eastAsia" w:ascii="宋体" w:hAnsi="宋体" w:cs="Times New Roman"/>
                <w:color w:val="auto"/>
                <w:sz w:val="24"/>
                <w:lang w:val="en-US" w:eastAsia="zh-CN"/>
              </w:rPr>
              <w:t>3）内容空洞，不符合实际情况的酌情按照0-3.0分进行评分；</w:t>
            </w:r>
          </w:p>
          <w:p w14:paraId="76A74914">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宋体" w:hAnsi="宋体" w:cs="Times New Roman"/>
                <w:color w:val="auto"/>
                <w:sz w:val="24"/>
                <w:lang w:val="en-US" w:eastAsia="zh-CN"/>
              </w:rPr>
              <w:t>未提供的不得分。</w:t>
            </w:r>
          </w:p>
        </w:tc>
      </w:tr>
      <w:permEnd w:id="88"/>
      <w:permEnd w:id="89"/>
      <w:permEnd w:id="90"/>
      <w:tr w14:paraId="1991D4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619583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permStart w:id="91" w:edGrp="everyone" w:colFirst="2" w:colLast="2"/>
            <w:permStart w:id="92" w:edGrp="everyone" w:colFirst="3" w:colLast="3"/>
          </w:p>
        </w:tc>
        <w:tc>
          <w:tcPr>
            <w:tcW w:w="850" w:type="dxa"/>
            <w:vMerge w:val="continue"/>
            <w:tcBorders>
              <w:bottom w:val="single" w:color="auto" w:sz="4" w:space="0"/>
              <w:right w:val="single" w:color="auto" w:sz="4" w:space="0"/>
            </w:tcBorders>
            <w:noWrap w:val="0"/>
            <w:vAlign w:val="center"/>
          </w:tcPr>
          <w:p w14:paraId="5DE3D5C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F83FE4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质量、保密、安全等保证措施</w:t>
            </w:r>
          </w:p>
          <w:p w14:paraId="72D07A2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auto"/>
                <w:kern w:val="0"/>
                <w:sz w:val="24"/>
                <w:szCs w:val="24"/>
                <w:highlight w:val="none"/>
                <w:u w:val="singl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8</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19608A2">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lang w:val="en-US" w:eastAsia="zh-CN"/>
              </w:rPr>
            </w:pPr>
            <w:r>
              <w:rPr>
                <w:rFonts w:hint="eastAsia" w:ascii="宋体" w:hAnsi="宋体" w:cs="Times New Roman"/>
                <w:color w:val="auto"/>
                <w:sz w:val="24"/>
                <w:lang w:val="en-US" w:eastAsia="zh-CN"/>
              </w:rPr>
              <w:t>质量承诺、质量控制、保密、安全等保证措施及违反质量承诺的处罚措施合理具体。综合评定：</w:t>
            </w:r>
          </w:p>
          <w:p w14:paraId="28922316">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lang w:val="en-US" w:eastAsia="zh-CN"/>
              </w:rPr>
            </w:pPr>
            <w:r>
              <w:rPr>
                <w:rFonts w:hint="eastAsia" w:ascii="宋体" w:hAnsi="宋体" w:cs="Times New Roman"/>
                <w:color w:val="auto"/>
                <w:sz w:val="24"/>
                <w:lang w:val="en-US" w:eastAsia="zh-CN"/>
              </w:rPr>
              <w:t>1）内容详实、表述清晰、奖惩措施合理的酌情按照6.0-8.0分进行评分；</w:t>
            </w:r>
          </w:p>
          <w:p w14:paraId="31C50D14">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lang w:val="en-US" w:eastAsia="zh-CN"/>
              </w:rPr>
            </w:pPr>
            <w:r>
              <w:rPr>
                <w:rFonts w:hint="eastAsia" w:ascii="宋体" w:hAnsi="宋体" w:cs="Times New Roman"/>
                <w:color w:val="auto"/>
                <w:sz w:val="24"/>
                <w:lang w:val="en-US" w:eastAsia="zh-CN"/>
              </w:rPr>
              <w:t>2）内容详实、表述较清晰，奖惩措施较合理，酌情按照3.0-6.0分进行评分；</w:t>
            </w:r>
          </w:p>
          <w:p w14:paraId="429BF43E">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iCs/>
                <w:color w:val="auto"/>
                <w:kern w:val="0"/>
                <w:sz w:val="24"/>
                <w:szCs w:val="24"/>
                <w:highlight w:val="none"/>
                <w:u w:val="single"/>
                <w:lang w:val="en-US" w:eastAsia="zh-CN"/>
              </w:rPr>
            </w:pPr>
            <w:r>
              <w:rPr>
                <w:rFonts w:hint="eastAsia" w:ascii="宋体" w:hAnsi="宋体" w:cs="Times New Roman"/>
                <w:color w:val="auto"/>
                <w:sz w:val="24"/>
                <w:lang w:val="en-US" w:eastAsia="zh-CN"/>
              </w:rPr>
              <w:t>3）内容不完整、奖惩措施不完全的酌情按照0-3.0分进行评分；未提供的不得分。</w:t>
            </w:r>
          </w:p>
        </w:tc>
      </w:tr>
      <w:permEnd w:id="91"/>
      <w:permEnd w:id="92"/>
      <w:tr w14:paraId="273F589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35C94B0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permStart w:id="93" w:edGrp="everyone" w:colFirst="2" w:colLast="2"/>
            <w:permStart w:id="94" w:edGrp="everyone" w:colFirst="3" w:colLast="3"/>
          </w:p>
        </w:tc>
        <w:tc>
          <w:tcPr>
            <w:tcW w:w="850" w:type="dxa"/>
            <w:vMerge w:val="continue"/>
            <w:tcBorders>
              <w:bottom w:val="single" w:color="auto" w:sz="4" w:space="0"/>
              <w:right w:val="single" w:color="auto" w:sz="4" w:space="0"/>
            </w:tcBorders>
            <w:noWrap w:val="0"/>
            <w:vAlign w:val="center"/>
          </w:tcPr>
          <w:p w14:paraId="1D5D7B5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1F3ADE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cs="Times New Roman"/>
                <w:color w:val="auto"/>
                <w:sz w:val="24"/>
              </w:rPr>
            </w:pPr>
            <w:r>
              <w:rPr>
                <w:rFonts w:hint="eastAsia" w:ascii="宋体" w:hAnsi="宋体" w:cs="Times New Roman"/>
                <w:color w:val="auto"/>
                <w:sz w:val="24"/>
              </w:rPr>
              <w:t>应急响应措施</w:t>
            </w:r>
          </w:p>
          <w:p w14:paraId="1FDABDE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auto"/>
                <w:kern w:val="0"/>
                <w:sz w:val="24"/>
                <w:szCs w:val="24"/>
                <w:highlight w:val="none"/>
                <w:u w:val="singl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5</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6C456D">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lang w:val="en-US" w:eastAsia="zh-CN"/>
              </w:rPr>
            </w:pPr>
            <w:r>
              <w:rPr>
                <w:rFonts w:hint="eastAsia" w:ascii="宋体" w:hAnsi="宋体" w:cs="Times New Roman"/>
                <w:color w:val="auto"/>
                <w:sz w:val="24"/>
                <w:lang w:val="en-US" w:eastAsia="zh-CN"/>
              </w:rPr>
              <w:t>投标人提供的应急响应措施评分：</w:t>
            </w:r>
          </w:p>
          <w:p w14:paraId="6C5D8681">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lang w:val="en-US" w:eastAsia="zh-CN"/>
              </w:rPr>
            </w:pPr>
            <w:r>
              <w:rPr>
                <w:rFonts w:hint="eastAsia" w:ascii="宋体" w:hAnsi="宋体" w:cs="Times New Roman"/>
                <w:color w:val="auto"/>
                <w:sz w:val="24"/>
                <w:lang w:val="en-US" w:eastAsia="zh-CN"/>
              </w:rPr>
              <w:t>1）科学、合理、针对性强的酌情按照4.0-5.0分进行评分；</w:t>
            </w:r>
          </w:p>
          <w:p w14:paraId="3536EE04">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lang w:val="en-US" w:eastAsia="zh-CN"/>
              </w:rPr>
            </w:pPr>
            <w:r>
              <w:rPr>
                <w:rFonts w:hint="eastAsia" w:ascii="宋体" w:hAnsi="宋体" w:cs="Times New Roman"/>
                <w:color w:val="auto"/>
                <w:sz w:val="24"/>
                <w:lang w:val="en-US" w:eastAsia="zh-CN"/>
              </w:rPr>
              <w:t>2）相对科学、合理的酌情按照2.0-4.0分进行评分；</w:t>
            </w:r>
          </w:p>
          <w:p w14:paraId="44DFEECD">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iCs/>
                <w:color w:val="auto"/>
                <w:kern w:val="0"/>
                <w:sz w:val="24"/>
                <w:szCs w:val="24"/>
                <w:highlight w:val="none"/>
                <w:u w:val="single"/>
                <w:lang w:val="en-US" w:eastAsia="zh-CN"/>
              </w:rPr>
            </w:pPr>
            <w:r>
              <w:rPr>
                <w:rFonts w:hint="eastAsia" w:ascii="宋体" w:hAnsi="宋体" w:cs="Times New Roman"/>
                <w:color w:val="auto"/>
                <w:sz w:val="24"/>
                <w:lang w:val="en-US" w:eastAsia="zh-CN"/>
              </w:rPr>
              <w:t>3）内容不完整，措施不完全或内容差或者不提供的酌情按照0-2.0分进行评分。</w:t>
            </w:r>
          </w:p>
        </w:tc>
      </w:tr>
      <w:permEnd w:id="93"/>
      <w:permEnd w:id="94"/>
      <w:tr w14:paraId="53D93B7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081CBD9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permStart w:id="95" w:edGrp="everyone" w:colFirst="2" w:colLast="2"/>
            <w:permStart w:id="96" w:edGrp="everyone" w:colFirst="3" w:colLast="3"/>
          </w:p>
        </w:tc>
        <w:tc>
          <w:tcPr>
            <w:tcW w:w="850" w:type="dxa"/>
            <w:vMerge w:val="continue"/>
            <w:tcBorders>
              <w:bottom w:val="single" w:color="auto" w:sz="4" w:space="0"/>
              <w:right w:val="single" w:color="auto" w:sz="4" w:space="0"/>
            </w:tcBorders>
            <w:noWrap w:val="0"/>
            <w:vAlign w:val="center"/>
          </w:tcPr>
          <w:p w14:paraId="46D5BC1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3D99F0B">
            <w:pPr>
              <w:spacing w:line="440" w:lineRule="exact"/>
              <w:jc w:val="center"/>
              <w:rPr>
                <w:rFonts w:ascii="宋体" w:hAnsi="宋体" w:cs="Times New Roman"/>
                <w:color w:val="auto"/>
                <w:sz w:val="24"/>
              </w:rPr>
            </w:pPr>
            <w:r>
              <w:rPr>
                <w:rFonts w:hint="eastAsia" w:ascii="宋体" w:hAnsi="宋体" w:cs="Times New Roman"/>
                <w:color w:val="auto"/>
                <w:sz w:val="24"/>
                <w:lang w:val="en-US" w:eastAsia="zh-CN"/>
              </w:rPr>
              <w:t>其他</w:t>
            </w:r>
            <w:r>
              <w:rPr>
                <w:rFonts w:hint="eastAsia" w:ascii="宋体" w:hAnsi="宋体" w:cs="Times New Roman"/>
                <w:color w:val="auto"/>
                <w:sz w:val="24"/>
              </w:rPr>
              <w:t>服务方案</w:t>
            </w:r>
          </w:p>
          <w:p w14:paraId="5DC48F3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auto"/>
                <w:kern w:val="0"/>
                <w:sz w:val="24"/>
                <w:szCs w:val="24"/>
                <w:highlight w:val="none"/>
                <w:u w:val="singl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10</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1B398ED">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lang w:val="en-US" w:eastAsia="zh-CN"/>
              </w:rPr>
            </w:pPr>
            <w:r>
              <w:rPr>
                <w:rFonts w:hint="eastAsia" w:ascii="宋体" w:hAnsi="宋体" w:cs="Times New Roman"/>
                <w:color w:val="auto"/>
                <w:sz w:val="24"/>
                <w:lang w:val="en-US" w:eastAsia="zh-CN"/>
              </w:rPr>
              <w:t>投标人自行踏勘现场、并结合采购文件及相关资料自行编制本服务方案，由评标委员会进行综合评审。综合评审内容包括（但不仅限于）：</w:t>
            </w:r>
          </w:p>
          <w:p w14:paraId="05F2B7FA">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lang w:val="en-US" w:eastAsia="zh-CN"/>
              </w:rPr>
            </w:pPr>
            <w:r>
              <w:rPr>
                <w:rFonts w:hint="eastAsia" w:ascii="宋体" w:hAnsi="宋体" w:cs="Times New Roman"/>
                <w:color w:val="auto"/>
                <w:sz w:val="24"/>
                <w:lang w:val="en-US" w:eastAsia="zh-CN"/>
              </w:rPr>
              <w:t>①</w:t>
            </w:r>
            <w:r>
              <w:rPr>
                <w:rFonts w:hint="eastAsia" w:ascii="宋体" w:hAnsi="宋体" w:cs="Times New Roman"/>
                <w:color w:val="auto"/>
                <w:sz w:val="24"/>
                <w:lang w:val="en-US" w:eastAsia="zh-CN"/>
              </w:rPr>
              <w:tab/>
            </w:r>
            <w:r>
              <w:rPr>
                <w:rFonts w:hint="eastAsia" w:ascii="宋体" w:hAnsi="宋体" w:cs="Times New Roman"/>
                <w:color w:val="auto"/>
                <w:sz w:val="24"/>
                <w:lang w:val="en-US" w:eastAsia="zh-CN"/>
              </w:rPr>
              <w:t>检测方案：检测总体思路、检测方案内容完整性和编制水平；</w:t>
            </w:r>
          </w:p>
          <w:p w14:paraId="669463F2">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lang w:val="en-US" w:eastAsia="zh-CN"/>
              </w:rPr>
            </w:pPr>
            <w:r>
              <w:rPr>
                <w:rFonts w:hint="eastAsia" w:ascii="宋体" w:hAnsi="宋体" w:cs="Times New Roman"/>
                <w:color w:val="auto"/>
                <w:sz w:val="24"/>
                <w:lang w:val="en-US" w:eastAsia="zh-CN"/>
              </w:rPr>
              <w:t>②拟投入的设备仪器配备：满足本项目检测配备要求；</w:t>
            </w:r>
          </w:p>
          <w:p w14:paraId="64B8D371">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lang w:val="en-US" w:eastAsia="zh-CN"/>
              </w:rPr>
            </w:pPr>
            <w:r>
              <w:rPr>
                <w:rFonts w:hint="eastAsia" w:ascii="宋体" w:hAnsi="宋体" w:cs="Times New Roman"/>
                <w:color w:val="auto"/>
                <w:sz w:val="24"/>
                <w:lang w:val="en-US" w:eastAsia="zh-CN"/>
              </w:rPr>
              <w:t>③服务工作重、难点分析及建议：对服务工作的重点、难点内容进行分析给出合理化建议；</w:t>
            </w:r>
          </w:p>
          <w:p w14:paraId="2F637926">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iCs/>
                <w:color w:val="auto"/>
                <w:kern w:val="0"/>
                <w:sz w:val="24"/>
                <w:szCs w:val="24"/>
                <w:highlight w:val="none"/>
                <w:u w:val="single"/>
                <w:lang w:val="en-US" w:eastAsia="zh-CN"/>
              </w:rPr>
            </w:pPr>
            <w:r>
              <w:rPr>
                <w:rFonts w:hint="eastAsia" w:ascii="宋体" w:hAnsi="宋体" w:cs="Times New Roman"/>
                <w:color w:val="auto"/>
                <w:sz w:val="24"/>
                <w:lang w:val="en-US" w:eastAsia="zh-CN"/>
              </w:rPr>
              <w:t>综合上述，评委会根据响应单位针对本项目配备进行综合评定，评价优秀的得8.0-10.0分，评价良好的得5.0-8.0分，评价一般的得3.0-5.0分，差的得0-3.0分。</w:t>
            </w:r>
          </w:p>
        </w:tc>
      </w:tr>
      <w:permEnd w:id="95"/>
      <w:permEnd w:id="96"/>
      <w:tr w14:paraId="254A36F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14:paraId="7519883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permStart w:id="97" w:edGrp="everyone" w:colFirst="1" w:colLast="1"/>
            <w:permStart w:id="98" w:edGrp="everyone" w:colFirst="2" w:colLast="2"/>
            <w:permStart w:id="99" w:edGrp="everyone" w:colFirst="3" w:colLast="3"/>
            <w:r>
              <w:rPr>
                <w:rFonts w:hint="eastAsia" w:ascii="Times New Roman" w:hAnsi="Times New Roman" w:cs="Times New Roman"/>
                <w:color w:val="auto"/>
                <w:kern w:val="0"/>
                <w:sz w:val="24"/>
                <w:szCs w:val="24"/>
                <w:highlight w:val="none"/>
                <w:lang w:val="en-US" w:eastAsia="zh-CN"/>
              </w:rPr>
              <w:t>2.2.4</w:t>
            </w:r>
          </w:p>
          <w:p w14:paraId="77F80E4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（3）</w:t>
            </w:r>
          </w:p>
        </w:tc>
        <w:tc>
          <w:tcPr>
            <w:tcW w:w="850" w:type="dxa"/>
            <w:tcBorders>
              <w:top w:val="single" w:color="auto" w:sz="4" w:space="0"/>
              <w:bottom w:val="single" w:color="auto" w:sz="4" w:space="0"/>
              <w:right w:val="single" w:color="auto" w:sz="4" w:space="0"/>
            </w:tcBorders>
            <w:noWrap w:val="0"/>
            <w:vAlign w:val="center"/>
          </w:tcPr>
          <w:p w14:paraId="39B49C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投标报价评分标准</w:t>
            </w:r>
          </w:p>
          <w:p w14:paraId="4EF1553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50</w:t>
            </w:r>
            <w:r>
              <w:rPr>
                <w:rFonts w:hint="default" w:ascii="Times New Roman" w:hAnsi="Times New Roman" w:cs="Times New Roman"/>
                <w:i/>
                <w:iCs/>
                <w:color w:val="auto"/>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E4D897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报价得分</w:t>
            </w:r>
          </w:p>
          <w:p w14:paraId="5F5D75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50</w:t>
            </w:r>
            <w:r>
              <w:rPr>
                <w:rFonts w:hint="default" w:ascii="Times New Roman" w:hAnsi="Times New Roman" w:cs="Times New Roman"/>
                <w:i/>
                <w:iCs/>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12B518B">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宋体" w:hAnsi="宋体" w:cs="Times New Roman"/>
                <w:color w:val="auto"/>
                <w:sz w:val="24"/>
                <w:lang w:val="en-US" w:eastAsia="zh-CN"/>
              </w:rPr>
            </w:pPr>
            <w:r>
              <w:rPr>
                <w:rFonts w:hint="eastAsia" w:ascii="宋体" w:hAnsi="宋体" w:cs="Times New Roman"/>
                <w:color w:val="auto"/>
                <w:sz w:val="24"/>
                <w:lang w:val="en-US" w:eastAsia="zh-CN"/>
              </w:rPr>
              <w:t>以所有有效投标人报价算术平均值作为基准价，公式如下：</w:t>
            </w:r>
          </w:p>
          <w:p w14:paraId="7F9FC2A7">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宋体" w:hAnsi="宋体" w:cs="Times New Roman"/>
                <w:color w:val="auto"/>
                <w:sz w:val="24"/>
                <w:lang w:val="en-US" w:eastAsia="zh-CN"/>
              </w:rPr>
            </w:pPr>
            <w:r>
              <w:rPr>
                <w:rFonts w:hint="default" w:ascii="宋体" w:hAnsi="宋体" w:cs="Times New Roman"/>
                <w:color w:val="auto"/>
                <w:sz w:val="24"/>
                <w:lang w:val="en-US" w:eastAsia="zh-CN"/>
              </w:rPr>
              <w:t>投标报价等于基准价的，得满分</w:t>
            </w:r>
            <w:r>
              <w:rPr>
                <w:rFonts w:hint="eastAsia" w:ascii="宋体" w:hAnsi="宋体" w:cs="Times New Roman"/>
                <w:color w:val="auto"/>
                <w:sz w:val="24"/>
                <w:lang w:val="en-US" w:eastAsia="zh-CN"/>
              </w:rPr>
              <w:t>50</w:t>
            </w:r>
            <w:r>
              <w:rPr>
                <w:rFonts w:hint="default" w:ascii="宋体" w:hAnsi="宋体" w:cs="Times New Roman"/>
                <w:color w:val="auto"/>
                <w:sz w:val="24"/>
                <w:lang w:val="en-US" w:eastAsia="zh-CN"/>
              </w:rPr>
              <w:t>分。</w:t>
            </w:r>
          </w:p>
          <w:p w14:paraId="320A736D">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宋体" w:hAnsi="宋体" w:cs="Times New Roman"/>
                <w:color w:val="auto"/>
                <w:sz w:val="24"/>
                <w:lang w:val="en-US" w:eastAsia="zh-CN"/>
              </w:rPr>
            </w:pPr>
            <w:r>
              <w:rPr>
                <w:rFonts w:hint="default" w:ascii="宋体" w:hAnsi="宋体" w:cs="Times New Roman"/>
                <w:color w:val="auto"/>
                <w:sz w:val="24"/>
                <w:lang w:val="en-US" w:eastAsia="zh-CN"/>
              </w:rPr>
              <w:t>投标报价高于基准价的，报价得分计算公式</w:t>
            </w:r>
            <w:r>
              <w:rPr>
                <w:rFonts w:hint="eastAsia" w:ascii="宋体" w:hAnsi="宋体" w:cs="Times New Roman"/>
                <w:color w:val="auto"/>
                <w:sz w:val="24"/>
                <w:lang w:val="en-US" w:eastAsia="zh-CN"/>
              </w:rPr>
              <w:t>：5</w:t>
            </w:r>
            <w:r>
              <w:rPr>
                <w:rFonts w:hint="default" w:ascii="宋体" w:hAnsi="宋体" w:cs="Times New Roman"/>
                <w:color w:val="auto"/>
                <w:sz w:val="24"/>
                <w:lang w:val="en-US" w:eastAsia="zh-CN"/>
              </w:rPr>
              <w:t>0-(投标报价-基准价)/基准价*</w:t>
            </w:r>
            <w:r>
              <w:rPr>
                <w:rFonts w:hint="eastAsia" w:ascii="宋体" w:hAnsi="宋体" w:cs="Times New Roman"/>
                <w:color w:val="auto"/>
                <w:sz w:val="24"/>
                <w:lang w:val="en-US" w:eastAsia="zh-CN"/>
              </w:rPr>
              <w:t>1</w:t>
            </w:r>
            <w:r>
              <w:rPr>
                <w:rFonts w:hint="default" w:ascii="宋体" w:hAnsi="宋体" w:cs="Times New Roman"/>
                <w:color w:val="auto"/>
                <w:sz w:val="24"/>
                <w:lang w:val="en-US" w:eastAsia="zh-CN"/>
              </w:rPr>
              <w:t>*100</w:t>
            </w:r>
            <w:r>
              <w:rPr>
                <w:rFonts w:hint="eastAsia" w:ascii="宋体" w:hAnsi="宋体" w:cs="Times New Roman"/>
                <w:color w:val="auto"/>
                <w:sz w:val="24"/>
                <w:lang w:val="en-US" w:eastAsia="zh-CN"/>
              </w:rPr>
              <w:t>；</w:t>
            </w:r>
          </w:p>
          <w:p w14:paraId="4FC848D3">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cs="Times New Roman"/>
                <w:color w:val="auto"/>
                <w:sz w:val="24"/>
                <w:lang w:val="en-US" w:eastAsia="zh-CN"/>
              </w:rPr>
            </w:pPr>
            <w:r>
              <w:rPr>
                <w:rFonts w:hint="default" w:ascii="宋体" w:hAnsi="宋体" w:cs="Times New Roman"/>
                <w:color w:val="auto"/>
                <w:sz w:val="24"/>
                <w:lang w:val="en-US" w:eastAsia="zh-CN"/>
              </w:rPr>
              <w:t>投标报价低于基准价的，报价得分计算公式</w:t>
            </w:r>
            <w:r>
              <w:rPr>
                <w:rFonts w:hint="eastAsia" w:ascii="宋体" w:hAnsi="宋体" w:cs="Times New Roman"/>
                <w:color w:val="auto"/>
                <w:sz w:val="24"/>
                <w:lang w:val="en-US" w:eastAsia="zh-CN"/>
              </w:rPr>
              <w:t>：5</w:t>
            </w:r>
            <w:r>
              <w:rPr>
                <w:rFonts w:hint="default" w:ascii="宋体" w:hAnsi="宋体" w:cs="Times New Roman"/>
                <w:color w:val="auto"/>
                <w:sz w:val="24"/>
                <w:lang w:val="en-US" w:eastAsia="zh-CN"/>
              </w:rPr>
              <w:t>0+(投标报价-基准价)/基准价*</w:t>
            </w:r>
            <w:r>
              <w:rPr>
                <w:rFonts w:hint="eastAsia" w:ascii="宋体" w:hAnsi="宋体" w:cs="Times New Roman"/>
                <w:color w:val="auto"/>
                <w:sz w:val="24"/>
                <w:lang w:val="en-US" w:eastAsia="zh-CN"/>
              </w:rPr>
              <w:t>0.5</w:t>
            </w:r>
            <w:r>
              <w:rPr>
                <w:rFonts w:hint="default" w:ascii="宋体" w:hAnsi="宋体" w:cs="Times New Roman"/>
                <w:color w:val="auto"/>
                <w:sz w:val="24"/>
                <w:lang w:val="en-US" w:eastAsia="zh-CN"/>
              </w:rPr>
              <w:t>*100</w:t>
            </w:r>
            <w:r>
              <w:rPr>
                <w:rFonts w:hint="eastAsia" w:ascii="宋体" w:hAnsi="宋体" w:cs="Times New Roman"/>
                <w:color w:val="auto"/>
                <w:sz w:val="24"/>
                <w:lang w:val="en-US" w:eastAsia="zh-CN"/>
              </w:rPr>
              <w:t>。</w:t>
            </w:r>
          </w:p>
          <w:p w14:paraId="24CC6E69">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default" w:ascii="宋体" w:hAnsi="宋体" w:cs="Times New Roman"/>
                <w:color w:val="auto"/>
                <w:sz w:val="24"/>
                <w:lang w:val="en-US" w:eastAsia="zh-CN"/>
              </w:rPr>
              <w:t>注</w:t>
            </w:r>
            <w:r>
              <w:rPr>
                <w:rFonts w:hint="eastAsia" w:ascii="宋体" w:hAnsi="宋体" w:cs="Times New Roman"/>
                <w:color w:val="auto"/>
                <w:sz w:val="24"/>
                <w:lang w:val="en-US" w:eastAsia="zh-CN"/>
              </w:rPr>
              <w:t>：投标报价得分最低扣至20分；</w:t>
            </w:r>
            <w:r>
              <w:rPr>
                <w:rFonts w:hint="default" w:ascii="宋体" w:hAnsi="宋体" w:cs="Times New Roman"/>
                <w:color w:val="auto"/>
                <w:sz w:val="24"/>
                <w:lang w:val="en-US" w:eastAsia="zh-CN"/>
              </w:rPr>
              <w:t>得分</w:t>
            </w:r>
            <w:r>
              <w:rPr>
                <w:rFonts w:hint="eastAsia" w:ascii="宋体" w:hAnsi="宋体" w:cs="Times New Roman"/>
                <w:color w:val="auto"/>
                <w:sz w:val="24"/>
                <w:lang w:val="en-US" w:eastAsia="zh-CN"/>
              </w:rPr>
              <w:t>保留</w:t>
            </w:r>
            <w:r>
              <w:rPr>
                <w:rFonts w:hint="default" w:ascii="宋体" w:hAnsi="宋体" w:cs="Times New Roman"/>
                <w:color w:val="auto"/>
                <w:sz w:val="24"/>
                <w:lang w:val="en-US" w:eastAsia="zh-CN"/>
              </w:rPr>
              <w:t>小数点后两位，第三位四舍五入。</w:t>
            </w:r>
          </w:p>
        </w:tc>
      </w:tr>
      <w:permEnd w:id="97"/>
      <w:permEnd w:id="98"/>
      <w:permEnd w:id="99"/>
    </w:tbl>
    <w:p w14:paraId="534432A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color w:val="auto"/>
          <w:kern w:val="0"/>
          <w:sz w:val="28"/>
          <w:szCs w:val="28"/>
          <w:highlight w:val="none"/>
          <w:lang w:val="en-US"/>
        </w:rPr>
      </w:pPr>
      <w:r>
        <w:rPr>
          <w:rFonts w:hint="default" w:ascii="Times New Roman" w:hAnsi="Times New Roman" w:eastAsia="黑体" w:cs="Times New Roman"/>
          <w:color w:val="auto"/>
          <w:sz w:val="21"/>
          <w:szCs w:val="21"/>
          <w:u w:val="none"/>
          <w:lang w:val="en-US" w:eastAsia="zh-CN"/>
        </w:rPr>
        <w:t>说明</w:t>
      </w:r>
      <w:r>
        <w:rPr>
          <w:rFonts w:hint="default" w:ascii="Times New Roman" w:hAnsi="Times New Roman" w:cs="Times New Roman" w:eastAsiaTheme="minorEastAsia"/>
          <w:color w:val="auto"/>
          <w:sz w:val="21"/>
          <w:szCs w:val="21"/>
          <w:u w:val="none"/>
          <w:lang w:val="en-US" w:eastAsia="zh-CN"/>
        </w:rPr>
        <w:t>：评分区间一律按左闭右开</w:t>
      </w:r>
      <w:r>
        <w:rPr>
          <w:rFonts w:hint="default" w:ascii="Times New Roman" w:hAnsi="Times New Roman" w:cs="Times New Roman"/>
          <w:color w:val="auto"/>
          <w:sz w:val="21"/>
          <w:szCs w:val="21"/>
          <w:u w:val="none"/>
          <w:lang w:val="en-US" w:eastAsia="zh-CN"/>
        </w:rPr>
        <w:t>计算</w:t>
      </w:r>
      <w:r>
        <w:rPr>
          <w:rFonts w:hint="eastAsia" w:ascii="Times New Roman" w:hAnsi="Times New Roman" w:cs="Times New Roman"/>
          <w:color w:val="auto"/>
          <w:sz w:val="21"/>
          <w:szCs w:val="21"/>
          <w:u w:val="none"/>
          <w:lang w:val="en-US" w:eastAsia="zh-CN"/>
        </w:rPr>
        <w:t>，评分保留2位小数。</w:t>
      </w:r>
    </w:p>
    <w:p w14:paraId="6282734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color w:val="auto"/>
          <w:kern w:val="0"/>
          <w:sz w:val="28"/>
          <w:szCs w:val="28"/>
          <w:highlight w:val="none"/>
        </w:rPr>
      </w:pPr>
    </w:p>
    <w:p w14:paraId="6EA4F736">
      <w:pPr>
        <w:rPr>
          <w:rFonts w:hint="default" w:ascii="Times New Roman" w:hAnsi="Times New Roman" w:cs="Times New Roman" w:eastAsiaTheme="minorEastAsia"/>
          <w:b/>
          <w:bCs/>
          <w:color w:val="auto"/>
          <w:kern w:val="0"/>
          <w:sz w:val="28"/>
          <w:szCs w:val="28"/>
          <w:highlight w:val="none"/>
        </w:rPr>
      </w:pPr>
      <w:r>
        <w:rPr>
          <w:rFonts w:hint="default" w:ascii="Times New Roman" w:hAnsi="Times New Roman" w:cs="Times New Roman" w:eastAsiaTheme="minorEastAsia"/>
          <w:b/>
          <w:bCs/>
          <w:color w:val="auto"/>
          <w:kern w:val="0"/>
          <w:sz w:val="28"/>
          <w:szCs w:val="28"/>
          <w:highlight w:val="none"/>
        </w:rPr>
        <w:t>1. 评标方法</w:t>
      </w:r>
    </w:p>
    <w:p w14:paraId="62FB2CF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本次评标采用综合评估法。评标委员会</w:t>
      </w:r>
      <w:r>
        <w:rPr>
          <w:rFonts w:hint="eastAsia" w:ascii="Times New Roman" w:hAnsi="Times New Roman" w:cs="Times New Roman"/>
          <w:color w:val="auto"/>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14:paraId="3C8406A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color w:val="auto"/>
          <w:kern w:val="0"/>
          <w:sz w:val="28"/>
          <w:szCs w:val="28"/>
          <w:highlight w:val="none"/>
        </w:rPr>
      </w:pPr>
      <w:bookmarkStart w:id="33" w:name="_Toc179632608"/>
      <w:bookmarkStart w:id="34" w:name="_Toc152045590"/>
      <w:bookmarkStart w:id="35" w:name="_Toc246996233"/>
      <w:bookmarkStart w:id="36" w:name="_Toc152042367"/>
      <w:bookmarkStart w:id="37" w:name="_Toc246996976"/>
      <w:bookmarkStart w:id="38" w:name="_Toc247085748"/>
      <w:bookmarkStart w:id="39" w:name="_Toc296602478"/>
      <w:bookmarkStart w:id="40" w:name="_Toc144974557"/>
      <w:r>
        <w:rPr>
          <w:rFonts w:hint="default" w:ascii="Times New Roman" w:hAnsi="Times New Roman" w:cs="Times New Roman" w:eastAsiaTheme="minorEastAsia"/>
          <w:b/>
          <w:bCs/>
          <w:color w:val="auto"/>
          <w:kern w:val="0"/>
          <w:sz w:val="28"/>
          <w:szCs w:val="28"/>
          <w:highlight w:val="none"/>
        </w:rPr>
        <w:t>2. 评审标准</w:t>
      </w:r>
      <w:bookmarkEnd w:id="33"/>
      <w:bookmarkEnd w:id="34"/>
      <w:bookmarkEnd w:id="35"/>
      <w:bookmarkEnd w:id="36"/>
      <w:bookmarkEnd w:id="37"/>
      <w:bookmarkEnd w:id="38"/>
      <w:bookmarkEnd w:id="39"/>
      <w:bookmarkEnd w:id="40"/>
    </w:p>
    <w:p w14:paraId="2F50757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color w:val="auto"/>
          <w:kern w:val="0"/>
          <w:sz w:val="28"/>
          <w:szCs w:val="28"/>
          <w:highlight w:val="none"/>
        </w:rPr>
      </w:pPr>
      <w:bookmarkStart w:id="41" w:name="_Toc246996234"/>
      <w:bookmarkStart w:id="42" w:name="_Toc246996977"/>
      <w:bookmarkStart w:id="43" w:name="_Toc152042368"/>
      <w:bookmarkStart w:id="44" w:name="_Toc152045591"/>
      <w:bookmarkStart w:id="45" w:name="_Toc247085749"/>
      <w:bookmarkStart w:id="46" w:name="_Toc296602479"/>
      <w:bookmarkStart w:id="47" w:name="_Toc179632609"/>
      <w:bookmarkStart w:id="48" w:name="_Toc144974558"/>
      <w:r>
        <w:rPr>
          <w:rFonts w:hint="default" w:ascii="Times New Roman" w:hAnsi="Times New Roman" w:cs="Times New Roman" w:eastAsiaTheme="minorEastAsia"/>
          <w:b/>
          <w:bCs/>
          <w:color w:val="auto"/>
          <w:kern w:val="0"/>
          <w:sz w:val="28"/>
          <w:szCs w:val="28"/>
          <w:highlight w:val="none"/>
        </w:rPr>
        <w:t xml:space="preserve">2.1 </w:t>
      </w:r>
      <w:r>
        <w:rPr>
          <w:rFonts w:hint="default" w:ascii="Times New Roman" w:hAnsi="Times New Roman" w:cs="Times New Roman"/>
          <w:b/>
          <w:bCs/>
          <w:color w:val="auto"/>
          <w:kern w:val="0"/>
          <w:sz w:val="28"/>
          <w:szCs w:val="28"/>
          <w:highlight w:val="none"/>
          <w:lang w:val="en-US" w:eastAsia="zh-CN"/>
        </w:rPr>
        <w:t>初步</w:t>
      </w:r>
      <w:r>
        <w:rPr>
          <w:rFonts w:hint="default" w:ascii="Times New Roman" w:hAnsi="Times New Roman" w:cs="Times New Roman" w:eastAsiaTheme="minorEastAsia"/>
          <w:b/>
          <w:bCs/>
          <w:color w:val="auto"/>
          <w:kern w:val="0"/>
          <w:sz w:val="28"/>
          <w:szCs w:val="28"/>
          <w:highlight w:val="none"/>
        </w:rPr>
        <w:t>评审标准</w:t>
      </w:r>
      <w:bookmarkEnd w:id="41"/>
      <w:bookmarkEnd w:id="42"/>
      <w:bookmarkEnd w:id="43"/>
      <w:bookmarkEnd w:id="44"/>
      <w:bookmarkEnd w:id="45"/>
      <w:bookmarkEnd w:id="46"/>
      <w:bookmarkEnd w:id="47"/>
      <w:bookmarkEnd w:id="48"/>
    </w:p>
    <w:p w14:paraId="2F04E2E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2.1.1 形式评审标准：见评标办法前附表。</w:t>
      </w:r>
    </w:p>
    <w:p w14:paraId="1F44B39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2.1.2 资格评审标准：见评标办法前附表。</w:t>
      </w:r>
    </w:p>
    <w:p w14:paraId="0AFB0A6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2.1.3 响应性评审标准：见评标办法前附表。</w:t>
      </w:r>
    </w:p>
    <w:p w14:paraId="7F10C2D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color w:val="auto"/>
          <w:kern w:val="0"/>
          <w:sz w:val="28"/>
          <w:szCs w:val="28"/>
          <w:highlight w:val="none"/>
          <w:lang w:val="en-US"/>
        </w:rPr>
      </w:pPr>
      <w:bookmarkStart w:id="49" w:name="_Toc246996979"/>
      <w:bookmarkStart w:id="50" w:name="_Toc179632611"/>
      <w:bookmarkStart w:id="51" w:name="_Toc152042370"/>
      <w:bookmarkStart w:id="52" w:name="_Toc246996236"/>
      <w:bookmarkStart w:id="53" w:name="_Toc152045593"/>
      <w:bookmarkStart w:id="54" w:name="_Toc144974560"/>
      <w:bookmarkStart w:id="55" w:name="_Toc247085751"/>
      <w:bookmarkStart w:id="56" w:name="_Toc296602481"/>
      <w:r>
        <w:rPr>
          <w:rFonts w:hint="default" w:ascii="Times New Roman" w:hAnsi="Times New Roman" w:cs="Times New Roman" w:eastAsiaTheme="minorEastAsia"/>
          <w:b/>
          <w:bCs/>
          <w:color w:val="auto"/>
          <w:kern w:val="0"/>
          <w:sz w:val="28"/>
          <w:szCs w:val="28"/>
          <w:highlight w:val="none"/>
        </w:rPr>
        <w:t>2.</w:t>
      </w:r>
      <w:r>
        <w:rPr>
          <w:rFonts w:hint="default" w:ascii="Times New Roman" w:hAnsi="Times New Roman" w:cs="Times New Roman"/>
          <w:b/>
          <w:bCs/>
          <w:color w:val="auto"/>
          <w:kern w:val="0"/>
          <w:sz w:val="28"/>
          <w:szCs w:val="28"/>
          <w:highlight w:val="none"/>
          <w:lang w:val="en-US" w:eastAsia="zh-CN"/>
        </w:rPr>
        <w:t>2</w:t>
      </w:r>
      <w:r>
        <w:rPr>
          <w:rFonts w:hint="default" w:ascii="Times New Roman" w:hAnsi="Times New Roman" w:cs="Times New Roman" w:eastAsiaTheme="minorEastAsia"/>
          <w:b/>
          <w:bCs/>
          <w:color w:val="auto"/>
          <w:kern w:val="0"/>
          <w:sz w:val="28"/>
          <w:szCs w:val="28"/>
          <w:highlight w:val="none"/>
        </w:rPr>
        <w:t xml:space="preserve"> </w:t>
      </w:r>
      <w:r>
        <w:rPr>
          <w:rFonts w:hint="default" w:ascii="Times New Roman" w:hAnsi="Times New Roman" w:cs="Times New Roman"/>
          <w:b/>
          <w:bCs/>
          <w:color w:val="auto"/>
          <w:kern w:val="0"/>
          <w:sz w:val="28"/>
          <w:szCs w:val="28"/>
          <w:highlight w:val="none"/>
          <w:lang w:val="en-US" w:eastAsia="zh-CN"/>
        </w:rPr>
        <w:t>分值构成与评分标准</w:t>
      </w:r>
    </w:p>
    <w:p w14:paraId="3B73A901">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yellow"/>
        </w:rPr>
      </w:pPr>
      <w:r>
        <w:rPr>
          <w:rFonts w:hint="default" w:ascii="Times New Roman" w:hAnsi="Times New Roman" w:cs="Times New Roman" w:eastAsiaTheme="minorEastAsia"/>
          <w:color w:val="auto"/>
          <w:kern w:val="0"/>
          <w:sz w:val="24"/>
          <w:szCs w:val="24"/>
          <w:highlight w:val="none"/>
        </w:rPr>
        <w:t>2.2.1 分值构成</w:t>
      </w:r>
    </w:p>
    <w:p w14:paraId="7FE312AE">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（1）</w:t>
      </w:r>
      <w:permStart w:id="100" w:edGrp="everyone"/>
      <w:r>
        <w:rPr>
          <w:rFonts w:hint="eastAsia" w:ascii="Times New Roman" w:hAnsi="Times New Roman" w:cs="Times New Roman"/>
          <w:color w:val="auto"/>
          <w:kern w:val="0"/>
          <w:sz w:val="24"/>
          <w:szCs w:val="24"/>
          <w:highlight w:val="none"/>
          <w:lang w:val="en-US" w:eastAsia="zh-CN"/>
        </w:rPr>
        <w:t>资信业绩</w:t>
      </w:r>
      <w:permEnd w:id="100"/>
      <w:r>
        <w:rPr>
          <w:rFonts w:hint="default" w:ascii="Times New Roman" w:hAnsi="Times New Roman" w:cs="Times New Roman" w:eastAsiaTheme="minorEastAsia"/>
          <w:color w:val="auto"/>
          <w:kern w:val="0"/>
          <w:sz w:val="24"/>
          <w:szCs w:val="24"/>
          <w:highlight w:val="none"/>
        </w:rPr>
        <w:t>：见评标办法前附表；</w:t>
      </w:r>
    </w:p>
    <w:p w14:paraId="0FBE22F1">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（2）</w:t>
      </w:r>
      <w:permStart w:id="101" w:edGrp="everyone"/>
      <w:r>
        <w:rPr>
          <w:rFonts w:hint="eastAsia" w:ascii="Times New Roman" w:hAnsi="Times New Roman" w:cs="Times New Roman"/>
          <w:color w:val="auto"/>
          <w:kern w:val="0"/>
          <w:sz w:val="24"/>
          <w:szCs w:val="24"/>
          <w:highlight w:val="none"/>
          <w:lang w:val="en-US" w:eastAsia="zh-CN"/>
        </w:rPr>
        <w:t>服务方案</w:t>
      </w:r>
      <w:permEnd w:id="101"/>
      <w:r>
        <w:rPr>
          <w:rFonts w:hint="default" w:ascii="Times New Roman" w:hAnsi="Times New Roman" w:cs="Times New Roman" w:eastAsiaTheme="minorEastAsia"/>
          <w:color w:val="auto"/>
          <w:kern w:val="0"/>
          <w:sz w:val="24"/>
          <w:szCs w:val="24"/>
          <w:highlight w:val="none"/>
        </w:rPr>
        <w:t>：见评标办法前附表；</w:t>
      </w:r>
    </w:p>
    <w:p w14:paraId="63C4624C">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color w:val="auto"/>
          <w:kern w:val="0"/>
          <w:sz w:val="24"/>
          <w:szCs w:val="24"/>
          <w:highlight w:val="yellow"/>
          <w:lang w:val="en-US" w:eastAsia="zh-CN"/>
        </w:rPr>
      </w:pP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eastAsiaTheme="minorEastAsia"/>
          <w:color w:val="auto"/>
          <w:kern w:val="0"/>
          <w:sz w:val="24"/>
          <w:szCs w:val="24"/>
          <w:highlight w:val="none"/>
          <w:lang w:val="en-US" w:eastAsia="zh-CN"/>
        </w:rPr>
        <w:t>3</w:t>
      </w:r>
      <w:r>
        <w:rPr>
          <w:rFonts w:hint="default" w:ascii="Times New Roman" w:hAnsi="Times New Roman" w:cs="Times New Roman" w:eastAsiaTheme="minorEastAsia"/>
          <w:color w:val="auto"/>
          <w:kern w:val="0"/>
          <w:sz w:val="24"/>
          <w:szCs w:val="24"/>
          <w:highlight w:val="none"/>
        </w:rPr>
        <w:t>）</w:t>
      </w:r>
      <w:permStart w:id="102" w:edGrp="everyone"/>
      <w:r>
        <w:rPr>
          <w:rFonts w:hint="eastAsia" w:ascii="Times New Roman" w:hAnsi="Times New Roman" w:cs="Times New Roman" w:eastAsiaTheme="minorEastAsia"/>
          <w:color w:val="auto"/>
          <w:kern w:val="0"/>
          <w:sz w:val="24"/>
          <w:szCs w:val="24"/>
          <w:highlight w:val="none"/>
          <w:lang w:val="en-US" w:eastAsia="zh-CN"/>
        </w:rPr>
        <w:t>投标报价</w:t>
      </w:r>
      <w:permEnd w:id="102"/>
      <w:r>
        <w:rPr>
          <w:rFonts w:hint="default" w:ascii="Times New Roman" w:hAnsi="Times New Roman" w:cs="Times New Roman" w:eastAsiaTheme="minorEastAsia"/>
          <w:color w:val="auto"/>
          <w:kern w:val="0"/>
          <w:sz w:val="24"/>
          <w:szCs w:val="24"/>
          <w:highlight w:val="none"/>
        </w:rPr>
        <w:t>：见评标办法前附表</w:t>
      </w:r>
      <w:r>
        <w:rPr>
          <w:rFonts w:hint="eastAsia" w:ascii="Times New Roman" w:hAnsi="Times New Roman" w:cs="Times New Roman" w:eastAsiaTheme="minorEastAsia"/>
          <w:color w:val="auto"/>
          <w:kern w:val="0"/>
          <w:sz w:val="24"/>
          <w:szCs w:val="24"/>
          <w:highlight w:val="none"/>
          <w:lang w:eastAsia="zh-CN"/>
        </w:rPr>
        <w:t>。</w:t>
      </w:r>
    </w:p>
    <w:p w14:paraId="03CF29F8">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2.2.2 评标基准价计算</w:t>
      </w:r>
    </w:p>
    <w:p w14:paraId="72FF2F8F">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评标基准价计算方法：见评标办法前附表。</w:t>
      </w:r>
    </w:p>
    <w:p w14:paraId="3640E1C2">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2.2.3 投标报价的偏差率计算</w:t>
      </w:r>
    </w:p>
    <w:p w14:paraId="469AA8DF">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投标报价的偏差率计算公式：见评标办法前附表。</w:t>
      </w:r>
    </w:p>
    <w:p w14:paraId="7F8EE8E8">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2.2.4 评分标准</w:t>
      </w:r>
    </w:p>
    <w:p w14:paraId="7B63D05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（1）</w:t>
      </w:r>
      <w:permStart w:id="103" w:edGrp="everyone"/>
      <w:r>
        <w:rPr>
          <w:rFonts w:hint="eastAsia" w:ascii="Times New Roman" w:hAnsi="Times New Roman" w:cs="Times New Roman"/>
          <w:color w:val="auto"/>
          <w:kern w:val="0"/>
          <w:sz w:val="24"/>
          <w:szCs w:val="24"/>
          <w:highlight w:val="none"/>
          <w:lang w:val="en-US" w:eastAsia="zh-CN"/>
        </w:rPr>
        <w:t>资信业绩</w:t>
      </w:r>
      <w:r>
        <w:rPr>
          <w:rFonts w:hint="eastAsia" w:ascii="Times New Roman" w:hAnsi="Times New Roman" w:cs="Times New Roman" w:eastAsiaTheme="minorEastAsia"/>
          <w:color w:val="auto"/>
          <w:kern w:val="0"/>
          <w:sz w:val="24"/>
          <w:szCs w:val="24"/>
          <w:highlight w:val="none"/>
          <w:lang w:val="en-US" w:eastAsia="zh-CN"/>
        </w:rPr>
        <w:t>评分标准</w:t>
      </w:r>
      <w:permEnd w:id="103"/>
      <w:r>
        <w:rPr>
          <w:rFonts w:hint="default" w:ascii="Times New Roman" w:hAnsi="Times New Roman" w:cs="Times New Roman" w:eastAsiaTheme="minorEastAsia"/>
          <w:color w:val="auto"/>
          <w:kern w:val="0"/>
          <w:sz w:val="24"/>
          <w:szCs w:val="24"/>
          <w:highlight w:val="none"/>
        </w:rPr>
        <w:t>：见评标办法前附表；</w:t>
      </w:r>
    </w:p>
    <w:p w14:paraId="76FA7490">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（2）</w:t>
      </w:r>
      <w:permStart w:id="104" w:edGrp="everyone"/>
      <w:r>
        <w:rPr>
          <w:rFonts w:hint="eastAsia" w:ascii="Times New Roman" w:hAnsi="Times New Roman" w:cs="Times New Roman"/>
          <w:color w:val="auto"/>
          <w:kern w:val="0"/>
          <w:sz w:val="24"/>
          <w:szCs w:val="24"/>
          <w:highlight w:val="none"/>
          <w:lang w:val="en-US" w:eastAsia="zh-CN"/>
        </w:rPr>
        <w:t>服务方案</w:t>
      </w:r>
      <w:r>
        <w:rPr>
          <w:rFonts w:hint="eastAsia" w:ascii="Times New Roman" w:hAnsi="Times New Roman" w:cs="Times New Roman" w:eastAsiaTheme="minorEastAsia"/>
          <w:color w:val="auto"/>
          <w:kern w:val="0"/>
          <w:sz w:val="24"/>
          <w:szCs w:val="24"/>
          <w:highlight w:val="none"/>
          <w:lang w:val="en-US" w:eastAsia="zh-CN"/>
        </w:rPr>
        <w:t>评分标准</w:t>
      </w:r>
      <w:permEnd w:id="104"/>
      <w:r>
        <w:rPr>
          <w:rFonts w:hint="default" w:ascii="Times New Roman" w:hAnsi="Times New Roman" w:cs="Times New Roman" w:eastAsiaTheme="minorEastAsia"/>
          <w:color w:val="auto"/>
          <w:kern w:val="0"/>
          <w:sz w:val="24"/>
          <w:szCs w:val="24"/>
          <w:highlight w:val="none"/>
        </w:rPr>
        <w:t>：见评标办法前附表；</w:t>
      </w:r>
    </w:p>
    <w:p w14:paraId="0CBAAE95">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yellow"/>
        </w:rPr>
      </w:pP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eastAsiaTheme="minorEastAsia"/>
          <w:color w:val="auto"/>
          <w:kern w:val="0"/>
          <w:sz w:val="24"/>
          <w:szCs w:val="24"/>
          <w:highlight w:val="none"/>
          <w:lang w:val="en-US" w:eastAsia="zh-CN"/>
        </w:rPr>
        <w:t>3</w:t>
      </w:r>
      <w:r>
        <w:rPr>
          <w:rFonts w:hint="default" w:ascii="Times New Roman" w:hAnsi="Times New Roman" w:cs="Times New Roman" w:eastAsiaTheme="minorEastAsia"/>
          <w:color w:val="auto"/>
          <w:kern w:val="0"/>
          <w:sz w:val="24"/>
          <w:szCs w:val="24"/>
          <w:highlight w:val="none"/>
        </w:rPr>
        <w:t>）</w:t>
      </w:r>
      <w:permStart w:id="105" w:edGrp="everyone"/>
      <w:r>
        <w:rPr>
          <w:rFonts w:hint="eastAsia" w:ascii="Times New Roman" w:hAnsi="Times New Roman" w:cs="Times New Roman" w:eastAsiaTheme="minorEastAsia"/>
          <w:color w:val="auto"/>
          <w:kern w:val="0"/>
          <w:sz w:val="24"/>
          <w:szCs w:val="24"/>
          <w:highlight w:val="none"/>
          <w:lang w:val="en-US" w:eastAsia="zh-CN"/>
        </w:rPr>
        <w:t>投标报价评分标准</w:t>
      </w:r>
      <w:permEnd w:id="105"/>
      <w:r>
        <w:rPr>
          <w:rFonts w:hint="default" w:ascii="Times New Roman" w:hAnsi="Times New Roman" w:cs="Times New Roman" w:eastAsiaTheme="minorEastAsia"/>
          <w:color w:val="auto"/>
          <w:kern w:val="0"/>
          <w:sz w:val="24"/>
          <w:szCs w:val="24"/>
          <w:highlight w:val="none"/>
        </w:rPr>
        <w:t>：见评标办法前附表</w:t>
      </w:r>
      <w:r>
        <w:rPr>
          <w:rFonts w:hint="eastAsia" w:ascii="Times New Roman" w:hAnsi="Times New Roman" w:cs="Times New Roman" w:eastAsiaTheme="minorEastAsia"/>
          <w:color w:val="auto"/>
          <w:kern w:val="0"/>
          <w:sz w:val="24"/>
          <w:szCs w:val="24"/>
          <w:highlight w:val="none"/>
          <w:lang w:eastAsia="zh-CN"/>
        </w:rPr>
        <w:t>。</w:t>
      </w:r>
    </w:p>
    <w:p w14:paraId="6793FBD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color w:val="auto"/>
          <w:kern w:val="0"/>
          <w:sz w:val="28"/>
          <w:szCs w:val="28"/>
          <w:highlight w:val="none"/>
        </w:rPr>
      </w:pPr>
      <w:r>
        <w:rPr>
          <w:rFonts w:hint="default" w:ascii="Times New Roman" w:hAnsi="Times New Roman" w:cs="Times New Roman" w:eastAsiaTheme="minorEastAsia"/>
          <w:b/>
          <w:bCs/>
          <w:color w:val="auto"/>
          <w:kern w:val="0"/>
          <w:sz w:val="28"/>
          <w:szCs w:val="28"/>
          <w:highlight w:val="none"/>
        </w:rPr>
        <w:t>3. 评标程序</w:t>
      </w:r>
      <w:bookmarkEnd w:id="49"/>
      <w:bookmarkEnd w:id="50"/>
      <w:bookmarkEnd w:id="51"/>
      <w:bookmarkEnd w:id="52"/>
      <w:bookmarkEnd w:id="53"/>
      <w:bookmarkEnd w:id="54"/>
      <w:bookmarkEnd w:id="55"/>
      <w:bookmarkEnd w:id="56"/>
    </w:p>
    <w:p w14:paraId="22F4701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color w:val="auto"/>
          <w:kern w:val="0"/>
          <w:sz w:val="28"/>
          <w:szCs w:val="28"/>
          <w:highlight w:val="none"/>
        </w:rPr>
      </w:pPr>
      <w:bookmarkStart w:id="57" w:name="_Toc152045594"/>
      <w:bookmarkStart w:id="58" w:name="_Toc296602482"/>
      <w:bookmarkStart w:id="59" w:name="_Toc179632612"/>
      <w:bookmarkStart w:id="60" w:name="_Toc152042371"/>
      <w:bookmarkStart w:id="61" w:name="_Toc246996980"/>
      <w:bookmarkStart w:id="62" w:name="_Toc144974561"/>
      <w:bookmarkStart w:id="63" w:name="_Toc247085752"/>
      <w:bookmarkStart w:id="64" w:name="_Toc246996237"/>
      <w:r>
        <w:rPr>
          <w:rFonts w:hint="default" w:ascii="Times New Roman" w:hAnsi="Times New Roman" w:cs="Times New Roman" w:eastAsiaTheme="minorEastAsia"/>
          <w:b/>
          <w:bCs/>
          <w:color w:val="auto"/>
          <w:kern w:val="0"/>
          <w:sz w:val="28"/>
          <w:szCs w:val="28"/>
          <w:highlight w:val="none"/>
        </w:rPr>
        <w:t>3.1 初步评审</w:t>
      </w:r>
      <w:bookmarkEnd w:id="57"/>
      <w:bookmarkEnd w:id="58"/>
      <w:bookmarkEnd w:id="59"/>
      <w:bookmarkEnd w:id="60"/>
      <w:bookmarkEnd w:id="61"/>
      <w:bookmarkEnd w:id="62"/>
      <w:bookmarkEnd w:id="63"/>
      <w:bookmarkEnd w:id="64"/>
    </w:p>
    <w:p w14:paraId="1DC65AE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3.1.1评标委员会可以要求投标人提交第二章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投标人须知</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第3.5.1项至第3.5.4项规定的</w:t>
      </w:r>
      <w:r>
        <w:rPr>
          <w:rFonts w:hint="default" w:ascii="Times New Roman" w:hAnsi="Times New Roman" w:cs="Times New Roman" w:eastAsiaTheme="minorEastAsia"/>
          <w:color w:val="auto"/>
          <w:kern w:val="0"/>
          <w:sz w:val="24"/>
          <w:szCs w:val="24"/>
          <w:highlight w:val="none"/>
        </w:rPr>
        <w:t>有关证明和证件的原件，以便核验。评标委员会依据本章</w:t>
      </w:r>
      <w:r>
        <w:rPr>
          <w:rFonts w:hint="eastAsia" w:ascii="Times New Roman" w:hAnsi="Times New Roman" w:cs="Times New Roman"/>
          <w:color w:val="auto"/>
          <w:kern w:val="0"/>
          <w:sz w:val="24"/>
          <w:szCs w:val="24"/>
          <w:highlight w:val="none"/>
          <w:lang w:val="en-US" w:eastAsia="zh-CN"/>
        </w:rPr>
        <w:t>第2.1款</w:t>
      </w:r>
      <w:r>
        <w:rPr>
          <w:rFonts w:hint="default" w:ascii="Times New Roman" w:hAnsi="Times New Roman" w:cs="Times New Roman" w:eastAsiaTheme="minorEastAsia"/>
          <w:color w:val="auto"/>
          <w:kern w:val="0"/>
          <w:sz w:val="24"/>
          <w:szCs w:val="24"/>
          <w:highlight w:val="none"/>
        </w:rPr>
        <w:t>规定的标准对投标文件进行初步评审。有一项不符合评审标准的，评标委员会应当否决其投标。</w:t>
      </w:r>
    </w:p>
    <w:p w14:paraId="405D769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3.1.2 投标人有以下情形之一的，评标委员会应当否决其投标：</w:t>
      </w:r>
    </w:p>
    <w:p w14:paraId="789899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（1）</w:t>
      </w:r>
      <w:r>
        <w:rPr>
          <w:rFonts w:hint="eastAsia" w:ascii="Times New Roman" w:hAnsi="Times New Roman" w:cs="Times New Roman"/>
          <w:color w:val="auto"/>
          <w:kern w:val="0"/>
          <w:sz w:val="24"/>
          <w:szCs w:val="24"/>
          <w:highlight w:val="none"/>
          <w:lang w:val="en-US" w:eastAsia="zh-CN"/>
        </w:rPr>
        <w:t>第二章“投标人须知”第1.4.2项、第1.4.3项规定的任何一种情形的；</w:t>
      </w:r>
    </w:p>
    <w:p w14:paraId="0249B06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（2）串通投标或弄虚作假或有其他违法行为的；</w:t>
      </w:r>
    </w:p>
    <w:p w14:paraId="754EE79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3</w:t>
      </w:r>
      <w:r>
        <w:rPr>
          <w:rFonts w:hint="default" w:ascii="Times New Roman" w:hAnsi="Times New Roman" w:cs="Times New Roman" w:eastAsiaTheme="minorEastAsia"/>
          <w:color w:val="auto"/>
          <w:kern w:val="0"/>
          <w:sz w:val="24"/>
          <w:szCs w:val="24"/>
          <w:highlight w:val="none"/>
        </w:rPr>
        <w:t>）不按评标委员会要求澄清、说明或补正的。</w:t>
      </w:r>
    </w:p>
    <w:p w14:paraId="1282F4A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3.1.3投标报价有算术错误的，评标委员会按以下原则</w:t>
      </w:r>
      <w:r>
        <w:rPr>
          <w:rFonts w:hint="eastAsia" w:ascii="Times New Roman" w:hAnsi="Times New Roman" w:cs="Times New Roman"/>
          <w:color w:val="auto"/>
          <w:kern w:val="0"/>
          <w:sz w:val="24"/>
          <w:szCs w:val="24"/>
          <w:highlight w:val="none"/>
          <w:lang w:val="en-US" w:eastAsia="zh-CN"/>
        </w:rPr>
        <w:t>对投标报价进行修正，修正的价格经投标人书面确认后具有约束力。投标人不接受修正价格的，评标委员会应当否决其投标。</w:t>
      </w:r>
    </w:p>
    <w:p w14:paraId="6FE5872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（1）投标文件中的大写金额与小写金额不一致的，以大写金额为准；</w:t>
      </w:r>
    </w:p>
    <w:p w14:paraId="5E65C5C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（2）总价金额与</w:t>
      </w:r>
      <w:r>
        <w:rPr>
          <w:rFonts w:hint="eastAsia" w:ascii="Times New Roman" w:hAnsi="Times New Roman" w:cs="Times New Roman"/>
          <w:color w:val="auto"/>
          <w:kern w:val="0"/>
          <w:sz w:val="24"/>
          <w:szCs w:val="24"/>
          <w:highlight w:val="none"/>
          <w:lang w:val="en-US" w:eastAsia="zh-CN"/>
        </w:rPr>
        <w:t>依据单价计算出的结果不一致的，以单价金额为准修正总价，但单价金额小数点有明显错误的除外。</w:t>
      </w:r>
    </w:p>
    <w:p w14:paraId="32F0D1F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color w:val="auto"/>
          <w:kern w:val="0"/>
          <w:sz w:val="28"/>
          <w:szCs w:val="28"/>
          <w:highlight w:val="none"/>
        </w:rPr>
      </w:pPr>
      <w:bookmarkStart w:id="65" w:name="_Toc144974562"/>
      <w:bookmarkStart w:id="66" w:name="_Toc296602483"/>
      <w:bookmarkStart w:id="67" w:name="_Toc246996981"/>
      <w:bookmarkStart w:id="68" w:name="_Toc246996238"/>
      <w:bookmarkStart w:id="69" w:name="_Toc247085753"/>
      <w:bookmarkStart w:id="70" w:name="_Toc152042372"/>
      <w:bookmarkStart w:id="71" w:name="_Toc179632613"/>
      <w:bookmarkStart w:id="72" w:name="_Toc152045595"/>
      <w:r>
        <w:rPr>
          <w:rFonts w:hint="default" w:ascii="Times New Roman" w:hAnsi="Times New Roman" w:cs="Times New Roman" w:eastAsiaTheme="minorEastAsia"/>
          <w:b/>
          <w:bCs/>
          <w:color w:val="auto"/>
          <w:kern w:val="0"/>
          <w:sz w:val="28"/>
          <w:szCs w:val="28"/>
          <w:highlight w:val="none"/>
        </w:rPr>
        <w:t>3.2 详细评审</w:t>
      </w:r>
      <w:bookmarkEnd w:id="65"/>
      <w:bookmarkEnd w:id="66"/>
      <w:bookmarkEnd w:id="67"/>
      <w:bookmarkEnd w:id="68"/>
      <w:bookmarkEnd w:id="69"/>
      <w:bookmarkEnd w:id="70"/>
      <w:bookmarkEnd w:id="71"/>
      <w:bookmarkEnd w:id="72"/>
    </w:p>
    <w:p w14:paraId="04112868">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bookmarkStart w:id="73" w:name="_Toc144974563"/>
      <w:bookmarkStart w:id="74" w:name="_Toc247085754"/>
      <w:bookmarkStart w:id="75" w:name="_Toc152045596"/>
      <w:bookmarkStart w:id="76" w:name="_Toc152042373"/>
      <w:bookmarkStart w:id="77" w:name="_Toc179632614"/>
      <w:bookmarkStart w:id="78" w:name="_Toc296602484"/>
      <w:bookmarkStart w:id="79" w:name="_Toc246996982"/>
      <w:bookmarkStart w:id="80" w:name="_Toc246996239"/>
      <w:r>
        <w:rPr>
          <w:rFonts w:hint="default" w:ascii="Times New Roman" w:hAnsi="Times New Roman" w:cs="Times New Roman" w:eastAsiaTheme="minorEastAsia"/>
          <w:color w:val="auto"/>
          <w:kern w:val="0"/>
          <w:sz w:val="24"/>
          <w:szCs w:val="24"/>
          <w:highlight w:val="none"/>
        </w:rPr>
        <w:t>3.2.1 评标委员会按本章</w:t>
      </w:r>
      <w:r>
        <w:rPr>
          <w:rFonts w:hint="eastAsia" w:ascii="Times New Roman" w:hAnsi="Times New Roman" w:cs="Times New Roman"/>
          <w:color w:val="auto"/>
          <w:kern w:val="0"/>
          <w:sz w:val="24"/>
          <w:szCs w:val="24"/>
          <w:highlight w:val="none"/>
          <w:lang w:val="en-US" w:eastAsia="zh-CN"/>
        </w:rPr>
        <w:t>第2.2款规定的</w:t>
      </w:r>
      <w:r>
        <w:rPr>
          <w:rFonts w:hint="default" w:ascii="Times New Roman" w:hAnsi="Times New Roman" w:cs="Times New Roman" w:eastAsiaTheme="minorEastAsia"/>
          <w:color w:val="auto"/>
          <w:kern w:val="0"/>
          <w:sz w:val="24"/>
          <w:szCs w:val="24"/>
          <w:highlight w:val="none"/>
        </w:rPr>
        <w:t>量化因素和分值进行打分，并计算出综合评估得分。</w:t>
      </w:r>
    </w:p>
    <w:p w14:paraId="43BC38BB">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（1）按本章</w:t>
      </w:r>
      <w:r>
        <w:rPr>
          <w:rFonts w:hint="eastAsia" w:ascii="Times New Roman" w:hAnsi="Times New Roman" w:cs="Times New Roman"/>
          <w:color w:val="auto"/>
          <w:kern w:val="0"/>
          <w:sz w:val="24"/>
          <w:szCs w:val="24"/>
          <w:highlight w:val="none"/>
          <w:lang w:val="en-US" w:eastAsia="zh-CN"/>
        </w:rPr>
        <w:t>第2.2.4（1）目规定的评审因素和分值对</w:t>
      </w:r>
      <w:permStart w:id="106" w:edGrp="everyone"/>
      <w:r>
        <w:rPr>
          <w:rFonts w:hint="eastAsia" w:ascii="Times New Roman" w:hAnsi="Times New Roman" w:cs="Times New Roman"/>
          <w:color w:val="auto"/>
          <w:kern w:val="0"/>
          <w:sz w:val="24"/>
          <w:szCs w:val="24"/>
          <w:highlight w:val="none"/>
          <w:lang w:val="en-US" w:eastAsia="zh-CN"/>
        </w:rPr>
        <w:t>资信业绩</w:t>
      </w:r>
      <w:permEnd w:id="106"/>
      <w:r>
        <w:rPr>
          <w:rFonts w:hint="eastAsia" w:ascii="Times New Roman" w:hAnsi="Times New Roman" w:cs="Times New Roman"/>
          <w:color w:val="auto"/>
          <w:kern w:val="0"/>
          <w:sz w:val="24"/>
          <w:szCs w:val="24"/>
          <w:highlight w:val="none"/>
          <w:lang w:val="en-US" w:eastAsia="zh-CN"/>
        </w:rPr>
        <w:t>计算出得分A；</w:t>
      </w:r>
    </w:p>
    <w:p w14:paraId="71269E92">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w:t>
      </w:r>
      <w:r>
        <w:rPr>
          <w:rFonts w:hint="eastAsia" w:ascii="Times New Roman" w:hAnsi="Times New Roman" w:cs="Times New Roman"/>
          <w:color w:val="auto"/>
          <w:kern w:val="0"/>
          <w:sz w:val="24"/>
          <w:szCs w:val="24"/>
          <w:highlight w:val="none"/>
          <w:lang w:val="en-US" w:eastAsia="zh-CN"/>
        </w:rPr>
        <w:t>2</w:t>
      </w:r>
      <w:r>
        <w:rPr>
          <w:rFonts w:hint="default" w:ascii="Times New Roman" w:hAnsi="Times New Roman" w:cs="Times New Roman"/>
          <w:color w:val="auto"/>
          <w:kern w:val="0"/>
          <w:sz w:val="24"/>
          <w:szCs w:val="24"/>
          <w:highlight w:val="none"/>
          <w:lang w:val="en-US" w:eastAsia="zh-CN"/>
        </w:rPr>
        <w:t>）按本章</w:t>
      </w:r>
      <w:r>
        <w:rPr>
          <w:rFonts w:hint="eastAsia" w:ascii="Times New Roman" w:hAnsi="Times New Roman" w:cs="Times New Roman"/>
          <w:color w:val="auto"/>
          <w:kern w:val="0"/>
          <w:sz w:val="24"/>
          <w:szCs w:val="24"/>
          <w:highlight w:val="none"/>
          <w:lang w:val="en-US" w:eastAsia="zh-CN"/>
        </w:rPr>
        <w:t>第2.2.4（2）目规定的评审因素和分值对</w:t>
      </w:r>
      <w:permStart w:id="107" w:edGrp="everyone"/>
      <w:r>
        <w:rPr>
          <w:rFonts w:hint="eastAsia" w:ascii="Times New Roman" w:hAnsi="Times New Roman" w:cs="Times New Roman"/>
          <w:color w:val="auto"/>
          <w:kern w:val="0"/>
          <w:sz w:val="24"/>
          <w:szCs w:val="24"/>
          <w:highlight w:val="none"/>
          <w:lang w:val="en-US" w:eastAsia="zh-CN"/>
        </w:rPr>
        <w:t>服务方案</w:t>
      </w:r>
      <w:permEnd w:id="107"/>
      <w:r>
        <w:rPr>
          <w:rFonts w:hint="eastAsia" w:ascii="Times New Roman" w:hAnsi="Times New Roman" w:cs="Times New Roman"/>
          <w:color w:val="auto"/>
          <w:kern w:val="0"/>
          <w:sz w:val="24"/>
          <w:szCs w:val="24"/>
          <w:highlight w:val="none"/>
          <w:lang w:val="en-US" w:eastAsia="zh-CN"/>
        </w:rPr>
        <w:t>计算出得分B；</w:t>
      </w:r>
    </w:p>
    <w:p w14:paraId="3931FEDE">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w:t>
      </w:r>
      <w:r>
        <w:rPr>
          <w:rFonts w:hint="eastAsia" w:ascii="Times New Roman" w:hAnsi="Times New Roman" w:cs="Times New Roman"/>
          <w:color w:val="auto"/>
          <w:kern w:val="0"/>
          <w:sz w:val="24"/>
          <w:szCs w:val="24"/>
          <w:highlight w:val="none"/>
          <w:lang w:val="en-US" w:eastAsia="zh-CN"/>
        </w:rPr>
        <w:t>3</w:t>
      </w:r>
      <w:r>
        <w:rPr>
          <w:rFonts w:hint="default" w:ascii="Times New Roman" w:hAnsi="Times New Roman" w:cs="Times New Roman"/>
          <w:color w:val="auto"/>
          <w:kern w:val="0"/>
          <w:sz w:val="24"/>
          <w:szCs w:val="24"/>
          <w:highlight w:val="none"/>
          <w:lang w:val="en-US" w:eastAsia="zh-CN"/>
        </w:rPr>
        <w:t>）按本章</w:t>
      </w:r>
      <w:r>
        <w:rPr>
          <w:rFonts w:hint="eastAsia" w:ascii="Times New Roman" w:hAnsi="Times New Roman" w:cs="Times New Roman"/>
          <w:color w:val="auto"/>
          <w:kern w:val="0"/>
          <w:sz w:val="24"/>
          <w:szCs w:val="24"/>
          <w:highlight w:val="none"/>
          <w:lang w:val="en-US" w:eastAsia="zh-CN"/>
        </w:rPr>
        <w:t>第2.2.4（3）目规定的评审因素和分值对</w:t>
      </w:r>
      <w:permStart w:id="108" w:edGrp="everyone"/>
      <w:r>
        <w:rPr>
          <w:rFonts w:hint="eastAsia" w:ascii="Times New Roman" w:hAnsi="Times New Roman" w:cs="Times New Roman"/>
          <w:color w:val="auto"/>
          <w:kern w:val="0"/>
          <w:sz w:val="24"/>
          <w:szCs w:val="24"/>
          <w:highlight w:val="none"/>
          <w:lang w:val="en-US" w:eastAsia="zh-CN"/>
        </w:rPr>
        <w:t>投标报价</w:t>
      </w:r>
      <w:permEnd w:id="108"/>
      <w:r>
        <w:rPr>
          <w:rFonts w:hint="eastAsia" w:ascii="Times New Roman" w:hAnsi="Times New Roman" w:cs="Times New Roman"/>
          <w:color w:val="auto"/>
          <w:kern w:val="0"/>
          <w:sz w:val="24"/>
          <w:szCs w:val="24"/>
          <w:highlight w:val="none"/>
          <w:lang w:val="en-US" w:eastAsia="zh-CN"/>
        </w:rPr>
        <w:t>计算出得分C。</w:t>
      </w:r>
    </w:p>
    <w:p w14:paraId="2904D3A5">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3.2.2 评分分值计算保留小数点后两位，小数点后第三位</w:t>
      </w:r>
      <w:r>
        <w:rPr>
          <w:rFonts w:hint="eastAsia" w:ascii="Times New Roman" w:hAnsi="Times New Roman" w:cs="Times New Roman"/>
          <w:color w:val="auto"/>
          <w:kern w:val="0"/>
          <w:sz w:val="24"/>
          <w:szCs w:val="24"/>
          <w:highlight w:val="none"/>
          <w:lang w:val="en-US" w:eastAsia="zh-CN"/>
        </w:rPr>
        <w:t>“</w:t>
      </w:r>
      <w:r>
        <w:rPr>
          <w:rFonts w:hint="default" w:ascii="Times New Roman" w:hAnsi="Times New Roman" w:cs="Times New Roman"/>
          <w:color w:val="auto"/>
          <w:kern w:val="0"/>
          <w:sz w:val="24"/>
          <w:szCs w:val="24"/>
          <w:highlight w:val="none"/>
          <w:lang w:val="en-US" w:eastAsia="zh-CN"/>
        </w:rPr>
        <w:t>四舍五入</w:t>
      </w:r>
      <w:r>
        <w:rPr>
          <w:rFonts w:hint="eastAsia" w:ascii="Times New Roman" w:hAnsi="Times New Roman" w:cs="Times New Roman"/>
          <w:color w:val="auto"/>
          <w:kern w:val="0"/>
          <w:sz w:val="24"/>
          <w:szCs w:val="24"/>
          <w:highlight w:val="none"/>
          <w:lang w:val="en-US" w:eastAsia="zh-CN"/>
        </w:rPr>
        <w:t>”</w:t>
      </w:r>
      <w:r>
        <w:rPr>
          <w:rFonts w:hint="default" w:ascii="Times New Roman" w:hAnsi="Times New Roman" w:cs="Times New Roman"/>
          <w:color w:val="auto"/>
          <w:kern w:val="0"/>
          <w:sz w:val="24"/>
          <w:szCs w:val="24"/>
          <w:highlight w:val="none"/>
          <w:lang w:val="en-US" w:eastAsia="zh-CN"/>
        </w:rPr>
        <w:t>。</w:t>
      </w:r>
    </w:p>
    <w:p w14:paraId="2953CAE5">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color w:val="auto"/>
          <w:kern w:val="0"/>
          <w:sz w:val="24"/>
          <w:szCs w:val="24"/>
          <w:highlight w:val="none"/>
          <w:lang w:val="en-US" w:eastAsia="zh-CN"/>
        </w:rPr>
        <w:t>3.2.3 投标人得分=A+B+</w:t>
      </w:r>
      <w:r>
        <w:rPr>
          <w:rFonts w:hint="eastAsia" w:ascii="Times New Roman" w:hAnsi="Times New Roman" w:cs="Times New Roman"/>
          <w:color w:val="auto"/>
          <w:kern w:val="0"/>
          <w:sz w:val="24"/>
          <w:szCs w:val="24"/>
          <w:highlight w:val="none"/>
          <w:lang w:val="en-US" w:eastAsia="zh-CN"/>
        </w:rPr>
        <w:t>C</w:t>
      </w:r>
      <w:r>
        <w:rPr>
          <w:rFonts w:hint="default" w:ascii="Times New Roman" w:hAnsi="Times New Roman" w:cs="Times New Roman"/>
          <w:color w:val="auto"/>
          <w:kern w:val="0"/>
          <w:sz w:val="24"/>
          <w:szCs w:val="24"/>
          <w:highlight w:val="none"/>
          <w:lang w:val="en-US" w:eastAsia="zh-CN"/>
        </w:rPr>
        <w:t>。</w:t>
      </w:r>
    </w:p>
    <w:p w14:paraId="17C54331">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3.2.4 评标委员会发现投标人的报价明显低于其他投标报价，</w:t>
      </w:r>
      <w:r>
        <w:rPr>
          <w:rFonts w:hint="eastAsia" w:ascii="Times New Roman" w:hAnsi="Times New Roman" w:cs="Times New Roman"/>
          <w:color w:val="auto"/>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color w:val="auto"/>
          <w:kern w:val="0"/>
          <w:sz w:val="24"/>
          <w:szCs w:val="24"/>
          <w:highlight w:val="none"/>
        </w:rPr>
        <w:t>不能合理说明或者不能提供相应证明材料的，评标委员会应当认定该投标人以低于成本报价竞标，否决其投标。</w:t>
      </w:r>
    </w:p>
    <w:p w14:paraId="7ABD03E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color w:val="auto"/>
          <w:kern w:val="0"/>
          <w:sz w:val="28"/>
          <w:szCs w:val="28"/>
          <w:highlight w:val="none"/>
        </w:rPr>
      </w:pPr>
      <w:r>
        <w:rPr>
          <w:rFonts w:hint="default" w:ascii="Times New Roman" w:hAnsi="Times New Roman" w:cs="Times New Roman" w:eastAsiaTheme="minorEastAsia"/>
          <w:b/>
          <w:bCs/>
          <w:color w:val="auto"/>
          <w:kern w:val="0"/>
          <w:sz w:val="28"/>
          <w:szCs w:val="28"/>
          <w:highlight w:val="none"/>
        </w:rPr>
        <w:t>3.3 投标文件的澄清</w:t>
      </w:r>
      <w:bookmarkEnd w:id="73"/>
      <w:r>
        <w:rPr>
          <w:rFonts w:hint="default" w:ascii="Times New Roman" w:hAnsi="Times New Roman" w:cs="Times New Roman" w:eastAsiaTheme="minorEastAsia"/>
          <w:b/>
          <w:bCs/>
          <w:color w:val="auto"/>
          <w:kern w:val="0"/>
          <w:sz w:val="28"/>
          <w:szCs w:val="28"/>
          <w:highlight w:val="none"/>
        </w:rPr>
        <w:t>和补正</w:t>
      </w:r>
      <w:bookmarkEnd w:id="74"/>
      <w:bookmarkEnd w:id="75"/>
      <w:bookmarkEnd w:id="76"/>
      <w:bookmarkEnd w:id="77"/>
      <w:bookmarkEnd w:id="78"/>
      <w:bookmarkEnd w:id="79"/>
      <w:bookmarkEnd w:id="80"/>
    </w:p>
    <w:p w14:paraId="1F6E8B8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3.3.1 在评标过程中，评标委员会可以书面形式要求投标人对</w:t>
      </w:r>
      <w:r>
        <w:rPr>
          <w:rFonts w:hint="eastAsia" w:ascii="Times New Roman" w:hAnsi="Times New Roman" w:cs="Times New Roman"/>
          <w:color w:val="auto"/>
          <w:kern w:val="0"/>
          <w:sz w:val="24"/>
          <w:szCs w:val="24"/>
          <w:highlight w:val="none"/>
          <w:lang w:val="en-US" w:eastAsia="zh-CN"/>
        </w:rPr>
        <w:t>所提交投标文件中不明确的内容进行书面澄清或说明，或者对细微偏差进行补正。评标委员会不接受投标人主动提出的澄清、说明或补正。</w:t>
      </w:r>
    </w:p>
    <w:p w14:paraId="3584F5D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3.3.2 澄清、说明</w:t>
      </w:r>
      <w:r>
        <w:rPr>
          <w:rFonts w:hint="eastAsia" w:ascii="Times New Roman" w:hAnsi="Times New Roman" w:cs="Times New Roman"/>
          <w:color w:val="auto"/>
          <w:kern w:val="0"/>
          <w:sz w:val="24"/>
          <w:szCs w:val="24"/>
          <w:highlight w:val="none"/>
          <w:lang w:val="en-US" w:eastAsia="zh-CN"/>
        </w:rPr>
        <w:t>和</w:t>
      </w:r>
      <w:r>
        <w:rPr>
          <w:rFonts w:hint="default" w:ascii="Times New Roman" w:hAnsi="Times New Roman" w:cs="Times New Roman" w:eastAsiaTheme="minorEastAsia"/>
          <w:color w:val="auto"/>
          <w:kern w:val="0"/>
          <w:sz w:val="24"/>
          <w:szCs w:val="24"/>
          <w:highlight w:val="none"/>
        </w:rPr>
        <w:t>补正不得</w:t>
      </w:r>
      <w:r>
        <w:rPr>
          <w:rFonts w:hint="eastAsia" w:ascii="Times New Roman" w:hAnsi="Times New Roman" w:cs="Times New Roman"/>
          <w:color w:val="auto"/>
          <w:kern w:val="0"/>
          <w:sz w:val="24"/>
          <w:szCs w:val="24"/>
          <w:highlight w:val="none"/>
          <w:lang w:val="en-US" w:eastAsia="zh-CN"/>
        </w:rPr>
        <w:t>改变投标文件的实质性内容。投标人的书面澄清、说明和补正属于投标文件的组成部分。</w:t>
      </w:r>
    </w:p>
    <w:p w14:paraId="090EE83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3.3.3 评标委员会对投标人提交的澄清、说明或补正有疑问的，可以要求投标人进一步澄清、说明或补正，直至满足评标委员会的要求。</w:t>
      </w:r>
    </w:p>
    <w:p w14:paraId="11AD50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color w:val="auto"/>
          <w:kern w:val="0"/>
          <w:sz w:val="28"/>
          <w:szCs w:val="28"/>
          <w:highlight w:val="none"/>
          <w:lang w:val="en-US" w:eastAsia="zh-CN"/>
        </w:rPr>
      </w:pPr>
      <w:r>
        <w:rPr>
          <w:rFonts w:hint="eastAsia" w:ascii="Times New Roman" w:hAnsi="Times New Roman" w:cs="Times New Roman" w:eastAsiaTheme="minorEastAsia"/>
          <w:b/>
          <w:bCs/>
          <w:color w:val="auto"/>
          <w:kern w:val="0"/>
          <w:sz w:val="28"/>
          <w:szCs w:val="28"/>
          <w:highlight w:val="none"/>
          <w:lang w:val="en-US" w:eastAsia="zh-CN"/>
        </w:rPr>
        <w:t>3.4 特殊情况处理</w:t>
      </w:r>
    </w:p>
    <w:p w14:paraId="2FF3185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14:paraId="537366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所有有效投标报价低于招标控制价，且竞标人报价没有明显高于市场价或采购人预期。</w:t>
      </w:r>
    </w:p>
    <w:p w14:paraId="64347AC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color w:val="auto"/>
          <w:kern w:val="0"/>
          <w:sz w:val="28"/>
          <w:szCs w:val="28"/>
          <w:highlight w:val="none"/>
        </w:rPr>
      </w:pPr>
      <w:r>
        <w:rPr>
          <w:rFonts w:hint="default" w:ascii="Times New Roman" w:hAnsi="Times New Roman" w:cs="Times New Roman" w:eastAsiaTheme="minorEastAsia"/>
          <w:b/>
          <w:bCs/>
          <w:color w:val="auto"/>
          <w:kern w:val="0"/>
          <w:sz w:val="28"/>
          <w:szCs w:val="28"/>
          <w:highlight w:val="none"/>
        </w:rPr>
        <w:t>3.</w:t>
      </w:r>
      <w:r>
        <w:rPr>
          <w:rFonts w:hint="eastAsia" w:ascii="Times New Roman" w:hAnsi="Times New Roman" w:cs="Times New Roman"/>
          <w:b/>
          <w:bCs/>
          <w:color w:val="auto"/>
          <w:kern w:val="0"/>
          <w:sz w:val="28"/>
          <w:szCs w:val="28"/>
          <w:highlight w:val="none"/>
          <w:lang w:val="en-US" w:eastAsia="zh-CN"/>
        </w:rPr>
        <w:t>5</w:t>
      </w:r>
      <w:r>
        <w:rPr>
          <w:rFonts w:hint="default" w:ascii="Times New Roman" w:hAnsi="Times New Roman" w:cs="Times New Roman" w:eastAsiaTheme="minorEastAsia"/>
          <w:b/>
          <w:bCs/>
          <w:color w:val="auto"/>
          <w:kern w:val="0"/>
          <w:sz w:val="28"/>
          <w:szCs w:val="28"/>
          <w:highlight w:val="none"/>
        </w:rPr>
        <w:t xml:space="preserve"> 评标结果</w:t>
      </w:r>
    </w:p>
    <w:p w14:paraId="2D7EC99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3.</w:t>
      </w:r>
      <w:r>
        <w:rPr>
          <w:rFonts w:hint="eastAsia" w:ascii="Times New Roman" w:hAnsi="Times New Roman" w:cs="Times New Roman"/>
          <w:color w:val="auto"/>
          <w:kern w:val="0"/>
          <w:sz w:val="24"/>
          <w:szCs w:val="24"/>
          <w:highlight w:val="none"/>
          <w:lang w:val="en-US" w:eastAsia="zh-CN"/>
        </w:rPr>
        <w:t>5</w:t>
      </w:r>
      <w:r>
        <w:rPr>
          <w:rFonts w:hint="default" w:ascii="Times New Roman" w:hAnsi="Times New Roman" w:cs="Times New Roman" w:eastAsiaTheme="minorEastAsia"/>
          <w:color w:val="auto"/>
          <w:kern w:val="0"/>
          <w:sz w:val="24"/>
          <w:szCs w:val="24"/>
          <w:highlight w:val="none"/>
        </w:rPr>
        <w:t>.1 除第二章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投标人须知</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前附表授权直接确定中标人外，评标委员会按照</w:t>
      </w:r>
      <w:r>
        <w:rPr>
          <w:rFonts w:hint="eastAsia" w:ascii="Times New Roman" w:hAnsi="Times New Roman" w:cs="Times New Roman"/>
          <w:color w:val="auto"/>
          <w:kern w:val="0"/>
          <w:sz w:val="24"/>
          <w:szCs w:val="24"/>
          <w:highlight w:val="none"/>
          <w:lang w:val="en-US" w:eastAsia="zh-CN"/>
        </w:rPr>
        <w:t>本招标文件的规定推荐中标候选人。</w:t>
      </w:r>
    </w:p>
    <w:p w14:paraId="645A85F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3.5.2 评标委员会完成评标后，应当向招标人提交书面评标报告。</w:t>
      </w:r>
    </w:p>
    <w:p w14:paraId="0750AF81">
      <w:pPr>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br w:type="page"/>
      </w:r>
    </w:p>
    <w:p w14:paraId="60B9A51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t xml:space="preserve">第四章 </w:t>
      </w:r>
      <w:r>
        <w:rPr>
          <w:rFonts w:hint="default" w:asciiTheme="majorEastAsia" w:hAnsiTheme="majorEastAsia" w:eastAsiaTheme="majorEastAsia" w:cstheme="majorEastAsia"/>
          <w:b/>
          <w:bCs/>
          <w:color w:val="auto"/>
          <w:sz w:val="32"/>
          <w:szCs w:val="32"/>
          <w:highlight w:val="none"/>
          <w:lang w:val="en-US" w:eastAsia="zh-CN"/>
        </w:rPr>
        <w:t>合同条款及格式</w:t>
      </w:r>
    </w:p>
    <w:p w14:paraId="40F2E31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color w:val="auto"/>
          <w:sz w:val="32"/>
          <w:szCs w:val="32"/>
          <w:highlight w:val="none"/>
          <w:lang w:val="en-US" w:eastAsia="zh-CN"/>
        </w:rPr>
      </w:pPr>
    </w:p>
    <w:p w14:paraId="6F876E02">
      <w:pPr>
        <w:keepNext w:val="0"/>
        <w:keepLines w:val="0"/>
        <w:pageBreakBefore w:val="0"/>
        <w:widowControl w:val="0"/>
        <w:kinsoku/>
        <w:wordWrap w:val="0"/>
        <w:overflowPunct/>
        <w:topLinePunct w:val="0"/>
        <w:autoSpaceDE/>
        <w:autoSpaceDN/>
        <w:bidi w:val="0"/>
        <w:adjustRightInd/>
        <w:snapToGrid/>
        <w:spacing w:line="440" w:lineRule="exact"/>
        <w:ind w:firstLine="640" w:firstLineChars="200"/>
        <w:jc w:val="both"/>
        <w:textAlignment w:val="auto"/>
        <w:outlineLvl w:val="9"/>
        <w:rPr>
          <w:rFonts w:hint="eastAsia" w:asciiTheme="majorEastAsia" w:hAnsiTheme="majorEastAsia" w:eastAsiaTheme="majorEastAsia" w:cstheme="majorEastAsia"/>
          <w:b w:val="0"/>
          <w:bCs w:val="0"/>
          <w:color w:val="auto"/>
          <w:sz w:val="32"/>
          <w:szCs w:val="32"/>
          <w:highlight w:val="none"/>
          <w:lang w:val="en-US" w:eastAsia="zh-CN"/>
        </w:rPr>
      </w:pPr>
      <w:r>
        <w:rPr>
          <w:rFonts w:hint="eastAsia" w:asciiTheme="majorEastAsia" w:hAnsiTheme="majorEastAsia" w:eastAsiaTheme="majorEastAsia" w:cstheme="majorEastAsia"/>
          <w:b w:val="0"/>
          <w:bCs w:val="0"/>
          <w:color w:val="auto"/>
          <w:sz w:val="32"/>
          <w:szCs w:val="32"/>
          <w:highlight w:val="none"/>
          <w:lang w:val="en-US" w:eastAsia="zh-CN"/>
        </w:rPr>
        <w:t xml:space="preserve">工程编号：   </w:t>
      </w:r>
      <w:r>
        <w:rPr>
          <w:rFonts w:hint="eastAsia" w:ascii="Times New Roman" w:hAnsi="Times New Roman" w:cs="Times New Roman"/>
          <w:color w:val="auto"/>
          <w:kern w:val="0"/>
          <w:sz w:val="24"/>
          <w:szCs w:val="24"/>
          <w:highlight w:val="none"/>
          <w:shd w:val="clear" w:color="auto" w:fill="auto"/>
          <w:vertAlign w:val="baseline"/>
          <w:lang w:val="en-US" w:eastAsia="zh-CN"/>
        </w:rPr>
        <w:t xml:space="preserve">                           </w:t>
      </w:r>
      <w:r>
        <w:rPr>
          <w:rFonts w:hint="eastAsia" w:asciiTheme="majorEastAsia" w:hAnsiTheme="majorEastAsia" w:eastAsiaTheme="majorEastAsia" w:cstheme="majorEastAsia"/>
          <w:b w:val="0"/>
          <w:bCs w:val="0"/>
          <w:color w:val="auto"/>
          <w:sz w:val="32"/>
          <w:szCs w:val="32"/>
          <w:highlight w:val="none"/>
          <w:lang w:val="en-US" w:eastAsia="zh-CN"/>
        </w:rPr>
        <w:t>合同编号：</w:t>
      </w:r>
    </w:p>
    <w:p w14:paraId="5815314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4AC835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3D35BCA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7B02839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center"/>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21A895D5">
      <w:pPr>
        <w:keepNext w:val="0"/>
        <w:keepLines w:val="0"/>
        <w:pageBreakBefore w:val="0"/>
        <w:widowControl w:val="0"/>
        <w:kinsoku/>
        <w:wordWrap w:val="0"/>
        <w:overflowPunct/>
        <w:topLinePunct w:val="0"/>
        <w:autoSpaceDE/>
        <w:autoSpaceDN/>
        <w:bidi w:val="0"/>
        <w:adjustRightInd/>
        <w:snapToGrid/>
        <w:spacing w:line="440" w:lineRule="exact"/>
        <w:ind w:firstLine="1353" w:firstLineChars="200"/>
        <w:jc w:val="center"/>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Calibri" w:hAnsi="Calibri" w:eastAsia="华文中宋" w:cs="Times New Roman"/>
          <w:b/>
          <w:bCs/>
          <w:color w:val="auto"/>
          <w:spacing w:val="98"/>
          <w:sz w:val="48"/>
          <w:szCs w:val="48"/>
          <w:lang w:val="en-US" w:eastAsia="zh-CN"/>
        </w:rPr>
        <w:t>建设工程检测合同</w:t>
      </w:r>
    </w:p>
    <w:p w14:paraId="3F778B8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68EFF94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5EED84B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520B7A9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105CE5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28579A7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6C3EFBE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2A9EBFB7">
      <w:pPr>
        <w:spacing w:line="500" w:lineRule="exact"/>
        <w:ind w:firstLine="562" w:firstLineChars="200"/>
        <w:jc w:val="center"/>
        <w:rPr>
          <w:rFonts w:hint="eastAsia" w:ascii="宋体" w:hAnsi="宋体" w:eastAsia="宋体" w:cs="宋体"/>
          <w:b/>
          <w:bCs/>
          <w:color w:val="auto"/>
          <w:sz w:val="28"/>
          <w:szCs w:val="28"/>
          <w:u w:val="none"/>
          <w:lang w:val="en-US" w:eastAsia="zh-CN"/>
        </w:rPr>
      </w:pPr>
      <w:r>
        <w:rPr>
          <w:rFonts w:hint="eastAsia" w:ascii="宋体" w:hAnsi="宋体" w:eastAsia="宋体" w:cs="宋体"/>
          <w:b/>
          <w:bCs/>
          <w:color w:val="auto"/>
          <w:sz w:val="28"/>
          <w:szCs w:val="28"/>
          <w:u w:val="none"/>
          <w:lang w:val="en-US" w:eastAsia="zh-CN"/>
        </w:rPr>
        <w:t>工 程 概 况</w:t>
      </w:r>
    </w:p>
    <w:p w14:paraId="0E9AEEEB">
      <w:pPr>
        <w:spacing w:line="500" w:lineRule="exact"/>
        <w:ind w:firstLine="560" w:firstLineChars="200"/>
        <w:rPr>
          <w:rFonts w:hint="eastAsia" w:ascii="宋体" w:hAnsi="宋体" w:eastAsia="宋体" w:cs="宋体"/>
          <w:color w:val="auto"/>
          <w:sz w:val="28"/>
          <w:szCs w:val="28"/>
          <w:u w:val="single"/>
          <w:lang w:val="en-US" w:eastAsia="zh-CN"/>
        </w:rPr>
      </w:pPr>
      <w:r>
        <w:rPr>
          <w:rFonts w:hint="eastAsia" w:ascii="宋体" w:hAnsi="宋体" w:eastAsia="宋体" w:cs="宋体"/>
          <w:color w:val="auto"/>
          <w:sz w:val="28"/>
          <w:szCs w:val="28"/>
          <w:u w:val="single"/>
          <w:lang w:val="en-US" w:eastAsia="zh-CN"/>
        </w:rPr>
        <w:t xml:space="preserve">工程性质：   </w:t>
      </w:r>
      <w:r>
        <w:rPr>
          <w:rFonts w:hint="eastAsia" w:ascii="宋体" w:hAnsi="宋体" w:eastAsia="宋体" w:cs="宋体"/>
          <w:color w:val="auto"/>
          <w:sz w:val="28"/>
          <w:szCs w:val="28"/>
          <w:u w:val="single"/>
          <w:lang w:val="en-US" w:eastAsia="zh-CN"/>
        </w:rPr>
        <w:sym w:font="Wingdings" w:char="F0FE"/>
      </w:r>
      <w:r>
        <w:rPr>
          <w:rFonts w:hint="eastAsia" w:ascii="宋体" w:hAnsi="宋体" w:eastAsia="宋体" w:cs="宋体"/>
          <w:color w:val="auto"/>
          <w:sz w:val="28"/>
          <w:szCs w:val="28"/>
          <w:u w:val="single"/>
          <w:lang w:val="en-US" w:eastAsia="zh-CN"/>
        </w:rPr>
        <w:t xml:space="preserve"> 房建      </w:t>
      </w:r>
      <w:r>
        <w:rPr>
          <w:rFonts w:hint="eastAsia" w:ascii="宋体" w:hAnsi="宋体" w:eastAsia="宋体" w:cs="宋体"/>
          <w:color w:val="auto"/>
          <w:sz w:val="28"/>
          <w:szCs w:val="28"/>
          <w:u w:val="single"/>
          <w:lang w:val="en-US" w:eastAsia="zh-CN"/>
        </w:rPr>
        <w:sym w:font="Wingdings" w:char="F0A8"/>
      </w:r>
      <w:r>
        <w:rPr>
          <w:rFonts w:hint="eastAsia" w:ascii="宋体" w:hAnsi="宋体" w:eastAsia="宋体" w:cs="宋体"/>
          <w:color w:val="auto"/>
          <w:sz w:val="28"/>
          <w:szCs w:val="28"/>
          <w:u w:val="single"/>
          <w:lang w:val="en-US" w:eastAsia="zh-CN"/>
        </w:rPr>
        <w:t xml:space="preserve"> 市政      </w:t>
      </w:r>
      <w:r>
        <w:rPr>
          <w:rFonts w:hint="eastAsia" w:ascii="宋体" w:hAnsi="宋体" w:eastAsia="宋体" w:cs="宋体"/>
          <w:color w:val="auto"/>
          <w:sz w:val="28"/>
          <w:szCs w:val="28"/>
          <w:u w:val="single"/>
          <w:lang w:val="en-US" w:eastAsia="zh-CN"/>
        </w:rPr>
        <w:sym w:font="Wingdings" w:char="F0A8"/>
      </w:r>
      <w:r>
        <w:rPr>
          <w:rFonts w:hint="eastAsia" w:ascii="宋体" w:hAnsi="宋体" w:eastAsia="宋体" w:cs="宋体"/>
          <w:color w:val="auto"/>
          <w:sz w:val="28"/>
          <w:szCs w:val="28"/>
          <w:u w:val="single"/>
          <w:lang w:val="en-US" w:eastAsia="zh-CN"/>
        </w:rPr>
        <w:t xml:space="preserve"> 其他</w:t>
      </w:r>
    </w:p>
    <w:p w14:paraId="42F850C4">
      <w:pPr>
        <w:spacing w:line="500" w:lineRule="exact"/>
        <w:ind w:firstLine="560" w:firstLineChars="200"/>
        <w:rPr>
          <w:rFonts w:hint="eastAsia" w:ascii="宋体" w:hAnsi="宋体" w:eastAsia="宋体" w:cs="宋体"/>
          <w:color w:val="auto"/>
          <w:sz w:val="28"/>
          <w:szCs w:val="28"/>
          <w:u w:val="single"/>
          <w:lang w:val="en-US" w:eastAsia="zh-CN"/>
        </w:rPr>
      </w:pPr>
      <w:r>
        <w:rPr>
          <w:rFonts w:hint="eastAsia" w:ascii="宋体" w:hAnsi="宋体" w:eastAsia="宋体" w:cs="宋体"/>
          <w:color w:val="auto"/>
          <w:sz w:val="28"/>
          <w:szCs w:val="28"/>
          <w:u w:val="single"/>
          <w:lang w:val="en-US" w:eastAsia="zh-CN"/>
        </w:rPr>
        <w:t xml:space="preserve">建设单位：亳州通恒置业有限公司 </w:t>
      </w:r>
    </w:p>
    <w:p w14:paraId="59C28712">
      <w:pPr>
        <w:spacing w:line="500" w:lineRule="exact"/>
        <w:ind w:firstLine="560" w:firstLineChars="200"/>
        <w:rPr>
          <w:rFonts w:hint="eastAsia" w:ascii="宋体" w:hAnsi="宋体" w:eastAsia="宋体" w:cs="宋体"/>
          <w:color w:val="auto"/>
          <w:sz w:val="28"/>
          <w:szCs w:val="28"/>
          <w:u w:val="single"/>
          <w:lang w:val="en-US" w:eastAsia="zh-CN"/>
        </w:rPr>
      </w:pPr>
      <w:r>
        <w:rPr>
          <w:rFonts w:hint="eastAsia" w:ascii="宋体" w:hAnsi="宋体" w:eastAsia="宋体" w:cs="宋体"/>
          <w:color w:val="auto"/>
          <w:sz w:val="28"/>
          <w:szCs w:val="28"/>
          <w:u w:val="single"/>
          <w:lang w:val="en-US" w:eastAsia="zh-CN"/>
        </w:rPr>
        <w:t xml:space="preserve">施工单位：安徽通康建设工程有限公司 </w:t>
      </w:r>
    </w:p>
    <w:p w14:paraId="766007E5">
      <w:pPr>
        <w:spacing w:line="500" w:lineRule="exact"/>
        <w:ind w:firstLine="560" w:firstLineChars="200"/>
        <w:rPr>
          <w:rFonts w:hint="eastAsia" w:ascii="宋体" w:hAnsi="宋体" w:eastAsia="宋体" w:cs="宋体"/>
          <w:color w:val="auto"/>
          <w:sz w:val="28"/>
          <w:szCs w:val="28"/>
          <w:u w:val="single"/>
          <w:lang w:val="en-US" w:eastAsia="zh-CN"/>
        </w:rPr>
      </w:pPr>
      <w:r>
        <w:rPr>
          <w:rFonts w:hint="eastAsia" w:ascii="宋体" w:hAnsi="宋体" w:eastAsia="宋体" w:cs="宋体"/>
          <w:color w:val="auto"/>
          <w:sz w:val="28"/>
          <w:szCs w:val="28"/>
          <w:u w:val="single"/>
          <w:lang w:val="en-US" w:eastAsia="zh-CN"/>
        </w:rPr>
        <w:t xml:space="preserve">监理单位：安徽南巽建设项目管理投资工程有限公司 </w:t>
      </w:r>
    </w:p>
    <w:p w14:paraId="7086A1DB">
      <w:pPr>
        <w:spacing w:line="500" w:lineRule="exact"/>
        <w:ind w:firstLine="560" w:firstLineChars="200"/>
        <w:rPr>
          <w:rFonts w:hint="eastAsia" w:ascii="宋体" w:hAnsi="宋体" w:eastAsia="宋体" w:cs="宋体"/>
          <w:color w:val="auto"/>
          <w:sz w:val="28"/>
          <w:szCs w:val="28"/>
          <w:u w:val="single"/>
          <w:lang w:val="en-US" w:eastAsia="zh-CN"/>
        </w:rPr>
      </w:pPr>
      <w:r>
        <w:rPr>
          <w:rFonts w:hint="eastAsia" w:ascii="宋体" w:hAnsi="宋体" w:eastAsia="宋体" w:cs="宋体"/>
          <w:color w:val="auto"/>
          <w:sz w:val="28"/>
          <w:szCs w:val="28"/>
          <w:u w:val="single"/>
          <w:lang w:val="en-US" w:eastAsia="zh-CN"/>
        </w:rPr>
        <w:t xml:space="preserve">设计单位：中建工程设计有限公司   </w:t>
      </w:r>
    </w:p>
    <w:p w14:paraId="5358D5A0">
      <w:pPr>
        <w:spacing w:line="500" w:lineRule="exact"/>
        <w:ind w:firstLine="560" w:firstLineChars="200"/>
        <w:rPr>
          <w:rFonts w:hint="eastAsia" w:ascii="宋体" w:hAnsi="宋体" w:eastAsia="宋体" w:cs="宋体"/>
          <w:color w:val="auto"/>
          <w:sz w:val="28"/>
          <w:szCs w:val="28"/>
          <w:u w:val="single"/>
          <w:lang w:val="en-US" w:eastAsia="zh-CN"/>
        </w:rPr>
      </w:pPr>
      <w:r>
        <w:rPr>
          <w:rFonts w:hint="eastAsia" w:ascii="宋体" w:hAnsi="宋体" w:eastAsia="宋体" w:cs="宋体"/>
          <w:color w:val="auto"/>
          <w:sz w:val="28"/>
          <w:szCs w:val="28"/>
          <w:u w:val="single"/>
          <w:lang w:val="en-US" w:eastAsia="zh-CN"/>
        </w:rPr>
        <w:t xml:space="preserve">建筑面积：180222.64㎡，工程造价：3.93亿元 </w:t>
      </w:r>
    </w:p>
    <w:p w14:paraId="18886EAB">
      <w:pPr>
        <w:spacing w:line="500" w:lineRule="exact"/>
        <w:ind w:firstLine="560" w:firstLineChars="200"/>
        <w:rPr>
          <w:rFonts w:hint="eastAsia" w:ascii="宋体" w:hAnsi="宋体" w:eastAsia="宋体" w:cs="宋体"/>
          <w:color w:val="auto"/>
          <w:sz w:val="28"/>
          <w:szCs w:val="28"/>
          <w:u w:val="single"/>
          <w:lang w:val="en-US" w:eastAsia="zh-CN"/>
        </w:rPr>
      </w:pPr>
      <w:r>
        <w:rPr>
          <w:rFonts w:hint="eastAsia" w:ascii="宋体" w:hAnsi="宋体" w:eastAsia="宋体" w:cs="宋体"/>
          <w:color w:val="auto"/>
          <w:sz w:val="28"/>
          <w:szCs w:val="28"/>
          <w:u w:val="single"/>
          <w:lang w:val="en-US" w:eastAsia="zh-CN"/>
        </w:rPr>
        <w:t xml:space="preserve">结构类型：框架剪力墙结构  </w:t>
      </w:r>
    </w:p>
    <w:p w14:paraId="5DEB1E1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7EAA330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36E1D8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4383876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288C6E5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044213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7711FE5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5114E103">
      <w:pPr>
        <w:spacing w:line="500" w:lineRule="exact"/>
        <w:ind w:firstLine="562" w:firstLineChars="200"/>
        <w:rPr>
          <w:rFonts w:hint="eastAsia" w:ascii="宋体" w:hAnsi="宋体" w:eastAsia="宋体" w:cs="宋体"/>
          <w:b/>
          <w:color w:val="auto"/>
          <w:sz w:val="28"/>
          <w:szCs w:val="28"/>
          <w:lang w:val="en-US" w:eastAsia="zh-CN"/>
        </w:rPr>
      </w:pPr>
      <w:r>
        <w:rPr>
          <w:rFonts w:hint="eastAsia" w:ascii="宋体" w:hAnsi="宋体" w:eastAsia="宋体" w:cs="宋体"/>
          <w:b/>
          <w:color w:val="auto"/>
          <w:sz w:val="28"/>
          <w:szCs w:val="28"/>
          <w:lang w:val="en-US" w:eastAsia="zh-CN"/>
        </w:rPr>
        <w:t>第一条  检测范围</w:t>
      </w:r>
    </w:p>
    <w:p w14:paraId="13BB28B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见证取样检测包括但不限于混凝土、建筑钢材、建筑装饰石材、建筑涂料、腻子及石膏、建筑砂浆、砌墙砖、砌块、水泥、砂、石、建筑外窗、防水材料、工程管材、管件及阀门、电线、电缆、绝缘电工套管、保温板材及保温砂浆、热镀锌电焊网、耐碱网格布、界面砂浆、抗裂砂浆、内外墙涂料、防水涂料、沥青及沥青混合料、安全防护、扣件，专项检测包括但不限于主体结构工程现场检测、建筑节能检测、室内环境检测（不含桩基检测、消防检测、人防设备检测）。</w:t>
      </w:r>
    </w:p>
    <w:p w14:paraId="674FD67F">
      <w:pPr>
        <w:spacing w:line="500" w:lineRule="exact"/>
        <w:ind w:firstLine="562" w:firstLineChars="200"/>
        <w:rPr>
          <w:rFonts w:hint="eastAsia" w:ascii="宋体" w:hAnsi="宋体" w:eastAsia="宋体" w:cs="宋体"/>
          <w:b/>
          <w:color w:val="auto"/>
          <w:sz w:val="28"/>
          <w:szCs w:val="28"/>
          <w:lang w:val="en-US" w:eastAsia="zh-CN"/>
        </w:rPr>
      </w:pPr>
      <w:r>
        <w:rPr>
          <w:rFonts w:hint="eastAsia" w:ascii="宋体" w:hAnsi="宋体" w:eastAsia="宋体" w:cs="宋体"/>
          <w:b/>
          <w:color w:val="auto"/>
          <w:sz w:val="28"/>
          <w:szCs w:val="28"/>
          <w:lang w:val="en-US" w:eastAsia="zh-CN"/>
        </w:rPr>
        <w:t>第二条  双方主要义务</w:t>
      </w:r>
    </w:p>
    <w:p w14:paraId="03A6A18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1.甲方的主要义务：</w:t>
      </w:r>
    </w:p>
    <w:p w14:paraId="2F076AF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（1）按照本合同约定支付费用；</w:t>
      </w:r>
    </w:p>
    <w:p w14:paraId="0F7BB64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（2）指定送样、见证人员，保证样品取样符合有关标准的规定，对样品的真实性、代表性负责，并认真详细填写委托单；</w:t>
      </w:r>
    </w:p>
    <w:p w14:paraId="2BF20FF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提供施工图纸等与现场检测有关的工程技术资料；</w:t>
      </w:r>
    </w:p>
    <w:p w14:paraId="3CD966C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（4）现场检测项目，应提前三个工作日通知乙方。涉及结构工程质量的检测，应通知见证人员到现场见证。</w:t>
      </w:r>
    </w:p>
    <w:p w14:paraId="1FD5B0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（5）为乙方提供必要的检测工作条件，如水电供应、工作照明、操作平台或脚手架等，并在现场检测时提供必要的协助。</w:t>
      </w:r>
    </w:p>
    <w:p w14:paraId="5B95A02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（6）不得以任何方式要求乙方修改检测数据出具虚假检测报告；</w:t>
      </w:r>
    </w:p>
    <w:p w14:paraId="30BEB45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（7）因甲方责任造成检测工作的重复，甲方须另行支付检测费；</w:t>
      </w:r>
    </w:p>
    <w:p w14:paraId="31E5ED0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（8）当本合同中所列工程信息以及委托的检测项目等发生变化时，甲方应及时办理变更手续。</w:t>
      </w:r>
    </w:p>
    <w:p w14:paraId="023C941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2.乙方的主要义务：</w:t>
      </w:r>
    </w:p>
    <w:p w14:paraId="610D77B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（1）依照甲方及招标文件第五章发包人要求，按照有关检测标准对甲方提供的样品（或指定部件）进行检验，并按约定时限提交真实、准确的检测报告；</w:t>
      </w:r>
    </w:p>
    <w:p w14:paraId="76750A1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（2）严格按照国家规范、标准进行检测，确保数据工作、准确；必要时，配合甲方制定检测方案，或向甲方提供必要的检测咨询服务；</w:t>
      </w:r>
    </w:p>
    <w:p w14:paraId="074179F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（3）对甲方工程的试验检测数据进行必要的保密；</w:t>
      </w:r>
    </w:p>
    <w:p w14:paraId="0EF0F87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（4）到现场检测作业人员必须遵守施工现场的安全管理及文明施工有关规定，遵守检测行业工作标准，保证检测人员的正常操作和设备仪器的安全。</w:t>
      </w:r>
    </w:p>
    <w:p w14:paraId="24FB023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（5）如在检测中发现不合格的检查结果，要第一时间通知甲方，以使甲方能及时采取措施。</w:t>
      </w:r>
    </w:p>
    <w:p w14:paraId="69947B6A">
      <w:pPr>
        <w:spacing w:line="500" w:lineRule="exact"/>
        <w:ind w:firstLine="562" w:firstLineChars="200"/>
        <w:rPr>
          <w:rFonts w:hint="eastAsia" w:ascii="宋体" w:hAnsi="宋体" w:eastAsia="宋体" w:cs="宋体"/>
          <w:b/>
          <w:color w:val="auto"/>
          <w:sz w:val="28"/>
          <w:szCs w:val="28"/>
          <w:lang w:val="en-US" w:eastAsia="zh-CN"/>
        </w:rPr>
      </w:pPr>
      <w:r>
        <w:rPr>
          <w:rFonts w:hint="eastAsia" w:ascii="宋体" w:hAnsi="宋体" w:eastAsia="宋体" w:cs="宋体"/>
          <w:b/>
          <w:color w:val="auto"/>
          <w:sz w:val="28"/>
          <w:szCs w:val="28"/>
          <w:lang w:val="en-US" w:eastAsia="zh-CN"/>
        </w:rPr>
        <w:t>第三条  合同价款及支付方式</w:t>
      </w:r>
    </w:p>
    <w:p w14:paraId="7A592E9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1.本工程实行检测费包干，建筑面积180222.64㎡，注：甲方付款前，乙方应按照国家税收有关规定开具等额增值税专用发票（6%），否则甲方有权暂停付款。</w:t>
      </w:r>
    </w:p>
    <w:p w14:paraId="220F518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2. 根据此项目产值支付合同价款，项目完成产值5000万，15个工作日内支付至合同总金额的15%；项目完成产值1亿，15个工作日内支付至合同总金额的30%；项目完成产值1.5亿，15个工作日内支付至合同总金额的45%；项目完成产值2亿，15个工作日内支付至合同总金额的60%；项目完成产值2.5亿，15个工作日内支付至合同总金额的75%；竣工验收合格后15个工作日内支付至实际合同总金额100%。</w:t>
      </w:r>
    </w:p>
    <w:p w14:paraId="696C2B9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3、无违约行为发生或违约行为已处理的情况下，服务期满后退还全部履约保证金（本金无息） 。</w:t>
      </w:r>
    </w:p>
    <w:p w14:paraId="6E19C013">
      <w:pPr>
        <w:keepNext w:val="0"/>
        <w:keepLines w:val="0"/>
        <w:pageBreakBefore w:val="0"/>
        <w:widowControl w:val="0"/>
        <w:kinsoku/>
        <w:wordWrap w:val="0"/>
        <w:overflowPunct/>
        <w:topLinePunct w:val="0"/>
        <w:autoSpaceDE/>
        <w:autoSpaceDN/>
        <w:bidi w:val="0"/>
        <w:adjustRightInd/>
        <w:snapToGrid/>
        <w:spacing w:line="440" w:lineRule="exact"/>
        <w:ind w:firstLine="562"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宋体" w:hAnsi="宋体" w:eastAsia="宋体" w:cs="宋体"/>
          <w:b/>
          <w:color w:val="auto"/>
          <w:sz w:val="28"/>
          <w:szCs w:val="28"/>
          <w:lang w:val="en-US" w:eastAsia="zh-CN"/>
        </w:rPr>
        <w:t>第四条  检测报告的交付</w:t>
      </w:r>
      <w:r>
        <w:rPr>
          <w:rFonts w:hint="eastAsia" w:ascii="Times New Roman" w:hAnsi="Times New Roman" w:cs="Times New Roman"/>
          <w:color w:val="auto"/>
          <w:kern w:val="0"/>
          <w:sz w:val="24"/>
          <w:szCs w:val="24"/>
          <w:highlight w:val="none"/>
          <w:shd w:val="clear" w:color="auto" w:fill="auto"/>
          <w:vertAlign w:val="baseline"/>
          <w:lang w:val="en-US" w:eastAsia="zh-CN"/>
        </w:rPr>
        <w:t xml:space="preserve"> </w:t>
      </w:r>
    </w:p>
    <w:p w14:paraId="5372EAF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1.本工程的检测工作自工程送检之日始，对委托人委托的试样、试件在标准、规范规定的实验时间内完成检测，并在 3 个工作日内出具检测报告。</w:t>
      </w:r>
    </w:p>
    <w:p w14:paraId="1B728F9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2.检测工作如遇特殊情况（设计变更、工作量变化、不可抗力影响以及非乙方原因造成的停、窝工等）时，检测报告的发放日期可顺延。</w:t>
      </w:r>
    </w:p>
    <w:p w14:paraId="6E8A03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3.乙方应及时向甲方出具检测报告，并对检测数据的真实性负责。</w:t>
      </w:r>
    </w:p>
    <w:p w14:paraId="4965376A">
      <w:pPr>
        <w:spacing w:line="500" w:lineRule="exact"/>
        <w:ind w:firstLine="562" w:firstLineChars="200"/>
        <w:rPr>
          <w:rFonts w:hint="eastAsia" w:ascii="宋体" w:hAnsi="宋体" w:eastAsia="宋体" w:cs="宋体"/>
          <w:b/>
          <w:color w:val="auto"/>
          <w:sz w:val="28"/>
          <w:szCs w:val="28"/>
          <w:lang w:val="en-US" w:eastAsia="zh-CN"/>
        </w:rPr>
      </w:pPr>
      <w:r>
        <w:rPr>
          <w:rFonts w:hint="eastAsia" w:ascii="宋体" w:hAnsi="宋体" w:eastAsia="宋体" w:cs="宋体"/>
          <w:b/>
          <w:color w:val="auto"/>
          <w:sz w:val="28"/>
          <w:szCs w:val="28"/>
          <w:lang w:val="en-US" w:eastAsia="zh-CN"/>
        </w:rPr>
        <w:t>第五条  违约责任</w:t>
      </w:r>
    </w:p>
    <w:p w14:paraId="4DCC552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1.由于乙方原因造成的检测报告数据失真、失实，不能满足技术要求的返工检测费用由乙方承担。</w:t>
      </w:r>
    </w:p>
    <w:p w14:paraId="2A595EB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2.合同履行期间，由于工程停建而终止合同时，甲方已委托，乙方未进行检测工作的，不退还甲方已委托的款项；最终甲乙双方以实际发生检验试验费结算，多余预付款如实退还，但乙方需对已建工程出具检测报告，否则乙方将退还甲方已支付的所有费用。</w:t>
      </w:r>
    </w:p>
    <w:p w14:paraId="741B887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3.本合同签订之后，甲方不履行合同时，无权要求返还预付款，乙方不履行合同时，无条件返还双倍预付款。</w:t>
      </w:r>
    </w:p>
    <w:p w14:paraId="1CE3D2CF">
      <w:pPr>
        <w:spacing w:line="500" w:lineRule="exact"/>
        <w:ind w:firstLine="562" w:firstLineChars="200"/>
        <w:rPr>
          <w:rFonts w:hint="eastAsia" w:ascii="宋体" w:hAnsi="宋体" w:eastAsia="宋体" w:cs="宋体"/>
          <w:b/>
          <w:color w:val="auto"/>
          <w:sz w:val="28"/>
          <w:szCs w:val="28"/>
          <w:lang w:val="en-US" w:eastAsia="zh-CN"/>
        </w:rPr>
      </w:pPr>
      <w:r>
        <w:rPr>
          <w:rFonts w:hint="eastAsia" w:ascii="宋体" w:hAnsi="宋体" w:eastAsia="宋体" w:cs="宋体"/>
          <w:b/>
          <w:color w:val="auto"/>
          <w:sz w:val="28"/>
          <w:szCs w:val="28"/>
          <w:lang w:val="en-US" w:eastAsia="zh-CN"/>
        </w:rPr>
        <w:t>第六条  争议的解决方式</w:t>
      </w:r>
    </w:p>
    <w:p w14:paraId="386C0AC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本合同发生争议时，甲乙双方应及时协商解决，协商不成时，甲乙双方同意由甲方所在地有管辖权的法院诉讼解决。</w:t>
      </w:r>
    </w:p>
    <w:p w14:paraId="2A3AE105">
      <w:pPr>
        <w:spacing w:line="500" w:lineRule="exact"/>
        <w:ind w:firstLine="562" w:firstLineChars="200"/>
        <w:rPr>
          <w:rFonts w:hint="eastAsia" w:ascii="宋体" w:hAnsi="宋体" w:eastAsia="宋体" w:cs="宋体"/>
          <w:b/>
          <w:color w:val="auto"/>
          <w:sz w:val="28"/>
          <w:szCs w:val="28"/>
          <w:lang w:val="en-US" w:eastAsia="zh-CN"/>
        </w:rPr>
      </w:pPr>
      <w:r>
        <w:rPr>
          <w:rFonts w:hint="eastAsia" w:ascii="宋体" w:hAnsi="宋体" w:eastAsia="宋体" w:cs="宋体"/>
          <w:b/>
          <w:color w:val="auto"/>
          <w:sz w:val="28"/>
          <w:szCs w:val="28"/>
          <w:lang w:val="en-US" w:eastAsia="zh-CN"/>
        </w:rPr>
        <w:t>第七条  附则</w:t>
      </w:r>
    </w:p>
    <w:p w14:paraId="3B734E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1.本合同未尽事宜，经甲乙双方协商一致，签订补充协议，补充协议与本合同具有同等效力。</w:t>
      </w:r>
    </w:p>
    <w:p w14:paraId="1300566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2.招标文件是本合同的重要组成部分，合同与招标文件不一致的，以招标文件为准。</w:t>
      </w:r>
    </w:p>
    <w:p w14:paraId="47D3DE3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3.本合同自甲乙双方签字盖章之日起生效，本合同一式陆份，委托人肆份，检测机构贰份。</w:t>
      </w:r>
    </w:p>
    <w:p w14:paraId="403A645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72AB6F7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174B0DD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 xml:space="preserve">甲方（委托方）：（盖章）             乙方（检测机构）：（盖章） </w:t>
      </w:r>
    </w:p>
    <w:p w14:paraId="3A8B316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 xml:space="preserve"> </w:t>
      </w:r>
    </w:p>
    <w:p w14:paraId="22121B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6DD6588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 xml:space="preserve">                                                                                       </w:t>
      </w:r>
    </w:p>
    <w:p w14:paraId="29E7659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法定代表人/委托人：                法定代表人/委托人</w:t>
      </w:r>
    </w:p>
    <w:p w14:paraId="7830F66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51F256C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22DE042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3AFE52E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64E06CD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5985B98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6698428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3B090C1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11FFDF5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6673676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5CDF53D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0D9A863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0857D9F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2277B9F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342F79F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3C80DA8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4F5B425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50D5BB5B">
      <w:pPr>
        <w:spacing w:line="500" w:lineRule="exact"/>
        <w:ind w:firstLine="562" w:firstLineChars="200"/>
        <w:rPr>
          <w:rFonts w:hint="eastAsia" w:ascii="宋体" w:hAnsi="宋体" w:eastAsia="宋体" w:cs="宋体"/>
          <w:b/>
          <w:color w:val="auto"/>
          <w:sz w:val="28"/>
          <w:szCs w:val="28"/>
          <w:lang w:val="en-US" w:eastAsia="zh-CN"/>
        </w:rPr>
      </w:pPr>
      <w:r>
        <w:rPr>
          <w:rFonts w:hint="eastAsia" w:ascii="宋体" w:hAnsi="宋体" w:eastAsia="宋体" w:cs="宋体"/>
          <w:b/>
          <w:color w:val="auto"/>
          <w:sz w:val="28"/>
          <w:szCs w:val="28"/>
          <w:lang w:val="en-US" w:eastAsia="zh-CN"/>
        </w:rPr>
        <w:t>附件一</w:t>
      </w:r>
    </w:p>
    <w:p w14:paraId="45E0E6C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委托人要求</w:t>
      </w:r>
    </w:p>
    <w:p w14:paraId="09716E5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1.亳州逸合府项目北区工程位于亳州市谯城区利辛路北侧，庄周路东侧，和平路南侧，华佗大道西侧，本项目总建筑面积180222.64㎡，总造价约3.93亿元，总用地面积134680.30㎡。施工内容包含厂区内建筑单体13栋，其中：4栋26层，5栋24层，4栋17层。</w:t>
      </w:r>
    </w:p>
    <w:p w14:paraId="7DE78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2.服务范围及内容：工程建设全周期内材料检测。见证取样检测包括但不限于混凝土、建筑钢材、建筑装饰石材、建筑涂料、腻子及石膏、建筑砂浆、砌墙砖、砌块、水泥、砂、石、建筑外窗、防水材料、工程管材、管件及阀门、电线、电缆、绝缘电工套管、保温板材及保温砂浆、热镀锌电焊网、耐碱网格布、界面砂浆、抗裂砂浆、内外墙涂料、防水涂料、沥青及沥青混合料、安全防护、扣件，专项检测包括但不限于主体结构工程现场检测、建筑节能检测、室内环境检测（不含桩基检测、消防检测、人防设备检测）。</w:t>
      </w:r>
    </w:p>
    <w:p w14:paraId="2FECD3E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3.乙方要求：本项目配备人员应不少于3人（不含项目负责人），均须具备检测人员证书或检测人员岗位资格证书（中标后提供）。</w:t>
      </w:r>
    </w:p>
    <w:p w14:paraId="5D6335D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4.发包人的其他要求：</w:t>
      </w:r>
    </w:p>
    <w:p w14:paraId="25CD38E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（1）检测单位应当按照相应标准进行检测，并对检测数据和检测报告的真实性和准确性负责；</w:t>
      </w:r>
    </w:p>
    <w:p w14:paraId="703B522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（2）检测项目属于工程实体检测的，检测单位应事先编制检测方案报送发包人；</w:t>
      </w:r>
    </w:p>
    <w:p w14:paraId="3FCCB97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（3）检测项目属于工程实体检测的，检测单位应在发包人通知的日期进场开展检测活动；</w:t>
      </w:r>
    </w:p>
    <w:p w14:paraId="1A2FE9F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（4）检测单位现场检测时应遵守工程安全管理及其他工程现场管理制度；</w:t>
      </w:r>
    </w:p>
    <w:p w14:paraId="2A13052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（5）检测单位未按照合同约定时间提交检测报告，每逾期一日应按相关检测项目检测费用的0.01%向发包人支付违约金；</w:t>
      </w:r>
    </w:p>
    <w:p w14:paraId="06A8AFB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（6）如检测过程中出现不合格样品，需第一时间通知建设单位。不得与施工单位串通一气，一经发现，建设单位有权与检测单位解除检测合同。</w:t>
      </w:r>
    </w:p>
    <w:p w14:paraId="7475917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（7）施工过程中，发包人有权对工程质量有怀疑的部位增加检测频率。检测数量及频率按照国家相关规范的规定计取并满足发包人要求；将不再增加任何费用。</w:t>
      </w:r>
    </w:p>
    <w:p w14:paraId="72514F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（8）检测单位应在工程开工前7个工作日内向发包人报送工程项目检测方案，审定的检测方案作为附件纳入本合同。检测单位应严格按照发包人审定的检测方案开展检测工作。</w:t>
      </w:r>
    </w:p>
    <w:p w14:paraId="06B6DFB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9）检测单位须定期向发包人汇报月度检测内容及下一步工作安排，每周向发包人提交周检测总结（检测不合格台账），对发现检测不合格项目应在未出报告之前第一段时间向发包人汇报，每月25日提交检测月报以及检测结果汇总。</w:t>
      </w:r>
    </w:p>
    <w:p w14:paraId="0578BF2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（10）检测单位应严格按照合同进度要求提交合格的检测报告，所有检测不得影响分部分项 验收，必要时检测单位应提前做好预检测及协调工作，由检测单位原因造成的停工、返工、窝工，检测单位自行承担全部赔偿责任且免收相应部分检测费用，因检测单位失误提供错误检测结果，检测单位承担由此引发的一切后果。检测单位须按时参加有关工程质量的会议或检查，并根据检查结果对不超出原定范围的内容做必要调整或补充。</w:t>
      </w:r>
    </w:p>
    <w:p w14:paraId="55B8B67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11）检测单位必须配合发包人做好资料备案工作，检测人员须服从发包人协调与安排，及时完成发包人临时指派的其他检测任务，按发包人要求参加工程调度会或验收等（所有检测费用包含在合同总价内）；确有特殊情况须提前向发包人请假并经发包人同意，否则，每缺席一次须向发包人支付违约金1000元。</w:t>
      </w:r>
    </w:p>
    <w:p w14:paraId="7220803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（12）检测单位应为其工作人员购买人身安全保险，检测单位人员在检测工作中的安全责任由乙方自行负责，检测单位检测工作给发包人或第三方人员造成人身或财产损害的，检测单位应承担全部赔偿责任。</w:t>
      </w:r>
    </w:p>
    <w:p w14:paraId="398EF26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13）检测单位不得与施工单位串通作假，不得以任何形式要求施工单位购买指定材料，不得出现“吃、拿、卡、要”等情况，一经查实，发包人有权终止合同，不予退还检测单位履约保证金，并将检测单位清除出场，同时发包人将联合相关部门予以公开曝光。</w:t>
      </w:r>
    </w:p>
    <w:p w14:paraId="227563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（14）现场所需检测仪器、设备等检测工具由检测单位自行提供，否则按违约处理。</w:t>
      </w:r>
    </w:p>
    <w:p w14:paraId="63A0DB6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15）满足亳州市质量主管部门要求，并检测报告得到亳州市质量主管认可。因检测单位无法满足亳州市质量主管部门要求，或检测报告不能得到亳州市质量主管部门的认可，发包人有权解除合同，检测单位须向发包人支付30000元的违约金，若对发包人造成的损失大于30000元，发包人有权要求检测单位赔偿全部损失。</w:t>
      </w:r>
    </w:p>
    <w:p w14:paraId="200DD6D6">
      <w:pPr>
        <w:rPr>
          <w:rFonts w:hint="eastAsia"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br w:type="page"/>
      </w:r>
    </w:p>
    <w:p w14:paraId="739B730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t xml:space="preserve">第五章 </w:t>
      </w:r>
      <w:bookmarkEnd w:id="25"/>
      <w:bookmarkEnd w:id="26"/>
      <w:bookmarkEnd w:id="27"/>
      <w:bookmarkEnd w:id="28"/>
      <w:bookmarkEnd w:id="29"/>
      <w:bookmarkEnd w:id="30"/>
      <w:bookmarkEnd w:id="31"/>
      <w:bookmarkEnd w:id="32"/>
      <w:r>
        <w:rPr>
          <w:rFonts w:hint="eastAsia" w:asciiTheme="majorEastAsia" w:hAnsiTheme="majorEastAsia" w:eastAsiaTheme="majorEastAsia" w:cstheme="majorEastAsia"/>
          <w:b/>
          <w:bCs/>
          <w:color w:val="auto"/>
          <w:sz w:val="32"/>
          <w:szCs w:val="32"/>
          <w:highlight w:val="none"/>
          <w:lang w:val="en-US" w:eastAsia="zh-CN"/>
        </w:rPr>
        <w:t>发包人要求</w:t>
      </w:r>
    </w:p>
    <w:p w14:paraId="243C04C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color w:val="auto"/>
          <w:sz w:val="32"/>
          <w:szCs w:val="32"/>
          <w:highlight w:val="none"/>
          <w:lang w:val="en-US" w:eastAsia="zh-CN"/>
        </w:rPr>
      </w:pPr>
    </w:p>
    <w:p w14:paraId="08B938E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color w:val="auto"/>
          <w:sz w:val="32"/>
          <w:szCs w:val="32"/>
          <w:highlight w:val="none"/>
          <w:lang w:val="en-US" w:eastAsia="zh-CN"/>
        </w:rPr>
      </w:pPr>
    </w:p>
    <w:p w14:paraId="5ABAA1C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eastAsiaTheme="minorEastAsia"/>
          <w:b w:val="0"/>
          <w:bCs w:val="0"/>
          <w:color w:val="auto"/>
          <w:kern w:val="0"/>
          <w:sz w:val="24"/>
          <w:szCs w:val="24"/>
          <w:highlight w:val="none"/>
          <w:shd w:val="clear" w:color="auto" w:fill="auto"/>
          <w:lang w:val="en-US" w:eastAsia="zh-CN"/>
        </w:rPr>
      </w:pPr>
      <w:r>
        <w:rPr>
          <w:rFonts w:hint="eastAsia" w:ascii="Times New Roman" w:hAnsi="Times New Roman" w:cs="Times New Roman" w:eastAsiaTheme="minorEastAsia"/>
          <w:b w:val="0"/>
          <w:bCs w:val="0"/>
          <w:color w:val="auto"/>
          <w:kern w:val="0"/>
          <w:sz w:val="24"/>
          <w:szCs w:val="24"/>
          <w:highlight w:val="none"/>
          <w:shd w:val="clear" w:color="auto" w:fill="auto"/>
          <w:lang w:val="en-US" w:eastAsia="zh-CN"/>
        </w:rPr>
        <w:t>详见第一章招标公告、第四章合同条款及格式。</w:t>
      </w:r>
    </w:p>
    <w:p w14:paraId="505D0C0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color w:val="auto"/>
          <w:sz w:val="32"/>
          <w:szCs w:val="32"/>
          <w:highlight w:val="none"/>
          <w:lang w:val="en-US" w:eastAsia="zh-CN"/>
        </w:rPr>
      </w:pPr>
    </w:p>
    <w:p w14:paraId="6400534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color w:val="auto"/>
          <w:sz w:val="32"/>
          <w:szCs w:val="32"/>
          <w:highlight w:val="none"/>
          <w:lang w:val="en-US" w:eastAsia="zh-CN"/>
        </w:rPr>
      </w:pPr>
    </w:p>
    <w:p w14:paraId="4407AEA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color w:val="auto"/>
          <w:sz w:val="32"/>
          <w:szCs w:val="32"/>
          <w:highlight w:val="none"/>
          <w:lang w:val="en-US" w:eastAsia="zh-CN"/>
        </w:rPr>
      </w:pPr>
    </w:p>
    <w:p w14:paraId="6A5AA91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color w:val="auto"/>
          <w:sz w:val="32"/>
          <w:szCs w:val="32"/>
          <w:highlight w:val="none"/>
          <w:lang w:val="en-US" w:eastAsia="zh-CN"/>
        </w:rPr>
      </w:pPr>
    </w:p>
    <w:p w14:paraId="6722291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color w:val="auto"/>
          <w:sz w:val="32"/>
          <w:szCs w:val="32"/>
          <w:highlight w:val="none"/>
          <w:lang w:val="en-US" w:eastAsia="zh-CN"/>
        </w:rPr>
      </w:pPr>
    </w:p>
    <w:p w14:paraId="210171E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color w:val="auto"/>
          <w:sz w:val="32"/>
          <w:szCs w:val="32"/>
          <w:highlight w:val="none"/>
          <w:lang w:val="en-US" w:eastAsia="zh-CN"/>
        </w:rPr>
      </w:pPr>
    </w:p>
    <w:p w14:paraId="5546DCE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color w:val="auto"/>
          <w:sz w:val="32"/>
          <w:szCs w:val="32"/>
          <w:highlight w:val="none"/>
          <w:lang w:val="en-US" w:eastAsia="zh-CN"/>
        </w:rPr>
      </w:pPr>
    </w:p>
    <w:p w14:paraId="07929A8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color w:val="auto"/>
          <w:sz w:val="32"/>
          <w:szCs w:val="32"/>
          <w:highlight w:val="none"/>
          <w:lang w:val="en-US" w:eastAsia="zh-CN"/>
        </w:rPr>
      </w:pPr>
    </w:p>
    <w:p w14:paraId="44C4E59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color w:val="auto"/>
          <w:sz w:val="32"/>
          <w:szCs w:val="32"/>
          <w:highlight w:val="none"/>
          <w:lang w:val="en-US" w:eastAsia="zh-CN"/>
        </w:rPr>
      </w:pPr>
    </w:p>
    <w:p w14:paraId="6C84DEEA">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cs="Times New Roman" w:eastAsiaTheme="majorEastAsia"/>
          <w:b/>
          <w:bCs/>
          <w:color w:val="auto"/>
          <w:sz w:val="32"/>
          <w:szCs w:val="32"/>
          <w:highlight w:val="none"/>
          <w:lang w:val="en-US" w:eastAsia="zh-CN"/>
        </w:rPr>
      </w:pPr>
      <w:r>
        <w:rPr>
          <w:rFonts w:hint="default" w:ascii="Times New Roman" w:hAnsi="Times New Roman" w:cs="Times New Roman" w:eastAsiaTheme="majorEastAsia"/>
          <w:b/>
          <w:bCs/>
          <w:color w:val="auto"/>
          <w:sz w:val="32"/>
          <w:szCs w:val="32"/>
          <w:highlight w:val="none"/>
          <w:lang w:val="en-US" w:eastAsia="zh-CN"/>
        </w:rPr>
        <w:br w:type="page"/>
      </w:r>
    </w:p>
    <w:p w14:paraId="5EE50C8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color w:val="auto"/>
          <w:sz w:val="32"/>
          <w:szCs w:val="32"/>
          <w:highlight w:val="none"/>
          <w:lang w:val="en-US" w:eastAsia="zh-CN"/>
        </w:rPr>
      </w:pPr>
      <w:r>
        <w:rPr>
          <w:rFonts w:hint="default" w:ascii="Times New Roman" w:hAnsi="Times New Roman" w:cs="Times New Roman" w:eastAsiaTheme="majorEastAsia"/>
          <w:b/>
          <w:bCs/>
          <w:color w:val="auto"/>
          <w:sz w:val="32"/>
          <w:szCs w:val="32"/>
          <w:highlight w:val="none"/>
          <w:lang w:val="en-US" w:eastAsia="zh-CN"/>
        </w:rPr>
        <w:t>第</w:t>
      </w:r>
      <w:r>
        <w:rPr>
          <w:rFonts w:hint="eastAsia" w:ascii="Times New Roman" w:hAnsi="Times New Roman" w:cs="Times New Roman" w:eastAsiaTheme="majorEastAsia"/>
          <w:b/>
          <w:bCs/>
          <w:color w:val="auto"/>
          <w:sz w:val="32"/>
          <w:szCs w:val="32"/>
          <w:highlight w:val="none"/>
          <w:lang w:val="en-US" w:eastAsia="zh-CN"/>
        </w:rPr>
        <w:t>六</w:t>
      </w:r>
      <w:r>
        <w:rPr>
          <w:rFonts w:hint="default" w:ascii="Times New Roman" w:hAnsi="Times New Roman" w:cs="Times New Roman" w:eastAsiaTheme="majorEastAsia"/>
          <w:b/>
          <w:bCs/>
          <w:color w:val="auto"/>
          <w:sz w:val="32"/>
          <w:szCs w:val="32"/>
          <w:highlight w:val="none"/>
          <w:lang w:val="en-US" w:eastAsia="zh-CN"/>
        </w:rPr>
        <w:t>章 投标文件格式</w:t>
      </w:r>
    </w:p>
    <w:p w14:paraId="7A7217ED">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6F788B4D">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142E499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shd w:val="clear" w:color="auto" w:fill="auto"/>
          <w:lang w:val="en-US" w:eastAsia="zh-CN"/>
        </w:rPr>
      </w:pPr>
      <w:r>
        <w:rPr>
          <w:rFonts w:hint="eastAsia" w:ascii="Times New Roman" w:hAnsi="Times New Roman" w:eastAsia="黑体" w:cs="Times New Roman"/>
          <w:color w:val="auto"/>
          <w:kern w:val="0"/>
          <w:sz w:val="32"/>
          <w:szCs w:val="32"/>
          <w:highlight w:val="none"/>
          <w:u w:val="single"/>
          <w:shd w:val="clear" w:color="auto" w:fill="auto"/>
          <w:lang w:val="en-US" w:eastAsia="zh-CN"/>
        </w:rPr>
        <w:t xml:space="preserve">            </w:t>
      </w:r>
      <w:r>
        <w:rPr>
          <w:rFonts w:hint="eastAsia" w:ascii="Times New Roman" w:hAnsi="Times New Roman" w:eastAsia="黑体" w:cs="Times New Roman"/>
          <w:color w:val="auto"/>
          <w:kern w:val="0"/>
          <w:sz w:val="32"/>
          <w:szCs w:val="32"/>
          <w:highlight w:val="none"/>
          <w:u w:val="none"/>
          <w:shd w:val="clear" w:color="auto" w:fill="auto"/>
          <w:lang w:val="en-US" w:eastAsia="zh-CN"/>
        </w:rPr>
        <w:t>（项目名称）</w:t>
      </w:r>
    </w:p>
    <w:p w14:paraId="5BB5732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52E9742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4FC73F6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Arial Unicode MS" w:cs="Times New Roman"/>
          <w:color w:val="auto"/>
          <w:kern w:val="0"/>
          <w:sz w:val="84"/>
          <w:szCs w:val="84"/>
          <w:highlight w:val="none"/>
          <w:lang w:val="en-US" w:eastAsia="zh-CN"/>
        </w:rPr>
      </w:pPr>
      <w:r>
        <w:rPr>
          <w:rFonts w:hint="default" w:ascii="Times New Roman" w:hAnsi="Times New Roman" w:eastAsia="Arial Unicode MS" w:cs="Times New Roman"/>
          <w:color w:val="auto"/>
          <w:kern w:val="0"/>
          <w:sz w:val="84"/>
          <w:szCs w:val="84"/>
          <w:highlight w:val="none"/>
          <w:lang w:val="en-US" w:eastAsia="zh-CN"/>
        </w:rPr>
        <w:t>投</w:t>
      </w:r>
    </w:p>
    <w:p w14:paraId="1FA1D40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Arial Unicode MS" w:cs="Times New Roman"/>
          <w:color w:val="auto"/>
          <w:kern w:val="0"/>
          <w:sz w:val="84"/>
          <w:szCs w:val="84"/>
          <w:highlight w:val="none"/>
          <w:lang w:val="en-US" w:eastAsia="zh-CN"/>
        </w:rPr>
      </w:pPr>
      <w:r>
        <w:rPr>
          <w:rFonts w:hint="default" w:ascii="Times New Roman" w:hAnsi="Times New Roman" w:eastAsia="Arial Unicode MS" w:cs="Times New Roman"/>
          <w:color w:val="auto"/>
          <w:kern w:val="0"/>
          <w:sz w:val="84"/>
          <w:szCs w:val="84"/>
          <w:highlight w:val="none"/>
          <w:lang w:val="en-US" w:eastAsia="zh-CN"/>
        </w:rPr>
        <w:t>标</w:t>
      </w:r>
    </w:p>
    <w:p w14:paraId="5BD0735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Arial Unicode MS" w:cs="Times New Roman"/>
          <w:color w:val="auto"/>
          <w:kern w:val="0"/>
          <w:sz w:val="84"/>
          <w:szCs w:val="84"/>
          <w:highlight w:val="none"/>
          <w:lang w:val="en-US" w:eastAsia="zh-CN"/>
        </w:rPr>
      </w:pPr>
      <w:r>
        <w:rPr>
          <w:rFonts w:hint="default" w:ascii="Times New Roman" w:hAnsi="Times New Roman" w:eastAsia="Arial Unicode MS" w:cs="Times New Roman"/>
          <w:color w:val="auto"/>
          <w:kern w:val="0"/>
          <w:sz w:val="84"/>
          <w:szCs w:val="84"/>
          <w:highlight w:val="none"/>
          <w:lang w:val="en-US" w:eastAsia="zh-CN"/>
        </w:rPr>
        <w:t>文</w:t>
      </w:r>
    </w:p>
    <w:p w14:paraId="1E03263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Arial Unicode MS" w:cs="Times New Roman"/>
          <w:color w:val="auto"/>
          <w:kern w:val="0"/>
          <w:sz w:val="84"/>
          <w:szCs w:val="84"/>
          <w:highlight w:val="none"/>
          <w:lang w:val="en-US" w:eastAsia="zh-CN"/>
        </w:rPr>
      </w:pPr>
      <w:r>
        <w:rPr>
          <w:rFonts w:hint="default" w:ascii="Times New Roman" w:hAnsi="Times New Roman" w:eastAsia="Arial Unicode MS" w:cs="Times New Roman"/>
          <w:color w:val="auto"/>
          <w:kern w:val="0"/>
          <w:sz w:val="84"/>
          <w:szCs w:val="84"/>
          <w:highlight w:val="none"/>
          <w:lang w:val="en-US" w:eastAsia="zh-CN"/>
        </w:rPr>
        <w:t>件</w:t>
      </w:r>
    </w:p>
    <w:p w14:paraId="0F7042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p>
    <w:p w14:paraId="026C60F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r>
        <w:rPr>
          <w:rFonts w:hint="default" w:ascii="Times New Roman" w:hAnsi="Times New Roman" w:eastAsia="楷体" w:cs="Times New Roman"/>
          <w:color w:val="auto"/>
          <w:kern w:val="0"/>
          <w:sz w:val="28"/>
          <w:szCs w:val="28"/>
          <w:highlight w:val="none"/>
          <w:lang w:val="en-US" w:eastAsia="zh-CN"/>
        </w:rPr>
        <w:t>项目编号</w:t>
      </w:r>
      <w:r>
        <w:rPr>
          <w:rFonts w:hint="default" w:ascii="Times New Roman" w:hAnsi="Times New Roman" w:eastAsia="楷体" w:cs="Times New Roman"/>
          <w:color w:val="auto"/>
          <w:kern w:val="0"/>
          <w:sz w:val="28"/>
          <w:szCs w:val="28"/>
          <w:highlight w:val="none"/>
          <w:shd w:val="clear" w:color="auto" w:fill="auto"/>
          <w:lang w:val="en-US" w:eastAsia="zh-CN"/>
        </w:rPr>
        <w:t>：</w:t>
      </w:r>
      <w:r>
        <w:rPr>
          <w:rFonts w:hint="eastAsia" w:ascii="Times New Roman" w:hAnsi="Times New Roman" w:eastAsia="楷体" w:cs="Times New Roman"/>
          <w:color w:val="auto"/>
          <w:kern w:val="0"/>
          <w:sz w:val="28"/>
          <w:szCs w:val="28"/>
          <w:highlight w:val="none"/>
          <w:shd w:val="clear" w:color="auto" w:fill="auto"/>
          <w:lang w:val="en-US" w:eastAsia="zh-CN"/>
        </w:rPr>
        <w:t xml:space="preserve">                </w:t>
      </w:r>
    </w:p>
    <w:p w14:paraId="542F4FA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p>
    <w:p w14:paraId="3450D381">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color w:val="auto"/>
          <w:kern w:val="0"/>
          <w:sz w:val="32"/>
          <w:szCs w:val="32"/>
          <w:highlight w:val="none"/>
          <w:lang w:val="en-US" w:eastAsia="zh-CN"/>
        </w:rPr>
      </w:pPr>
    </w:p>
    <w:p w14:paraId="66B3FC8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default" w:ascii="Times New Roman" w:hAnsi="Times New Roman" w:eastAsia="楷体" w:cs="Times New Roman"/>
          <w:color w:val="auto"/>
          <w:kern w:val="0"/>
          <w:sz w:val="32"/>
          <w:szCs w:val="32"/>
          <w:highlight w:val="none"/>
          <w:shd w:val="clear" w:color="auto" w:fill="auto"/>
          <w:lang w:val="en-US" w:eastAsia="zh-CN"/>
        </w:rPr>
        <w:t>投标单位：</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（盖章）</w:t>
      </w:r>
    </w:p>
    <w:p w14:paraId="4CC1C17B">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default" w:ascii="Times New Roman" w:hAnsi="Times New Roman" w:eastAsia="楷体" w:cs="Times New Roman"/>
          <w:color w:val="auto"/>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（签字</w:t>
      </w:r>
      <w:r>
        <w:rPr>
          <w:rFonts w:hint="eastAsia" w:ascii="Times New Roman" w:hAnsi="Times New Roman" w:eastAsia="楷体" w:cs="Times New Roman"/>
          <w:color w:val="auto"/>
          <w:kern w:val="0"/>
          <w:sz w:val="32"/>
          <w:szCs w:val="32"/>
          <w:highlight w:val="none"/>
          <w:u w:val="none"/>
          <w:shd w:val="clear" w:color="auto" w:fill="auto"/>
          <w:lang w:val="en-US" w:eastAsia="zh-CN"/>
        </w:rPr>
        <w:t>或盖章</w:t>
      </w:r>
      <w:r>
        <w:rPr>
          <w:rFonts w:hint="default" w:ascii="Times New Roman" w:hAnsi="Times New Roman" w:eastAsia="楷体" w:cs="Times New Roman"/>
          <w:color w:val="auto"/>
          <w:kern w:val="0"/>
          <w:sz w:val="32"/>
          <w:szCs w:val="32"/>
          <w:highlight w:val="none"/>
          <w:u w:val="none"/>
          <w:shd w:val="clear" w:color="auto" w:fill="auto"/>
          <w:lang w:val="en-US" w:eastAsia="zh-CN"/>
        </w:rPr>
        <w:t>）</w:t>
      </w:r>
    </w:p>
    <w:p w14:paraId="44E3A9D2">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年</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月</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日</w:t>
      </w:r>
    </w:p>
    <w:p w14:paraId="1B1ED420">
      <w:pPr>
        <w:pStyle w:val="3"/>
        <w:jc w:val="center"/>
        <w:rPr>
          <w:rFonts w:hint="default" w:ascii="Times New Roman" w:hAnsi="Times New Roman" w:cs="Times New Roman"/>
          <w:color w:val="auto"/>
        </w:rPr>
      </w:pPr>
      <w:bookmarkStart w:id="81" w:name="_Toc247527827"/>
      <w:bookmarkStart w:id="82" w:name="_Toc300835209"/>
      <w:bookmarkStart w:id="83" w:name="_Toc247514246"/>
      <w:bookmarkStart w:id="84" w:name="_Toc152042576"/>
      <w:bookmarkStart w:id="85" w:name="_Toc152045787"/>
      <w:bookmarkStart w:id="86" w:name="_Toc144974856"/>
      <w:r>
        <w:rPr>
          <w:rFonts w:hint="default" w:ascii="Times New Roman" w:hAnsi="Times New Roman" w:cs="Times New Roman"/>
          <w:color w:val="auto"/>
        </w:rPr>
        <w:t>目    录</w:t>
      </w:r>
      <w:bookmarkEnd w:id="81"/>
      <w:bookmarkEnd w:id="82"/>
      <w:bookmarkEnd w:id="83"/>
      <w:bookmarkEnd w:id="84"/>
      <w:bookmarkEnd w:id="85"/>
      <w:bookmarkEnd w:id="86"/>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color w:val="auto"/>
                <w:vertAlign w:val="baseline"/>
                <w:lang w:val="en-US" w:eastAsia="zh-CN"/>
              </w:rPr>
            </w:pPr>
            <w:r>
              <w:rPr>
                <w:rFonts w:hint="eastAsia" w:ascii="Times New Roman" w:hAnsi="Times New Roman" w:cs="Times New Roman"/>
                <w:b/>
                <w:bCs/>
                <w:color w:val="auto"/>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color w:val="auto"/>
                <w:kern w:val="2"/>
                <w:sz w:val="21"/>
                <w:szCs w:val="24"/>
                <w:vertAlign w:val="baseline"/>
                <w:lang w:val="en-US" w:eastAsia="zh-CN" w:bidi="ar-SA"/>
              </w:rPr>
            </w:pPr>
            <w:r>
              <w:rPr>
                <w:rFonts w:hint="eastAsia" w:ascii="Times New Roman" w:hAnsi="Times New Roman" w:cs="Times New Roman"/>
                <w:b/>
                <w:bCs/>
                <w:color w:val="auto"/>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color w:val="auto"/>
                <w:vertAlign w:val="baseline"/>
                <w:lang w:val="en-US" w:eastAsia="zh-CN"/>
              </w:rPr>
            </w:pPr>
            <w:r>
              <w:rPr>
                <w:rFonts w:hint="eastAsia" w:ascii="Times New Roman" w:hAnsi="Times New Roman" w:cs="Times New Roman"/>
                <w:b/>
                <w:bCs/>
                <w:color w:val="auto"/>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color w:val="auto"/>
                <w:vertAlign w:val="baseline"/>
              </w:rPr>
            </w:pPr>
            <w:r>
              <w:rPr>
                <w:rFonts w:hint="default" w:ascii="Times New Roman" w:hAnsi="Times New Roman" w:cs="Times New Roman"/>
                <w:color w:val="auto"/>
              </w:rPr>
              <w:t>一</w:t>
            </w:r>
          </w:p>
        </w:tc>
        <w:tc>
          <w:tcPr>
            <w:tcW w:w="4681" w:type="dxa"/>
            <w:vAlign w:val="center"/>
          </w:tcPr>
          <w:p w14:paraId="6060C4CF">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default" w:ascii="Times New Roman" w:hAnsi="Times New Roman" w:cs="Times New Roman"/>
                <w:color w:val="auto"/>
                <w:highlight w:val="none"/>
              </w:rPr>
              <w:t>投标函</w:t>
            </w:r>
            <w:r>
              <w:rPr>
                <w:rFonts w:hint="eastAsia" w:ascii="Times New Roman" w:hAnsi="Times New Roman" w:cs="Times New Roman"/>
                <w:color w:val="auto"/>
                <w:highlight w:val="none"/>
                <w:lang w:val="en-US" w:eastAsia="zh-CN"/>
              </w:rPr>
              <w:t>及投标函附录</w:t>
            </w:r>
          </w:p>
        </w:tc>
        <w:tc>
          <w:tcPr>
            <w:tcW w:w="2840" w:type="dxa"/>
            <w:vAlign w:val="center"/>
          </w:tcPr>
          <w:p w14:paraId="1027C407">
            <w:pPr>
              <w:spacing w:line="540" w:lineRule="exact"/>
              <w:jc w:val="center"/>
              <w:rPr>
                <w:rFonts w:hint="default" w:ascii="Times New Roman" w:hAnsi="Times New Roman" w:cs="Times New Roman"/>
                <w:color w:val="auto"/>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color w:val="auto"/>
                <w:vertAlign w:val="baseline"/>
              </w:rPr>
            </w:pPr>
            <w:r>
              <w:rPr>
                <w:rFonts w:hint="default" w:ascii="Times New Roman" w:hAnsi="Times New Roman" w:cs="Times New Roman"/>
                <w:color w:val="auto"/>
              </w:rPr>
              <w:t>二</w:t>
            </w:r>
          </w:p>
        </w:tc>
        <w:tc>
          <w:tcPr>
            <w:tcW w:w="4681" w:type="dxa"/>
            <w:vAlign w:val="center"/>
          </w:tcPr>
          <w:p w14:paraId="43B3731C">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default" w:ascii="Times New Roman" w:hAnsi="Times New Roman" w:cs="Times New Roman"/>
                <w:color w:val="auto"/>
                <w:highlight w:val="none"/>
              </w:rPr>
              <w:t>法定代表人</w:t>
            </w:r>
            <w:r>
              <w:rPr>
                <w:rFonts w:hint="eastAsia" w:ascii="Times New Roman" w:hAnsi="Times New Roman" w:cs="Times New Roman"/>
                <w:color w:val="auto"/>
                <w:highlight w:val="none"/>
                <w:lang w:val="en-US" w:eastAsia="zh-CN"/>
              </w:rPr>
              <w:t>身份证明</w:t>
            </w:r>
          </w:p>
        </w:tc>
        <w:tc>
          <w:tcPr>
            <w:tcW w:w="2840" w:type="dxa"/>
            <w:vAlign w:val="center"/>
          </w:tcPr>
          <w:p w14:paraId="69306C2C">
            <w:pPr>
              <w:spacing w:line="540" w:lineRule="exact"/>
              <w:jc w:val="center"/>
              <w:rPr>
                <w:rFonts w:hint="default" w:ascii="Times New Roman" w:hAnsi="Times New Roman" w:cs="Times New Roman"/>
                <w:color w:val="auto"/>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kern w:val="2"/>
                <w:sz w:val="21"/>
                <w:szCs w:val="24"/>
                <w:vertAlign w:val="baseline"/>
                <w:lang w:val="en-US" w:eastAsia="zh-CN" w:bidi="ar-SA"/>
              </w:rPr>
              <w:t>二</w:t>
            </w:r>
          </w:p>
        </w:tc>
        <w:tc>
          <w:tcPr>
            <w:tcW w:w="4681" w:type="dxa"/>
            <w:vAlign w:val="center"/>
          </w:tcPr>
          <w:p w14:paraId="137392C4">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default" w:ascii="Times New Roman" w:hAnsi="Times New Roman" w:cs="Times New Roman"/>
                <w:color w:val="auto"/>
                <w:highlight w:val="none"/>
              </w:rPr>
              <w:t>授权委托书</w:t>
            </w:r>
          </w:p>
        </w:tc>
        <w:tc>
          <w:tcPr>
            <w:tcW w:w="2840" w:type="dxa"/>
            <w:vAlign w:val="center"/>
          </w:tcPr>
          <w:p w14:paraId="4F3DF440">
            <w:pPr>
              <w:spacing w:line="540" w:lineRule="exact"/>
              <w:jc w:val="center"/>
              <w:rPr>
                <w:rFonts w:hint="default" w:ascii="Times New Roman" w:hAnsi="Times New Roman" w:cs="Times New Roman"/>
                <w:color w:val="auto"/>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kern w:val="2"/>
                <w:sz w:val="21"/>
                <w:szCs w:val="24"/>
                <w:vertAlign w:val="baseline"/>
                <w:lang w:val="en-US" w:eastAsia="zh-CN" w:bidi="ar-SA"/>
              </w:rPr>
              <w:t>三</w:t>
            </w:r>
          </w:p>
        </w:tc>
        <w:tc>
          <w:tcPr>
            <w:tcW w:w="4681" w:type="dxa"/>
            <w:vAlign w:val="center"/>
          </w:tcPr>
          <w:p w14:paraId="3E69BE88">
            <w:pPr>
              <w:spacing w:line="540" w:lineRule="exact"/>
              <w:jc w:val="center"/>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color w:val="auto"/>
                <w:highlight w:val="none"/>
              </w:rPr>
              <w:t xml:space="preserve">投标保证金 </w:t>
            </w:r>
          </w:p>
        </w:tc>
        <w:tc>
          <w:tcPr>
            <w:tcW w:w="2840" w:type="dxa"/>
            <w:vAlign w:val="center"/>
          </w:tcPr>
          <w:p w14:paraId="07910045">
            <w:pPr>
              <w:spacing w:line="540" w:lineRule="exact"/>
              <w:jc w:val="center"/>
              <w:rPr>
                <w:rFonts w:hint="default" w:ascii="Times New Roman" w:hAnsi="Times New Roman" w:cs="Times New Roman"/>
                <w:color w:val="auto"/>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kern w:val="2"/>
                <w:sz w:val="21"/>
                <w:szCs w:val="24"/>
                <w:vertAlign w:val="baseline"/>
                <w:lang w:val="en-US" w:eastAsia="zh-CN" w:bidi="ar-SA"/>
              </w:rPr>
              <w:t>四</w:t>
            </w:r>
          </w:p>
        </w:tc>
        <w:tc>
          <w:tcPr>
            <w:tcW w:w="4681" w:type="dxa"/>
            <w:vAlign w:val="center"/>
          </w:tcPr>
          <w:p w14:paraId="51657442">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highlight w:val="none"/>
                <w:lang w:val="en-US" w:eastAsia="zh-CN"/>
              </w:rPr>
              <w:t>服务费用清单</w:t>
            </w:r>
          </w:p>
        </w:tc>
        <w:tc>
          <w:tcPr>
            <w:tcW w:w="2840" w:type="dxa"/>
            <w:vAlign w:val="center"/>
          </w:tcPr>
          <w:p w14:paraId="36D7AC36">
            <w:pPr>
              <w:spacing w:line="540" w:lineRule="exact"/>
              <w:jc w:val="center"/>
              <w:rPr>
                <w:rFonts w:hint="default" w:ascii="Times New Roman" w:hAnsi="Times New Roman" w:cs="Times New Roman"/>
                <w:color w:val="auto"/>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11C8778">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kern w:val="2"/>
                <w:sz w:val="21"/>
                <w:szCs w:val="24"/>
                <w:vertAlign w:val="baseline"/>
                <w:lang w:val="en-US" w:eastAsia="zh-CN" w:bidi="ar-SA"/>
              </w:rPr>
              <w:t>五</w:t>
            </w:r>
          </w:p>
        </w:tc>
        <w:tc>
          <w:tcPr>
            <w:tcW w:w="4681" w:type="dxa"/>
            <w:vAlign w:val="center"/>
          </w:tcPr>
          <w:p w14:paraId="1A54D770">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highlight w:val="none"/>
                <w:lang w:val="en-US" w:eastAsia="zh-CN"/>
              </w:rPr>
              <w:t>资格审查资料</w:t>
            </w:r>
          </w:p>
        </w:tc>
        <w:tc>
          <w:tcPr>
            <w:tcW w:w="2840" w:type="dxa"/>
            <w:vAlign w:val="center"/>
          </w:tcPr>
          <w:p w14:paraId="1B402675">
            <w:pPr>
              <w:spacing w:line="540" w:lineRule="exact"/>
              <w:jc w:val="center"/>
              <w:rPr>
                <w:rFonts w:hint="default" w:ascii="Times New Roman" w:hAnsi="Times New Roman" w:cs="Times New Roman"/>
                <w:color w:val="auto"/>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D30ECB">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kern w:val="2"/>
                <w:sz w:val="21"/>
                <w:szCs w:val="24"/>
                <w:vertAlign w:val="baseline"/>
                <w:lang w:val="en-US" w:eastAsia="zh-CN" w:bidi="ar-SA"/>
              </w:rPr>
              <w:t>六</w:t>
            </w:r>
          </w:p>
        </w:tc>
        <w:tc>
          <w:tcPr>
            <w:tcW w:w="4681" w:type="dxa"/>
            <w:vAlign w:val="center"/>
          </w:tcPr>
          <w:p w14:paraId="2C853D45">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highlight w:val="none"/>
                <w:lang w:val="en-US" w:eastAsia="zh-CN"/>
              </w:rPr>
              <w:t>服务方案</w:t>
            </w:r>
          </w:p>
        </w:tc>
        <w:tc>
          <w:tcPr>
            <w:tcW w:w="2840" w:type="dxa"/>
            <w:vAlign w:val="center"/>
          </w:tcPr>
          <w:p w14:paraId="3FC11802">
            <w:pPr>
              <w:spacing w:line="540" w:lineRule="exact"/>
              <w:jc w:val="center"/>
              <w:rPr>
                <w:rFonts w:hint="default" w:ascii="Times New Roman" w:hAnsi="Times New Roman" w:cs="Times New Roman"/>
                <w:color w:val="auto"/>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7229FCFE">
            <w:pPr>
              <w:spacing w:line="540" w:lineRule="exact"/>
              <w:jc w:val="center"/>
              <w:rPr>
                <w:rFonts w:hint="default" w:ascii="Times New Roman" w:hAnsi="Times New Roman" w:cs="Times New Roman" w:eastAsiaTheme="minorEastAsia"/>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七</w:t>
            </w:r>
          </w:p>
        </w:tc>
        <w:tc>
          <w:tcPr>
            <w:tcW w:w="4681" w:type="dxa"/>
            <w:vAlign w:val="center"/>
          </w:tcPr>
          <w:p w14:paraId="12BAE722">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highlight w:val="none"/>
                <w:lang w:val="en-US" w:eastAsia="zh-CN"/>
              </w:rPr>
              <w:t>其他资料</w:t>
            </w:r>
          </w:p>
        </w:tc>
        <w:tc>
          <w:tcPr>
            <w:tcW w:w="2840" w:type="dxa"/>
            <w:vAlign w:val="center"/>
          </w:tcPr>
          <w:p w14:paraId="623C7637">
            <w:pPr>
              <w:spacing w:line="540" w:lineRule="exact"/>
              <w:jc w:val="center"/>
              <w:rPr>
                <w:rFonts w:hint="default" w:ascii="Times New Roman" w:hAnsi="Times New Roman" w:cs="Times New Roman"/>
                <w:color w:val="auto"/>
                <w:vertAlign w:val="baseline"/>
              </w:rPr>
            </w:pPr>
          </w:p>
        </w:tc>
      </w:tr>
    </w:tbl>
    <w:p w14:paraId="7F4A795A">
      <w:pPr>
        <w:spacing w:line="540" w:lineRule="exact"/>
        <w:rPr>
          <w:rFonts w:hint="default" w:ascii="Times New Roman" w:hAnsi="Times New Roman" w:cs="Times New Roman"/>
          <w:color w:val="auto"/>
          <w:highlight w:val="none"/>
          <w:lang w:val="en-US" w:eastAsia="zh-CN"/>
        </w:rPr>
      </w:pPr>
    </w:p>
    <w:p w14:paraId="7D9348C2">
      <w:pPr>
        <w:spacing w:line="540" w:lineRule="exact"/>
        <w:rPr>
          <w:rFonts w:hint="default" w:ascii="Times New Roman" w:hAnsi="Times New Roman" w:cs="Times New Roman"/>
          <w:color w:val="auto"/>
        </w:rPr>
      </w:pPr>
      <w:r>
        <w:rPr>
          <w:rFonts w:hint="default" w:ascii="Times New Roman" w:hAnsi="Times New Roman" w:cs="Times New Roman"/>
          <w:color w:val="auto"/>
        </w:rPr>
        <w:t xml:space="preserve"> </w:t>
      </w:r>
    </w:p>
    <w:p w14:paraId="5F95F4E6">
      <w:pPr>
        <w:spacing w:line="540" w:lineRule="exact"/>
        <w:rPr>
          <w:rFonts w:hint="default" w:ascii="Times New Roman" w:hAnsi="Times New Roman" w:eastAsia="黑体" w:cs="Times New Roman"/>
          <w:color w:val="auto"/>
          <w:sz w:val="20"/>
          <w:szCs w:val="20"/>
        </w:rPr>
      </w:pPr>
      <w:r>
        <w:rPr>
          <w:rFonts w:hint="default" w:ascii="Times New Roman" w:hAnsi="Times New Roman" w:cs="Times New Roman"/>
          <w:color w:val="auto"/>
        </w:rPr>
        <w:br w:type="page"/>
      </w:r>
    </w:p>
    <w:p w14:paraId="00F6F0F0">
      <w:pPr>
        <w:pStyle w:val="3"/>
        <w:jc w:val="center"/>
        <w:rPr>
          <w:rFonts w:hint="default" w:ascii="Times New Roman" w:hAnsi="Times New Roman" w:eastAsia="黑体" w:cs="Times New Roman"/>
          <w:color w:val="auto"/>
          <w:sz w:val="20"/>
          <w:szCs w:val="20"/>
        </w:rPr>
      </w:pPr>
      <w:bookmarkStart w:id="87" w:name="_Toc247514247"/>
      <w:bookmarkStart w:id="88" w:name="_Toc152045788"/>
      <w:bookmarkStart w:id="89" w:name="_Toc152042577"/>
      <w:bookmarkStart w:id="90" w:name="_Toc144974857"/>
      <w:bookmarkStart w:id="91" w:name="_Toc247527828"/>
      <w:bookmarkStart w:id="92" w:name="_Toc300835210"/>
      <w:r>
        <w:rPr>
          <w:rFonts w:hint="default" w:ascii="Times New Roman" w:hAnsi="Times New Roman" w:cs="Times New Roman"/>
          <w:color w:val="auto"/>
        </w:rPr>
        <w:t>一、投标函及投标函附录</w:t>
      </w:r>
      <w:bookmarkEnd w:id="87"/>
      <w:bookmarkEnd w:id="88"/>
      <w:bookmarkEnd w:id="89"/>
      <w:bookmarkEnd w:id="90"/>
      <w:bookmarkEnd w:id="91"/>
      <w:bookmarkEnd w:id="92"/>
    </w:p>
    <w:p w14:paraId="50AD0A2D">
      <w:pPr>
        <w:spacing w:line="440" w:lineRule="exact"/>
        <w:rPr>
          <w:rFonts w:hint="default" w:ascii="Times New Roman" w:hAnsi="Times New Roman" w:cs="Times New Roman" w:eastAsiaTheme="minorEastAsia"/>
          <w:color w:val="auto"/>
          <w:sz w:val="20"/>
          <w:szCs w:val="20"/>
          <w:lang w:val="en-US" w:eastAsia="zh-CN"/>
        </w:rPr>
      </w:pPr>
      <w:bookmarkStart w:id="93" w:name="_Toc144974859"/>
      <w:bookmarkStart w:id="94" w:name="_Toc247514249"/>
      <w:bookmarkStart w:id="95" w:name="_Toc300835212"/>
      <w:bookmarkStart w:id="96" w:name="_Toc247527830"/>
      <w:bookmarkStart w:id="97" w:name="_Toc152042579"/>
      <w:bookmarkStart w:id="98" w:name="_Toc152045790"/>
      <w:r>
        <w:rPr>
          <w:rFonts w:hint="eastAsia" w:ascii="黑体" w:hAnsi="黑体" w:eastAsia="黑体" w:cs="黑体"/>
          <w:b w:val="0"/>
          <w:bCs w:val="0"/>
          <w:color w:val="auto"/>
          <w:sz w:val="28"/>
          <w:szCs w:val="28"/>
          <w:lang w:eastAsia="zh-CN"/>
        </w:rPr>
        <w:t>（</w:t>
      </w:r>
      <w:r>
        <w:rPr>
          <w:rFonts w:hint="eastAsia" w:ascii="黑体" w:hAnsi="黑体" w:eastAsia="黑体" w:cs="黑体"/>
          <w:b w:val="0"/>
          <w:bCs w:val="0"/>
          <w:color w:val="auto"/>
          <w:sz w:val="28"/>
          <w:szCs w:val="28"/>
          <w:lang w:val="en-US" w:eastAsia="zh-CN"/>
        </w:rPr>
        <w:t>一</w:t>
      </w:r>
      <w:r>
        <w:rPr>
          <w:rFonts w:hint="eastAsia" w:ascii="黑体" w:hAnsi="黑体" w:eastAsia="黑体" w:cs="黑体"/>
          <w:b w:val="0"/>
          <w:bCs w:val="0"/>
          <w:color w:val="auto"/>
          <w:sz w:val="28"/>
          <w:szCs w:val="28"/>
          <w:lang w:eastAsia="zh-CN"/>
        </w:rPr>
        <w:t>）</w:t>
      </w:r>
      <w:r>
        <w:rPr>
          <w:rFonts w:hint="eastAsia" w:ascii="黑体" w:hAnsi="黑体" w:eastAsia="黑体" w:cs="黑体"/>
          <w:b w:val="0"/>
          <w:bCs w:val="0"/>
          <w:color w:val="auto"/>
          <w:sz w:val="28"/>
          <w:szCs w:val="28"/>
          <w:lang w:val="en-US" w:eastAsia="zh-CN"/>
        </w:rPr>
        <w:t>投标函</w:t>
      </w:r>
    </w:p>
    <w:p w14:paraId="31B15B11">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（招标人名称）：</w:t>
      </w:r>
    </w:p>
    <w:p w14:paraId="7D695B2F">
      <w:pPr>
        <w:spacing w:line="440" w:lineRule="exact"/>
        <w:ind w:firstLine="420" w:firstLineChars="200"/>
        <w:rPr>
          <w:rFonts w:hint="default" w:ascii="Times New Roman" w:hAnsi="Times New Roman" w:cs="Times New Roman" w:eastAsiaTheme="minorEastAsia"/>
          <w:color w:val="auto"/>
          <w:szCs w:val="21"/>
          <w:u w:val="none"/>
          <w:lang w:val="en-US" w:eastAsia="zh-CN"/>
        </w:rPr>
      </w:pPr>
      <w:r>
        <w:rPr>
          <w:rFonts w:hint="default" w:ascii="Times New Roman" w:hAnsi="Times New Roman" w:cs="Times New Roman"/>
          <w:color w:val="auto"/>
          <w:szCs w:val="21"/>
        </w:rPr>
        <w:t>1</w:t>
      </w:r>
      <w:r>
        <w:rPr>
          <w:rFonts w:hint="eastAsia" w:ascii="Times New Roman" w:hAnsi="Times New Roman" w:cs="Times New Roman"/>
          <w:color w:val="auto"/>
          <w:szCs w:val="21"/>
          <w:lang w:val="en-US" w:eastAsia="zh-CN"/>
        </w:rPr>
        <w:t>.</w:t>
      </w:r>
      <w:r>
        <w:rPr>
          <w:rFonts w:hint="default" w:ascii="Times New Roman" w:hAnsi="Times New Roman" w:cs="Times New Roman"/>
          <w:color w:val="auto"/>
          <w:szCs w:val="21"/>
        </w:rPr>
        <w:t>我方已仔细研究了</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（项目名称）</w:t>
      </w:r>
      <w:r>
        <w:rPr>
          <w:rFonts w:hint="eastAsia" w:ascii="Times New Roman" w:hAnsi="Times New Roman" w:cs="Times New Roman"/>
          <w:color w:val="auto"/>
          <w:szCs w:val="21"/>
          <w:lang w:val="en-US" w:eastAsia="zh-CN"/>
        </w:rPr>
        <w:t>招标项目招标文件的全部内容，愿意以</w:t>
      </w:r>
      <w:permStart w:id="109" w:edGrp="everyone"/>
      <w:r>
        <w:rPr>
          <w:rFonts w:hint="eastAsia" w:ascii="Times New Roman" w:hAnsi="Times New Roman" w:cs="Times New Roman"/>
          <w:color w:val="auto"/>
          <w:szCs w:val="21"/>
          <w:lang w:val="en-US" w:eastAsia="zh-CN"/>
        </w:rPr>
        <w:t>人民币（大写）</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w:t>
      </w:r>
      <w:r>
        <w:rPr>
          <w:rFonts w:hint="eastAsia" w:ascii="Times New Roman" w:hAnsi="Times New Roman" w:cs="Times New Roman"/>
          <w:color w:val="auto"/>
          <w:szCs w:val="21"/>
          <w:lang w:val="en-US" w:eastAsia="zh-CN"/>
        </w:rPr>
        <w:t>的投标总报价（其中，增值税税率为</w:t>
      </w:r>
      <w:r>
        <w:rPr>
          <w:rFonts w:hint="eastAsia" w:ascii="Times New Roman" w:hAnsi="Times New Roman" w:cs="Times New Roman"/>
          <w:color w:val="auto"/>
          <w:szCs w:val="21"/>
          <w:u w:val="single"/>
          <w:lang w:val="en-US" w:eastAsia="zh-CN"/>
        </w:rPr>
        <w:t>6%</w:t>
      </w:r>
      <w:r>
        <w:rPr>
          <w:rFonts w:hint="eastAsia" w:ascii="Times New Roman" w:hAnsi="Times New Roman" w:cs="Times New Roman"/>
          <w:color w:val="auto"/>
          <w:szCs w:val="21"/>
          <w:lang w:val="en-US" w:eastAsia="zh-CN"/>
        </w:rPr>
        <w:t>）</w:t>
      </w:r>
      <w:permEnd w:id="109"/>
      <w:r>
        <w:rPr>
          <w:rFonts w:hint="eastAsia" w:ascii="Times New Roman" w:hAnsi="Times New Roman" w:cs="Times New Roman"/>
          <w:color w:val="auto"/>
          <w:szCs w:val="21"/>
          <w:lang w:val="en-US" w:eastAsia="zh-CN"/>
        </w:rPr>
        <w:t>，服务期限：</w:t>
      </w:r>
      <w:permStart w:id="110" w:edGrp="everyone"/>
      <w:r>
        <w:rPr>
          <w:rFonts w:hint="default" w:ascii="Times New Roman" w:hAnsi="Times New Roman" w:cs="Times New Roman"/>
          <w:color w:val="auto"/>
          <w:szCs w:val="21"/>
          <w:u w:val="single"/>
          <w:lang w:val="en-US" w:eastAsia="zh-CN"/>
        </w:rPr>
        <w:t>自合同签订之日起至项目竣工验收通过</w:t>
      </w:r>
      <w:permEnd w:id="110"/>
      <w:r>
        <w:rPr>
          <w:rFonts w:hint="eastAsia" w:ascii="Times New Roman" w:hAnsi="Times New Roman" w:cs="Times New Roman"/>
          <w:color w:val="auto"/>
          <w:szCs w:val="21"/>
          <w:u w:val="none"/>
          <w:lang w:val="en-US" w:eastAsia="zh-CN"/>
        </w:rPr>
        <w:t>，按合同约定完成本项全部工作。</w:t>
      </w:r>
    </w:p>
    <w:p w14:paraId="01824A9F">
      <w:pPr>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2.我方的投标文件包括下列内容：</w:t>
      </w:r>
    </w:p>
    <w:p w14:paraId="2752D923">
      <w:pPr>
        <w:spacing w:line="440" w:lineRule="exact"/>
        <w:ind w:firstLine="420" w:firstLineChars="200"/>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（1）投标函及投标函附录；（2）法定代表人身份证明或授权委托书；（3）联合体协议书（如有）；（4）投标保证金（如有）；（5）服务费用清单；（6）资格审查资料；（7）服务方案；（8）其他资料；.......</w:t>
      </w:r>
    </w:p>
    <w:p w14:paraId="7655DB63">
      <w:pPr>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14:paraId="62676272">
      <w:pPr>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3.我方承诺在招标文件规定的投标有效期内不撤销投标文件。</w:t>
      </w:r>
    </w:p>
    <w:p w14:paraId="01F945CC">
      <w:pPr>
        <w:spacing w:line="440" w:lineRule="exact"/>
        <w:ind w:firstLine="420" w:firstLineChars="200"/>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4.如我方中标，我方承诺：</w:t>
      </w:r>
    </w:p>
    <w:p w14:paraId="5426C73F">
      <w:pPr>
        <w:spacing w:line="440" w:lineRule="exact"/>
        <w:ind w:firstLine="718" w:firstLineChars="342"/>
        <w:rPr>
          <w:rFonts w:hint="eastAsia" w:ascii="Times New Roman" w:hAnsi="Times New Roman" w:cs="Times New Roman" w:eastAsiaTheme="minorEastAsia"/>
          <w:color w:val="auto"/>
          <w:szCs w:val="21"/>
          <w:lang w:eastAsia="zh-CN"/>
        </w:rPr>
      </w:pPr>
      <w:r>
        <w:rPr>
          <w:rFonts w:hint="default" w:ascii="Times New Roman" w:hAnsi="Times New Roman" w:cs="Times New Roman"/>
          <w:color w:val="auto"/>
          <w:szCs w:val="21"/>
        </w:rPr>
        <w:t>（1）在收到中标通知书后，在中标通知书规定的期限内与你方签订合同</w:t>
      </w:r>
      <w:r>
        <w:rPr>
          <w:rFonts w:hint="eastAsia" w:ascii="Times New Roman" w:hAnsi="Times New Roman" w:cs="Times New Roman"/>
          <w:color w:val="auto"/>
          <w:szCs w:val="21"/>
          <w:lang w:eastAsia="zh-CN"/>
        </w:rPr>
        <w:t>；</w:t>
      </w:r>
    </w:p>
    <w:p w14:paraId="2BCF4DE4">
      <w:pPr>
        <w:spacing w:line="440" w:lineRule="exact"/>
        <w:ind w:firstLine="718" w:firstLineChars="342"/>
        <w:rPr>
          <w:rFonts w:hint="eastAsia" w:ascii="Times New Roman" w:hAnsi="Times New Roman" w:cs="Times New Roman"/>
          <w:color w:val="auto"/>
          <w:szCs w:val="21"/>
          <w:lang w:val="en-US" w:eastAsia="zh-CN"/>
        </w:rPr>
      </w:pPr>
      <w:r>
        <w:rPr>
          <w:rFonts w:hint="default" w:ascii="Times New Roman" w:hAnsi="Times New Roman" w:cs="Times New Roman"/>
          <w:color w:val="auto"/>
          <w:szCs w:val="21"/>
        </w:rPr>
        <w:t>（2）</w:t>
      </w:r>
      <w:r>
        <w:rPr>
          <w:rFonts w:hint="eastAsia" w:ascii="Times New Roman" w:hAnsi="Times New Roman" w:cs="Times New Roman"/>
          <w:color w:val="auto"/>
          <w:szCs w:val="21"/>
          <w:lang w:val="en-US" w:eastAsia="zh-CN"/>
        </w:rPr>
        <w:t>在签订合同时不向你方提出附加条件；</w:t>
      </w:r>
    </w:p>
    <w:p w14:paraId="04CB5983">
      <w:pPr>
        <w:spacing w:line="440" w:lineRule="exact"/>
        <w:ind w:firstLine="718" w:firstLineChars="342"/>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（3）按照招标文件要求提交履约保证金；</w:t>
      </w:r>
    </w:p>
    <w:p w14:paraId="5286D0BA">
      <w:pPr>
        <w:spacing w:line="440" w:lineRule="exact"/>
        <w:ind w:firstLine="718" w:firstLineChars="342"/>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（4）在合同约定的期限内完成合同规定的全部义务。</w:t>
      </w:r>
    </w:p>
    <w:p w14:paraId="5BF2E3F5">
      <w:pPr>
        <w:spacing w:line="440" w:lineRule="exact"/>
        <w:ind w:firstLine="420" w:firstLineChars="200"/>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5.</w:t>
      </w:r>
      <w:r>
        <w:rPr>
          <w:rFonts w:hint="default" w:ascii="Times New Roman" w:hAnsi="Times New Roman" w:cs="Times New Roman"/>
          <w:color w:val="auto"/>
        </w:rPr>
        <w:t>我方在此声明，所递交的投标文件及有关资料内容完整、真实和准确，且不存在第二章</w:t>
      </w:r>
      <w:r>
        <w:rPr>
          <w:rFonts w:hint="eastAsia" w:ascii="Times New Roman" w:hAnsi="Times New Roman" w:cs="Times New Roman"/>
          <w:color w:val="auto"/>
          <w:lang w:eastAsia="zh-CN"/>
        </w:rPr>
        <w:t>“</w:t>
      </w:r>
      <w:r>
        <w:rPr>
          <w:rFonts w:hint="default" w:ascii="Times New Roman" w:hAnsi="Times New Roman" w:cs="Times New Roman"/>
          <w:color w:val="auto"/>
        </w:rPr>
        <w:t>投标人须知</w:t>
      </w:r>
      <w:r>
        <w:rPr>
          <w:rFonts w:hint="eastAsia" w:ascii="Times New Roman" w:hAnsi="Times New Roman" w:cs="Times New Roman"/>
          <w:color w:val="auto"/>
          <w:lang w:eastAsia="zh-CN"/>
        </w:rPr>
        <w:t>”</w:t>
      </w:r>
      <w:r>
        <w:rPr>
          <w:rFonts w:hint="default" w:ascii="Times New Roman" w:hAnsi="Times New Roman" w:cs="Times New Roman"/>
          <w:color w:val="auto"/>
        </w:rPr>
        <w:t>第1.4.</w:t>
      </w:r>
      <w:r>
        <w:rPr>
          <w:rFonts w:hint="eastAsia" w:ascii="Times New Roman" w:hAnsi="Times New Roman" w:cs="Times New Roman"/>
          <w:color w:val="auto"/>
          <w:lang w:val="en-US" w:eastAsia="zh-CN"/>
        </w:rPr>
        <w:t>3</w:t>
      </w:r>
      <w:r>
        <w:rPr>
          <w:rFonts w:hint="default" w:ascii="Times New Roman" w:hAnsi="Times New Roman" w:cs="Times New Roman"/>
          <w:color w:val="auto"/>
        </w:rPr>
        <w:t>项规定的任何一种情形。</w:t>
      </w:r>
    </w:p>
    <w:p w14:paraId="38F9B4AB">
      <w:pPr>
        <w:spacing w:line="440" w:lineRule="exact"/>
        <w:ind w:firstLine="420" w:firstLineChars="200"/>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6.</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（其他补充说明）。</w:t>
      </w:r>
    </w:p>
    <w:p w14:paraId="20EBB148">
      <w:pPr>
        <w:spacing w:line="440" w:lineRule="exact"/>
        <w:rPr>
          <w:rFonts w:hint="default" w:ascii="Times New Roman" w:hAnsi="Times New Roman" w:cs="Times New Roman"/>
          <w:color w:val="auto"/>
          <w:szCs w:val="21"/>
        </w:rPr>
      </w:pPr>
    </w:p>
    <w:p w14:paraId="09CF695C">
      <w:pPr>
        <w:spacing w:line="440" w:lineRule="exact"/>
        <w:ind w:firstLine="2310" w:firstLineChars="1100"/>
        <w:rPr>
          <w:rFonts w:hint="default" w:ascii="Times New Roman" w:hAnsi="Times New Roman" w:cs="Times New Roman"/>
          <w:color w:val="auto"/>
          <w:szCs w:val="21"/>
        </w:rPr>
      </w:pPr>
      <w:r>
        <w:rPr>
          <w:rFonts w:hint="default" w:ascii="Times New Roman" w:hAnsi="Times New Roman" w:cs="Times New Roman"/>
          <w:color w:val="auto"/>
          <w:szCs w:val="21"/>
        </w:rPr>
        <w:t>投 标 人：</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（盖单位章）</w:t>
      </w:r>
    </w:p>
    <w:p w14:paraId="3A67C4C0">
      <w:pPr>
        <w:spacing w:line="440" w:lineRule="exact"/>
        <w:ind w:firstLine="2310" w:firstLineChars="1100"/>
        <w:rPr>
          <w:rFonts w:hint="default" w:ascii="Times New Roman" w:hAnsi="Times New Roman" w:cs="Times New Roman"/>
          <w:color w:val="auto"/>
          <w:szCs w:val="21"/>
        </w:rPr>
      </w:pPr>
      <w:r>
        <w:rPr>
          <w:rFonts w:hint="default" w:ascii="Times New Roman" w:hAnsi="Times New Roman" w:cs="Times New Roman"/>
          <w:color w:val="auto"/>
          <w:szCs w:val="21"/>
        </w:rPr>
        <w:t>法定代表人或其委托代理人：</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（签字</w:t>
      </w:r>
      <w:r>
        <w:rPr>
          <w:rFonts w:hint="eastAsia" w:ascii="Times New Roman" w:hAnsi="Times New Roman" w:cs="Times New Roman"/>
          <w:color w:val="auto"/>
          <w:szCs w:val="21"/>
          <w:lang w:val="en-US" w:eastAsia="zh-CN"/>
        </w:rPr>
        <w:t>或盖章</w:t>
      </w:r>
      <w:r>
        <w:rPr>
          <w:rFonts w:hint="default" w:ascii="Times New Roman" w:hAnsi="Times New Roman" w:cs="Times New Roman"/>
          <w:color w:val="auto"/>
          <w:szCs w:val="21"/>
        </w:rPr>
        <w:t>）</w:t>
      </w:r>
    </w:p>
    <w:p w14:paraId="7394644E">
      <w:pPr>
        <w:spacing w:line="440" w:lineRule="exact"/>
        <w:ind w:firstLine="2310" w:firstLineChars="1100"/>
        <w:rPr>
          <w:rFonts w:hint="default" w:ascii="Times New Roman" w:hAnsi="Times New Roman" w:cs="Times New Roman"/>
          <w:color w:val="auto"/>
          <w:szCs w:val="21"/>
        </w:rPr>
      </w:pPr>
      <w:r>
        <w:rPr>
          <w:rFonts w:hint="default" w:ascii="Times New Roman" w:hAnsi="Times New Roman" w:cs="Times New Roman"/>
          <w:color w:val="auto"/>
          <w:szCs w:val="21"/>
        </w:rPr>
        <w:t>地址：</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p>
    <w:p w14:paraId="39AB48AB">
      <w:pPr>
        <w:spacing w:line="440" w:lineRule="exact"/>
        <w:ind w:firstLine="2310" w:firstLineChars="1100"/>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网址</w:t>
      </w:r>
      <w:r>
        <w:rPr>
          <w:rFonts w:hint="default" w:ascii="Times New Roman" w:hAnsi="Times New Roman" w:cs="Times New Roman"/>
          <w:color w:val="auto"/>
          <w:szCs w:val="21"/>
        </w:rPr>
        <w:t>：</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p>
    <w:p w14:paraId="7E914C08">
      <w:pPr>
        <w:spacing w:line="440" w:lineRule="exact"/>
        <w:ind w:firstLine="2310" w:firstLineChars="1100"/>
        <w:rPr>
          <w:rFonts w:hint="default" w:ascii="Times New Roman" w:hAnsi="Times New Roman" w:cs="Times New Roman"/>
          <w:color w:val="auto"/>
          <w:szCs w:val="21"/>
          <w:u w:val="single"/>
        </w:rPr>
      </w:pPr>
      <w:r>
        <w:rPr>
          <w:rFonts w:hint="default" w:ascii="Times New Roman" w:hAnsi="Times New Roman" w:cs="Times New Roman"/>
          <w:color w:val="auto"/>
          <w:szCs w:val="21"/>
        </w:rPr>
        <w:t>电话：</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p>
    <w:p w14:paraId="19904D25">
      <w:pPr>
        <w:spacing w:line="440" w:lineRule="exact"/>
        <w:ind w:firstLine="2310" w:firstLineChars="1100"/>
        <w:rPr>
          <w:rFonts w:hint="default" w:ascii="Times New Roman" w:hAnsi="Times New Roman" w:cs="Times New Roman"/>
          <w:color w:val="auto"/>
          <w:szCs w:val="21"/>
        </w:rPr>
      </w:pPr>
      <w:r>
        <w:rPr>
          <w:rFonts w:hint="default" w:ascii="Times New Roman" w:hAnsi="Times New Roman" w:cs="Times New Roman"/>
          <w:color w:val="auto"/>
          <w:szCs w:val="21"/>
        </w:rPr>
        <w:t>传真：</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p>
    <w:p w14:paraId="62C6B894">
      <w:pPr>
        <w:spacing w:line="440" w:lineRule="exact"/>
        <w:ind w:firstLine="2310" w:firstLineChars="1100"/>
        <w:rPr>
          <w:rFonts w:hint="default" w:ascii="Times New Roman" w:hAnsi="Times New Roman" w:cs="Times New Roman"/>
          <w:color w:val="auto"/>
          <w:szCs w:val="21"/>
        </w:rPr>
      </w:pPr>
      <w:r>
        <w:rPr>
          <w:rFonts w:hint="default" w:ascii="Times New Roman" w:hAnsi="Times New Roman" w:cs="Times New Roman"/>
          <w:color w:val="auto"/>
          <w:szCs w:val="21"/>
        </w:rPr>
        <w:t>邮政编码：</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p>
    <w:p w14:paraId="708EB79C">
      <w:pPr>
        <w:spacing w:line="440" w:lineRule="exact"/>
        <w:ind w:firstLine="4725" w:firstLineChars="2250"/>
        <w:rPr>
          <w:rFonts w:hint="default" w:ascii="Times New Roman" w:hAnsi="Times New Roman" w:cs="Times New Roman"/>
          <w:color w:val="auto"/>
          <w:szCs w:val="21"/>
        </w:rPr>
      </w:pP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年</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月</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日</w:t>
      </w:r>
    </w:p>
    <w:bookmarkEnd w:id="93"/>
    <w:bookmarkEnd w:id="94"/>
    <w:bookmarkEnd w:id="95"/>
    <w:bookmarkEnd w:id="96"/>
    <w:bookmarkEnd w:id="97"/>
    <w:bookmarkEnd w:id="98"/>
    <w:p w14:paraId="6EF6A883">
      <w:pPr>
        <w:spacing w:line="440" w:lineRule="exact"/>
        <w:rPr>
          <w:rFonts w:hint="eastAsia" w:ascii="黑体" w:hAnsi="黑体" w:eastAsia="黑体" w:cs="黑体"/>
          <w:b w:val="0"/>
          <w:bCs w:val="0"/>
          <w:color w:val="auto"/>
          <w:sz w:val="28"/>
          <w:szCs w:val="28"/>
          <w:lang w:eastAsia="zh-CN"/>
        </w:rPr>
      </w:pPr>
    </w:p>
    <w:p w14:paraId="337D25FD">
      <w:pPr>
        <w:spacing w:line="440" w:lineRule="exact"/>
        <w:rPr>
          <w:rFonts w:hint="default" w:ascii="黑体" w:hAnsi="黑体" w:eastAsia="黑体" w:cs="黑体"/>
          <w:b w:val="0"/>
          <w:bCs w:val="0"/>
          <w:color w:val="auto"/>
          <w:sz w:val="28"/>
          <w:szCs w:val="28"/>
          <w:lang w:val="en-US" w:eastAsia="zh-CN"/>
        </w:rPr>
      </w:pPr>
      <w:r>
        <w:rPr>
          <w:rFonts w:hint="eastAsia" w:ascii="黑体" w:hAnsi="黑体" w:eastAsia="黑体" w:cs="黑体"/>
          <w:b w:val="0"/>
          <w:bCs w:val="0"/>
          <w:color w:val="auto"/>
          <w:sz w:val="28"/>
          <w:szCs w:val="28"/>
          <w:lang w:eastAsia="zh-CN"/>
        </w:rPr>
        <w:t>（</w:t>
      </w:r>
      <w:r>
        <w:rPr>
          <w:rFonts w:hint="eastAsia" w:ascii="黑体" w:hAnsi="黑体" w:eastAsia="黑体" w:cs="黑体"/>
          <w:b w:val="0"/>
          <w:bCs w:val="0"/>
          <w:color w:val="auto"/>
          <w:sz w:val="28"/>
          <w:szCs w:val="28"/>
          <w:lang w:val="en-US" w:eastAsia="zh-CN"/>
        </w:rPr>
        <w:t>二</w:t>
      </w:r>
      <w:r>
        <w:rPr>
          <w:rFonts w:hint="eastAsia" w:ascii="黑体" w:hAnsi="黑体" w:eastAsia="黑体" w:cs="黑体"/>
          <w:b w:val="0"/>
          <w:bCs w:val="0"/>
          <w:color w:val="auto"/>
          <w:sz w:val="28"/>
          <w:szCs w:val="28"/>
          <w:lang w:eastAsia="zh-CN"/>
        </w:rPr>
        <w:t>）</w:t>
      </w:r>
      <w:r>
        <w:rPr>
          <w:rFonts w:hint="eastAsia" w:ascii="黑体" w:hAnsi="黑体" w:eastAsia="黑体" w:cs="黑体"/>
          <w:b w:val="0"/>
          <w:bCs w:val="0"/>
          <w:color w:val="auto"/>
          <w:sz w:val="28"/>
          <w:szCs w:val="28"/>
          <w:lang w:val="en-US" w:eastAsia="zh-CN"/>
        </w:rPr>
        <w:t>投标函附录</w:t>
      </w:r>
    </w:p>
    <w:p w14:paraId="070E15C3">
      <w:pPr>
        <w:spacing w:line="440" w:lineRule="exact"/>
        <w:rPr>
          <w:rFonts w:hint="eastAsia" w:ascii="Times New Roman" w:hAnsi="Times New Roman" w:cs="Times New Roman" w:eastAsiaTheme="minorEastAsia"/>
          <w:color w:val="auto"/>
          <w:sz w:val="20"/>
          <w:szCs w:val="20"/>
          <w:lang w:eastAsia="zh-CN"/>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1984"/>
        <w:gridCol w:w="3702"/>
      </w:tblGrid>
      <w:tr w14:paraId="017392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51860EA1">
            <w:pPr>
              <w:spacing w:line="440" w:lineRule="exact"/>
              <w:jc w:val="center"/>
              <w:rPr>
                <w:rFonts w:hint="default" w:ascii="Times New Roman" w:hAnsi="Times New Roman" w:cs="Times New Roman" w:eastAsiaTheme="minorEastAsia"/>
                <w:color w:val="auto"/>
                <w:sz w:val="20"/>
                <w:szCs w:val="20"/>
                <w:vertAlign w:val="baseline"/>
                <w:lang w:val="en-US" w:eastAsia="zh-CN"/>
              </w:rPr>
            </w:pPr>
            <w:r>
              <w:rPr>
                <w:rFonts w:hint="eastAsia" w:ascii="Times New Roman" w:hAnsi="Times New Roman" w:cs="Times New Roman"/>
                <w:color w:val="auto"/>
                <w:sz w:val="20"/>
                <w:szCs w:val="20"/>
                <w:vertAlign w:val="baseline"/>
                <w:lang w:val="en-US" w:eastAsia="zh-CN"/>
              </w:rPr>
              <w:t>序号</w:t>
            </w:r>
          </w:p>
        </w:tc>
        <w:tc>
          <w:tcPr>
            <w:tcW w:w="1984" w:type="dxa"/>
            <w:vAlign w:val="center"/>
          </w:tcPr>
          <w:p w14:paraId="4ED5E750">
            <w:pPr>
              <w:spacing w:line="440" w:lineRule="exact"/>
              <w:jc w:val="center"/>
              <w:rPr>
                <w:rFonts w:hint="default" w:ascii="Times New Roman" w:hAnsi="Times New Roman" w:cs="Times New Roman" w:eastAsiaTheme="minorEastAsia"/>
                <w:color w:val="auto"/>
                <w:sz w:val="20"/>
                <w:szCs w:val="20"/>
                <w:vertAlign w:val="baseline"/>
                <w:lang w:val="en-US" w:eastAsia="zh-CN"/>
              </w:rPr>
            </w:pPr>
            <w:r>
              <w:rPr>
                <w:rFonts w:hint="eastAsia" w:ascii="Times New Roman" w:hAnsi="Times New Roman" w:cs="Times New Roman"/>
                <w:color w:val="auto"/>
                <w:sz w:val="20"/>
                <w:szCs w:val="20"/>
                <w:vertAlign w:val="baseline"/>
                <w:lang w:val="en-US" w:eastAsia="zh-CN"/>
              </w:rPr>
              <w:t>条款名称</w:t>
            </w:r>
          </w:p>
        </w:tc>
        <w:tc>
          <w:tcPr>
            <w:tcW w:w="1984" w:type="dxa"/>
            <w:vAlign w:val="center"/>
          </w:tcPr>
          <w:p w14:paraId="18607622">
            <w:pPr>
              <w:spacing w:line="440" w:lineRule="exact"/>
              <w:jc w:val="center"/>
              <w:rPr>
                <w:rFonts w:hint="default" w:ascii="Times New Roman" w:hAnsi="Times New Roman" w:cs="Times New Roman" w:eastAsiaTheme="minorEastAsia"/>
                <w:color w:val="auto"/>
                <w:sz w:val="20"/>
                <w:szCs w:val="20"/>
                <w:vertAlign w:val="baseline"/>
                <w:lang w:val="en-US" w:eastAsia="zh-CN"/>
              </w:rPr>
            </w:pPr>
            <w:r>
              <w:rPr>
                <w:rFonts w:hint="eastAsia" w:ascii="Times New Roman" w:hAnsi="Times New Roman" w:cs="Times New Roman"/>
                <w:color w:val="auto"/>
                <w:sz w:val="20"/>
                <w:szCs w:val="20"/>
                <w:vertAlign w:val="baseline"/>
                <w:lang w:val="en-US" w:eastAsia="zh-CN"/>
              </w:rPr>
              <w:t>约定内容</w:t>
            </w:r>
          </w:p>
        </w:tc>
        <w:tc>
          <w:tcPr>
            <w:tcW w:w="3702" w:type="dxa"/>
            <w:vAlign w:val="center"/>
          </w:tcPr>
          <w:p w14:paraId="190CC302">
            <w:pPr>
              <w:spacing w:line="440" w:lineRule="exact"/>
              <w:jc w:val="center"/>
              <w:rPr>
                <w:rFonts w:hint="default" w:ascii="Times New Roman" w:hAnsi="Times New Roman" w:cs="Times New Roman" w:eastAsiaTheme="minorEastAsia"/>
                <w:color w:val="auto"/>
                <w:sz w:val="20"/>
                <w:szCs w:val="20"/>
                <w:vertAlign w:val="baseline"/>
                <w:lang w:val="en-US" w:eastAsia="zh-CN"/>
              </w:rPr>
            </w:pPr>
            <w:r>
              <w:rPr>
                <w:rFonts w:hint="eastAsia" w:ascii="Times New Roman" w:hAnsi="Times New Roman" w:cs="Times New Roman"/>
                <w:color w:val="auto"/>
                <w:sz w:val="20"/>
                <w:szCs w:val="20"/>
                <w:vertAlign w:val="baseline"/>
                <w:lang w:val="en-US" w:eastAsia="zh-CN"/>
              </w:rPr>
              <w:t>备注</w:t>
            </w:r>
          </w:p>
        </w:tc>
      </w:tr>
      <w:tr w14:paraId="4CAEF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7989F446">
            <w:pPr>
              <w:spacing w:line="440" w:lineRule="exact"/>
              <w:jc w:val="center"/>
              <w:rPr>
                <w:rFonts w:hint="default" w:ascii="Times New Roman" w:hAnsi="Times New Roman" w:cs="Times New Roman" w:eastAsiaTheme="minorEastAsia"/>
                <w:color w:val="auto"/>
                <w:sz w:val="20"/>
                <w:szCs w:val="20"/>
                <w:vertAlign w:val="baseline"/>
                <w:lang w:val="en-US" w:eastAsia="zh-CN"/>
              </w:rPr>
            </w:pPr>
            <w:r>
              <w:rPr>
                <w:rFonts w:hint="eastAsia" w:ascii="Times New Roman" w:hAnsi="Times New Roman" w:cs="Times New Roman"/>
                <w:color w:val="auto"/>
                <w:sz w:val="20"/>
                <w:szCs w:val="20"/>
                <w:vertAlign w:val="baseline"/>
                <w:lang w:val="en-US" w:eastAsia="zh-CN"/>
              </w:rPr>
              <w:t>1</w:t>
            </w:r>
          </w:p>
        </w:tc>
        <w:tc>
          <w:tcPr>
            <w:tcW w:w="1984" w:type="dxa"/>
            <w:vAlign w:val="center"/>
          </w:tcPr>
          <w:p w14:paraId="79594AB7">
            <w:pPr>
              <w:spacing w:line="440" w:lineRule="exact"/>
              <w:jc w:val="center"/>
              <w:rPr>
                <w:rFonts w:hint="default" w:ascii="Times New Roman" w:hAnsi="Times New Roman" w:cs="Times New Roman" w:eastAsiaTheme="minorEastAsia"/>
                <w:color w:val="auto"/>
                <w:sz w:val="20"/>
                <w:szCs w:val="20"/>
                <w:vertAlign w:val="baseline"/>
                <w:lang w:val="en-US" w:eastAsia="zh-CN"/>
              </w:rPr>
            </w:pPr>
            <w:r>
              <w:rPr>
                <w:rFonts w:hint="eastAsia" w:ascii="Times New Roman" w:hAnsi="Times New Roman" w:cs="Times New Roman"/>
                <w:color w:val="auto"/>
                <w:sz w:val="20"/>
                <w:szCs w:val="20"/>
                <w:vertAlign w:val="baseline"/>
                <w:lang w:val="en-US" w:eastAsia="zh-CN"/>
              </w:rPr>
              <w:t>项目负责人</w:t>
            </w:r>
          </w:p>
        </w:tc>
        <w:tc>
          <w:tcPr>
            <w:tcW w:w="1984" w:type="dxa"/>
            <w:vAlign w:val="center"/>
          </w:tcPr>
          <w:p w14:paraId="1E3EE043">
            <w:pPr>
              <w:spacing w:line="440" w:lineRule="exact"/>
              <w:jc w:val="both"/>
              <w:rPr>
                <w:rFonts w:hint="eastAsia" w:ascii="Times New Roman" w:hAnsi="Times New Roman" w:cs="Times New Roman"/>
                <w:color w:val="auto"/>
                <w:sz w:val="20"/>
                <w:szCs w:val="20"/>
                <w:vertAlign w:val="baseline"/>
                <w:lang w:val="en-US" w:eastAsia="zh-CN"/>
              </w:rPr>
            </w:pPr>
            <w:r>
              <w:rPr>
                <w:rFonts w:hint="eastAsia" w:ascii="Times New Roman" w:hAnsi="Times New Roman" w:cs="Times New Roman"/>
                <w:color w:val="auto"/>
                <w:sz w:val="20"/>
                <w:szCs w:val="20"/>
                <w:vertAlign w:val="baseline"/>
                <w:lang w:val="en-US" w:eastAsia="zh-CN"/>
              </w:rPr>
              <w:t>姓名：</w:t>
            </w:r>
          </w:p>
          <w:p w14:paraId="49FCEABA">
            <w:pPr>
              <w:spacing w:line="440" w:lineRule="exact"/>
              <w:jc w:val="both"/>
              <w:rPr>
                <w:rFonts w:hint="default" w:ascii="Times New Roman" w:hAnsi="Times New Roman" w:cs="Times New Roman"/>
                <w:color w:val="auto"/>
                <w:sz w:val="20"/>
                <w:szCs w:val="20"/>
                <w:vertAlign w:val="baseline"/>
                <w:lang w:val="en-US" w:eastAsia="zh-CN"/>
              </w:rPr>
            </w:pPr>
            <w:r>
              <w:rPr>
                <w:rFonts w:hint="eastAsia" w:ascii="Times New Roman" w:hAnsi="Times New Roman" w:cs="Times New Roman"/>
                <w:color w:val="auto"/>
                <w:sz w:val="20"/>
                <w:szCs w:val="20"/>
                <w:vertAlign w:val="baseline"/>
                <w:lang w:val="en-US" w:eastAsia="zh-CN"/>
              </w:rPr>
              <w:t>身份证号：</w:t>
            </w:r>
          </w:p>
        </w:tc>
        <w:tc>
          <w:tcPr>
            <w:tcW w:w="3702" w:type="dxa"/>
            <w:vAlign w:val="center"/>
          </w:tcPr>
          <w:p w14:paraId="731DB6F5">
            <w:pPr>
              <w:spacing w:line="440" w:lineRule="exact"/>
              <w:jc w:val="center"/>
              <w:rPr>
                <w:rFonts w:hint="eastAsia" w:ascii="Times New Roman" w:hAnsi="Times New Roman" w:cs="Times New Roman" w:eastAsiaTheme="minorEastAsia"/>
                <w:color w:val="auto"/>
                <w:sz w:val="20"/>
                <w:szCs w:val="20"/>
                <w:vertAlign w:val="baseline"/>
                <w:lang w:eastAsia="zh-CN"/>
              </w:rPr>
            </w:pPr>
          </w:p>
        </w:tc>
      </w:tr>
      <w:tr w14:paraId="5A188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850" w:type="dxa"/>
            <w:vAlign w:val="center"/>
          </w:tcPr>
          <w:p w14:paraId="70418D3F">
            <w:pPr>
              <w:spacing w:line="440" w:lineRule="exact"/>
              <w:jc w:val="center"/>
              <w:rPr>
                <w:rFonts w:hint="default" w:ascii="Times New Roman" w:hAnsi="Times New Roman" w:cs="Times New Roman" w:eastAsiaTheme="minorEastAsia"/>
                <w:color w:val="auto"/>
                <w:sz w:val="20"/>
                <w:szCs w:val="20"/>
                <w:vertAlign w:val="baseline"/>
                <w:lang w:val="en-US" w:eastAsia="zh-CN"/>
              </w:rPr>
            </w:pPr>
            <w:r>
              <w:rPr>
                <w:rFonts w:hint="eastAsia" w:ascii="Times New Roman" w:hAnsi="Times New Roman" w:cs="Times New Roman"/>
                <w:color w:val="auto"/>
                <w:sz w:val="20"/>
                <w:szCs w:val="20"/>
                <w:vertAlign w:val="baseline"/>
                <w:lang w:val="en-US" w:eastAsia="zh-CN"/>
              </w:rPr>
              <w:t>2</w:t>
            </w:r>
          </w:p>
        </w:tc>
        <w:tc>
          <w:tcPr>
            <w:tcW w:w="1984" w:type="dxa"/>
            <w:vAlign w:val="center"/>
          </w:tcPr>
          <w:p w14:paraId="7C79262E">
            <w:pPr>
              <w:spacing w:line="440" w:lineRule="exact"/>
              <w:jc w:val="center"/>
              <w:rPr>
                <w:rFonts w:hint="default" w:ascii="Times New Roman" w:hAnsi="Times New Roman" w:cs="Times New Roman" w:eastAsiaTheme="minorEastAsia"/>
                <w:color w:val="auto"/>
                <w:sz w:val="20"/>
                <w:szCs w:val="20"/>
                <w:vertAlign w:val="baseline"/>
                <w:lang w:val="en-US" w:eastAsia="zh-CN"/>
              </w:rPr>
            </w:pPr>
            <w:r>
              <w:rPr>
                <w:rFonts w:hint="eastAsia" w:ascii="Times New Roman" w:hAnsi="Times New Roman" w:cs="Times New Roman"/>
                <w:color w:val="auto"/>
                <w:sz w:val="20"/>
                <w:szCs w:val="20"/>
                <w:vertAlign w:val="baseline"/>
                <w:lang w:val="en-US" w:eastAsia="zh-CN"/>
              </w:rPr>
              <w:t>服务期限</w:t>
            </w:r>
          </w:p>
        </w:tc>
        <w:tc>
          <w:tcPr>
            <w:tcW w:w="1984" w:type="dxa"/>
            <w:vAlign w:val="center"/>
          </w:tcPr>
          <w:p w14:paraId="75C58768">
            <w:pPr>
              <w:spacing w:line="440" w:lineRule="exact"/>
              <w:jc w:val="both"/>
              <w:rPr>
                <w:rFonts w:hint="default" w:ascii="Times New Roman" w:hAnsi="Times New Roman" w:cs="Times New Roman" w:eastAsiaTheme="minorEastAsia"/>
                <w:color w:val="auto"/>
                <w:sz w:val="20"/>
                <w:szCs w:val="20"/>
                <w:u w:val="none"/>
                <w:vertAlign w:val="baseline"/>
                <w:lang w:val="en-US" w:eastAsia="zh-CN"/>
              </w:rPr>
            </w:pPr>
            <w:r>
              <w:rPr>
                <w:rFonts w:hint="default" w:ascii="Times New Roman" w:hAnsi="Times New Roman" w:cs="Times New Roman"/>
                <w:color w:val="auto"/>
                <w:sz w:val="20"/>
                <w:szCs w:val="20"/>
                <w:vertAlign w:val="baseline"/>
                <w:lang w:val="en-US" w:eastAsia="zh-CN"/>
              </w:rPr>
              <w:t>自合同签订之日起至项目竣工验收通过</w:t>
            </w:r>
          </w:p>
        </w:tc>
        <w:tc>
          <w:tcPr>
            <w:tcW w:w="3702" w:type="dxa"/>
            <w:vAlign w:val="center"/>
          </w:tcPr>
          <w:p w14:paraId="7C1C3481">
            <w:pPr>
              <w:spacing w:line="440" w:lineRule="exact"/>
              <w:jc w:val="center"/>
              <w:rPr>
                <w:rFonts w:hint="eastAsia" w:ascii="Times New Roman" w:hAnsi="Times New Roman" w:cs="Times New Roman" w:eastAsiaTheme="minorEastAsia"/>
                <w:color w:val="auto"/>
                <w:sz w:val="20"/>
                <w:szCs w:val="20"/>
                <w:vertAlign w:val="baseline"/>
                <w:lang w:eastAsia="zh-CN"/>
              </w:rPr>
            </w:pPr>
          </w:p>
        </w:tc>
      </w:tr>
      <w:tr w14:paraId="73E09F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699A5D74">
            <w:pPr>
              <w:spacing w:line="440" w:lineRule="exact"/>
              <w:jc w:val="center"/>
              <w:rPr>
                <w:rFonts w:hint="default" w:ascii="Times New Roman" w:hAnsi="Times New Roman" w:cs="Times New Roman"/>
                <w:color w:val="auto"/>
                <w:sz w:val="20"/>
                <w:szCs w:val="20"/>
                <w:vertAlign w:val="baseline"/>
                <w:lang w:val="en-US" w:eastAsia="zh-CN"/>
              </w:rPr>
            </w:pPr>
            <w:r>
              <w:rPr>
                <w:rFonts w:hint="eastAsia" w:ascii="Times New Roman" w:hAnsi="Times New Roman" w:cs="Times New Roman"/>
                <w:color w:val="auto"/>
                <w:sz w:val="20"/>
                <w:szCs w:val="20"/>
                <w:vertAlign w:val="baseline"/>
                <w:lang w:val="en-US" w:eastAsia="zh-CN"/>
              </w:rPr>
              <w:t>......</w:t>
            </w:r>
          </w:p>
        </w:tc>
        <w:tc>
          <w:tcPr>
            <w:tcW w:w="1984" w:type="dxa"/>
            <w:vAlign w:val="center"/>
          </w:tcPr>
          <w:p w14:paraId="238951F3">
            <w:pPr>
              <w:spacing w:line="440" w:lineRule="exact"/>
              <w:jc w:val="center"/>
              <w:rPr>
                <w:rFonts w:hint="eastAsia" w:ascii="Times New Roman" w:hAnsi="Times New Roman" w:cs="Times New Roman"/>
                <w:color w:val="auto"/>
                <w:sz w:val="20"/>
                <w:szCs w:val="20"/>
                <w:vertAlign w:val="baseline"/>
                <w:lang w:val="en-US" w:eastAsia="zh-CN"/>
              </w:rPr>
            </w:pPr>
            <w:r>
              <w:rPr>
                <w:rFonts w:hint="eastAsia" w:ascii="Times New Roman" w:hAnsi="Times New Roman" w:cs="Times New Roman"/>
                <w:color w:val="auto"/>
                <w:sz w:val="20"/>
                <w:szCs w:val="20"/>
                <w:vertAlign w:val="baseline"/>
                <w:lang w:val="en-US" w:eastAsia="zh-CN"/>
              </w:rPr>
              <w:t>......</w:t>
            </w:r>
          </w:p>
        </w:tc>
        <w:tc>
          <w:tcPr>
            <w:tcW w:w="1984" w:type="dxa"/>
            <w:vAlign w:val="center"/>
          </w:tcPr>
          <w:p w14:paraId="43C761F0">
            <w:pPr>
              <w:spacing w:line="440" w:lineRule="exact"/>
              <w:jc w:val="center"/>
              <w:rPr>
                <w:rFonts w:hint="eastAsia" w:ascii="Times New Roman" w:hAnsi="Times New Roman" w:cs="Times New Roman" w:eastAsiaTheme="minorEastAsia"/>
                <w:color w:val="auto"/>
                <w:sz w:val="20"/>
                <w:szCs w:val="20"/>
                <w:vertAlign w:val="baseline"/>
                <w:lang w:eastAsia="zh-CN"/>
              </w:rPr>
            </w:pPr>
            <w:r>
              <w:rPr>
                <w:rFonts w:hint="eastAsia" w:ascii="Times New Roman" w:hAnsi="Times New Roman" w:cs="Times New Roman"/>
                <w:color w:val="auto"/>
                <w:sz w:val="20"/>
                <w:szCs w:val="20"/>
                <w:vertAlign w:val="baseline"/>
                <w:lang w:val="en-US" w:eastAsia="zh-CN"/>
              </w:rPr>
              <w:t>......</w:t>
            </w:r>
          </w:p>
        </w:tc>
        <w:tc>
          <w:tcPr>
            <w:tcW w:w="3702" w:type="dxa"/>
            <w:vAlign w:val="center"/>
          </w:tcPr>
          <w:p w14:paraId="1DA122D7">
            <w:pPr>
              <w:spacing w:line="440" w:lineRule="exact"/>
              <w:jc w:val="center"/>
              <w:rPr>
                <w:rFonts w:hint="eastAsia" w:ascii="Times New Roman" w:hAnsi="Times New Roman" w:cs="Times New Roman" w:eastAsiaTheme="minorEastAsia"/>
                <w:color w:val="auto"/>
                <w:sz w:val="20"/>
                <w:szCs w:val="20"/>
                <w:vertAlign w:val="baseline"/>
                <w:lang w:eastAsia="zh-CN"/>
              </w:rPr>
            </w:pPr>
          </w:p>
        </w:tc>
      </w:tr>
    </w:tbl>
    <w:p w14:paraId="2F792551">
      <w:pPr>
        <w:spacing w:line="440" w:lineRule="exact"/>
        <w:rPr>
          <w:rFonts w:hint="eastAsia" w:ascii="Times New Roman" w:hAnsi="Times New Roman" w:cs="Times New Roman" w:eastAsiaTheme="minorEastAsia"/>
          <w:color w:val="auto"/>
          <w:sz w:val="20"/>
          <w:szCs w:val="20"/>
          <w:lang w:eastAsia="zh-CN"/>
        </w:rPr>
      </w:pPr>
    </w:p>
    <w:p w14:paraId="0E0381D6">
      <w:pPr>
        <w:spacing w:line="440" w:lineRule="exact"/>
        <w:rPr>
          <w:rFonts w:hint="eastAsia" w:ascii="Times New Roman" w:hAnsi="Times New Roman" w:cs="Times New Roman" w:eastAsiaTheme="minorEastAsia"/>
          <w:color w:val="auto"/>
          <w:sz w:val="20"/>
          <w:szCs w:val="20"/>
          <w:lang w:eastAsia="zh-CN"/>
        </w:rPr>
      </w:pPr>
    </w:p>
    <w:p w14:paraId="0C17D88F">
      <w:pPr>
        <w:spacing w:line="440" w:lineRule="exact"/>
        <w:ind w:firstLine="2310" w:firstLineChars="1100"/>
        <w:rPr>
          <w:rFonts w:hint="default" w:ascii="Times New Roman" w:hAnsi="Times New Roman" w:cs="Times New Roman"/>
          <w:color w:val="auto"/>
          <w:szCs w:val="21"/>
        </w:rPr>
      </w:pPr>
      <w:r>
        <w:rPr>
          <w:rFonts w:hint="default" w:ascii="Times New Roman" w:hAnsi="Times New Roman" w:cs="Times New Roman"/>
          <w:color w:val="auto"/>
          <w:szCs w:val="21"/>
        </w:rPr>
        <w:t>投 标 人：</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（盖单位章）</w:t>
      </w:r>
    </w:p>
    <w:p w14:paraId="6CE8FA18">
      <w:pPr>
        <w:spacing w:line="440" w:lineRule="exact"/>
        <w:ind w:firstLine="2310" w:firstLineChars="1100"/>
        <w:rPr>
          <w:rFonts w:hint="default" w:ascii="Times New Roman" w:hAnsi="Times New Roman" w:cs="Times New Roman"/>
          <w:color w:val="auto"/>
          <w:szCs w:val="21"/>
        </w:rPr>
      </w:pPr>
      <w:r>
        <w:rPr>
          <w:rFonts w:hint="default" w:ascii="Times New Roman" w:hAnsi="Times New Roman" w:cs="Times New Roman"/>
          <w:color w:val="auto"/>
          <w:szCs w:val="21"/>
        </w:rPr>
        <w:t>法定代表人或其委托代理人：</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（签字</w:t>
      </w:r>
      <w:r>
        <w:rPr>
          <w:rFonts w:hint="eastAsia" w:ascii="Times New Roman" w:hAnsi="Times New Roman" w:cs="Times New Roman"/>
          <w:color w:val="auto"/>
          <w:szCs w:val="21"/>
          <w:lang w:val="en-US" w:eastAsia="zh-CN"/>
        </w:rPr>
        <w:t>或盖章</w:t>
      </w:r>
      <w:r>
        <w:rPr>
          <w:rFonts w:hint="default" w:ascii="Times New Roman" w:hAnsi="Times New Roman" w:cs="Times New Roman"/>
          <w:color w:val="auto"/>
          <w:szCs w:val="21"/>
        </w:rPr>
        <w:t>）</w:t>
      </w:r>
    </w:p>
    <w:p w14:paraId="39ED5705">
      <w:pPr>
        <w:spacing w:line="440" w:lineRule="exact"/>
        <w:ind w:firstLine="4725" w:firstLineChars="2250"/>
        <w:rPr>
          <w:rFonts w:hint="default" w:ascii="Times New Roman" w:hAnsi="Times New Roman" w:cs="Times New Roman"/>
          <w:color w:val="auto"/>
          <w:szCs w:val="21"/>
        </w:rPr>
      </w:pP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年</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月</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日</w:t>
      </w:r>
    </w:p>
    <w:p w14:paraId="7677A19E">
      <w:pPr>
        <w:spacing w:line="440" w:lineRule="exact"/>
        <w:rPr>
          <w:rFonts w:hint="eastAsia" w:ascii="Times New Roman" w:hAnsi="Times New Roman" w:cs="Times New Roman" w:eastAsiaTheme="minorEastAsia"/>
          <w:color w:val="auto"/>
          <w:sz w:val="20"/>
          <w:szCs w:val="20"/>
          <w:lang w:eastAsia="zh-CN"/>
        </w:rPr>
      </w:pPr>
    </w:p>
    <w:p w14:paraId="5BBF910D">
      <w:pPr>
        <w:spacing w:line="440" w:lineRule="exact"/>
        <w:rPr>
          <w:rFonts w:hint="default" w:ascii="Times New Roman" w:hAnsi="Times New Roman" w:cs="Times New Roman"/>
          <w:color w:val="auto"/>
          <w:szCs w:val="21"/>
        </w:rPr>
      </w:pPr>
    </w:p>
    <w:p w14:paraId="172259F7">
      <w:pPr>
        <w:rPr>
          <w:rFonts w:hint="default" w:ascii="Times New Roman" w:hAnsi="Times New Roman" w:cs="Times New Roman"/>
          <w:color w:val="auto"/>
        </w:rPr>
      </w:pPr>
      <w:bookmarkStart w:id="99" w:name="_Toc247527831"/>
      <w:bookmarkStart w:id="100" w:name="_Toc152045791"/>
      <w:bookmarkStart w:id="101" w:name="_Toc300835213"/>
      <w:bookmarkStart w:id="102" w:name="_Toc247514283"/>
      <w:bookmarkStart w:id="103" w:name="_Toc152042580"/>
      <w:bookmarkStart w:id="104" w:name="_Toc144974860"/>
      <w:r>
        <w:rPr>
          <w:rFonts w:hint="default" w:ascii="Times New Roman" w:hAnsi="Times New Roman" w:cs="Times New Roman"/>
          <w:color w:val="auto"/>
        </w:rPr>
        <w:br w:type="page"/>
      </w:r>
    </w:p>
    <w:p w14:paraId="3804FC21">
      <w:pPr>
        <w:pStyle w:val="3"/>
        <w:jc w:val="center"/>
        <w:rPr>
          <w:rFonts w:hint="default" w:ascii="Times New Roman" w:hAnsi="Times New Roman" w:cs="Times New Roman"/>
          <w:color w:val="auto"/>
        </w:rPr>
      </w:pPr>
      <w:r>
        <w:rPr>
          <w:rFonts w:hint="default" w:ascii="Times New Roman" w:hAnsi="Times New Roman" w:cs="Times New Roman"/>
          <w:color w:val="auto"/>
        </w:rPr>
        <w:t>二、法定代表人身份证明</w:t>
      </w:r>
      <w:bookmarkEnd w:id="99"/>
      <w:bookmarkEnd w:id="100"/>
      <w:bookmarkEnd w:id="101"/>
      <w:bookmarkEnd w:id="102"/>
      <w:bookmarkEnd w:id="103"/>
      <w:bookmarkEnd w:id="104"/>
    </w:p>
    <w:p w14:paraId="09776C8A">
      <w:pPr>
        <w:spacing w:line="440" w:lineRule="exact"/>
        <w:rPr>
          <w:rFonts w:hint="default" w:ascii="Times New Roman" w:hAnsi="Times New Roman" w:cs="Times New Roman"/>
          <w:color w:val="auto"/>
          <w:sz w:val="20"/>
          <w:szCs w:val="20"/>
        </w:rPr>
      </w:pPr>
    </w:p>
    <w:p w14:paraId="7302B6A7">
      <w:pPr>
        <w:spacing w:line="440" w:lineRule="exact"/>
        <w:rPr>
          <w:rFonts w:hint="default" w:ascii="Times New Roman" w:hAnsi="Times New Roman" w:cs="Times New Roman"/>
          <w:color w:val="auto"/>
          <w:szCs w:val="21"/>
        </w:rPr>
      </w:pPr>
    </w:p>
    <w:p w14:paraId="127C0CCF">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投标人名称：</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 xml:space="preserve"> </w:t>
      </w:r>
    </w:p>
    <w:p w14:paraId="465E9D5E">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姓名：</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 xml:space="preserve"> 性别：</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 xml:space="preserve"> 年龄：</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职务：</w:t>
      </w:r>
      <w:r>
        <w:rPr>
          <w:rFonts w:hint="default" w:ascii="Times New Roman" w:hAnsi="Times New Roman" w:cs="Times New Roman"/>
          <w:color w:val="auto"/>
          <w:szCs w:val="21"/>
          <w:u w:val="single"/>
        </w:rPr>
        <w:t xml:space="preserve">        </w:t>
      </w:r>
    </w:p>
    <w:p w14:paraId="1CC59260">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系</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 xml:space="preserve"> （投标人名称）的法定代表人。</w:t>
      </w:r>
    </w:p>
    <w:p w14:paraId="5ECB8239">
      <w:pPr>
        <w:spacing w:line="440" w:lineRule="exact"/>
        <w:ind w:firstLine="420" w:firstLineChars="200"/>
        <w:rPr>
          <w:rFonts w:hint="default" w:ascii="Times New Roman" w:hAnsi="Times New Roman" w:cs="Times New Roman"/>
          <w:color w:val="auto"/>
          <w:szCs w:val="21"/>
        </w:rPr>
      </w:pPr>
      <w:r>
        <w:rPr>
          <w:rFonts w:hint="default" w:ascii="Times New Roman" w:hAnsi="Times New Roman" w:cs="Times New Roman"/>
          <w:color w:val="auto"/>
          <w:szCs w:val="21"/>
        </w:rPr>
        <w:t>特此证明。</w:t>
      </w:r>
    </w:p>
    <w:p w14:paraId="065E716C">
      <w:pPr>
        <w:spacing w:line="440" w:lineRule="exact"/>
        <w:rPr>
          <w:rFonts w:hint="default" w:ascii="Times New Roman" w:hAnsi="Times New Roman" w:cs="Times New Roman"/>
          <w:color w:val="auto"/>
          <w:szCs w:val="21"/>
        </w:rPr>
      </w:pPr>
    </w:p>
    <w:p w14:paraId="3E49FEB2">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附：法定代表人身份证复印件。</w:t>
      </w:r>
    </w:p>
    <w:p w14:paraId="4953B5B9">
      <w:pPr>
        <w:spacing w:line="440" w:lineRule="exact"/>
        <w:rPr>
          <w:rFonts w:hint="default" w:ascii="Times New Roman" w:hAnsi="Times New Roman" w:cs="Times New Roman"/>
          <w:color w:val="auto"/>
          <w:szCs w:val="21"/>
        </w:rPr>
      </w:pPr>
    </w:p>
    <w:p w14:paraId="0A3E7CBC">
      <w:pPr>
        <w:spacing w:line="440" w:lineRule="exact"/>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注：本身份证明需由投标人加盖单位公章。</w:t>
      </w:r>
    </w:p>
    <w:p w14:paraId="1E9CA109">
      <w:pPr>
        <w:spacing w:line="440" w:lineRule="exact"/>
        <w:rPr>
          <w:rFonts w:hint="eastAsia" w:ascii="Times New Roman" w:hAnsi="Times New Roman" w:cs="Times New Roman"/>
          <w:color w:val="auto"/>
          <w:szCs w:val="21"/>
          <w:lang w:val="en-US" w:eastAsia="zh-CN"/>
        </w:rPr>
      </w:pPr>
    </w:p>
    <w:p w14:paraId="33D7935C">
      <w:pPr>
        <w:spacing w:line="440" w:lineRule="exact"/>
        <w:rPr>
          <w:rFonts w:hint="default" w:ascii="Times New Roman" w:hAnsi="Times New Roman" w:cs="Times New Roman"/>
          <w:color w:val="auto"/>
          <w:szCs w:val="21"/>
          <w:lang w:val="en-US" w:eastAsia="zh-CN"/>
        </w:rPr>
      </w:pPr>
    </w:p>
    <w:p w14:paraId="4CA33BDF">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投标人：</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（盖单位章）</w:t>
      </w:r>
    </w:p>
    <w:p w14:paraId="638542FA">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w:t>
      </w:r>
    </w:p>
    <w:p w14:paraId="12B7EA1F">
      <w:pPr>
        <w:spacing w:line="440" w:lineRule="exact"/>
        <w:ind w:firstLine="4410" w:firstLineChars="2100"/>
        <w:rPr>
          <w:rFonts w:hint="default" w:ascii="Times New Roman" w:hAnsi="Times New Roman" w:cs="Times New Roman"/>
          <w:color w:val="auto"/>
          <w:szCs w:val="21"/>
        </w:rPr>
      </w:pP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年</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月</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 xml:space="preserve"> 日</w:t>
      </w:r>
    </w:p>
    <w:p w14:paraId="72E4D2A7">
      <w:pPr>
        <w:spacing w:line="440" w:lineRule="exact"/>
        <w:jc w:val="center"/>
        <w:rPr>
          <w:rFonts w:hint="default" w:ascii="Times New Roman" w:hAnsi="Times New Roman" w:eastAsia="黑体" w:cs="Times New Roman"/>
          <w:color w:val="auto"/>
          <w:sz w:val="20"/>
          <w:szCs w:val="20"/>
        </w:rPr>
      </w:pPr>
      <w:r>
        <w:rPr>
          <w:rFonts w:hint="default" w:ascii="Times New Roman" w:hAnsi="Times New Roman" w:eastAsia="黑体" w:cs="Times New Roman"/>
          <w:color w:val="auto"/>
          <w:sz w:val="20"/>
          <w:szCs w:val="20"/>
        </w:rPr>
        <w:br w:type="page"/>
      </w:r>
    </w:p>
    <w:p w14:paraId="1611230D">
      <w:pPr>
        <w:pStyle w:val="3"/>
        <w:jc w:val="center"/>
        <w:rPr>
          <w:rFonts w:hint="default" w:ascii="Times New Roman" w:hAnsi="Times New Roman" w:cs="Times New Roman"/>
          <w:color w:val="auto"/>
        </w:rPr>
      </w:pPr>
      <w:bookmarkStart w:id="105" w:name="_Toc247527832"/>
      <w:bookmarkStart w:id="106" w:name="_Toc247514284"/>
      <w:bookmarkStart w:id="107" w:name="_Toc300835214"/>
      <w:bookmarkStart w:id="108" w:name="_Toc152045792"/>
      <w:bookmarkStart w:id="109" w:name="_Toc152042581"/>
      <w:bookmarkStart w:id="110" w:name="_Toc144974861"/>
      <w:r>
        <w:rPr>
          <w:rFonts w:hint="default" w:ascii="Times New Roman" w:hAnsi="Times New Roman" w:cs="Times New Roman"/>
          <w:color w:val="auto"/>
        </w:rPr>
        <w:t>二、授权委托书</w:t>
      </w:r>
      <w:bookmarkEnd w:id="105"/>
      <w:bookmarkEnd w:id="106"/>
      <w:bookmarkEnd w:id="107"/>
      <w:bookmarkEnd w:id="108"/>
      <w:bookmarkEnd w:id="109"/>
      <w:bookmarkEnd w:id="110"/>
    </w:p>
    <w:p w14:paraId="1BE4D691">
      <w:pPr>
        <w:spacing w:line="440" w:lineRule="exact"/>
        <w:rPr>
          <w:rFonts w:hint="default" w:ascii="Times New Roman" w:hAnsi="Times New Roman" w:eastAsia="黑体" w:cs="Times New Roman"/>
          <w:color w:val="auto"/>
          <w:szCs w:val="21"/>
        </w:rPr>
      </w:pPr>
    </w:p>
    <w:p w14:paraId="664B5EC4">
      <w:pPr>
        <w:topLinePunct/>
        <w:spacing w:line="440" w:lineRule="exact"/>
        <w:ind w:firstLine="420" w:firstLineChars="200"/>
        <w:rPr>
          <w:rFonts w:hint="default" w:ascii="Times New Roman" w:hAnsi="Times New Roman" w:cs="Times New Roman"/>
          <w:color w:val="auto"/>
          <w:szCs w:val="21"/>
        </w:rPr>
      </w:pPr>
      <w:r>
        <w:rPr>
          <w:rFonts w:hint="default" w:ascii="Times New Roman" w:hAnsi="Times New Roman" w:cs="Times New Roman"/>
          <w:color w:val="auto"/>
          <w:szCs w:val="21"/>
        </w:rPr>
        <w:t>本人</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（姓名）系</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（投标人名称）的法定代表人，现委托</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（姓名）为我方代理人。代理人根据授权，以我方名义签署、澄清</w:t>
      </w:r>
      <w:r>
        <w:rPr>
          <w:rFonts w:hint="eastAsia" w:ascii="Times New Roman" w:hAnsi="Times New Roman" w:cs="Times New Roman"/>
          <w:color w:val="auto"/>
          <w:szCs w:val="21"/>
          <w:lang w:val="en-US" w:eastAsia="zh-CN"/>
        </w:rPr>
        <w:t>确认、递交、撤回、修改招标项目投标文件、签订合同和处理有关事宜，</w:t>
      </w:r>
      <w:r>
        <w:rPr>
          <w:rFonts w:hint="default" w:ascii="Times New Roman" w:hAnsi="Times New Roman" w:cs="Times New Roman"/>
          <w:color w:val="auto"/>
          <w:szCs w:val="21"/>
        </w:rPr>
        <w:t>其法律后果由我方承担。</w:t>
      </w:r>
    </w:p>
    <w:p w14:paraId="7E5F5227">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 xml:space="preserve">    委托期限：</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w:t>
      </w:r>
    </w:p>
    <w:p w14:paraId="5C9E1D1C">
      <w:pPr>
        <w:spacing w:line="440" w:lineRule="exact"/>
        <w:ind w:firstLine="420" w:firstLineChars="200"/>
        <w:rPr>
          <w:rFonts w:hint="default" w:ascii="Times New Roman" w:hAnsi="Times New Roman" w:cs="Times New Roman"/>
          <w:color w:val="auto"/>
          <w:szCs w:val="21"/>
        </w:rPr>
      </w:pPr>
      <w:r>
        <w:rPr>
          <w:rFonts w:hint="default" w:ascii="Times New Roman" w:hAnsi="Times New Roman" w:cs="Times New Roman"/>
          <w:color w:val="auto"/>
          <w:szCs w:val="21"/>
        </w:rPr>
        <w:t>代理人无转委托权。</w:t>
      </w:r>
    </w:p>
    <w:p w14:paraId="684DACED">
      <w:pPr>
        <w:spacing w:line="440" w:lineRule="exact"/>
        <w:ind w:firstLine="420" w:firstLineChars="200"/>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rPr>
        <w:t>附：法定代表人身份</w:t>
      </w:r>
      <w:r>
        <w:rPr>
          <w:rFonts w:hint="eastAsia" w:ascii="Times New Roman" w:hAnsi="Times New Roman" w:cs="Times New Roman"/>
          <w:color w:val="auto"/>
          <w:szCs w:val="21"/>
          <w:lang w:val="en-US" w:eastAsia="zh-CN"/>
        </w:rPr>
        <w:t>证复印件、委托代理人身份证复印件、委托代理人2024年6月起任意3个月及以上养老保险证明复印件</w:t>
      </w:r>
    </w:p>
    <w:p w14:paraId="6F812C5F">
      <w:pPr>
        <w:spacing w:line="440" w:lineRule="exact"/>
        <w:ind w:firstLine="420" w:firstLineChars="200"/>
        <w:rPr>
          <w:rFonts w:hint="eastAsia" w:ascii="Times New Roman" w:hAnsi="Times New Roman" w:cs="Times New Roman"/>
          <w:color w:val="auto"/>
          <w:szCs w:val="21"/>
          <w:lang w:val="en-US" w:eastAsia="zh-CN"/>
        </w:rPr>
      </w:pPr>
    </w:p>
    <w:p w14:paraId="207889A3">
      <w:pPr>
        <w:spacing w:line="440" w:lineRule="exact"/>
        <w:ind w:firstLine="420" w:firstLineChars="200"/>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注：本授权委托书需由投标人加盖单位公章并由其法定代表人和委托代理人签字。</w:t>
      </w:r>
    </w:p>
    <w:p w14:paraId="384F3F87">
      <w:pPr>
        <w:spacing w:line="440" w:lineRule="exact"/>
        <w:rPr>
          <w:rFonts w:hint="default" w:ascii="Times New Roman" w:hAnsi="Times New Roman" w:cs="Times New Roman"/>
          <w:color w:val="auto"/>
          <w:szCs w:val="21"/>
        </w:rPr>
      </w:pPr>
    </w:p>
    <w:p w14:paraId="6A922228">
      <w:pPr>
        <w:spacing w:line="440" w:lineRule="exact"/>
        <w:rPr>
          <w:rFonts w:hint="default" w:ascii="Times New Roman" w:hAnsi="Times New Roman" w:cs="Times New Roman"/>
          <w:color w:val="auto"/>
          <w:szCs w:val="21"/>
        </w:rPr>
      </w:pPr>
    </w:p>
    <w:p w14:paraId="269E5607">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投</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标</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人：</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（盖单位章）</w:t>
      </w:r>
    </w:p>
    <w:p w14:paraId="31C5603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法定代表人：</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（签字</w:t>
      </w:r>
      <w:r>
        <w:rPr>
          <w:rFonts w:hint="eastAsia" w:ascii="Times New Roman" w:hAnsi="Times New Roman" w:cs="Times New Roman"/>
          <w:color w:val="auto"/>
          <w:szCs w:val="21"/>
          <w:lang w:val="en-US" w:eastAsia="zh-CN"/>
        </w:rPr>
        <w:t>或盖章</w:t>
      </w:r>
      <w:r>
        <w:rPr>
          <w:rFonts w:hint="default" w:ascii="Times New Roman" w:hAnsi="Times New Roman" w:cs="Times New Roman"/>
          <w:color w:val="auto"/>
          <w:szCs w:val="21"/>
        </w:rPr>
        <w:t xml:space="preserve">） </w:t>
      </w:r>
    </w:p>
    <w:p w14:paraId="5AED14F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身份证号码：</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p>
    <w:p w14:paraId="5DBE808F">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委托代理人：</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 xml:space="preserve">（签字） </w:t>
      </w:r>
    </w:p>
    <w:p w14:paraId="6CFD061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u w:val="single"/>
        </w:rPr>
      </w:pPr>
      <w:r>
        <w:rPr>
          <w:rFonts w:hint="default" w:ascii="Times New Roman" w:hAnsi="Times New Roman" w:cs="Times New Roman"/>
          <w:color w:val="auto"/>
          <w:szCs w:val="21"/>
        </w:rPr>
        <w:t>身份证号码：</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p>
    <w:p w14:paraId="376A4EB1">
      <w:pPr>
        <w:spacing w:line="440" w:lineRule="exact"/>
        <w:rPr>
          <w:rFonts w:hint="default" w:ascii="Times New Roman" w:hAnsi="Times New Roman" w:cs="Times New Roman"/>
          <w:color w:val="auto"/>
          <w:szCs w:val="21"/>
        </w:rPr>
      </w:pPr>
    </w:p>
    <w:p w14:paraId="6E763289">
      <w:pPr>
        <w:spacing w:line="440" w:lineRule="exact"/>
        <w:ind w:firstLine="3885" w:firstLineChars="1850"/>
        <w:rPr>
          <w:rFonts w:hint="default" w:ascii="Times New Roman" w:hAnsi="Times New Roman" w:eastAsia="黑体" w:cs="Times New Roman"/>
          <w:color w:val="auto"/>
          <w:szCs w:val="21"/>
        </w:rPr>
      </w:pP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年</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月</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日</w:t>
      </w:r>
    </w:p>
    <w:p w14:paraId="59AB370A">
      <w:pPr>
        <w:spacing w:line="400" w:lineRule="exact"/>
        <w:rPr>
          <w:rFonts w:hint="default" w:ascii="Times New Roman" w:hAnsi="Times New Roman" w:cs="Times New Roman"/>
          <w:color w:val="auto"/>
        </w:rPr>
      </w:pPr>
      <w:r>
        <w:rPr>
          <w:rFonts w:hint="default" w:ascii="Times New Roman" w:hAnsi="Times New Roman" w:eastAsia="黑体" w:cs="Times New Roman"/>
          <w:color w:val="auto"/>
          <w:sz w:val="20"/>
          <w:szCs w:val="20"/>
        </w:rPr>
        <w:br w:type="page"/>
      </w:r>
    </w:p>
    <w:p w14:paraId="6E652C98">
      <w:pPr>
        <w:pStyle w:val="3"/>
        <w:jc w:val="center"/>
        <w:rPr>
          <w:rFonts w:hint="default" w:ascii="Times New Roman" w:hAnsi="Times New Roman" w:cs="Times New Roman"/>
          <w:color w:val="auto"/>
          <w:highlight w:val="none"/>
        </w:rPr>
      </w:pPr>
      <w:bookmarkStart w:id="111" w:name="_Toc144974862"/>
      <w:bookmarkStart w:id="112" w:name="_Toc152045794"/>
      <w:bookmarkStart w:id="113" w:name="_Toc247527834"/>
      <w:bookmarkStart w:id="114" w:name="_Toc152042583"/>
      <w:bookmarkStart w:id="115" w:name="_Toc300835216"/>
      <w:bookmarkStart w:id="116" w:name="_Toc247514286"/>
      <w:r>
        <w:rPr>
          <w:rFonts w:hint="default" w:ascii="Times New Roman" w:hAnsi="Times New Roman" w:cs="Times New Roman"/>
          <w:color w:val="auto"/>
          <w:highlight w:val="none"/>
          <w:lang w:val="en-US" w:eastAsia="zh-CN"/>
        </w:rPr>
        <w:t>三</w:t>
      </w:r>
      <w:r>
        <w:rPr>
          <w:rFonts w:hint="default" w:ascii="Times New Roman" w:hAnsi="Times New Roman" w:cs="Times New Roman"/>
          <w:color w:val="auto"/>
          <w:highlight w:val="none"/>
        </w:rPr>
        <w:t>、投标保证金</w:t>
      </w:r>
      <w:bookmarkEnd w:id="111"/>
      <w:bookmarkEnd w:id="112"/>
      <w:bookmarkEnd w:id="113"/>
      <w:bookmarkEnd w:id="114"/>
      <w:bookmarkEnd w:id="115"/>
      <w:bookmarkEnd w:id="116"/>
    </w:p>
    <w:p w14:paraId="16E0B0C4">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bookmarkStart w:id="117" w:name="_Toc296602998"/>
      <w:r>
        <w:rPr>
          <w:rFonts w:hint="default" w:ascii="Times New Roman" w:hAnsi="Times New Roman" w:cs="Times New Roman" w:eastAsiaTheme="minorEastAsia"/>
          <w:b w:val="0"/>
          <w:bCs/>
          <w:color w:val="auto"/>
          <w:kern w:val="0"/>
          <w:sz w:val="24"/>
          <w:szCs w:val="24"/>
          <w:highlight w:val="none"/>
        </w:rPr>
        <w:t>1</w:t>
      </w:r>
      <w:r>
        <w:rPr>
          <w:rFonts w:hint="default" w:ascii="Times New Roman" w:hAnsi="Times New Roman" w:cs="Times New Roman" w:eastAsiaTheme="minorEastAsia"/>
          <w:b w:val="0"/>
          <w:bCs/>
          <w:color w:val="auto"/>
          <w:kern w:val="0"/>
          <w:sz w:val="24"/>
          <w:szCs w:val="24"/>
          <w:highlight w:val="none"/>
          <w:lang w:val="en-US" w:eastAsia="zh-CN"/>
        </w:rPr>
        <w:t>.</w:t>
      </w:r>
      <w:r>
        <w:rPr>
          <w:rFonts w:hint="eastAsia" w:ascii="Times New Roman" w:hAnsi="Times New Roman" w:cs="Times New Roman"/>
          <w:b w:val="0"/>
          <w:bCs/>
          <w:color w:val="auto"/>
          <w:kern w:val="0"/>
          <w:sz w:val="24"/>
          <w:szCs w:val="24"/>
          <w:highlight w:val="none"/>
          <w:lang w:val="en-US" w:eastAsia="zh-CN"/>
        </w:rPr>
        <w:t>中国</w:t>
      </w:r>
      <w:r>
        <w:rPr>
          <w:rFonts w:hint="default" w:ascii="Times New Roman" w:hAnsi="Times New Roman" w:cs="Times New Roman" w:eastAsiaTheme="minorEastAsia"/>
          <w:b w:val="0"/>
          <w:bCs/>
          <w:color w:val="auto"/>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auto"/>
          <w:kern w:val="0"/>
          <w:sz w:val="24"/>
          <w:szCs w:val="24"/>
          <w:highlight w:val="none"/>
          <w:lang w:val="en-US" w:eastAsia="zh-CN"/>
        </w:rPr>
        <w:t>或投标人公章</w:t>
      </w:r>
      <w:r>
        <w:rPr>
          <w:rFonts w:hint="default" w:ascii="Times New Roman" w:hAnsi="Times New Roman" w:cs="Times New Roman" w:eastAsiaTheme="minorEastAsia"/>
          <w:b w:val="0"/>
          <w:bCs/>
          <w:color w:val="auto"/>
          <w:kern w:val="0"/>
          <w:sz w:val="24"/>
          <w:szCs w:val="24"/>
          <w:highlight w:val="none"/>
        </w:rPr>
        <w:t>）：</w:t>
      </w:r>
    </w:p>
    <w:p w14:paraId="1E4792E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56F4A53F">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7D8C4AF9">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0E68FE49">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19B2688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r>
        <w:rPr>
          <w:rFonts w:hint="default" w:ascii="Times New Roman" w:hAnsi="Times New Roman" w:cs="Times New Roman" w:eastAsiaTheme="minorEastAsia"/>
          <w:b w:val="0"/>
          <w:bCs/>
          <w:color w:val="auto"/>
          <w:kern w:val="0"/>
          <w:sz w:val="24"/>
          <w:szCs w:val="24"/>
          <w:highlight w:val="none"/>
        </w:rPr>
        <w:t>2.保证金转账或电汇凭证：</w:t>
      </w:r>
    </w:p>
    <w:p w14:paraId="0C73DB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4F87405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5564D0C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5421E258">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27FC4E5B">
      <w:pPr>
        <w:spacing w:line="440" w:lineRule="exact"/>
        <w:ind w:firstLine="482" w:firstLineChars="200"/>
        <w:rPr>
          <w:rFonts w:ascii="Times New Roman" w:hAnsi="Times New Roman"/>
          <w:color w:val="auto"/>
          <w:szCs w:val="21"/>
          <w:highlight w:val="yellow"/>
        </w:rPr>
      </w:pPr>
      <w:r>
        <w:rPr>
          <w:rFonts w:hint="default" w:ascii="Times New Roman" w:hAnsi="Times New Roman" w:cs="Times New Roman" w:eastAsiaTheme="minorEastAsia"/>
          <w:b/>
          <w:color w:val="auto"/>
          <w:kern w:val="0"/>
          <w:sz w:val="24"/>
          <w:szCs w:val="24"/>
          <w:highlight w:val="none"/>
        </w:rPr>
        <w:t>备注：</w:t>
      </w:r>
      <w:r>
        <w:rPr>
          <w:rFonts w:hint="default" w:ascii="Times New Roman" w:hAnsi="Times New Roman" w:cs="Times New Roman" w:eastAsiaTheme="minorEastAsia"/>
          <w:color w:val="auto"/>
          <w:kern w:val="0"/>
          <w:sz w:val="24"/>
          <w:szCs w:val="24"/>
          <w:highlight w:val="none"/>
        </w:rPr>
        <w:t>缴纳保证金的开户行、账号等信息须与基本存款账户信息一致</w:t>
      </w:r>
    </w:p>
    <w:p w14:paraId="0BA33D2E">
      <w:pPr>
        <w:spacing w:line="440" w:lineRule="exact"/>
        <w:rPr>
          <w:rFonts w:hint="default" w:ascii="Times New Roman" w:hAnsi="Times New Roman" w:cs="Times New Roman"/>
          <w:b/>
          <w:bCs/>
          <w:color w:val="auto"/>
        </w:rPr>
      </w:pPr>
    </w:p>
    <w:bookmarkEnd w:id="117"/>
    <w:p w14:paraId="65548E9A">
      <w:pPr>
        <w:rPr>
          <w:rFonts w:hint="default" w:ascii="Times New Roman" w:hAnsi="Times New Roman" w:cs="Times New Roman"/>
          <w:color w:val="auto"/>
        </w:rPr>
      </w:pPr>
      <w:bookmarkStart w:id="118" w:name="_Toc152045795"/>
      <w:bookmarkStart w:id="119" w:name="_Toc247527835"/>
      <w:bookmarkStart w:id="120" w:name="_Toc300835218"/>
      <w:bookmarkStart w:id="121" w:name="_Toc152042584"/>
      <w:bookmarkStart w:id="122" w:name="_Toc247514287"/>
      <w:bookmarkStart w:id="123" w:name="_Toc144974863"/>
      <w:r>
        <w:rPr>
          <w:rFonts w:hint="default" w:ascii="Times New Roman" w:hAnsi="Times New Roman" w:cs="Times New Roman"/>
          <w:color w:val="auto"/>
        </w:rPr>
        <w:br w:type="page"/>
      </w:r>
    </w:p>
    <w:p w14:paraId="3D9DEDB4">
      <w:pPr>
        <w:pStyle w:val="3"/>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四</w:t>
      </w:r>
      <w:r>
        <w:rPr>
          <w:rFonts w:hint="default" w:ascii="Times New Roman" w:hAnsi="Times New Roman" w:cs="Times New Roman"/>
          <w:color w:val="auto"/>
        </w:rPr>
        <w:t>、</w:t>
      </w:r>
      <w:bookmarkEnd w:id="118"/>
      <w:bookmarkEnd w:id="119"/>
      <w:bookmarkEnd w:id="120"/>
      <w:bookmarkEnd w:id="121"/>
      <w:bookmarkEnd w:id="122"/>
      <w:bookmarkEnd w:id="123"/>
      <w:r>
        <w:rPr>
          <w:rFonts w:hint="eastAsia" w:ascii="Times New Roman" w:hAnsi="Times New Roman" w:cs="Times New Roman"/>
          <w:color w:val="auto"/>
          <w:lang w:val="en-US" w:eastAsia="zh-CN"/>
        </w:rPr>
        <w:t>服务费用清单</w:t>
      </w:r>
    </w:p>
    <w:p w14:paraId="341CDBA0">
      <w:pPr>
        <w:ind w:firstLine="420" w:firstLineChars="200"/>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1.服务费用清单说明</w:t>
      </w:r>
    </w:p>
    <w:p w14:paraId="3C80858E">
      <w:pPr>
        <w:rPr>
          <w:rFonts w:hint="eastAsia" w:ascii="Times New Roman" w:hAnsi="Times New Roman" w:cs="Times New Roman"/>
          <w:color w:val="auto"/>
          <w:lang w:val="en-US" w:eastAsia="zh-CN"/>
        </w:rPr>
      </w:pPr>
    </w:p>
    <w:p w14:paraId="14A61E20">
      <w:pPr>
        <w:ind w:firstLine="420" w:firstLineChars="200"/>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2.服务费用清单</w:t>
      </w:r>
    </w:p>
    <w:p w14:paraId="3B0DFF21">
      <w:pPr>
        <w:rPr>
          <w:rFonts w:hint="default" w:ascii="Times New Roman" w:hAnsi="Times New Roman" w:cs="Times New Roman"/>
          <w:color w:val="auto"/>
          <w:lang w:val="en-US" w:eastAsia="zh-CN"/>
        </w:rPr>
      </w:pPr>
    </w:p>
    <w:p w14:paraId="7A64D368">
      <w:pPr>
        <w:jc w:val="right"/>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单位：人民币元</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268"/>
        <w:gridCol w:w="2268"/>
        <w:gridCol w:w="1134"/>
        <w:gridCol w:w="2001"/>
      </w:tblGrid>
      <w:tr w14:paraId="2F53A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0C72D0E0">
            <w:pPr>
              <w:jc w:val="center"/>
              <w:rPr>
                <w:rFonts w:hint="eastAsia" w:ascii="Times New Roman" w:hAnsi="Times New Roman" w:cs="Times New Roman" w:eastAsiaTheme="minorEastAsia"/>
                <w:b/>
                <w:bCs/>
                <w:color w:val="auto"/>
                <w:vertAlign w:val="baseline"/>
                <w:lang w:val="en-US" w:eastAsia="zh-CN"/>
              </w:rPr>
            </w:pPr>
            <w:bookmarkStart w:id="124" w:name="_Toc152042585"/>
            <w:bookmarkStart w:id="125" w:name="_Toc247527836"/>
            <w:bookmarkStart w:id="126" w:name="_Toc247514288"/>
            <w:bookmarkStart w:id="127" w:name="_Toc144974864"/>
            <w:bookmarkStart w:id="128" w:name="_Toc152045796"/>
            <w:bookmarkStart w:id="129" w:name="_Toc300835221"/>
            <w:r>
              <w:rPr>
                <w:rFonts w:hint="eastAsia" w:ascii="Times New Roman" w:hAnsi="Times New Roman" w:cs="Times New Roman"/>
                <w:b/>
                <w:bCs/>
                <w:color w:val="auto"/>
                <w:vertAlign w:val="baseline"/>
                <w:lang w:val="en-US" w:eastAsia="zh-CN"/>
              </w:rPr>
              <w:t>序号</w:t>
            </w:r>
          </w:p>
        </w:tc>
        <w:tc>
          <w:tcPr>
            <w:tcW w:w="2268" w:type="dxa"/>
            <w:vAlign w:val="center"/>
          </w:tcPr>
          <w:p w14:paraId="2C9F0EAC">
            <w:pPr>
              <w:jc w:val="center"/>
              <w:rPr>
                <w:rFonts w:hint="default" w:ascii="Times New Roman" w:hAnsi="Times New Roman" w:cs="Times New Roman" w:eastAsiaTheme="minorEastAsia"/>
                <w:b/>
                <w:bCs/>
                <w:color w:val="auto"/>
                <w:vertAlign w:val="baseline"/>
                <w:lang w:val="en-US" w:eastAsia="zh-CN"/>
              </w:rPr>
            </w:pPr>
            <w:r>
              <w:rPr>
                <w:rFonts w:hint="eastAsia" w:ascii="Times New Roman" w:hAnsi="Times New Roman" w:cs="Times New Roman"/>
                <w:b/>
                <w:bCs/>
                <w:color w:val="auto"/>
                <w:vertAlign w:val="baseline"/>
                <w:lang w:val="en-US" w:eastAsia="zh-CN"/>
              </w:rPr>
              <w:t>服务费用分项名称</w:t>
            </w:r>
          </w:p>
        </w:tc>
        <w:tc>
          <w:tcPr>
            <w:tcW w:w="2268" w:type="dxa"/>
            <w:vAlign w:val="center"/>
          </w:tcPr>
          <w:p w14:paraId="0B1A7A6C">
            <w:pPr>
              <w:jc w:val="center"/>
              <w:rPr>
                <w:rFonts w:hint="default" w:ascii="Times New Roman" w:hAnsi="Times New Roman" w:cs="Times New Roman" w:eastAsiaTheme="minorEastAsia"/>
                <w:b/>
                <w:bCs/>
                <w:color w:val="auto"/>
                <w:vertAlign w:val="baseline"/>
                <w:lang w:val="en-US" w:eastAsia="zh-CN"/>
              </w:rPr>
            </w:pPr>
            <w:r>
              <w:rPr>
                <w:rFonts w:hint="eastAsia" w:ascii="Times New Roman" w:hAnsi="Times New Roman" w:cs="Times New Roman"/>
                <w:b/>
                <w:bCs/>
                <w:color w:val="auto"/>
                <w:vertAlign w:val="baseline"/>
                <w:lang w:val="en-US" w:eastAsia="zh-CN"/>
              </w:rPr>
              <w:t>计算依据、过程和公式</w:t>
            </w:r>
          </w:p>
        </w:tc>
        <w:tc>
          <w:tcPr>
            <w:tcW w:w="1134" w:type="dxa"/>
            <w:vAlign w:val="center"/>
          </w:tcPr>
          <w:p w14:paraId="4BE14448">
            <w:pPr>
              <w:jc w:val="center"/>
              <w:rPr>
                <w:rFonts w:hint="default" w:ascii="Times New Roman" w:hAnsi="Times New Roman" w:cs="Times New Roman" w:eastAsiaTheme="minorEastAsia"/>
                <w:b/>
                <w:bCs/>
                <w:color w:val="auto"/>
                <w:vertAlign w:val="baseline"/>
                <w:lang w:val="en-US" w:eastAsia="zh-CN"/>
              </w:rPr>
            </w:pPr>
            <w:r>
              <w:rPr>
                <w:rFonts w:hint="eastAsia" w:ascii="Times New Roman" w:hAnsi="Times New Roman" w:cs="Times New Roman"/>
                <w:b/>
                <w:bCs/>
                <w:color w:val="auto"/>
                <w:vertAlign w:val="baseline"/>
                <w:lang w:val="en-US" w:eastAsia="zh-CN"/>
              </w:rPr>
              <w:t>金额（元）</w:t>
            </w:r>
          </w:p>
        </w:tc>
        <w:tc>
          <w:tcPr>
            <w:tcW w:w="2001" w:type="dxa"/>
            <w:vAlign w:val="center"/>
          </w:tcPr>
          <w:p w14:paraId="6538DE92">
            <w:pPr>
              <w:jc w:val="center"/>
              <w:rPr>
                <w:rFonts w:hint="default" w:ascii="Times New Roman" w:hAnsi="Times New Roman" w:cs="Times New Roman"/>
                <w:b/>
                <w:bCs/>
                <w:color w:val="auto"/>
                <w:vertAlign w:val="baseline"/>
                <w:lang w:val="en-US" w:eastAsia="zh-CN"/>
              </w:rPr>
            </w:pPr>
            <w:r>
              <w:rPr>
                <w:rFonts w:hint="eastAsia" w:ascii="Times New Roman" w:hAnsi="Times New Roman" w:cs="Times New Roman"/>
                <w:b/>
                <w:bCs/>
                <w:color w:val="auto"/>
                <w:vertAlign w:val="baseline"/>
                <w:lang w:val="en-US" w:eastAsia="zh-CN"/>
              </w:rPr>
              <w:t>备注</w:t>
            </w:r>
          </w:p>
        </w:tc>
      </w:tr>
      <w:tr w14:paraId="0EA16A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52FF4936">
            <w:pPr>
              <w:jc w:val="center"/>
              <w:rPr>
                <w:rFonts w:hint="eastAsia" w:ascii="Times New Roman" w:hAnsi="Times New Roman" w:cs="Times New Roman" w:eastAsiaTheme="minorEastAsia"/>
                <w:color w:val="auto"/>
                <w:vertAlign w:val="baseline"/>
                <w:lang w:val="en-US" w:eastAsia="zh-CN"/>
              </w:rPr>
            </w:pPr>
            <w:r>
              <w:rPr>
                <w:rFonts w:hint="eastAsia" w:ascii="Times New Roman" w:hAnsi="Times New Roman" w:cs="Times New Roman"/>
                <w:color w:val="auto"/>
                <w:vertAlign w:val="baseline"/>
                <w:lang w:val="en-US" w:eastAsia="zh-CN"/>
              </w:rPr>
              <w:t>1</w:t>
            </w:r>
          </w:p>
        </w:tc>
        <w:tc>
          <w:tcPr>
            <w:tcW w:w="2268" w:type="dxa"/>
            <w:vAlign w:val="center"/>
          </w:tcPr>
          <w:p w14:paraId="452797B2">
            <w:pPr>
              <w:jc w:val="center"/>
              <w:rPr>
                <w:rFonts w:hint="default" w:ascii="Times New Roman" w:hAnsi="Times New Roman" w:cs="Times New Roman"/>
                <w:color w:val="auto"/>
                <w:vertAlign w:val="baseline"/>
              </w:rPr>
            </w:pPr>
          </w:p>
        </w:tc>
        <w:tc>
          <w:tcPr>
            <w:tcW w:w="2268" w:type="dxa"/>
            <w:vAlign w:val="center"/>
          </w:tcPr>
          <w:p w14:paraId="241624D8">
            <w:pPr>
              <w:jc w:val="center"/>
              <w:rPr>
                <w:rFonts w:hint="default" w:ascii="Times New Roman" w:hAnsi="Times New Roman" w:cs="Times New Roman"/>
                <w:color w:val="auto"/>
                <w:vertAlign w:val="baseline"/>
              </w:rPr>
            </w:pPr>
          </w:p>
        </w:tc>
        <w:tc>
          <w:tcPr>
            <w:tcW w:w="1134" w:type="dxa"/>
            <w:vAlign w:val="center"/>
          </w:tcPr>
          <w:p w14:paraId="3227AB9C">
            <w:pPr>
              <w:jc w:val="center"/>
              <w:rPr>
                <w:rFonts w:hint="default" w:ascii="Times New Roman" w:hAnsi="Times New Roman" w:cs="Times New Roman"/>
                <w:color w:val="auto"/>
                <w:vertAlign w:val="baseline"/>
              </w:rPr>
            </w:pPr>
          </w:p>
        </w:tc>
        <w:tc>
          <w:tcPr>
            <w:tcW w:w="2001" w:type="dxa"/>
            <w:vAlign w:val="center"/>
          </w:tcPr>
          <w:p w14:paraId="41BE08B7">
            <w:pPr>
              <w:jc w:val="center"/>
              <w:rPr>
                <w:rFonts w:hint="default" w:ascii="Times New Roman" w:hAnsi="Times New Roman" w:cs="Times New Roman"/>
                <w:color w:val="auto"/>
                <w:vertAlign w:val="baseline"/>
              </w:rPr>
            </w:pPr>
          </w:p>
        </w:tc>
      </w:tr>
      <w:tr w14:paraId="3953F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7ED92BE5">
            <w:pPr>
              <w:jc w:val="center"/>
              <w:rPr>
                <w:rFonts w:hint="eastAsia" w:ascii="Times New Roman" w:hAnsi="Times New Roman" w:cs="Times New Roman" w:eastAsiaTheme="minorEastAsia"/>
                <w:color w:val="auto"/>
                <w:vertAlign w:val="baseline"/>
                <w:lang w:val="en-US" w:eastAsia="zh-CN"/>
              </w:rPr>
            </w:pPr>
            <w:r>
              <w:rPr>
                <w:rFonts w:hint="eastAsia" w:ascii="Times New Roman" w:hAnsi="Times New Roman" w:cs="Times New Roman"/>
                <w:color w:val="auto"/>
                <w:vertAlign w:val="baseline"/>
                <w:lang w:val="en-US" w:eastAsia="zh-CN"/>
              </w:rPr>
              <w:t>2</w:t>
            </w:r>
          </w:p>
        </w:tc>
        <w:tc>
          <w:tcPr>
            <w:tcW w:w="2268" w:type="dxa"/>
            <w:vAlign w:val="center"/>
          </w:tcPr>
          <w:p w14:paraId="14A6C588">
            <w:pPr>
              <w:jc w:val="center"/>
              <w:rPr>
                <w:rFonts w:hint="default" w:ascii="Times New Roman" w:hAnsi="Times New Roman" w:cs="Times New Roman"/>
                <w:color w:val="auto"/>
                <w:vertAlign w:val="baseline"/>
              </w:rPr>
            </w:pPr>
          </w:p>
        </w:tc>
        <w:tc>
          <w:tcPr>
            <w:tcW w:w="2268" w:type="dxa"/>
            <w:vAlign w:val="center"/>
          </w:tcPr>
          <w:p w14:paraId="7B37E8AE">
            <w:pPr>
              <w:jc w:val="center"/>
              <w:rPr>
                <w:rFonts w:hint="default" w:ascii="Times New Roman" w:hAnsi="Times New Roman" w:cs="Times New Roman"/>
                <w:color w:val="auto"/>
                <w:vertAlign w:val="baseline"/>
              </w:rPr>
            </w:pPr>
          </w:p>
        </w:tc>
        <w:tc>
          <w:tcPr>
            <w:tcW w:w="1134" w:type="dxa"/>
            <w:vAlign w:val="center"/>
          </w:tcPr>
          <w:p w14:paraId="628DABC8">
            <w:pPr>
              <w:jc w:val="center"/>
              <w:rPr>
                <w:rFonts w:hint="default" w:ascii="Times New Roman" w:hAnsi="Times New Roman" w:cs="Times New Roman"/>
                <w:color w:val="auto"/>
                <w:vertAlign w:val="baseline"/>
              </w:rPr>
            </w:pPr>
          </w:p>
        </w:tc>
        <w:tc>
          <w:tcPr>
            <w:tcW w:w="2001" w:type="dxa"/>
            <w:vAlign w:val="center"/>
          </w:tcPr>
          <w:p w14:paraId="3C3DF8CE">
            <w:pPr>
              <w:jc w:val="center"/>
              <w:rPr>
                <w:rFonts w:hint="default" w:ascii="Times New Roman" w:hAnsi="Times New Roman" w:cs="Times New Roman"/>
                <w:color w:val="auto"/>
                <w:vertAlign w:val="baseline"/>
              </w:rPr>
            </w:pPr>
          </w:p>
        </w:tc>
      </w:tr>
      <w:tr w14:paraId="433B3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6BA15884">
            <w:pPr>
              <w:jc w:val="center"/>
              <w:rPr>
                <w:rFonts w:hint="eastAsia" w:ascii="Times New Roman" w:hAnsi="Times New Roman" w:cs="Times New Roman" w:eastAsiaTheme="minorEastAsia"/>
                <w:color w:val="auto"/>
                <w:vertAlign w:val="baseline"/>
                <w:lang w:val="en-US" w:eastAsia="zh-CN"/>
              </w:rPr>
            </w:pPr>
            <w:r>
              <w:rPr>
                <w:rFonts w:hint="eastAsia" w:ascii="Times New Roman" w:hAnsi="Times New Roman" w:cs="Times New Roman"/>
                <w:color w:val="auto"/>
                <w:vertAlign w:val="baseline"/>
                <w:lang w:val="en-US" w:eastAsia="zh-CN"/>
              </w:rPr>
              <w:t>3</w:t>
            </w:r>
          </w:p>
        </w:tc>
        <w:tc>
          <w:tcPr>
            <w:tcW w:w="2268" w:type="dxa"/>
            <w:vAlign w:val="center"/>
          </w:tcPr>
          <w:p w14:paraId="4F22B330">
            <w:pPr>
              <w:jc w:val="center"/>
              <w:rPr>
                <w:rFonts w:hint="default" w:ascii="Times New Roman" w:hAnsi="Times New Roman" w:cs="Times New Roman"/>
                <w:color w:val="auto"/>
                <w:vertAlign w:val="baseline"/>
              </w:rPr>
            </w:pPr>
          </w:p>
        </w:tc>
        <w:tc>
          <w:tcPr>
            <w:tcW w:w="2268" w:type="dxa"/>
            <w:vAlign w:val="center"/>
          </w:tcPr>
          <w:p w14:paraId="6E518517">
            <w:pPr>
              <w:jc w:val="center"/>
              <w:rPr>
                <w:rFonts w:hint="default" w:ascii="Times New Roman" w:hAnsi="Times New Roman" w:cs="Times New Roman"/>
                <w:color w:val="auto"/>
                <w:vertAlign w:val="baseline"/>
              </w:rPr>
            </w:pPr>
          </w:p>
        </w:tc>
        <w:tc>
          <w:tcPr>
            <w:tcW w:w="1134" w:type="dxa"/>
            <w:vAlign w:val="center"/>
          </w:tcPr>
          <w:p w14:paraId="76736DFF">
            <w:pPr>
              <w:jc w:val="center"/>
              <w:rPr>
                <w:rFonts w:hint="default" w:ascii="Times New Roman" w:hAnsi="Times New Roman" w:cs="Times New Roman"/>
                <w:color w:val="auto"/>
                <w:vertAlign w:val="baseline"/>
              </w:rPr>
            </w:pPr>
          </w:p>
        </w:tc>
        <w:tc>
          <w:tcPr>
            <w:tcW w:w="2001" w:type="dxa"/>
            <w:vAlign w:val="center"/>
          </w:tcPr>
          <w:p w14:paraId="3CA6D180">
            <w:pPr>
              <w:jc w:val="center"/>
              <w:rPr>
                <w:rFonts w:hint="default" w:ascii="Times New Roman" w:hAnsi="Times New Roman" w:cs="Times New Roman"/>
                <w:color w:val="auto"/>
                <w:vertAlign w:val="baseline"/>
              </w:rPr>
            </w:pPr>
          </w:p>
        </w:tc>
      </w:tr>
      <w:tr w14:paraId="0A029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2BE8820F">
            <w:pPr>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4</w:t>
            </w:r>
          </w:p>
        </w:tc>
        <w:tc>
          <w:tcPr>
            <w:tcW w:w="2268" w:type="dxa"/>
            <w:vAlign w:val="center"/>
          </w:tcPr>
          <w:p w14:paraId="1A62A3C2">
            <w:pPr>
              <w:jc w:val="center"/>
              <w:rPr>
                <w:rFonts w:hint="default" w:ascii="Times New Roman" w:hAnsi="Times New Roman" w:cs="Times New Roman"/>
                <w:color w:val="auto"/>
                <w:vertAlign w:val="baseline"/>
              </w:rPr>
            </w:pPr>
          </w:p>
        </w:tc>
        <w:tc>
          <w:tcPr>
            <w:tcW w:w="2268" w:type="dxa"/>
            <w:vAlign w:val="center"/>
          </w:tcPr>
          <w:p w14:paraId="71944AC9">
            <w:pPr>
              <w:jc w:val="center"/>
              <w:rPr>
                <w:rFonts w:hint="default" w:ascii="Times New Roman" w:hAnsi="Times New Roman" w:cs="Times New Roman"/>
                <w:color w:val="auto"/>
                <w:vertAlign w:val="baseline"/>
              </w:rPr>
            </w:pPr>
          </w:p>
        </w:tc>
        <w:tc>
          <w:tcPr>
            <w:tcW w:w="1134" w:type="dxa"/>
            <w:vAlign w:val="center"/>
          </w:tcPr>
          <w:p w14:paraId="364662E5">
            <w:pPr>
              <w:jc w:val="center"/>
              <w:rPr>
                <w:rFonts w:hint="default" w:ascii="Times New Roman" w:hAnsi="Times New Roman" w:cs="Times New Roman"/>
                <w:color w:val="auto"/>
                <w:vertAlign w:val="baseline"/>
              </w:rPr>
            </w:pPr>
          </w:p>
        </w:tc>
        <w:tc>
          <w:tcPr>
            <w:tcW w:w="2001" w:type="dxa"/>
            <w:vAlign w:val="center"/>
          </w:tcPr>
          <w:p w14:paraId="08C89C67">
            <w:pPr>
              <w:jc w:val="center"/>
              <w:rPr>
                <w:rFonts w:hint="default" w:ascii="Times New Roman" w:hAnsi="Times New Roman" w:cs="Times New Roman"/>
                <w:color w:val="auto"/>
                <w:vertAlign w:val="baseline"/>
              </w:rPr>
            </w:pPr>
          </w:p>
        </w:tc>
      </w:tr>
      <w:tr w14:paraId="5023C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258A06FC">
            <w:pPr>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5</w:t>
            </w:r>
          </w:p>
        </w:tc>
        <w:tc>
          <w:tcPr>
            <w:tcW w:w="2268" w:type="dxa"/>
            <w:vAlign w:val="center"/>
          </w:tcPr>
          <w:p w14:paraId="4576C7E6">
            <w:pPr>
              <w:jc w:val="center"/>
              <w:rPr>
                <w:rFonts w:hint="default" w:ascii="Times New Roman" w:hAnsi="Times New Roman" w:cs="Times New Roman"/>
                <w:color w:val="auto"/>
                <w:vertAlign w:val="baseline"/>
              </w:rPr>
            </w:pPr>
          </w:p>
        </w:tc>
        <w:tc>
          <w:tcPr>
            <w:tcW w:w="2268" w:type="dxa"/>
            <w:vAlign w:val="center"/>
          </w:tcPr>
          <w:p w14:paraId="357D4EEB">
            <w:pPr>
              <w:jc w:val="center"/>
              <w:rPr>
                <w:rFonts w:hint="default" w:ascii="Times New Roman" w:hAnsi="Times New Roman" w:cs="Times New Roman"/>
                <w:color w:val="auto"/>
                <w:vertAlign w:val="baseline"/>
              </w:rPr>
            </w:pPr>
          </w:p>
        </w:tc>
        <w:tc>
          <w:tcPr>
            <w:tcW w:w="1134" w:type="dxa"/>
            <w:vAlign w:val="center"/>
          </w:tcPr>
          <w:p w14:paraId="058FD875">
            <w:pPr>
              <w:jc w:val="center"/>
              <w:rPr>
                <w:rFonts w:hint="default" w:ascii="Times New Roman" w:hAnsi="Times New Roman" w:cs="Times New Roman"/>
                <w:color w:val="auto"/>
                <w:vertAlign w:val="baseline"/>
              </w:rPr>
            </w:pPr>
          </w:p>
        </w:tc>
        <w:tc>
          <w:tcPr>
            <w:tcW w:w="2001" w:type="dxa"/>
            <w:vAlign w:val="center"/>
          </w:tcPr>
          <w:p w14:paraId="0B103F98">
            <w:pPr>
              <w:jc w:val="center"/>
              <w:rPr>
                <w:rFonts w:hint="default" w:ascii="Times New Roman" w:hAnsi="Times New Roman" w:cs="Times New Roman"/>
                <w:color w:val="auto"/>
                <w:vertAlign w:val="baseline"/>
              </w:rPr>
            </w:pPr>
          </w:p>
        </w:tc>
      </w:tr>
      <w:tr w14:paraId="41B87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0454DEB1">
            <w:pPr>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w:t>
            </w:r>
          </w:p>
        </w:tc>
        <w:tc>
          <w:tcPr>
            <w:tcW w:w="2268" w:type="dxa"/>
            <w:vAlign w:val="center"/>
          </w:tcPr>
          <w:p w14:paraId="534179F0">
            <w:pPr>
              <w:jc w:val="center"/>
              <w:rPr>
                <w:rFonts w:hint="default" w:ascii="Times New Roman" w:hAnsi="Times New Roman" w:cs="Times New Roman"/>
                <w:color w:val="auto"/>
                <w:vertAlign w:val="baseline"/>
              </w:rPr>
            </w:pPr>
          </w:p>
        </w:tc>
        <w:tc>
          <w:tcPr>
            <w:tcW w:w="2268" w:type="dxa"/>
            <w:vAlign w:val="center"/>
          </w:tcPr>
          <w:p w14:paraId="48115F2E">
            <w:pPr>
              <w:jc w:val="center"/>
              <w:rPr>
                <w:rFonts w:hint="default" w:ascii="Times New Roman" w:hAnsi="Times New Roman" w:cs="Times New Roman"/>
                <w:color w:val="auto"/>
                <w:vertAlign w:val="baseline"/>
              </w:rPr>
            </w:pPr>
          </w:p>
        </w:tc>
        <w:tc>
          <w:tcPr>
            <w:tcW w:w="1134" w:type="dxa"/>
            <w:vAlign w:val="center"/>
          </w:tcPr>
          <w:p w14:paraId="0B702FC8">
            <w:pPr>
              <w:jc w:val="center"/>
              <w:rPr>
                <w:rFonts w:hint="default" w:ascii="Times New Roman" w:hAnsi="Times New Roman" w:cs="Times New Roman"/>
                <w:color w:val="auto"/>
                <w:vertAlign w:val="baseline"/>
              </w:rPr>
            </w:pPr>
          </w:p>
        </w:tc>
        <w:tc>
          <w:tcPr>
            <w:tcW w:w="2001" w:type="dxa"/>
            <w:vAlign w:val="center"/>
          </w:tcPr>
          <w:p w14:paraId="03AF9D8E">
            <w:pPr>
              <w:jc w:val="center"/>
              <w:rPr>
                <w:rFonts w:hint="default" w:ascii="Times New Roman" w:hAnsi="Times New Roman" w:cs="Times New Roman"/>
                <w:color w:val="auto"/>
                <w:vertAlign w:val="baseline"/>
              </w:rPr>
            </w:pPr>
          </w:p>
        </w:tc>
      </w:tr>
      <w:tr w14:paraId="0A2D7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3"/>
            <w:vAlign w:val="center"/>
          </w:tcPr>
          <w:p w14:paraId="137A7222">
            <w:pPr>
              <w:jc w:val="center"/>
              <w:rPr>
                <w:rFonts w:hint="default" w:ascii="Times New Roman" w:hAnsi="Times New Roman" w:cs="Times New Roman" w:eastAsiaTheme="minorEastAsia"/>
                <w:color w:val="auto"/>
                <w:vertAlign w:val="baseline"/>
                <w:lang w:val="en-US" w:eastAsia="zh-CN"/>
              </w:rPr>
            </w:pPr>
            <w:r>
              <w:rPr>
                <w:rFonts w:hint="eastAsia" w:ascii="Times New Roman" w:hAnsi="Times New Roman" w:cs="Times New Roman"/>
                <w:b/>
                <w:bCs/>
                <w:color w:val="auto"/>
                <w:vertAlign w:val="baseline"/>
                <w:lang w:val="en-US" w:eastAsia="zh-CN"/>
              </w:rPr>
              <w:t>合计报价</w:t>
            </w:r>
          </w:p>
        </w:tc>
        <w:tc>
          <w:tcPr>
            <w:tcW w:w="1134" w:type="dxa"/>
            <w:vAlign w:val="center"/>
          </w:tcPr>
          <w:p w14:paraId="36DEB78A">
            <w:pPr>
              <w:jc w:val="center"/>
              <w:rPr>
                <w:rFonts w:hint="default" w:ascii="Times New Roman" w:hAnsi="Times New Roman" w:cs="Times New Roman"/>
                <w:color w:val="auto"/>
                <w:vertAlign w:val="baseline"/>
              </w:rPr>
            </w:pPr>
          </w:p>
        </w:tc>
        <w:tc>
          <w:tcPr>
            <w:tcW w:w="2001" w:type="dxa"/>
            <w:vAlign w:val="center"/>
          </w:tcPr>
          <w:p w14:paraId="1B071275">
            <w:pPr>
              <w:jc w:val="center"/>
              <w:rPr>
                <w:rFonts w:hint="default" w:ascii="Times New Roman" w:hAnsi="Times New Roman" w:cs="Times New Roman"/>
                <w:color w:val="auto"/>
                <w:vertAlign w:val="baseline"/>
              </w:rPr>
            </w:pPr>
          </w:p>
        </w:tc>
      </w:tr>
    </w:tbl>
    <w:p w14:paraId="1045F41A">
      <w:pPr>
        <w:rPr>
          <w:rFonts w:hint="default" w:ascii="Times New Roman" w:hAnsi="Times New Roman" w:cs="Times New Roman"/>
          <w:color w:val="auto"/>
        </w:rPr>
      </w:pPr>
    </w:p>
    <w:p w14:paraId="386EC8CA">
      <w:pPr>
        <w:rPr>
          <w:rFonts w:hint="default" w:ascii="Times New Roman" w:hAnsi="Times New Roman" w:cs="Times New Roman"/>
          <w:color w:val="auto"/>
        </w:rPr>
      </w:pPr>
      <w:r>
        <w:rPr>
          <w:rFonts w:hint="eastAsia" w:ascii="Times New Roman" w:hAnsi="Times New Roman" w:cs="Times New Roman"/>
          <w:color w:val="auto"/>
          <w:lang w:val="en-US" w:eastAsia="zh-CN"/>
        </w:rPr>
        <w:t>注：投标人可根据行业具体情况及招标项目特点对上表格式进行调整。</w:t>
      </w:r>
      <w:r>
        <w:rPr>
          <w:rFonts w:hint="default" w:ascii="Times New Roman" w:hAnsi="Times New Roman" w:cs="Times New Roman"/>
          <w:color w:val="auto"/>
        </w:rPr>
        <w:br w:type="page"/>
      </w:r>
    </w:p>
    <w:bookmarkEnd w:id="124"/>
    <w:bookmarkEnd w:id="125"/>
    <w:bookmarkEnd w:id="126"/>
    <w:bookmarkEnd w:id="127"/>
    <w:bookmarkEnd w:id="128"/>
    <w:bookmarkEnd w:id="129"/>
    <w:p w14:paraId="7E3D95DF">
      <w:pPr>
        <w:pStyle w:val="3"/>
        <w:jc w:val="center"/>
        <w:rPr>
          <w:rFonts w:hint="eastAsia"/>
          <w:color w:val="auto"/>
          <w:highlight w:val="none"/>
        </w:rPr>
      </w:pPr>
      <w:bookmarkStart w:id="130" w:name="_Toc179632823"/>
      <w:bookmarkStart w:id="131" w:name="_Toc247527848"/>
      <w:bookmarkStart w:id="132" w:name="_Toc247085887"/>
      <w:bookmarkStart w:id="133" w:name="_Toc152045808"/>
      <w:bookmarkStart w:id="134" w:name="_Toc152042597"/>
      <w:bookmarkStart w:id="135" w:name="_Toc152045803"/>
      <w:bookmarkStart w:id="136" w:name="_Toc144974876"/>
      <w:bookmarkStart w:id="137" w:name="_Toc296602614"/>
      <w:bookmarkStart w:id="138" w:name="_Toc300835224"/>
      <w:bookmarkStart w:id="139" w:name="_Toc247514300"/>
      <w:bookmarkStart w:id="140" w:name="_Toc152042592"/>
      <w:bookmarkStart w:id="141" w:name="_Toc246996369"/>
      <w:bookmarkStart w:id="142" w:name="_Toc144974871"/>
      <w:bookmarkStart w:id="143" w:name="_Toc246997112"/>
      <w:r>
        <w:rPr>
          <w:rFonts w:hint="eastAsia"/>
          <w:color w:val="auto"/>
          <w:highlight w:val="none"/>
          <w:lang w:val="en-US" w:eastAsia="zh-CN"/>
        </w:rPr>
        <w:t>五</w:t>
      </w:r>
      <w:r>
        <w:rPr>
          <w:color w:val="auto"/>
          <w:highlight w:val="none"/>
        </w:rPr>
        <w:t>、资格审查资料</w:t>
      </w:r>
    </w:p>
    <w:p w14:paraId="6D43DAD9">
      <w:pPr>
        <w:pStyle w:val="4"/>
        <w:jc w:val="both"/>
        <w:rPr>
          <w:rFonts w:hint="eastAsia"/>
          <w:color w:val="auto"/>
        </w:rPr>
      </w:pPr>
      <w:r>
        <w:rPr>
          <w:color w:val="auto"/>
        </w:rPr>
        <w:t>（一）基本情况表</w:t>
      </w:r>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14:paraId="64184C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14:paraId="4BD0C60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投标人名称</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7A725533">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r>
      <w:tr w14:paraId="12AD0AB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14:paraId="6DB1ECC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注册地址</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056CD739">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6E56BAE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邮政编码</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14:paraId="704EE2E5">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r>
      <w:tr w14:paraId="361C3C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noWrap w:val="0"/>
            <w:vAlign w:val="center"/>
          </w:tcPr>
          <w:p w14:paraId="137C557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740A737">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14:paraId="7889F003">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44BCEB1A">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电  话</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14:paraId="2B72DC79">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r>
      <w:tr w14:paraId="2903534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noWrap w:val="0"/>
            <w:vAlign w:val="center"/>
          </w:tcPr>
          <w:p w14:paraId="2B2CAC9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A3848F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传  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14:paraId="2A0D373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273E92B3">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网  址</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14:paraId="75585BE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r>
      <w:tr w14:paraId="69ADF70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49662BC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eastAsiaTheme="minorEastAsia"/>
                <w:color w:val="auto"/>
                <w:szCs w:val="21"/>
                <w:lang w:val="en-US" w:eastAsia="zh-CN"/>
              </w:rPr>
            </w:pPr>
            <w:r>
              <w:rPr>
                <w:rFonts w:hint="eastAsia"/>
                <w:color w:val="auto"/>
                <w:szCs w:val="21"/>
                <w:lang w:val="en-US" w:eastAsia="zh-CN"/>
              </w:rPr>
              <w:t>法定代表人</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CCEA442">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eastAsiaTheme="minorEastAsia"/>
                <w:color w:val="auto"/>
                <w:szCs w:val="21"/>
                <w:lang w:val="en-US" w:eastAsia="zh-CN"/>
              </w:rPr>
            </w:pPr>
            <w:r>
              <w:rPr>
                <w:rFonts w:hint="eastAsia"/>
                <w:color w:val="auto"/>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28A62A2">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BA3239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7B737E3E">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8A2EF15">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41269077">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r>
      <w:tr w14:paraId="7905CB0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6A14FEC9">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技术负责人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6672443">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C47BD9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7574FEA">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132AD3D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FF1687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7ECE9DC7">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r>
      <w:tr w14:paraId="7D3C851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4D83428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企业资质证书</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45B3FA02">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default"/>
                <w:color w:val="auto"/>
                <w:szCs w:val="21"/>
                <w:lang w:val="en-US" w:eastAsia="zh-CN"/>
              </w:rPr>
            </w:pPr>
            <w:r>
              <w:rPr>
                <w:rFonts w:hint="eastAsia"/>
                <w:color w:val="auto"/>
                <w:szCs w:val="21"/>
                <w:lang w:val="en-US" w:eastAsia="zh-CN"/>
              </w:rPr>
              <w:t>类型：                  等级：               证书号：</w:t>
            </w:r>
          </w:p>
        </w:tc>
      </w:tr>
      <w:tr w14:paraId="2AE758D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3FFD7D3A">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3598E183">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color w:val="auto"/>
                <w:szCs w:val="21"/>
                <w:lang w:val="en-US" w:eastAsia="zh-CN"/>
              </w:rPr>
            </w:pPr>
            <w:r>
              <w:rPr>
                <w:rFonts w:hint="eastAsia"/>
                <w:color w:val="auto"/>
                <w:szCs w:val="21"/>
                <w:lang w:val="en-US" w:eastAsia="zh-CN"/>
              </w:rPr>
              <w:t>类型：                  等级：               证书号：</w:t>
            </w:r>
          </w:p>
        </w:tc>
      </w:tr>
      <w:tr w14:paraId="695661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7DF2624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营业执照号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4CAD4128">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c>
          <w:tcPr>
            <w:tcW w:w="3419" w:type="dxa"/>
            <w:gridSpan w:val="4"/>
            <w:tcBorders>
              <w:top w:val="single" w:color="auto" w:sz="4" w:space="0"/>
              <w:left w:val="single" w:color="auto" w:sz="4" w:space="0"/>
              <w:bottom w:val="single" w:color="auto" w:sz="4" w:space="0"/>
              <w:right w:val="single" w:color="auto" w:sz="4" w:space="0"/>
            </w:tcBorders>
            <w:noWrap w:val="0"/>
            <w:vAlign w:val="center"/>
          </w:tcPr>
          <w:p w14:paraId="0E653E4B">
            <w:pPr>
              <w:keepNext w:val="0"/>
              <w:keepLines w:val="0"/>
              <w:pageBreakBefore w:val="0"/>
              <w:widowControl w:val="0"/>
              <w:kinsoku/>
              <w:wordWrap/>
              <w:overflowPunct/>
              <w:topLinePunct/>
              <w:autoSpaceDE/>
              <w:autoSpaceDN/>
              <w:bidi w:val="0"/>
              <w:adjustRightInd/>
              <w:snapToGrid/>
              <w:spacing w:line="400" w:lineRule="exact"/>
              <w:jc w:val="left"/>
              <w:textAlignment w:val="auto"/>
              <w:rPr>
                <w:rFonts w:hint="default"/>
                <w:color w:val="auto"/>
                <w:szCs w:val="21"/>
                <w:lang w:val="en-US" w:eastAsia="zh-CN"/>
              </w:rPr>
            </w:pPr>
            <w:r>
              <w:rPr>
                <w:rFonts w:hint="eastAsia"/>
                <w:color w:val="auto"/>
                <w:szCs w:val="21"/>
                <w:lang w:val="en-US" w:eastAsia="zh-CN"/>
              </w:rPr>
              <w:t>员工总人数：</w:t>
            </w:r>
          </w:p>
        </w:tc>
      </w:tr>
      <w:tr w14:paraId="64EF4BB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50E67BE5">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注册资本</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736F7E8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14:paraId="68AC140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41AEDA38">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高级职称人员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6CC1C9E1">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r>
      <w:tr w14:paraId="3673D83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0DEEED80">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成立日期</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59183D55">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c>
          <w:tcPr>
            <w:tcW w:w="567" w:type="dxa"/>
            <w:vMerge w:val="continue"/>
            <w:tcBorders>
              <w:left w:val="single" w:color="auto" w:sz="4" w:space="0"/>
              <w:right w:val="single" w:color="auto" w:sz="4" w:space="0"/>
            </w:tcBorders>
            <w:noWrap w:val="0"/>
            <w:vAlign w:val="center"/>
          </w:tcPr>
          <w:p w14:paraId="7ED97DE1">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2B2AD131">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中级职称人员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055E0B1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r>
      <w:tr w14:paraId="37E7F8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2DAB8C77">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r>
              <w:rPr>
                <w:rFonts w:hint="eastAsia"/>
                <w:color w:val="auto"/>
                <w:szCs w:val="21"/>
                <w:lang w:val="en-US" w:eastAsia="zh-CN"/>
              </w:rPr>
              <w:t>基本账户</w:t>
            </w:r>
          </w:p>
          <w:p w14:paraId="5335C4EA">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开户银行</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16DDDA4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c>
          <w:tcPr>
            <w:tcW w:w="567" w:type="dxa"/>
            <w:vMerge w:val="continue"/>
            <w:tcBorders>
              <w:left w:val="single" w:color="auto" w:sz="4" w:space="0"/>
              <w:right w:val="single" w:color="auto" w:sz="4" w:space="0"/>
            </w:tcBorders>
            <w:noWrap w:val="0"/>
            <w:vAlign w:val="center"/>
          </w:tcPr>
          <w:p w14:paraId="0C212772">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683E4030">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技术人员数量</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6B9170B7">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r>
      <w:tr w14:paraId="6A98EC2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115FD543">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r>
              <w:rPr>
                <w:rFonts w:hint="eastAsia"/>
                <w:color w:val="auto"/>
                <w:szCs w:val="21"/>
                <w:lang w:val="en-US" w:eastAsia="zh-CN"/>
              </w:rPr>
              <w:t>基本账户</w:t>
            </w:r>
          </w:p>
          <w:p w14:paraId="10C2608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银行账户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15684E6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c>
          <w:tcPr>
            <w:tcW w:w="567" w:type="dxa"/>
            <w:vMerge w:val="continue"/>
            <w:tcBorders>
              <w:left w:val="single" w:color="auto" w:sz="4" w:space="0"/>
              <w:right w:val="single" w:color="auto" w:sz="4" w:space="0"/>
            </w:tcBorders>
            <w:noWrap w:val="0"/>
            <w:vAlign w:val="center"/>
          </w:tcPr>
          <w:p w14:paraId="71633E55">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410F07E1">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各类注册人员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7B2DC26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r>
      <w:tr w14:paraId="61D3E1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738F7C92">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经营范围</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3E9F3BF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r>
      <w:tr w14:paraId="76E9957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7D3008D8">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50443AC5">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r>
      <w:tr w14:paraId="50A4D8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5C993083">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color w:val="auto"/>
                <w:szCs w:val="21"/>
                <w:lang w:val="en-US" w:eastAsia="zh-CN"/>
              </w:rPr>
            </w:pPr>
            <w:r>
              <w:rPr>
                <w:rFonts w:hint="eastAsia"/>
                <w:color w:val="auto"/>
                <w:szCs w:val="21"/>
                <w:lang w:val="en-US" w:eastAsia="zh-CN"/>
              </w:rPr>
              <w:t>备注</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1720D258">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color w:val="auto"/>
                <w:szCs w:val="21"/>
                <w:lang w:val="en-US" w:eastAsia="zh-CN"/>
              </w:rPr>
            </w:pPr>
          </w:p>
        </w:tc>
      </w:tr>
    </w:tbl>
    <w:p w14:paraId="29194753">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注：</w:t>
      </w:r>
      <w:r>
        <w:rPr>
          <w:rFonts w:hint="default" w:ascii="Times New Roman" w:hAnsi="Times New Roman" w:cs="Times New Roman"/>
          <w:color w:val="auto"/>
          <w:lang w:val="en-US" w:eastAsia="zh-CN"/>
        </w:rPr>
        <w:t>投标人应根据投标人须知</w:t>
      </w:r>
      <w:r>
        <w:rPr>
          <w:rFonts w:hint="default" w:ascii="Times New Roman" w:hAnsi="Times New Roman" w:cs="Times New Roman"/>
          <w:color w:val="auto"/>
          <w:highlight w:val="none"/>
          <w:lang w:val="en-US" w:eastAsia="zh-CN"/>
        </w:rPr>
        <w:t>第3.5.1项的要求在</w:t>
      </w:r>
      <w:r>
        <w:rPr>
          <w:rFonts w:hint="default" w:ascii="Times New Roman" w:hAnsi="Times New Roman" w:cs="Times New Roman"/>
          <w:color w:val="auto"/>
          <w:lang w:val="en-US" w:eastAsia="zh-CN"/>
        </w:rPr>
        <w:t>本表后附相关证明材料</w:t>
      </w:r>
      <w:r>
        <w:rPr>
          <w:rFonts w:hint="eastAsia" w:ascii="Times New Roman" w:hAnsi="Times New Roman" w:cs="Times New Roman"/>
          <w:color w:val="auto"/>
          <w:lang w:val="en-US" w:eastAsia="zh-CN"/>
        </w:rPr>
        <w:t>。</w:t>
      </w:r>
    </w:p>
    <w:p w14:paraId="03EBAED5">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附：3.5.1 “投标人基本情况表”应附投标人营业执照和组织机构代码证的复印件（按照“三证合一”或“五证合一”登记制度进行登记的，可仅提供营业执照复印件）、投标人资质证书副本（如有）等材料的复印件。</w:t>
      </w:r>
    </w:p>
    <w:p w14:paraId="42EBF175">
      <w:pPr>
        <w:rPr>
          <w:rFonts w:hint="eastAsia"/>
          <w:color w:val="auto"/>
        </w:rPr>
      </w:pPr>
      <w:r>
        <w:rPr>
          <w:rFonts w:hint="eastAsia"/>
          <w:color w:val="auto"/>
        </w:rPr>
        <w:br w:type="page"/>
      </w:r>
    </w:p>
    <w:p w14:paraId="439ED9E7">
      <w:pPr>
        <w:pStyle w:val="4"/>
        <w:jc w:val="both"/>
        <w:rPr>
          <w:rFonts w:hint="default" w:eastAsiaTheme="minorEastAsia"/>
          <w:color w:val="auto"/>
          <w:lang w:val="en-US" w:eastAsia="zh-CN"/>
        </w:rPr>
      </w:pPr>
      <w:r>
        <w:rPr>
          <w:color w:val="auto"/>
        </w:rPr>
        <w:t>（</w:t>
      </w:r>
      <w:r>
        <w:rPr>
          <w:rFonts w:hint="eastAsia"/>
          <w:color w:val="auto"/>
          <w:lang w:val="en-US" w:eastAsia="zh-CN"/>
        </w:rPr>
        <w:t>二</w:t>
      </w:r>
      <w:r>
        <w:rPr>
          <w:color w:val="auto"/>
        </w:rPr>
        <w:t>）</w:t>
      </w:r>
      <w:r>
        <w:rPr>
          <w:rFonts w:hint="eastAsia"/>
          <w:color w:val="auto"/>
          <w:lang w:val="en-US" w:eastAsia="zh-CN"/>
        </w:rPr>
        <w:t>近年财务状况表</w:t>
      </w:r>
    </w:p>
    <w:p w14:paraId="37C71117">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投标人应根据投标人须知第3.5.2项的要求在本表后附相关证明材料。</w:t>
      </w:r>
    </w:p>
    <w:p w14:paraId="43079CB7">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14:paraId="2E3CC30F">
      <w:pPr>
        <w:rPr>
          <w:rFonts w:hint="eastAsia"/>
          <w:color w:val="auto"/>
        </w:rPr>
      </w:pPr>
      <w:r>
        <w:rPr>
          <w:rFonts w:hint="eastAsia"/>
          <w:color w:val="auto"/>
        </w:rPr>
        <w:br w:type="page"/>
      </w:r>
    </w:p>
    <w:p w14:paraId="7FF02198">
      <w:pPr>
        <w:pStyle w:val="4"/>
        <w:rPr>
          <w:rFonts w:hint="default" w:ascii="Times New Roman" w:hAnsi="Times New Roman" w:cs="Times New Roman"/>
          <w:color w:val="auto"/>
        </w:rPr>
      </w:pPr>
      <w:r>
        <w:rPr>
          <w:rFonts w:hint="default" w:ascii="Times New Roman" w:hAnsi="Times New Roman" w:cs="Times New Roman"/>
          <w:color w:val="auto"/>
        </w:rPr>
        <w:t>（三）近年完成的类似项目情况表</w:t>
      </w:r>
    </w:p>
    <w:p w14:paraId="24768057">
      <w:pPr>
        <w:spacing w:line="440" w:lineRule="exact"/>
        <w:jc w:val="center"/>
        <w:rPr>
          <w:rFonts w:hint="default" w:ascii="Times New Roman" w:hAnsi="Times New Roman" w:eastAsia="黑体" w:cs="Times New Roman"/>
          <w:color w:val="auto"/>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6F4AA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3B7B980F">
            <w:pPr>
              <w:topLinePunct/>
              <w:spacing w:line="440" w:lineRule="exact"/>
              <w:jc w:val="center"/>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项目</w:t>
            </w:r>
            <w:r>
              <w:rPr>
                <w:rFonts w:hint="default" w:ascii="Times New Roman" w:hAnsi="Times New Roman" w:cs="Times New Roman"/>
                <w:color w:val="auto"/>
                <w:szCs w:val="21"/>
              </w:rPr>
              <w:t>名称</w:t>
            </w:r>
          </w:p>
        </w:tc>
        <w:tc>
          <w:tcPr>
            <w:tcW w:w="6253" w:type="dxa"/>
            <w:noWrap w:val="0"/>
            <w:vAlign w:val="top"/>
          </w:tcPr>
          <w:p w14:paraId="09EDDA7F">
            <w:pPr>
              <w:topLinePunct/>
              <w:spacing w:line="440" w:lineRule="exact"/>
              <w:rPr>
                <w:rFonts w:hint="default" w:ascii="Times New Roman" w:hAnsi="Times New Roman" w:cs="Times New Roman"/>
                <w:color w:val="auto"/>
                <w:szCs w:val="21"/>
                <w:highlight w:val="black"/>
              </w:rPr>
            </w:pPr>
          </w:p>
        </w:tc>
      </w:tr>
      <w:tr w14:paraId="380E8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73AA3091">
            <w:pPr>
              <w:topLinePunct/>
              <w:spacing w:line="440" w:lineRule="exact"/>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项目所在地</w:t>
            </w:r>
          </w:p>
        </w:tc>
        <w:tc>
          <w:tcPr>
            <w:tcW w:w="6253" w:type="dxa"/>
            <w:noWrap w:val="0"/>
            <w:vAlign w:val="top"/>
          </w:tcPr>
          <w:p w14:paraId="507CE859">
            <w:pPr>
              <w:topLinePunct/>
              <w:spacing w:line="440" w:lineRule="exact"/>
              <w:rPr>
                <w:rFonts w:hint="default" w:ascii="Times New Roman" w:hAnsi="Times New Roman" w:cs="Times New Roman"/>
                <w:color w:val="auto"/>
                <w:szCs w:val="21"/>
                <w:highlight w:val="black"/>
              </w:rPr>
            </w:pPr>
          </w:p>
        </w:tc>
      </w:tr>
      <w:tr w14:paraId="6A243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52226113">
            <w:pPr>
              <w:topLinePunct/>
              <w:spacing w:line="440" w:lineRule="exact"/>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发包人名称</w:t>
            </w:r>
          </w:p>
        </w:tc>
        <w:tc>
          <w:tcPr>
            <w:tcW w:w="6253" w:type="dxa"/>
            <w:noWrap w:val="0"/>
            <w:vAlign w:val="top"/>
          </w:tcPr>
          <w:p w14:paraId="2910444F">
            <w:pPr>
              <w:topLinePunct/>
              <w:spacing w:line="440" w:lineRule="exact"/>
              <w:rPr>
                <w:rFonts w:hint="default" w:ascii="Times New Roman" w:hAnsi="Times New Roman" w:cs="Times New Roman"/>
                <w:color w:val="auto"/>
                <w:szCs w:val="21"/>
                <w:highlight w:val="black"/>
              </w:rPr>
            </w:pPr>
          </w:p>
        </w:tc>
      </w:tr>
      <w:tr w14:paraId="109B7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122B4FBE">
            <w:pPr>
              <w:topLinePunct/>
              <w:spacing w:line="440" w:lineRule="exact"/>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发包人地址</w:t>
            </w:r>
          </w:p>
        </w:tc>
        <w:tc>
          <w:tcPr>
            <w:tcW w:w="6253" w:type="dxa"/>
            <w:noWrap w:val="0"/>
            <w:vAlign w:val="top"/>
          </w:tcPr>
          <w:p w14:paraId="542E735F">
            <w:pPr>
              <w:topLinePunct/>
              <w:spacing w:line="440" w:lineRule="exact"/>
              <w:rPr>
                <w:rFonts w:hint="default" w:ascii="Times New Roman" w:hAnsi="Times New Roman" w:cs="Times New Roman"/>
                <w:color w:val="auto"/>
                <w:szCs w:val="21"/>
                <w:highlight w:val="black"/>
              </w:rPr>
            </w:pPr>
          </w:p>
        </w:tc>
      </w:tr>
      <w:tr w14:paraId="18540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14:paraId="6924D643">
            <w:pPr>
              <w:topLinePunct/>
              <w:spacing w:line="440" w:lineRule="exact"/>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发包人电话</w:t>
            </w:r>
          </w:p>
        </w:tc>
        <w:tc>
          <w:tcPr>
            <w:tcW w:w="6253" w:type="dxa"/>
            <w:noWrap w:val="0"/>
            <w:vAlign w:val="top"/>
          </w:tcPr>
          <w:p w14:paraId="49AD05B7">
            <w:pPr>
              <w:topLinePunct/>
              <w:spacing w:line="440" w:lineRule="exact"/>
              <w:rPr>
                <w:rFonts w:hint="default" w:ascii="Times New Roman" w:hAnsi="Times New Roman" w:cs="Times New Roman"/>
                <w:color w:val="auto"/>
                <w:szCs w:val="21"/>
              </w:rPr>
            </w:pPr>
          </w:p>
        </w:tc>
      </w:tr>
      <w:tr w14:paraId="420136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511EEE57">
            <w:pPr>
              <w:topLinePunct/>
              <w:spacing w:line="44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合同价格</w:t>
            </w:r>
          </w:p>
        </w:tc>
        <w:tc>
          <w:tcPr>
            <w:tcW w:w="6253" w:type="dxa"/>
            <w:noWrap w:val="0"/>
            <w:vAlign w:val="top"/>
          </w:tcPr>
          <w:p w14:paraId="78D1C833">
            <w:pPr>
              <w:topLinePunct/>
              <w:spacing w:line="440" w:lineRule="exact"/>
              <w:rPr>
                <w:rFonts w:hint="default" w:ascii="Times New Roman" w:hAnsi="Times New Roman" w:cs="Times New Roman"/>
                <w:color w:val="auto"/>
                <w:szCs w:val="21"/>
              </w:rPr>
            </w:pPr>
          </w:p>
        </w:tc>
      </w:tr>
      <w:tr w14:paraId="039BA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23E2E18A">
            <w:pPr>
              <w:topLinePunct/>
              <w:spacing w:line="440" w:lineRule="exact"/>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服务期限</w:t>
            </w:r>
          </w:p>
        </w:tc>
        <w:tc>
          <w:tcPr>
            <w:tcW w:w="6253" w:type="dxa"/>
            <w:noWrap w:val="0"/>
            <w:vAlign w:val="top"/>
          </w:tcPr>
          <w:p w14:paraId="12A22C6E">
            <w:pPr>
              <w:topLinePunct/>
              <w:spacing w:line="440" w:lineRule="exact"/>
              <w:rPr>
                <w:rFonts w:hint="default" w:ascii="Times New Roman" w:hAnsi="Times New Roman" w:cs="Times New Roman"/>
                <w:color w:val="auto"/>
                <w:szCs w:val="21"/>
              </w:rPr>
            </w:pPr>
          </w:p>
        </w:tc>
      </w:tr>
      <w:tr w14:paraId="29009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24B085F2">
            <w:pPr>
              <w:topLinePunct/>
              <w:spacing w:line="440" w:lineRule="exact"/>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服务内容</w:t>
            </w:r>
          </w:p>
        </w:tc>
        <w:tc>
          <w:tcPr>
            <w:tcW w:w="6253" w:type="dxa"/>
            <w:noWrap w:val="0"/>
            <w:vAlign w:val="top"/>
          </w:tcPr>
          <w:p w14:paraId="77CAE14D">
            <w:pPr>
              <w:topLinePunct/>
              <w:spacing w:line="440" w:lineRule="exact"/>
              <w:rPr>
                <w:rFonts w:hint="default" w:ascii="Times New Roman" w:hAnsi="Times New Roman" w:cs="Times New Roman"/>
                <w:color w:val="auto"/>
                <w:szCs w:val="21"/>
              </w:rPr>
            </w:pPr>
          </w:p>
        </w:tc>
      </w:tr>
      <w:tr w14:paraId="6608F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30B36CA3">
            <w:pPr>
              <w:topLinePunct/>
              <w:spacing w:line="440" w:lineRule="exact"/>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项目负责人</w:t>
            </w:r>
          </w:p>
        </w:tc>
        <w:tc>
          <w:tcPr>
            <w:tcW w:w="6253" w:type="dxa"/>
            <w:noWrap w:val="0"/>
            <w:vAlign w:val="top"/>
          </w:tcPr>
          <w:p w14:paraId="38B34F61">
            <w:pPr>
              <w:topLinePunct/>
              <w:spacing w:line="440" w:lineRule="exact"/>
              <w:rPr>
                <w:rFonts w:hint="default" w:ascii="Times New Roman" w:hAnsi="Times New Roman" w:cs="Times New Roman"/>
                <w:color w:val="auto"/>
                <w:szCs w:val="21"/>
              </w:rPr>
            </w:pPr>
          </w:p>
        </w:tc>
      </w:tr>
      <w:tr w14:paraId="5EEC77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518E8619">
            <w:pPr>
              <w:topLinePunct/>
              <w:spacing w:line="440" w:lineRule="exact"/>
              <w:jc w:val="center"/>
              <w:rPr>
                <w:rFonts w:hint="eastAsia" w:ascii="Times New Roman" w:hAnsi="Times New Roman" w:cs="Times New Roman" w:eastAsiaTheme="minorEastAsia"/>
                <w:color w:val="auto"/>
                <w:szCs w:val="21"/>
                <w:lang w:val="en-US" w:eastAsia="zh-CN"/>
              </w:rPr>
            </w:pPr>
            <w:r>
              <w:rPr>
                <w:rFonts w:hint="default" w:ascii="Times New Roman" w:hAnsi="Times New Roman" w:cs="Times New Roman"/>
                <w:color w:val="auto"/>
                <w:szCs w:val="21"/>
              </w:rPr>
              <w:t>项目</w:t>
            </w:r>
            <w:r>
              <w:rPr>
                <w:rFonts w:hint="eastAsia" w:ascii="Times New Roman" w:hAnsi="Times New Roman" w:cs="Times New Roman"/>
                <w:color w:val="auto"/>
                <w:szCs w:val="21"/>
                <w:lang w:val="en-US" w:eastAsia="zh-CN"/>
              </w:rPr>
              <w:t>描述</w:t>
            </w:r>
          </w:p>
        </w:tc>
        <w:tc>
          <w:tcPr>
            <w:tcW w:w="6253" w:type="dxa"/>
            <w:noWrap w:val="0"/>
            <w:vAlign w:val="top"/>
          </w:tcPr>
          <w:p w14:paraId="6BD7FA0A">
            <w:pPr>
              <w:topLinePunct/>
              <w:spacing w:line="440" w:lineRule="exact"/>
              <w:rPr>
                <w:rFonts w:hint="default" w:ascii="Times New Roman" w:hAnsi="Times New Roman" w:cs="Times New Roman"/>
                <w:color w:val="auto"/>
                <w:szCs w:val="21"/>
              </w:rPr>
            </w:pPr>
          </w:p>
          <w:p w14:paraId="68C95BFD">
            <w:pPr>
              <w:topLinePunct/>
              <w:spacing w:line="440" w:lineRule="exact"/>
              <w:rPr>
                <w:rFonts w:hint="default" w:ascii="Times New Roman" w:hAnsi="Times New Roman" w:cs="Times New Roman"/>
                <w:color w:val="auto"/>
                <w:szCs w:val="21"/>
              </w:rPr>
            </w:pPr>
          </w:p>
          <w:p w14:paraId="64C8EF13">
            <w:pPr>
              <w:topLinePunct/>
              <w:spacing w:line="440" w:lineRule="exact"/>
              <w:rPr>
                <w:rFonts w:hint="default" w:ascii="Times New Roman" w:hAnsi="Times New Roman" w:cs="Times New Roman"/>
                <w:color w:val="auto"/>
                <w:szCs w:val="21"/>
              </w:rPr>
            </w:pPr>
          </w:p>
          <w:p w14:paraId="08AD8D3F">
            <w:pPr>
              <w:topLinePunct/>
              <w:spacing w:line="440" w:lineRule="exact"/>
              <w:rPr>
                <w:rFonts w:hint="default" w:ascii="Times New Roman" w:hAnsi="Times New Roman" w:cs="Times New Roman"/>
                <w:color w:val="auto"/>
                <w:szCs w:val="21"/>
              </w:rPr>
            </w:pPr>
          </w:p>
          <w:p w14:paraId="740731F9">
            <w:pPr>
              <w:topLinePunct/>
              <w:spacing w:line="440" w:lineRule="exact"/>
              <w:rPr>
                <w:rFonts w:hint="default" w:ascii="Times New Roman" w:hAnsi="Times New Roman" w:cs="Times New Roman"/>
                <w:color w:val="auto"/>
                <w:szCs w:val="21"/>
              </w:rPr>
            </w:pPr>
          </w:p>
          <w:p w14:paraId="5777F655">
            <w:pPr>
              <w:topLinePunct/>
              <w:spacing w:line="440" w:lineRule="exact"/>
              <w:rPr>
                <w:rFonts w:hint="default" w:ascii="Times New Roman" w:hAnsi="Times New Roman" w:cs="Times New Roman"/>
                <w:color w:val="auto"/>
                <w:szCs w:val="21"/>
              </w:rPr>
            </w:pPr>
          </w:p>
          <w:p w14:paraId="31F09F56">
            <w:pPr>
              <w:topLinePunct/>
              <w:spacing w:line="440" w:lineRule="exact"/>
              <w:rPr>
                <w:rFonts w:hint="default" w:ascii="Times New Roman" w:hAnsi="Times New Roman" w:cs="Times New Roman"/>
                <w:color w:val="auto"/>
                <w:szCs w:val="21"/>
              </w:rPr>
            </w:pPr>
          </w:p>
        </w:tc>
      </w:tr>
      <w:tr w14:paraId="0BDFA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32FB2D3C">
            <w:pPr>
              <w:topLinePunct/>
              <w:spacing w:line="44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备注</w:t>
            </w:r>
          </w:p>
        </w:tc>
        <w:tc>
          <w:tcPr>
            <w:tcW w:w="6253" w:type="dxa"/>
            <w:noWrap w:val="0"/>
            <w:vAlign w:val="top"/>
          </w:tcPr>
          <w:p w14:paraId="14A110D1">
            <w:pPr>
              <w:topLinePunct/>
              <w:spacing w:line="440" w:lineRule="exact"/>
              <w:rPr>
                <w:rFonts w:hint="default" w:ascii="Times New Roman" w:hAnsi="Times New Roman" w:cs="Times New Roman"/>
                <w:color w:val="auto"/>
                <w:szCs w:val="21"/>
              </w:rPr>
            </w:pPr>
          </w:p>
        </w:tc>
      </w:tr>
    </w:tbl>
    <w:p w14:paraId="4A8721AD">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注：投标人应根据投标人须知第3.5.3项的要求在本表后附相关证明材料；</w:t>
      </w:r>
    </w:p>
    <w:p w14:paraId="1AC81076">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附：3.5.3 “近年完成的类似项目情况表”应附合同协议书；具体时间要求见投标人须知前附表，每张表格只填写一个项目，并标明序号。</w:t>
      </w:r>
    </w:p>
    <w:p w14:paraId="0B49FB77">
      <w:pPr>
        <w:rPr>
          <w:rFonts w:hint="eastAsia"/>
          <w:color w:val="auto"/>
        </w:rPr>
      </w:pPr>
      <w:r>
        <w:rPr>
          <w:rFonts w:hint="eastAsia"/>
          <w:color w:val="auto"/>
        </w:rPr>
        <w:br w:type="page"/>
      </w:r>
    </w:p>
    <w:p w14:paraId="2A34C2EB">
      <w:pPr>
        <w:pStyle w:val="4"/>
        <w:rPr>
          <w:rFonts w:hint="default" w:ascii="Times New Roman" w:hAnsi="Times New Roman" w:eastAsia="宋体" w:cs="Times New Roman"/>
          <w:b w:val="0"/>
          <w:bCs w:val="0"/>
          <w:color w:val="auto"/>
          <w:kern w:val="0"/>
          <w:sz w:val="24"/>
          <w:szCs w:val="24"/>
          <w:highlight w:val="none"/>
          <w:u w:val="none"/>
          <w:lang w:val="en-US" w:eastAsia="zh-CN" w:bidi="ar-SA"/>
        </w:rPr>
      </w:pPr>
      <w:r>
        <w:rPr>
          <w:rFonts w:hint="eastAsia" w:ascii="Times New Roman" w:hAnsi="Times New Roman" w:cs="Times New Roman"/>
          <w:color w:val="auto"/>
          <w:lang w:val="en-US" w:eastAsia="zh-CN"/>
        </w:rPr>
        <w:t>（四）拟委任的主要人员汇总表</w:t>
      </w:r>
    </w:p>
    <w:tbl>
      <w:tblPr>
        <w:tblStyle w:val="17"/>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14:paraId="0079A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vAlign w:val="center"/>
          </w:tcPr>
          <w:p w14:paraId="0FA92BA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color w:val="auto"/>
                <w:kern w:val="0"/>
                <w:sz w:val="24"/>
                <w:szCs w:val="24"/>
                <w:highlight w:val="none"/>
                <w:u w:val="none"/>
                <w:vertAlign w:val="baseline"/>
                <w:lang w:val="en-US" w:eastAsia="zh-CN" w:bidi="ar-SA"/>
              </w:rPr>
            </w:pPr>
            <w:r>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t>序号</w:t>
            </w:r>
          </w:p>
        </w:tc>
        <w:tc>
          <w:tcPr>
            <w:tcW w:w="948" w:type="pct"/>
            <w:vMerge w:val="restart"/>
            <w:vAlign w:val="center"/>
          </w:tcPr>
          <w:p w14:paraId="12F72D6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color w:val="auto"/>
                <w:kern w:val="0"/>
                <w:sz w:val="24"/>
                <w:szCs w:val="24"/>
                <w:highlight w:val="none"/>
                <w:u w:val="none"/>
                <w:vertAlign w:val="baseline"/>
                <w:lang w:val="en-US" w:eastAsia="zh-CN" w:bidi="ar-SA"/>
              </w:rPr>
            </w:pPr>
            <w:r>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t>本项目任职</w:t>
            </w:r>
          </w:p>
        </w:tc>
        <w:tc>
          <w:tcPr>
            <w:tcW w:w="466" w:type="pct"/>
            <w:vMerge w:val="restart"/>
            <w:vAlign w:val="center"/>
          </w:tcPr>
          <w:p w14:paraId="72B9EB0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color w:val="auto"/>
                <w:kern w:val="0"/>
                <w:sz w:val="24"/>
                <w:szCs w:val="24"/>
                <w:highlight w:val="none"/>
                <w:u w:val="none"/>
                <w:vertAlign w:val="baseline"/>
                <w:lang w:val="en-US" w:eastAsia="zh-CN" w:bidi="ar-SA"/>
              </w:rPr>
            </w:pPr>
            <w:r>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t>姓名</w:t>
            </w:r>
          </w:p>
        </w:tc>
        <w:tc>
          <w:tcPr>
            <w:tcW w:w="466" w:type="pct"/>
            <w:vMerge w:val="restart"/>
            <w:vAlign w:val="center"/>
          </w:tcPr>
          <w:p w14:paraId="5CDC113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color w:val="auto"/>
                <w:kern w:val="0"/>
                <w:sz w:val="24"/>
                <w:szCs w:val="24"/>
                <w:highlight w:val="none"/>
                <w:u w:val="none"/>
                <w:vertAlign w:val="baseline"/>
                <w:lang w:val="en-US" w:eastAsia="zh-CN" w:bidi="ar-SA"/>
              </w:rPr>
            </w:pPr>
            <w:r>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t>职称</w:t>
            </w:r>
          </w:p>
        </w:tc>
        <w:tc>
          <w:tcPr>
            <w:tcW w:w="466" w:type="pct"/>
            <w:vMerge w:val="restart"/>
            <w:vAlign w:val="center"/>
          </w:tcPr>
          <w:p w14:paraId="0894B17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color w:val="auto"/>
                <w:kern w:val="0"/>
                <w:sz w:val="24"/>
                <w:szCs w:val="24"/>
                <w:highlight w:val="none"/>
                <w:u w:val="none"/>
                <w:vertAlign w:val="baseline"/>
                <w:lang w:val="en-US" w:eastAsia="zh-CN" w:bidi="ar-SA"/>
              </w:rPr>
            </w:pPr>
            <w:r>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t>专业</w:t>
            </w:r>
          </w:p>
        </w:tc>
        <w:tc>
          <w:tcPr>
            <w:tcW w:w="1725" w:type="pct"/>
            <w:gridSpan w:val="3"/>
            <w:vAlign w:val="center"/>
          </w:tcPr>
          <w:p w14:paraId="1B77462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color w:val="auto"/>
                <w:kern w:val="0"/>
                <w:sz w:val="24"/>
                <w:szCs w:val="24"/>
                <w:highlight w:val="none"/>
                <w:u w:val="none"/>
                <w:vertAlign w:val="baseline"/>
                <w:lang w:val="en-US" w:eastAsia="zh-CN" w:bidi="ar-SA"/>
              </w:rPr>
            </w:pPr>
            <w:r>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t>执业或职业资格证明</w:t>
            </w:r>
          </w:p>
        </w:tc>
        <w:tc>
          <w:tcPr>
            <w:tcW w:w="466" w:type="pct"/>
            <w:vMerge w:val="restart"/>
            <w:vAlign w:val="center"/>
          </w:tcPr>
          <w:p w14:paraId="61155FC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color w:val="auto"/>
                <w:kern w:val="0"/>
                <w:sz w:val="24"/>
                <w:szCs w:val="24"/>
                <w:highlight w:val="none"/>
                <w:u w:val="none"/>
                <w:vertAlign w:val="baseline"/>
                <w:lang w:val="en-US" w:eastAsia="zh-CN" w:bidi="ar-SA"/>
              </w:rPr>
            </w:pPr>
            <w:r>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t>备注</w:t>
            </w:r>
          </w:p>
        </w:tc>
      </w:tr>
      <w:tr w14:paraId="639F5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vAlign w:val="center"/>
          </w:tcPr>
          <w:p w14:paraId="526AFE9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Merge w:val="continue"/>
            <w:vAlign w:val="center"/>
          </w:tcPr>
          <w:p w14:paraId="0177CD4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Merge w:val="continue"/>
            <w:vAlign w:val="center"/>
          </w:tcPr>
          <w:p w14:paraId="6477708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Merge w:val="continue"/>
            <w:vAlign w:val="center"/>
          </w:tcPr>
          <w:p w14:paraId="6634ECA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Merge w:val="continue"/>
            <w:vAlign w:val="center"/>
          </w:tcPr>
          <w:p w14:paraId="1BC3565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4470E89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r>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t>证明名称</w:t>
            </w:r>
          </w:p>
        </w:tc>
        <w:tc>
          <w:tcPr>
            <w:tcW w:w="466" w:type="pct"/>
            <w:vAlign w:val="center"/>
          </w:tcPr>
          <w:p w14:paraId="74F574E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r>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t>级别</w:t>
            </w:r>
          </w:p>
        </w:tc>
        <w:tc>
          <w:tcPr>
            <w:tcW w:w="471" w:type="pct"/>
            <w:vAlign w:val="center"/>
          </w:tcPr>
          <w:p w14:paraId="79DB0AE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r>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t>证号</w:t>
            </w:r>
          </w:p>
        </w:tc>
        <w:tc>
          <w:tcPr>
            <w:tcW w:w="466" w:type="pct"/>
            <w:vMerge w:val="continue"/>
            <w:vAlign w:val="center"/>
          </w:tcPr>
          <w:p w14:paraId="1F687A5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03985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822718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7C4613A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2F8E081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AAD167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4A7DF00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1869305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45000DD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4CF260D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1EE72D1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57066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4B7295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439C1A5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457F132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2F2EE92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21D1A4C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674C18A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A4AEFE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59FCD2B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45EA384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7921E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579B1B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02B2343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4AF713D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11917FA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7C7602C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0B42A18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36100B9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44C7071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4466D05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71553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F6A338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6927C1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2F5F2B8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74AC3A1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5BF4232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2127B1B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42A6259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4DF4F26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167E4FD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19D6B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C898E4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15E95B0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C3C0E1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3B6F50B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2437049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3792978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6932EDE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38CC8CE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4B5BE0A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2AEA6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DC0B58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05AEDBB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2F5B472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454D50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DF0D5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1D4EDB6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37798A7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2A3F9F8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16B017E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15F79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9B31C4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5B02F86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3E2046F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6951C05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0B5E2E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5310743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756CFAA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435B45E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EAE6F3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797E32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1915A3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43EB1ED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62493C4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676B933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1BBEE1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5ED4F67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2B938A8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7B167A8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53B6DCE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092DA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669B521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3DDBCDC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2845C9A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6D285A4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4C33D9F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29D3EF9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74194F1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62D35CB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71B74D7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53D063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5607D5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304ED76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6B0D32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1BEACFD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C5EF3D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252F8A2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62E9F54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0A876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53C26E8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53055D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6832E6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3ED7A77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5F653B6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72132C9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1994F5B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189E9A0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6839968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1BABBD6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2205DCD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7BD67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4BA9075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24EA1A2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186B8C3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CFB042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540F82D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3762358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6A378BC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48555FA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40D19C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0B7FC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AE85B8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7EB45A9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4F4FBE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11CE009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5585F94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53B76A1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40F2D1A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490AE68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5EB1697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50BC8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D4BEBC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284D8D8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CC4F91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5349322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D58490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2E5216E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461E142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47E24F1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19D206E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1884A5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781CD2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45C9237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363B178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F6A34B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1D89448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09FF2ED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7106DAA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152DB8D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2349866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706F1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D0007A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5F81517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C7A888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7C08E7F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46407DA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36C2D3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C7D92A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776A7FD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001365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1D636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2B0ED2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151E8E4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4A64DF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4AEEC9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1A7D19D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41DA942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7A803A5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177E860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266875D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1801D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CBFFAB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6E589C4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2AF44C9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75448B0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34CB2BD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248D795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6524C42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01FBA48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523EBEA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2F96F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5D9340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5EA70F9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782BB1E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508966C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41D2FA7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4E1D1A7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400DF4E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49EFC18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7B91328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77A02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334B0A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7049B47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1169A10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11C6F65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3D79F40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64EB133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58525AF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67DD06B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60B2B31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45B2D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12EFCA8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23D2843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5AD9988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78DFB59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3347E1C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74D7738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997E15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40327B2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039E64A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r w14:paraId="4B760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823745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948" w:type="pct"/>
            <w:vAlign w:val="center"/>
          </w:tcPr>
          <w:p w14:paraId="62A9BBD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59E7028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496386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1C68BD5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787" w:type="pct"/>
            <w:vAlign w:val="center"/>
          </w:tcPr>
          <w:p w14:paraId="3FC3621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3670B70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71" w:type="pct"/>
            <w:vAlign w:val="center"/>
          </w:tcPr>
          <w:p w14:paraId="3FEC001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c>
          <w:tcPr>
            <w:tcW w:w="466" w:type="pct"/>
            <w:vAlign w:val="center"/>
          </w:tcPr>
          <w:p w14:paraId="677FE8A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color w:val="auto"/>
                <w:kern w:val="0"/>
                <w:sz w:val="24"/>
                <w:szCs w:val="24"/>
                <w:highlight w:val="none"/>
                <w:u w:val="none"/>
                <w:vertAlign w:val="baseline"/>
                <w:lang w:val="en-US" w:eastAsia="zh-CN" w:bidi="ar-SA"/>
              </w:rPr>
            </w:pPr>
          </w:p>
        </w:tc>
      </w:tr>
    </w:tbl>
    <w:p w14:paraId="03A0B4AD">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color w:val="auto"/>
          <w:kern w:val="0"/>
          <w:sz w:val="24"/>
          <w:szCs w:val="24"/>
          <w:highlight w:val="none"/>
          <w:u w:val="none"/>
          <w:lang w:val="en-US" w:eastAsia="zh-CN" w:bidi="ar-SA"/>
        </w:rPr>
      </w:pPr>
    </w:p>
    <w:p w14:paraId="0C61E685">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color w:val="auto"/>
          <w:kern w:val="0"/>
          <w:sz w:val="24"/>
          <w:szCs w:val="24"/>
          <w:highlight w:val="none"/>
          <w:u w:val="none"/>
          <w:lang w:val="en-US" w:eastAsia="zh-CN" w:bidi="ar-SA"/>
        </w:rPr>
      </w:pPr>
    </w:p>
    <w:p w14:paraId="68539975">
      <w:pPr>
        <w:rPr>
          <w:rFonts w:hint="eastAsia"/>
          <w:i/>
          <w:iCs/>
          <w:color w:val="auto"/>
          <w:u w:val="single"/>
          <w:lang w:val="en-US" w:eastAsia="zh-CN"/>
        </w:rPr>
      </w:pPr>
    </w:p>
    <w:p w14:paraId="570E989B">
      <w:pPr>
        <w:pStyle w:val="4"/>
        <w:rPr>
          <w:rFonts w:hint="default" w:ascii="Times New Roman" w:hAnsi="Times New Roman" w:eastAsia="宋体" w:cs="Times New Roman"/>
          <w:b w:val="0"/>
          <w:bCs w:val="0"/>
          <w:color w:val="auto"/>
          <w:kern w:val="0"/>
          <w:sz w:val="24"/>
          <w:szCs w:val="24"/>
          <w:highlight w:val="none"/>
          <w:u w:val="none"/>
          <w:lang w:val="en-US" w:eastAsia="zh-CN" w:bidi="ar-SA"/>
        </w:rPr>
      </w:pPr>
      <w:r>
        <w:rPr>
          <w:rFonts w:hint="eastAsia" w:ascii="Times New Roman" w:hAnsi="Times New Roman" w:cs="Times New Roman"/>
          <w:color w:val="auto"/>
          <w:lang w:val="en-US" w:eastAsia="zh-CN"/>
        </w:rPr>
        <w:t>（五）主要人员简历表</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14:paraId="4D6FC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0921DE78">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姓名</w:t>
            </w:r>
          </w:p>
        </w:tc>
        <w:tc>
          <w:tcPr>
            <w:tcW w:w="1134" w:type="dxa"/>
            <w:vAlign w:val="center"/>
          </w:tcPr>
          <w:p w14:paraId="6515998D">
            <w:pPr>
              <w:jc w:val="center"/>
              <w:rPr>
                <w:rFonts w:hint="eastAsia"/>
                <w:i w:val="0"/>
                <w:iCs w:val="0"/>
                <w:color w:val="auto"/>
                <w:u w:val="none"/>
                <w:vertAlign w:val="baseline"/>
                <w:lang w:val="en-US" w:eastAsia="zh-CN"/>
              </w:rPr>
            </w:pPr>
          </w:p>
        </w:tc>
        <w:tc>
          <w:tcPr>
            <w:tcW w:w="1134" w:type="dxa"/>
            <w:vAlign w:val="center"/>
          </w:tcPr>
          <w:p w14:paraId="18368F1E">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年龄</w:t>
            </w:r>
          </w:p>
        </w:tc>
        <w:tc>
          <w:tcPr>
            <w:tcW w:w="1134" w:type="dxa"/>
            <w:vAlign w:val="center"/>
          </w:tcPr>
          <w:p w14:paraId="473875D6">
            <w:pPr>
              <w:jc w:val="center"/>
              <w:rPr>
                <w:rFonts w:hint="eastAsia"/>
                <w:i w:val="0"/>
                <w:iCs w:val="0"/>
                <w:color w:val="auto"/>
                <w:u w:val="none"/>
                <w:vertAlign w:val="baseline"/>
                <w:lang w:val="en-US" w:eastAsia="zh-CN"/>
              </w:rPr>
            </w:pPr>
          </w:p>
        </w:tc>
        <w:tc>
          <w:tcPr>
            <w:tcW w:w="1701" w:type="dxa"/>
            <w:vAlign w:val="center"/>
          </w:tcPr>
          <w:p w14:paraId="301D6B98">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执业资格证书（或上岗证书）名称</w:t>
            </w:r>
          </w:p>
        </w:tc>
        <w:tc>
          <w:tcPr>
            <w:tcW w:w="2285" w:type="dxa"/>
            <w:vAlign w:val="center"/>
          </w:tcPr>
          <w:p w14:paraId="3921082B">
            <w:pPr>
              <w:jc w:val="center"/>
              <w:rPr>
                <w:rFonts w:hint="eastAsia"/>
                <w:i w:val="0"/>
                <w:iCs w:val="0"/>
                <w:color w:val="auto"/>
                <w:u w:val="none"/>
                <w:vertAlign w:val="baseline"/>
                <w:lang w:val="en-US" w:eastAsia="zh-CN"/>
              </w:rPr>
            </w:pPr>
          </w:p>
        </w:tc>
      </w:tr>
      <w:tr w14:paraId="61701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43910C1D">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职称</w:t>
            </w:r>
          </w:p>
        </w:tc>
        <w:tc>
          <w:tcPr>
            <w:tcW w:w="1134" w:type="dxa"/>
            <w:vAlign w:val="center"/>
          </w:tcPr>
          <w:p w14:paraId="627EE113">
            <w:pPr>
              <w:jc w:val="center"/>
              <w:rPr>
                <w:rFonts w:hint="eastAsia"/>
                <w:i w:val="0"/>
                <w:iCs w:val="0"/>
                <w:color w:val="auto"/>
                <w:u w:val="none"/>
                <w:vertAlign w:val="baseline"/>
                <w:lang w:val="en-US" w:eastAsia="zh-CN"/>
              </w:rPr>
            </w:pPr>
          </w:p>
        </w:tc>
        <w:tc>
          <w:tcPr>
            <w:tcW w:w="1134" w:type="dxa"/>
            <w:vAlign w:val="center"/>
          </w:tcPr>
          <w:p w14:paraId="3BCEFA4D">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学历</w:t>
            </w:r>
          </w:p>
        </w:tc>
        <w:tc>
          <w:tcPr>
            <w:tcW w:w="1134" w:type="dxa"/>
            <w:vAlign w:val="center"/>
          </w:tcPr>
          <w:p w14:paraId="429D3297">
            <w:pPr>
              <w:jc w:val="center"/>
              <w:rPr>
                <w:rFonts w:hint="eastAsia"/>
                <w:i w:val="0"/>
                <w:iCs w:val="0"/>
                <w:color w:val="auto"/>
                <w:u w:val="none"/>
                <w:vertAlign w:val="baseline"/>
                <w:lang w:val="en-US" w:eastAsia="zh-CN"/>
              </w:rPr>
            </w:pPr>
          </w:p>
        </w:tc>
        <w:tc>
          <w:tcPr>
            <w:tcW w:w="1701" w:type="dxa"/>
            <w:vAlign w:val="center"/>
          </w:tcPr>
          <w:p w14:paraId="20DD56A6">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拟在本项目任职</w:t>
            </w:r>
          </w:p>
        </w:tc>
        <w:tc>
          <w:tcPr>
            <w:tcW w:w="2285" w:type="dxa"/>
            <w:vAlign w:val="center"/>
          </w:tcPr>
          <w:p w14:paraId="7400245D">
            <w:pPr>
              <w:jc w:val="center"/>
              <w:rPr>
                <w:rFonts w:hint="eastAsia"/>
                <w:i w:val="0"/>
                <w:iCs w:val="0"/>
                <w:color w:val="auto"/>
                <w:u w:val="none"/>
                <w:vertAlign w:val="baseline"/>
                <w:lang w:val="en-US" w:eastAsia="zh-CN"/>
              </w:rPr>
            </w:pPr>
          </w:p>
        </w:tc>
      </w:tr>
      <w:tr w14:paraId="2C44A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0CB502E5">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3402" w:type="dxa"/>
            <w:gridSpan w:val="3"/>
            <w:vAlign w:val="center"/>
          </w:tcPr>
          <w:p w14:paraId="56486B6B">
            <w:pPr>
              <w:jc w:val="center"/>
              <w:rPr>
                <w:rFonts w:hint="eastAsia"/>
                <w:i w:val="0"/>
                <w:iCs w:val="0"/>
                <w:color w:val="auto"/>
                <w:u w:val="none"/>
                <w:vertAlign w:val="baseline"/>
                <w:lang w:val="en-US" w:eastAsia="zh-CN"/>
              </w:rPr>
            </w:pPr>
          </w:p>
        </w:tc>
        <w:tc>
          <w:tcPr>
            <w:tcW w:w="1701" w:type="dxa"/>
            <w:vAlign w:val="center"/>
          </w:tcPr>
          <w:p w14:paraId="5ACAF3FB">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从事本项目服务工作年限</w:t>
            </w:r>
          </w:p>
        </w:tc>
        <w:tc>
          <w:tcPr>
            <w:tcW w:w="2285" w:type="dxa"/>
            <w:vAlign w:val="center"/>
          </w:tcPr>
          <w:p w14:paraId="689E4492">
            <w:pPr>
              <w:jc w:val="center"/>
              <w:rPr>
                <w:rFonts w:hint="eastAsia"/>
                <w:i w:val="0"/>
                <w:iCs w:val="0"/>
                <w:color w:val="auto"/>
                <w:u w:val="none"/>
                <w:vertAlign w:val="baseline"/>
                <w:lang w:val="en-US" w:eastAsia="zh-CN"/>
              </w:rPr>
            </w:pPr>
          </w:p>
        </w:tc>
      </w:tr>
      <w:tr w14:paraId="38F83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482528C3">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毕业学校</w:t>
            </w:r>
          </w:p>
        </w:tc>
        <w:tc>
          <w:tcPr>
            <w:tcW w:w="7388" w:type="dxa"/>
            <w:gridSpan w:val="5"/>
            <w:vAlign w:val="center"/>
          </w:tcPr>
          <w:p w14:paraId="4115D7A5">
            <w:pPr>
              <w:jc w:val="both"/>
              <w:rPr>
                <w:rFonts w:hint="default"/>
                <w:i w:val="0"/>
                <w:iCs w:val="0"/>
                <w:color w:val="auto"/>
                <w:u w:val="none"/>
                <w:vertAlign w:val="baseline"/>
                <w:lang w:val="en-US" w:eastAsia="zh-CN"/>
              </w:rPr>
            </w:pP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年毕业于</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学校</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专业</w:t>
            </w:r>
          </w:p>
        </w:tc>
      </w:tr>
      <w:tr w14:paraId="0BE76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14:paraId="34FFFDE1">
            <w:pPr>
              <w:jc w:val="both"/>
              <w:rPr>
                <w:rFonts w:hint="eastAsia"/>
                <w:i w:val="0"/>
                <w:iCs w:val="0"/>
                <w:color w:val="auto"/>
                <w:u w:val="none"/>
                <w:vertAlign w:val="baseline"/>
                <w:lang w:val="en-US" w:eastAsia="zh-CN"/>
              </w:rPr>
            </w:pPr>
            <w:r>
              <w:rPr>
                <w:rFonts w:hint="eastAsia"/>
                <w:i w:val="0"/>
                <w:iCs w:val="0"/>
                <w:color w:val="auto"/>
                <w:u w:val="none"/>
                <w:vertAlign w:val="baseline"/>
                <w:lang w:val="en-US" w:eastAsia="zh-CN"/>
              </w:rPr>
              <w:t>主要工作经历</w:t>
            </w:r>
          </w:p>
        </w:tc>
      </w:tr>
      <w:tr w14:paraId="5241D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5EDFCD86">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时间</w:t>
            </w:r>
          </w:p>
        </w:tc>
        <w:tc>
          <w:tcPr>
            <w:tcW w:w="3402" w:type="dxa"/>
            <w:gridSpan w:val="3"/>
            <w:vAlign w:val="center"/>
          </w:tcPr>
          <w:p w14:paraId="3FEBDB38">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参加过的类似项目</w:t>
            </w:r>
          </w:p>
        </w:tc>
        <w:tc>
          <w:tcPr>
            <w:tcW w:w="1701" w:type="dxa"/>
            <w:vAlign w:val="center"/>
          </w:tcPr>
          <w:p w14:paraId="28B5ABE7">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担任职称</w:t>
            </w:r>
          </w:p>
        </w:tc>
        <w:tc>
          <w:tcPr>
            <w:tcW w:w="2285" w:type="dxa"/>
            <w:vAlign w:val="center"/>
          </w:tcPr>
          <w:p w14:paraId="1564A120">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发包人及联系电话</w:t>
            </w:r>
          </w:p>
        </w:tc>
      </w:tr>
      <w:tr w14:paraId="4E231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555A82C0">
            <w:pPr>
              <w:jc w:val="center"/>
              <w:rPr>
                <w:rFonts w:hint="eastAsia"/>
                <w:i w:val="0"/>
                <w:iCs w:val="0"/>
                <w:color w:val="auto"/>
                <w:u w:val="none"/>
                <w:vertAlign w:val="baseline"/>
                <w:lang w:val="en-US" w:eastAsia="zh-CN"/>
              </w:rPr>
            </w:pPr>
          </w:p>
        </w:tc>
        <w:tc>
          <w:tcPr>
            <w:tcW w:w="3402" w:type="dxa"/>
            <w:gridSpan w:val="3"/>
            <w:vAlign w:val="center"/>
          </w:tcPr>
          <w:p w14:paraId="576474E8">
            <w:pPr>
              <w:jc w:val="center"/>
              <w:rPr>
                <w:rFonts w:hint="eastAsia"/>
                <w:i w:val="0"/>
                <w:iCs w:val="0"/>
                <w:color w:val="auto"/>
                <w:u w:val="none"/>
                <w:vertAlign w:val="baseline"/>
                <w:lang w:val="en-US" w:eastAsia="zh-CN"/>
              </w:rPr>
            </w:pPr>
          </w:p>
        </w:tc>
        <w:tc>
          <w:tcPr>
            <w:tcW w:w="1701" w:type="dxa"/>
            <w:vAlign w:val="center"/>
          </w:tcPr>
          <w:p w14:paraId="5FA6D6A9">
            <w:pPr>
              <w:jc w:val="center"/>
              <w:rPr>
                <w:rFonts w:hint="eastAsia"/>
                <w:i w:val="0"/>
                <w:iCs w:val="0"/>
                <w:color w:val="auto"/>
                <w:u w:val="none"/>
                <w:vertAlign w:val="baseline"/>
                <w:lang w:val="en-US" w:eastAsia="zh-CN"/>
              </w:rPr>
            </w:pPr>
          </w:p>
        </w:tc>
        <w:tc>
          <w:tcPr>
            <w:tcW w:w="2285" w:type="dxa"/>
            <w:vAlign w:val="center"/>
          </w:tcPr>
          <w:p w14:paraId="299CBF3C">
            <w:pPr>
              <w:jc w:val="center"/>
              <w:rPr>
                <w:rFonts w:hint="eastAsia"/>
                <w:i w:val="0"/>
                <w:iCs w:val="0"/>
                <w:color w:val="auto"/>
                <w:u w:val="none"/>
                <w:vertAlign w:val="baseline"/>
                <w:lang w:val="en-US" w:eastAsia="zh-CN"/>
              </w:rPr>
            </w:pPr>
          </w:p>
        </w:tc>
      </w:tr>
      <w:tr w14:paraId="7BA16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0DF629FA">
            <w:pPr>
              <w:jc w:val="center"/>
              <w:rPr>
                <w:rFonts w:hint="eastAsia"/>
                <w:i w:val="0"/>
                <w:iCs w:val="0"/>
                <w:color w:val="auto"/>
                <w:u w:val="none"/>
                <w:vertAlign w:val="baseline"/>
                <w:lang w:val="en-US" w:eastAsia="zh-CN"/>
              </w:rPr>
            </w:pPr>
          </w:p>
        </w:tc>
        <w:tc>
          <w:tcPr>
            <w:tcW w:w="3402" w:type="dxa"/>
            <w:gridSpan w:val="3"/>
            <w:vAlign w:val="center"/>
          </w:tcPr>
          <w:p w14:paraId="251787C2">
            <w:pPr>
              <w:jc w:val="center"/>
              <w:rPr>
                <w:rFonts w:hint="eastAsia"/>
                <w:i w:val="0"/>
                <w:iCs w:val="0"/>
                <w:color w:val="auto"/>
                <w:u w:val="none"/>
                <w:vertAlign w:val="baseline"/>
                <w:lang w:val="en-US" w:eastAsia="zh-CN"/>
              </w:rPr>
            </w:pPr>
          </w:p>
        </w:tc>
        <w:tc>
          <w:tcPr>
            <w:tcW w:w="1701" w:type="dxa"/>
            <w:vAlign w:val="center"/>
          </w:tcPr>
          <w:p w14:paraId="411BFE53">
            <w:pPr>
              <w:jc w:val="center"/>
              <w:rPr>
                <w:rFonts w:hint="eastAsia"/>
                <w:i w:val="0"/>
                <w:iCs w:val="0"/>
                <w:color w:val="auto"/>
                <w:u w:val="none"/>
                <w:vertAlign w:val="baseline"/>
                <w:lang w:val="en-US" w:eastAsia="zh-CN"/>
              </w:rPr>
            </w:pPr>
          </w:p>
        </w:tc>
        <w:tc>
          <w:tcPr>
            <w:tcW w:w="2285" w:type="dxa"/>
            <w:vAlign w:val="center"/>
          </w:tcPr>
          <w:p w14:paraId="0C0CB8C4">
            <w:pPr>
              <w:jc w:val="center"/>
              <w:rPr>
                <w:rFonts w:hint="eastAsia"/>
                <w:i w:val="0"/>
                <w:iCs w:val="0"/>
                <w:color w:val="auto"/>
                <w:u w:val="none"/>
                <w:vertAlign w:val="baseline"/>
                <w:lang w:val="en-US" w:eastAsia="zh-CN"/>
              </w:rPr>
            </w:pPr>
          </w:p>
        </w:tc>
      </w:tr>
      <w:tr w14:paraId="783CB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3AC8D7F3">
            <w:pPr>
              <w:jc w:val="center"/>
              <w:rPr>
                <w:rFonts w:hint="eastAsia"/>
                <w:i w:val="0"/>
                <w:iCs w:val="0"/>
                <w:color w:val="auto"/>
                <w:u w:val="none"/>
                <w:vertAlign w:val="baseline"/>
                <w:lang w:val="en-US" w:eastAsia="zh-CN"/>
              </w:rPr>
            </w:pPr>
          </w:p>
        </w:tc>
        <w:tc>
          <w:tcPr>
            <w:tcW w:w="3402" w:type="dxa"/>
            <w:gridSpan w:val="3"/>
            <w:vAlign w:val="center"/>
          </w:tcPr>
          <w:p w14:paraId="2BCF55D1">
            <w:pPr>
              <w:jc w:val="center"/>
              <w:rPr>
                <w:rFonts w:hint="eastAsia"/>
                <w:i w:val="0"/>
                <w:iCs w:val="0"/>
                <w:color w:val="auto"/>
                <w:u w:val="none"/>
                <w:vertAlign w:val="baseline"/>
                <w:lang w:val="en-US" w:eastAsia="zh-CN"/>
              </w:rPr>
            </w:pPr>
          </w:p>
        </w:tc>
        <w:tc>
          <w:tcPr>
            <w:tcW w:w="1701" w:type="dxa"/>
            <w:vAlign w:val="center"/>
          </w:tcPr>
          <w:p w14:paraId="3A51BBC7">
            <w:pPr>
              <w:jc w:val="center"/>
              <w:rPr>
                <w:rFonts w:hint="eastAsia"/>
                <w:i w:val="0"/>
                <w:iCs w:val="0"/>
                <w:color w:val="auto"/>
                <w:u w:val="none"/>
                <w:vertAlign w:val="baseline"/>
                <w:lang w:val="en-US" w:eastAsia="zh-CN"/>
              </w:rPr>
            </w:pPr>
          </w:p>
        </w:tc>
        <w:tc>
          <w:tcPr>
            <w:tcW w:w="2285" w:type="dxa"/>
            <w:vAlign w:val="center"/>
          </w:tcPr>
          <w:p w14:paraId="2D9D45C2">
            <w:pPr>
              <w:jc w:val="center"/>
              <w:rPr>
                <w:rFonts w:hint="eastAsia"/>
                <w:i w:val="0"/>
                <w:iCs w:val="0"/>
                <w:color w:val="auto"/>
                <w:u w:val="none"/>
                <w:vertAlign w:val="baseline"/>
                <w:lang w:val="en-US" w:eastAsia="zh-CN"/>
              </w:rPr>
            </w:pPr>
          </w:p>
        </w:tc>
      </w:tr>
      <w:tr w14:paraId="395BD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516923D5">
            <w:pPr>
              <w:jc w:val="center"/>
              <w:rPr>
                <w:rFonts w:hint="eastAsia"/>
                <w:i w:val="0"/>
                <w:iCs w:val="0"/>
                <w:color w:val="auto"/>
                <w:u w:val="none"/>
                <w:vertAlign w:val="baseline"/>
                <w:lang w:val="en-US" w:eastAsia="zh-CN"/>
              </w:rPr>
            </w:pPr>
          </w:p>
        </w:tc>
        <w:tc>
          <w:tcPr>
            <w:tcW w:w="3402" w:type="dxa"/>
            <w:gridSpan w:val="3"/>
            <w:vAlign w:val="center"/>
          </w:tcPr>
          <w:p w14:paraId="341463EA">
            <w:pPr>
              <w:jc w:val="center"/>
              <w:rPr>
                <w:rFonts w:hint="eastAsia"/>
                <w:i w:val="0"/>
                <w:iCs w:val="0"/>
                <w:color w:val="auto"/>
                <w:u w:val="none"/>
                <w:vertAlign w:val="baseline"/>
                <w:lang w:val="en-US" w:eastAsia="zh-CN"/>
              </w:rPr>
            </w:pPr>
          </w:p>
        </w:tc>
        <w:tc>
          <w:tcPr>
            <w:tcW w:w="1701" w:type="dxa"/>
            <w:vAlign w:val="center"/>
          </w:tcPr>
          <w:p w14:paraId="50C68391">
            <w:pPr>
              <w:jc w:val="center"/>
              <w:rPr>
                <w:rFonts w:hint="eastAsia"/>
                <w:i w:val="0"/>
                <w:iCs w:val="0"/>
                <w:color w:val="auto"/>
                <w:u w:val="none"/>
                <w:vertAlign w:val="baseline"/>
                <w:lang w:val="en-US" w:eastAsia="zh-CN"/>
              </w:rPr>
            </w:pPr>
          </w:p>
        </w:tc>
        <w:tc>
          <w:tcPr>
            <w:tcW w:w="2285" w:type="dxa"/>
            <w:vAlign w:val="center"/>
          </w:tcPr>
          <w:p w14:paraId="0A6240C5">
            <w:pPr>
              <w:jc w:val="center"/>
              <w:rPr>
                <w:rFonts w:hint="eastAsia"/>
                <w:i w:val="0"/>
                <w:iCs w:val="0"/>
                <w:color w:val="auto"/>
                <w:u w:val="none"/>
                <w:vertAlign w:val="baseline"/>
                <w:lang w:val="en-US" w:eastAsia="zh-CN"/>
              </w:rPr>
            </w:pPr>
          </w:p>
        </w:tc>
      </w:tr>
      <w:tr w14:paraId="6B923B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41DF65D7">
            <w:pPr>
              <w:jc w:val="center"/>
              <w:rPr>
                <w:rFonts w:hint="eastAsia"/>
                <w:i w:val="0"/>
                <w:iCs w:val="0"/>
                <w:color w:val="auto"/>
                <w:u w:val="none"/>
                <w:vertAlign w:val="baseline"/>
                <w:lang w:val="en-US" w:eastAsia="zh-CN"/>
              </w:rPr>
            </w:pPr>
          </w:p>
        </w:tc>
        <w:tc>
          <w:tcPr>
            <w:tcW w:w="3402" w:type="dxa"/>
            <w:gridSpan w:val="3"/>
            <w:vAlign w:val="center"/>
          </w:tcPr>
          <w:p w14:paraId="544DF33C">
            <w:pPr>
              <w:jc w:val="center"/>
              <w:rPr>
                <w:rFonts w:hint="eastAsia"/>
                <w:i w:val="0"/>
                <w:iCs w:val="0"/>
                <w:color w:val="auto"/>
                <w:u w:val="none"/>
                <w:vertAlign w:val="baseline"/>
                <w:lang w:val="en-US" w:eastAsia="zh-CN"/>
              </w:rPr>
            </w:pPr>
          </w:p>
        </w:tc>
        <w:tc>
          <w:tcPr>
            <w:tcW w:w="1701" w:type="dxa"/>
            <w:vAlign w:val="center"/>
          </w:tcPr>
          <w:p w14:paraId="4C3EBB8D">
            <w:pPr>
              <w:jc w:val="center"/>
              <w:rPr>
                <w:rFonts w:hint="eastAsia"/>
                <w:i w:val="0"/>
                <w:iCs w:val="0"/>
                <w:color w:val="auto"/>
                <w:u w:val="none"/>
                <w:vertAlign w:val="baseline"/>
                <w:lang w:val="en-US" w:eastAsia="zh-CN"/>
              </w:rPr>
            </w:pPr>
          </w:p>
        </w:tc>
        <w:tc>
          <w:tcPr>
            <w:tcW w:w="2285" w:type="dxa"/>
            <w:vAlign w:val="center"/>
          </w:tcPr>
          <w:p w14:paraId="4A65B8EA">
            <w:pPr>
              <w:jc w:val="center"/>
              <w:rPr>
                <w:rFonts w:hint="eastAsia"/>
                <w:i w:val="0"/>
                <w:iCs w:val="0"/>
                <w:color w:val="auto"/>
                <w:u w:val="none"/>
                <w:vertAlign w:val="baseline"/>
                <w:lang w:val="en-US" w:eastAsia="zh-CN"/>
              </w:rPr>
            </w:pPr>
          </w:p>
        </w:tc>
      </w:tr>
      <w:tr w14:paraId="6CBFD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4DE0C9FC">
            <w:pPr>
              <w:jc w:val="center"/>
              <w:rPr>
                <w:rFonts w:hint="eastAsia"/>
                <w:i w:val="0"/>
                <w:iCs w:val="0"/>
                <w:color w:val="auto"/>
                <w:u w:val="none"/>
                <w:vertAlign w:val="baseline"/>
                <w:lang w:val="en-US" w:eastAsia="zh-CN"/>
              </w:rPr>
            </w:pPr>
          </w:p>
        </w:tc>
        <w:tc>
          <w:tcPr>
            <w:tcW w:w="3402" w:type="dxa"/>
            <w:gridSpan w:val="3"/>
            <w:vAlign w:val="center"/>
          </w:tcPr>
          <w:p w14:paraId="20AD5F06">
            <w:pPr>
              <w:jc w:val="center"/>
              <w:rPr>
                <w:rFonts w:hint="eastAsia"/>
                <w:i w:val="0"/>
                <w:iCs w:val="0"/>
                <w:color w:val="auto"/>
                <w:u w:val="none"/>
                <w:vertAlign w:val="baseline"/>
                <w:lang w:val="en-US" w:eastAsia="zh-CN"/>
              </w:rPr>
            </w:pPr>
          </w:p>
        </w:tc>
        <w:tc>
          <w:tcPr>
            <w:tcW w:w="1701" w:type="dxa"/>
            <w:vAlign w:val="center"/>
          </w:tcPr>
          <w:p w14:paraId="1D34571D">
            <w:pPr>
              <w:jc w:val="center"/>
              <w:rPr>
                <w:rFonts w:hint="eastAsia"/>
                <w:i w:val="0"/>
                <w:iCs w:val="0"/>
                <w:color w:val="auto"/>
                <w:u w:val="none"/>
                <w:vertAlign w:val="baseline"/>
                <w:lang w:val="en-US" w:eastAsia="zh-CN"/>
              </w:rPr>
            </w:pPr>
          </w:p>
        </w:tc>
        <w:tc>
          <w:tcPr>
            <w:tcW w:w="2285" w:type="dxa"/>
            <w:vAlign w:val="center"/>
          </w:tcPr>
          <w:p w14:paraId="7DD82E25">
            <w:pPr>
              <w:jc w:val="center"/>
              <w:rPr>
                <w:rFonts w:hint="eastAsia"/>
                <w:i w:val="0"/>
                <w:iCs w:val="0"/>
                <w:color w:val="auto"/>
                <w:u w:val="none"/>
                <w:vertAlign w:val="baseline"/>
                <w:lang w:val="en-US" w:eastAsia="zh-CN"/>
              </w:rPr>
            </w:pPr>
          </w:p>
        </w:tc>
      </w:tr>
      <w:tr w14:paraId="785C0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6CA82152">
            <w:pPr>
              <w:jc w:val="center"/>
              <w:rPr>
                <w:rFonts w:hint="eastAsia"/>
                <w:i w:val="0"/>
                <w:iCs w:val="0"/>
                <w:color w:val="auto"/>
                <w:u w:val="none"/>
                <w:vertAlign w:val="baseline"/>
                <w:lang w:val="en-US" w:eastAsia="zh-CN"/>
              </w:rPr>
            </w:pPr>
          </w:p>
        </w:tc>
        <w:tc>
          <w:tcPr>
            <w:tcW w:w="3402" w:type="dxa"/>
            <w:gridSpan w:val="3"/>
            <w:vAlign w:val="center"/>
          </w:tcPr>
          <w:p w14:paraId="1B2D454E">
            <w:pPr>
              <w:jc w:val="center"/>
              <w:rPr>
                <w:rFonts w:hint="eastAsia"/>
                <w:i w:val="0"/>
                <w:iCs w:val="0"/>
                <w:color w:val="auto"/>
                <w:u w:val="none"/>
                <w:vertAlign w:val="baseline"/>
                <w:lang w:val="en-US" w:eastAsia="zh-CN"/>
              </w:rPr>
            </w:pPr>
          </w:p>
        </w:tc>
        <w:tc>
          <w:tcPr>
            <w:tcW w:w="1701" w:type="dxa"/>
            <w:vAlign w:val="center"/>
          </w:tcPr>
          <w:p w14:paraId="47F029EF">
            <w:pPr>
              <w:jc w:val="center"/>
              <w:rPr>
                <w:rFonts w:hint="eastAsia"/>
                <w:i w:val="0"/>
                <w:iCs w:val="0"/>
                <w:color w:val="auto"/>
                <w:u w:val="none"/>
                <w:vertAlign w:val="baseline"/>
                <w:lang w:val="en-US" w:eastAsia="zh-CN"/>
              </w:rPr>
            </w:pPr>
          </w:p>
        </w:tc>
        <w:tc>
          <w:tcPr>
            <w:tcW w:w="2285" w:type="dxa"/>
            <w:vAlign w:val="center"/>
          </w:tcPr>
          <w:p w14:paraId="57F5A499">
            <w:pPr>
              <w:jc w:val="center"/>
              <w:rPr>
                <w:rFonts w:hint="eastAsia"/>
                <w:i w:val="0"/>
                <w:iCs w:val="0"/>
                <w:color w:val="auto"/>
                <w:u w:val="none"/>
                <w:vertAlign w:val="baseline"/>
                <w:lang w:val="en-US" w:eastAsia="zh-CN"/>
              </w:rPr>
            </w:pPr>
          </w:p>
        </w:tc>
      </w:tr>
    </w:tbl>
    <w:p w14:paraId="3C6DDBB7">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default" w:ascii="Times New Roman" w:hAnsi="Times New Roman" w:eastAsia="宋体" w:cs="Times New Roman"/>
          <w:i w:val="0"/>
          <w:iCs w:val="0"/>
          <w:color w:val="auto"/>
          <w:u w:val="none"/>
          <w:lang w:val="en-US" w:eastAsia="zh-CN"/>
        </w:rPr>
        <w:t>注：投标人应根据投标人须知第3.5.6项的要求在本表后附相关证明材料。</w:t>
      </w:r>
    </w:p>
    <w:p w14:paraId="2D8114C2">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eastAsia" w:ascii="Times New Roman" w:hAnsi="Times New Roman" w:eastAsia="宋体" w:cs="Times New Roman"/>
          <w:i w:val="0"/>
          <w:iCs w:val="0"/>
          <w:color w:val="auto"/>
          <w:u w:val="none"/>
          <w:lang w:val="en-US" w:eastAsia="zh-CN"/>
        </w:rPr>
        <w:t>附：3.5.6 “拟委任的主要人员汇总表”应填报满足第二章投标人须知第1.4.1项规定的项目负责人和其他主要人员的相关信息。</w:t>
      </w:r>
    </w:p>
    <w:p w14:paraId="01AF8423">
      <w:pPr>
        <w:rPr>
          <w:rFonts w:hint="eastAsia"/>
          <w:i/>
          <w:iCs/>
          <w:color w:val="auto"/>
          <w:u w:val="single"/>
          <w:lang w:val="en-US" w:eastAsia="zh-CN"/>
        </w:rPr>
      </w:pPr>
      <w:r>
        <w:rPr>
          <w:rFonts w:hint="eastAsia"/>
          <w:i/>
          <w:iCs/>
          <w:color w:val="auto"/>
          <w:u w:val="single"/>
          <w:lang w:val="en-US" w:eastAsia="zh-CN"/>
        </w:rPr>
        <w:br w:type="page"/>
      </w:r>
    </w:p>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p w14:paraId="7A66757E">
      <w:pPr>
        <w:pStyle w:val="3"/>
        <w:jc w:val="center"/>
        <w:rPr>
          <w:rFonts w:hint="default" w:eastAsia="黑体"/>
          <w:color w:val="auto"/>
          <w:highlight w:val="none"/>
          <w:lang w:val="en-US" w:eastAsia="zh-CN"/>
        </w:rPr>
      </w:pPr>
      <w:r>
        <w:rPr>
          <w:rFonts w:hint="eastAsia"/>
          <w:color w:val="auto"/>
          <w:highlight w:val="none"/>
          <w:lang w:val="en-US" w:eastAsia="zh-CN"/>
        </w:rPr>
        <w:t>六</w:t>
      </w:r>
      <w:r>
        <w:rPr>
          <w:color w:val="auto"/>
          <w:highlight w:val="none"/>
        </w:rPr>
        <w:t>、</w:t>
      </w:r>
      <w:r>
        <w:rPr>
          <w:rFonts w:hint="eastAsia"/>
          <w:color w:val="auto"/>
          <w:highlight w:val="none"/>
          <w:lang w:val="en-US" w:eastAsia="zh-CN"/>
        </w:rPr>
        <w:t>服务方案</w:t>
      </w:r>
    </w:p>
    <w:p w14:paraId="6B9C013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服务方案应包括（但不限于）下列内容：</w:t>
      </w:r>
    </w:p>
    <w:p w14:paraId="3C06D17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一、项目概况；</w:t>
      </w:r>
    </w:p>
    <w:p w14:paraId="2AD6823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二、服务范围、服务内容；</w:t>
      </w:r>
    </w:p>
    <w:p w14:paraId="5B40B12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三、工作依据、工作目标；</w:t>
      </w:r>
    </w:p>
    <w:p w14:paraId="774AD1F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四、机构设置（框图）、岗位职责；</w:t>
      </w:r>
    </w:p>
    <w:p w14:paraId="28715B3C">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五、服务说明和服务方案；</w:t>
      </w:r>
    </w:p>
    <w:p w14:paraId="0674CDA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六、拟投入的主要人员；</w:t>
      </w:r>
    </w:p>
    <w:p w14:paraId="26E863E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七、质量、进度、保密等保证措施；</w:t>
      </w:r>
    </w:p>
    <w:p w14:paraId="707759A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八、安全保证措施；</w:t>
      </w:r>
    </w:p>
    <w:p w14:paraId="07FDE62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九、工作重点、难点分析</w:t>
      </w:r>
    </w:p>
    <w:p w14:paraId="096704B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十、对本项目的合理化建议。</w:t>
      </w:r>
    </w:p>
    <w:p w14:paraId="6007BD3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十一、应急响应措施。</w:t>
      </w:r>
    </w:p>
    <w:p w14:paraId="6E75BA2E">
      <w:pPr>
        <w:rPr>
          <w:rFonts w:hint="default" w:ascii="Times New Roman" w:hAnsi="Times New Roman" w:cs="Times New Roman"/>
          <w:color w:val="auto"/>
        </w:rPr>
      </w:pPr>
    </w:p>
    <w:p w14:paraId="2652B745">
      <w:pPr>
        <w:rPr>
          <w:rFonts w:hint="default" w:ascii="Times New Roman" w:hAnsi="Times New Roman" w:cs="Times New Roman"/>
          <w:color w:val="auto"/>
        </w:rPr>
      </w:pPr>
    </w:p>
    <w:p w14:paraId="5537AC95">
      <w:pPr>
        <w:rPr>
          <w:rFonts w:hint="default" w:ascii="Times New Roman" w:hAnsi="Times New Roman" w:cs="Times New Roman"/>
          <w:color w:val="auto"/>
        </w:rPr>
      </w:pPr>
    </w:p>
    <w:p w14:paraId="08365121">
      <w:pPr>
        <w:rPr>
          <w:rFonts w:hint="default" w:ascii="Times New Roman" w:hAnsi="Times New Roman" w:cs="Times New Roman"/>
          <w:color w:val="auto"/>
        </w:rPr>
      </w:pPr>
    </w:p>
    <w:p w14:paraId="2C4CC23E">
      <w:pPr>
        <w:rPr>
          <w:rFonts w:hint="default" w:ascii="Times New Roman" w:hAnsi="Times New Roman" w:cs="Times New Roman"/>
          <w:color w:val="auto"/>
        </w:rPr>
      </w:pPr>
    </w:p>
    <w:p w14:paraId="2AE6B910">
      <w:pPr>
        <w:rPr>
          <w:rFonts w:hint="default" w:ascii="Times New Roman" w:hAnsi="Times New Roman" w:cs="Times New Roman"/>
          <w:color w:val="auto"/>
        </w:rPr>
      </w:pPr>
    </w:p>
    <w:p w14:paraId="20D88DD2">
      <w:pPr>
        <w:rPr>
          <w:rFonts w:hint="default" w:ascii="Times New Roman" w:hAnsi="Times New Roman" w:cs="Times New Roman"/>
          <w:color w:val="auto"/>
        </w:rPr>
      </w:pPr>
    </w:p>
    <w:p w14:paraId="12795A46">
      <w:pPr>
        <w:rPr>
          <w:rFonts w:hint="default" w:ascii="Times New Roman" w:hAnsi="Times New Roman" w:cs="Times New Roman"/>
          <w:color w:val="auto"/>
        </w:rPr>
      </w:pPr>
    </w:p>
    <w:p w14:paraId="26A9E655">
      <w:pPr>
        <w:rPr>
          <w:rFonts w:hint="default" w:ascii="Times New Roman" w:hAnsi="Times New Roman" w:cs="Times New Roman"/>
          <w:color w:val="auto"/>
        </w:rPr>
      </w:pPr>
    </w:p>
    <w:p w14:paraId="38693604">
      <w:pPr>
        <w:rPr>
          <w:rFonts w:hint="default" w:ascii="Times New Roman" w:hAnsi="Times New Roman" w:cs="Times New Roman"/>
          <w:color w:val="auto"/>
        </w:rPr>
      </w:pPr>
    </w:p>
    <w:p w14:paraId="699DB1DB">
      <w:pPr>
        <w:rPr>
          <w:rFonts w:hint="default" w:ascii="Times New Roman" w:hAnsi="Times New Roman" w:cs="Times New Roman"/>
          <w:color w:val="auto"/>
        </w:rPr>
      </w:pPr>
    </w:p>
    <w:p w14:paraId="1498F519">
      <w:pPr>
        <w:rPr>
          <w:rFonts w:hint="default" w:ascii="Times New Roman" w:hAnsi="Times New Roman" w:cs="Times New Roman"/>
          <w:color w:val="auto"/>
        </w:rPr>
      </w:pPr>
    </w:p>
    <w:p w14:paraId="0EF8B6EF">
      <w:pPr>
        <w:rPr>
          <w:rFonts w:hint="default" w:ascii="Times New Roman" w:hAnsi="Times New Roman" w:cs="Times New Roman"/>
          <w:color w:val="auto"/>
        </w:rPr>
      </w:pPr>
    </w:p>
    <w:p w14:paraId="50A4A4DF">
      <w:pPr>
        <w:rPr>
          <w:rFonts w:hint="default" w:ascii="Times New Roman" w:hAnsi="Times New Roman" w:cs="Times New Roman"/>
          <w:color w:val="auto"/>
        </w:rPr>
      </w:pPr>
    </w:p>
    <w:p w14:paraId="0D9B8DA8">
      <w:pPr>
        <w:rPr>
          <w:rFonts w:hint="default" w:ascii="Times New Roman" w:hAnsi="Times New Roman" w:cs="Times New Roman"/>
          <w:color w:val="auto"/>
        </w:rPr>
      </w:pPr>
    </w:p>
    <w:p w14:paraId="0D824AD3">
      <w:pPr>
        <w:rPr>
          <w:rFonts w:hint="default" w:ascii="Times New Roman" w:hAnsi="Times New Roman" w:cs="Times New Roman"/>
          <w:color w:val="auto"/>
        </w:rPr>
      </w:pPr>
    </w:p>
    <w:p w14:paraId="06068D65">
      <w:pPr>
        <w:rPr>
          <w:rFonts w:hint="default" w:ascii="Times New Roman" w:hAnsi="Times New Roman" w:cs="Times New Roman"/>
          <w:color w:val="auto"/>
        </w:rPr>
      </w:pPr>
    </w:p>
    <w:p w14:paraId="113A7F82">
      <w:pPr>
        <w:rPr>
          <w:rFonts w:hint="default" w:ascii="Times New Roman" w:hAnsi="Times New Roman" w:cs="Times New Roman"/>
          <w:color w:val="auto"/>
        </w:rPr>
      </w:pPr>
    </w:p>
    <w:p w14:paraId="4BDA18E8">
      <w:pPr>
        <w:rPr>
          <w:rFonts w:hint="default" w:ascii="Times New Roman" w:hAnsi="Times New Roman" w:cs="Times New Roman"/>
          <w:color w:val="auto"/>
        </w:rPr>
      </w:pPr>
    </w:p>
    <w:p w14:paraId="665A33B3">
      <w:pPr>
        <w:rPr>
          <w:rFonts w:hint="default" w:ascii="Times New Roman" w:hAnsi="Times New Roman" w:cs="Times New Roman"/>
          <w:color w:val="auto"/>
        </w:rPr>
      </w:pPr>
    </w:p>
    <w:p w14:paraId="20D894EC">
      <w:pPr>
        <w:rPr>
          <w:rFonts w:hint="default" w:ascii="Times New Roman" w:hAnsi="Times New Roman" w:cs="Times New Roman"/>
          <w:color w:val="auto"/>
        </w:rPr>
      </w:pPr>
    </w:p>
    <w:p w14:paraId="3F2E8BF6">
      <w:pPr>
        <w:rPr>
          <w:rFonts w:hint="default" w:ascii="Times New Roman" w:hAnsi="Times New Roman" w:cs="Times New Roman"/>
          <w:color w:val="auto"/>
        </w:rPr>
      </w:pPr>
    </w:p>
    <w:p w14:paraId="0220E37A">
      <w:pPr>
        <w:rPr>
          <w:rFonts w:hint="default" w:ascii="Times New Roman" w:hAnsi="Times New Roman" w:cs="Times New Roman"/>
          <w:color w:val="auto"/>
        </w:rPr>
      </w:pPr>
    </w:p>
    <w:p w14:paraId="78607E05">
      <w:pPr>
        <w:rPr>
          <w:rFonts w:hint="default" w:ascii="Times New Roman" w:hAnsi="Times New Roman" w:cs="Times New Roman"/>
          <w:color w:val="auto"/>
        </w:rPr>
      </w:pPr>
    </w:p>
    <w:p w14:paraId="5BCE5355">
      <w:pPr>
        <w:rPr>
          <w:rFonts w:hint="default" w:ascii="Times New Roman" w:hAnsi="Times New Roman" w:cs="Times New Roman"/>
          <w:color w:val="auto"/>
        </w:rPr>
      </w:pPr>
    </w:p>
    <w:p w14:paraId="1273F0AF">
      <w:pPr>
        <w:pStyle w:val="3"/>
        <w:jc w:val="center"/>
        <w:rPr>
          <w:rFonts w:hint="default" w:ascii="Times New Roman" w:hAnsi="Times New Roman" w:cs="Times New Roman"/>
          <w:color w:val="auto"/>
        </w:rPr>
      </w:pPr>
      <w:bookmarkStart w:id="144" w:name="_Toc271821942"/>
      <w:bookmarkStart w:id="145" w:name="_Toc300835233"/>
      <w:r>
        <w:rPr>
          <w:rFonts w:hint="eastAsia" w:ascii="Times New Roman" w:hAnsi="Times New Roman" w:cs="Times New Roman"/>
          <w:color w:val="auto"/>
          <w:lang w:val="en-US" w:eastAsia="zh-CN"/>
        </w:rPr>
        <w:t>七</w:t>
      </w:r>
      <w:r>
        <w:rPr>
          <w:rFonts w:hint="default" w:ascii="Times New Roman" w:hAnsi="Times New Roman" w:cs="Times New Roman"/>
          <w:color w:val="auto"/>
        </w:rPr>
        <w:t>、其他资料</w:t>
      </w:r>
      <w:bookmarkEnd w:id="144"/>
      <w:bookmarkEnd w:id="145"/>
    </w:p>
    <w:p w14:paraId="1A56EC36">
      <w:pPr>
        <w:ind w:firstLine="420" w:firstLineChars="200"/>
        <w:rPr>
          <w:rFonts w:hint="eastAsia" w:ascii="Times New Roman" w:hAnsi="Times New Roman" w:eastAsiaTheme="minorEastAsia"/>
          <w:color w:val="auto"/>
          <w:lang w:eastAsia="zh-CN"/>
        </w:rPr>
      </w:pPr>
      <w:r>
        <w:rPr>
          <w:rFonts w:hint="eastAsia" w:ascii="Times New Roman" w:hAnsi="Times New Roman"/>
          <w:color w:val="auto"/>
        </w:rPr>
        <w:t>第</w:t>
      </w:r>
      <w:r>
        <w:rPr>
          <w:rFonts w:hint="eastAsia" w:ascii="Times New Roman" w:hAnsi="Times New Roman"/>
          <w:color w:val="auto"/>
          <w:lang w:val="en-US" w:eastAsia="zh-CN"/>
        </w:rPr>
        <w:t>六</w:t>
      </w:r>
      <w:r>
        <w:rPr>
          <w:rFonts w:hint="eastAsia" w:ascii="Times New Roman" w:hAnsi="Times New Roman"/>
          <w:color w:val="auto"/>
        </w:rPr>
        <w:t>章“投标文件格式”未详尽列举，但招标文件要求或</w:t>
      </w:r>
      <w:r>
        <w:rPr>
          <w:rFonts w:hint="eastAsia" w:ascii="Times New Roman" w:hAnsi="Times New Roman"/>
          <w:color w:val="auto"/>
          <w:lang w:val="en-US" w:eastAsia="zh-CN"/>
        </w:rPr>
        <w:t>投标人认为</w:t>
      </w:r>
      <w:r>
        <w:rPr>
          <w:rFonts w:hint="eastAsia" w:ascii="Times New Roman" w:hAnsi="Times New Roman"/>
          <w:color w:val="auto"/>
        </w:rPr>
        <w:t>有必要提供的资料</w:t>
      </w:r>
      <w:r>
        <w:rPr>
          <w:rFonts w:hint="eastAsia" w:ascii="Times New Roman" w:hAnsi="Times New Roman"/>
          <w:color w:val="auto"/>
          <w:lang w:eastAsia="zh-CN"/>
        </w:rPr>
        <w:t>。</w:t>
      </w:r>
    </w:p>
    <w:p w14:paraId="68066C77">
      <w:pPr>
        <w:rPr>
          <w:rFonts w:hint="default" w:ascii="Times New Roman" w:hAnsi="Times New Roman" w:eastAsia="宋体" w:cs="Times New Roman"/>
          <w:b w:val="0"/>
          <w:bCs w:val="0"/>
          <w:color w:val="auto"/>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EBB23BA0-3600-4565-82B2-37E840CAA034}"/>
  </w:font>
  <w:font w:name="Arial">
    <w:panose1 w:val="020B0604020202020204"/>
    <w:charset w:val="01"/>
    <w:family w:val="swiss"/>
    <w:pitch w:val="default"/>
    <w:sig w:usb0="E0002EFF" w:usb1="C000785B" w:usb2="00000009" w:usb3="00000000" w:csb0="400001FF" w:csb1="FFFF0000"/>
    <w:embedRegular r:id="rId2" w:fontKey="{3BADAAAE-A20B-4816-8516-E23DB0ECA8DC}"/>
  </w:font>
  <w:font w:name="黑体">
    <w:panose1 w:val="02010609060101010101"/>
    <w:charset w:val="86"/>
    <w:family w:val="auto"/>
    <w:pitch w:val="default"/>
    <w:sig w:usb0="800002BF" w:usb1="38CF7CFA" w:usb2="00000016" w:usb3="00000000" w:csb0="00040001" w:csb1="00000000"/>
    <w:embedRegular r:id="rId3" w:fontKey="{6015B5BE-5CF2-4882-A502-6DB647492B0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B133AE49-D839-4828-8EFC-C9E04DDEC511}"/>
  </w:font>
  <w:font w:name="仿宋_GB2312">
    <w:panose1 w:val="02010609030101010101"/>
    <w:charset w:val="86"/>
    <w:family w:val="modern"/>
    <w:pitch w:val="default"/>
    <w:sig w:usb0="00000001" w:usb1="080E0000" w:usb2="00000000" w:usb3="00000000" w:csb0="00040000" w:csb1="00000000"/>
    <w:embedRegular r:id="rId5" w:fontKey="{4B21F5EF-4CE1-4F6C-9525-6C91F560484F}"/>
  </w:font>
  <w:font w:name="方正小标宋简体">
    <w:panose1 w:val="03000509000000000000"/>
    <w:charset w:val="86"/>
    <w:family w:val="auto"/>
    <w:pitch w:val="default"/>
    <w:sig w:usb0="00000001" w:usb1="080E0000" w:usb2="00000000" w:usb3="00000000" w:csb0="00040000" w:csb1="00000000"/>
    <w:embedRegular r:id="rId6" w:fontKey="{F67AF210-5452-47F5-A972-BC76B3898E24}"/>
  </w:font>
  <w:font w:name="楷体">
    <w:panose1 w:val="02010609060101010101"/>
    <w:charset w:val="86"/>
    <w:family w:val="auto"/>
    <w:pitch w:val="default"/>
    <w:sig w:usb0="800002BF" w:usb1="38CF7CFA" w:usb2="00000016" w:usb3="00000000" w:csb0="00040001" w:csb1="00000000"/>
    <w:embedRegular r:id="rId7" w:fontKey="{04880B9B-29A5-4F42-8AAD-5FFA6BA8460B}"/>
  </w:font>
  <w:font w:name="Wingdings 2">
    <w:panose1 w:val="05020102010507070707"/>
    <w:charset w:val="00"/>
    <w:family w:val="auto"/>
    <w:pitch w:val="default"/>
    <w:sig w:usb0="00000000" w:usb1="00000000" w:usb2="00000000" w:usb3="00000000" w:csb0="80000000" w:csb1="00000000"/>
    <w:embedRegular r:id="rId8" w:fontKey="{7CA3CAD2-61DB-46EC-BC03-7A9EFD4DC30D}"/>
  </w:font>
  <w:font w:name="方正仿宋_GB2312">
    <w:panose1 w:val="02000000000000000000"/>
    <w:charset w:val="86"/>
    <w:family w:val="auto"/>
    <w:pitch w:val="default"/>
    <w:sig w:usb0="A00002BF" w:usb1="184F6CFA" w:usb2="00000012" w:usb3="00000000" w:csb0="00040001" w:csb1="00000000"/>
    <w:embedRegular r:id="rId9" w:fontKey="{E4941963-5282-473F-8154-EBE07CA143E8}"/>
  </w:font>
  <w:font w:name="方正楷体_GB2312">
    <w:panose1 w:val="02000000000000000000"/>
    <w:charset w:val="86"/>
    <w:family w:val="auto"/>
    <w:pitch w:val="default"/>
    <w:sig w:usb0="A00002BF" w:usb1="184F6CFA" w:usb2="00000012" w:usb3="00000000" w:csb0="00040001" w:csb1="00000000"/>
    <w:embedRegular r:id="rId10" w:fontKey="{D28AEC83-3A19-4EFC-967A-9D5D15789D5E}"/>
  </w:font>
  <w:font w:name="华文中宋">
    <w:panose1 w:val="02010600040101010101"/>
    <w:charset w:val="86"/>
    <w:family w:val="auto"/>
    <w:pitch w:val="default"/>
    <w:sig w:usb0="00000287" w:usb1="080F0000" w:usb2="00000000" w:usb3="00000000" w:csb0="0004009F" w:csb1="DFD70000"/>
    <w:embedRegular r:id="rId11" w:fontKey="{CB62F4CB-1541-449D-B5FA-CDFD74ADF1AE}"/>
  </w:font>
  <w:font w:name="Arial Unicode MS">
    <w:panose1 w:val="020B0604020202020204"/>
    <w:charset w:val="86"/>
    <w:family w:val="auto"/>
    <w:pitch w:val="default"/>
    <w:sig w:usb0="FFFFFFFF" w:usb1="E9FFFFFF" w:usb2="0000003F" w:usb3="00000000" w:csb0="603F01FF" w:csb1="FFFF0000"/>
    <w:embedRegular r:id="rId12" w:fontKey="{7B7832FB-4500-4888-B455-8C92E24257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6DE05F">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2AD477">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CA630F">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7CA630F">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E04FBA">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000000"/>
    <w:rsid w:val="000A4B92"/>
    <w:rsid w:val="000F4A97"/>
    <w:rsid w:val="001D5FB4"/>
    <w:rsid w:val="002609D3"/>
    <w:rsid w:val="002C069E"/>
    <w:rsid w:val="003073D0"/>
    <w:rsid w:val="0040224D"/>
    <w:rsid w:val="004F3DE9"/>
    <w:rsid w:val="006F38CD"/>
    <w:rsid w:val="00733B0B"/>
    <w:rsid w:val="00764376"/>
    <w:rsid w:val="00796B76"/>
    <w:rsid w:val="007F27CB"/>
    <w:rsid w:val="00850CC0"/>
    <w:rsid w:val="00B00F2F"/>
    <w:rsid w:val="00D72607"/>
    <w:rsid w:val="00F211EF"/>
    <w:rsid w:val="00FF308E"/>
    <w:rsid w:val="011C61BC"/>
    <w:rsid w:val="011E6004"/>
    <w:rsid w:val="0145105E"/>
    <w:rsid w:val="018C519F"/>
    <w:rsid w:val="019846E3"/>
    <w:rsid w:val="01CB0CDF"/>
    <w:rsid w:val="01CD2334"/>
    <w:rsid w:val="01E140D3"/>
    <w:rsid w:val="01EE4D0C"/>
    <w:rsid w:val="01F16263"/>
    <w:rsid w:val="02016132"/>
    <w:rsid w:val="0212370C"/>
    <w:rsid w:val="021D348F"/>
    <w:rsid w:val="024A681D"/>
    <w:rsid w:val="026E5FAB"/>
    <w:rsid w:val="0295277A"/>
    <w:rsid w:val="02983D41"/>
    <w:rsid w:val="029F2BC9"/>
    <w:rsid w:val="02A31129"/>
    <w:rsid w:val="02A46690"/>
    <w:rsid w:val="02AC508C"/>
    <w:rsid w:val="02BE075F"/>
    <w:rsid w:val="02F4317E"/>
    <w:rsid w:val="0324584F"/>
    <w:rsid w:val="032652C7"/>
    <w:rsid w:val="033964DC"/>
    <w:rsid w:val="034877EC"/>
    <w:rsid w:val="035021B2"/>
    <w:rsid w:val="03633AA8"/>
    <w:rsid w:val="03696450"/>
    <w:rsid w:val="038E65F9"/>
    <w:rsid w:val="039558ED"/>
    <w:rsid w:val="03C10800"/>
    <w:rsid w:val="03C96DCC"/>
    <w:rsid w:val="03E464AF"/>
    <w:rsid w:val="03FB71CD"/>
    <w:rsid w:val="04127BBC"/>
    <w:rsid w:val="041515CF"/>
    <w:rsid w:val="04210376"/>
    <w:rsid w:val="04212D24"/>
    <w:rsid w:val="042C575E"/>
    <w:rsid w:val="042C6248"/>
    <w:rsid w:val="04382327"/>
    <w:rsid w:val="043A6EF6"/>
    <w:rsid w:val="043F5557"/>
    <w:rsid w:val="044363A4"/>
    <w:rsid w:val="0456200F"/>
    <w:rsid w:val="04885B47"/>
    <w:rsid w:val="04A52387"/>
    <w:rsid w:val="04AC0DBF"/>
    <w:rsid w:val="04B54547"/>
    <w:rsid w:val="04CD15E8"/>
    <w:rsid w:val="04CF4810"/>
    <w:rsid w:val="04D63FDF"/>
    <w:rsid w:val="04D72BD5"/>
    <w:rsid w:val="04EB08D2"/>
    <w:rsid w:val="04EC7DA2"/>
    <w:rsid w:val="050252F6"/>
    <w:rsid w:val="0541752E"/>
    <w:rsid w:val="054F164F"/>
    <w:rsid w:val="055625ED"/>
    <w:rsid w:val="0572490A"/>
    <w:rsid w:val="057E3D65"/>
    <w:rsid w:val="058253F2"/>
    <w:rsid w:val="05872EB9"/>
    <w:rsid w:val="05933026"/>
    <w:rsid w:val="05BA17C0"/>
    <w:rsid w:val="05D520CE"/>
    <w:rsid w:val="05D9116E"/>
    <w:rsid w:val="05D9472B"/>
    <w:rsid w:val="061F0438"/>
    <w:rsid w:val="06292F58"/>
    <w:rsid w:val="063C088B"/>
    <w:rsid w:val="063F4D83"/>
    <w:rsid w:val="064B59D4"/>
    <w:rsid w:val="06501BB5"/>
    <w:rsid w:val="06624967"/>
    <w:rsid w:val="06626753"/>
    <w:rsid w:val="06714440"/>
    <w:rsid w:val="067240CC"/>
    <w:rsid w:val="06866D3C"/>
    <w:rsid w:val="06972E4E"/>
    <w:rsid w:val="069A035E"/>
    <w:rsid w:val="06A31B6E"/>
    <w:rsid w:val="06A848F7"/>
    <w:rsid w:val="06B86823"/>
    <w:rsid w:val="06BF2153"/>
    <w:rsid w:val="06D375E0"/>
    <w:rsid w:val="06D9502E"/>
    <w:rsid w:val="06E14A32"/>
    <w:rsid w:val="06E329B2"/>
    <w:rsid w:val="06EB4F76"/>
    <w:rsid w:val="06ED1728"/>
    <w:rsid w:val="06F81D74"/>
    <w:rsid w:val="074267A8"/>
    <w:rsid w:val="074A7C93"/>
    <w:rsid w:val="07666E00"/>
    <w:rsid w:val="07723470"/>
    <w:rsid w:val="077965A7"/>
    <w:rsid w:val="07832BA1"/>
    <w:rsid w:val="07972327"/>
    <w:rsid w:val="07A85930"/>
    <w:rsid w:val="07C03DF5"/>
    <w:rsid w:val="07EE56D8"/>
    <w:rsid w:val="083726B7"/>
    <w:rsid w:val="08554A0D"/>
    <w:rsid w:val="08563EE1"/>
    <w:rsid w:val="086D3DA1"/>
    <w:rsid w:val="08774BE1"/>
    <w:rsid w:val="088F5820"/>
    <w:rsid w:val="08903F11"/>
    <w:rsid w:val="08932D8F"/>
    <w:rsid w:val="08A416F0"/>
    <w:rsid w:val="08E13E13"/>
    <w:rsid w:val="08EB4EA1"/>
    <w:rsid w:val="08ED571D"/>
    <w:rsid w:val="08F53A28"/>
    <w:rsid w:val="09192DA0"/>
    <w:rsid w:val="0922447E"/>
    <w:rsid w:val="0926237D"/>
    <w:rsid w:val="092D0C4C"/>
    <w:rsid w:val="096213E6"/>
    <w:rsid w:val="09641BD1"/>
    <w:rsid w:val="0967298A"/>
    <w:rsid w:val="097525CD"/>
    <w:rsid w:val="09815806"/>
    <w:rsid w:val="098F4C8F"/>
    <w:rsid w:val="099948FD"/>
    <w:rsid w:val="09A71C3D"/>
    <w:rsid w:val="09AF2C22"/>
    <w:rsid w:val="09B32D8C"/>
    <w:rsid w:val="09C37FE6"/>
    <w:rsid w:val="09D236A1"/>
    <w:rsid w:val="09DB25D9"/>
    <w:rsid w:val="09DF226A"/>
    <w:rsid w:val="09EC69D2"/>
    <w:rsid w:val="0A074254"/>
    <w:rsid w:val="0A3B332D"/>
    <w:rsid w:val="0A430D0D"/>
    <w:rsid w:val="0A466107"/>
    <w:rsid w:val="0A500304"/>
    <w:rsid w:val="0A5234C1"/>
    <w:rsid w:val="0A704DEE"/>
    <w:rsid w:val="0A8B5261"/>
    <w:rsid w:val="0A8E5075"/>
    <w:rsid w:val="0AA913FB"/>
    <w:rsid w:val="0AAE6B76"/>
    <w:rsid w:val="0AB37F43"/>
    <w:rsid w:val="0AB930A2"/>
    <w:rsid w:val="0ADD0DF0"/>
    <w:rsid w:val="0AEB40E8"/>
    <w:rsid w:val="0AF338CE"/>
    <w:rsid w:val="0AF67B2D"/>
    <w:rsid w:val="0B0E131B"/>
    <w:rsid w:val="0B154C5A"/>
    <w:rsid w:val="0B416906"/>
    <w:rsid w:val="0B436A06"/>
    <w:rsid w:val="0B5D1C2A"/>
    <w:rsid w:val="0B685C3C"/>
    <w:rsid w:val="0B7202E7"/>
    <w:rsid w:val="0B991D46"/>
    <w:rsid w:val="0B9F686D"/>
    <w:rsid w:val="0BDE31B0"/>
    <w:rsid w:val="0BEC26C5"/>
    <w:rsid w:val="0C110CA2"/>
    <w:rsid w:val="0C210BDA"/>
    <w:rsid w:val="0C523489"/>
    <w:rsid w:val="0C773477"/>
    <w:rsid w:val="0C7E3CD6"/>
    <w:rsid w:val="0C9F113B"/>
    <w:rsid w:val="0CD3448B"/>
    <w:rsid w:val="0CE72A71"/>
    <w:rsid w:val="0CEC568C"/>
    <w:rsid w:val="0CF072F3"/>
    <w:rsid w:val="0D2466BD"/>
    <w:rsid w:val="0D30650C"/>
    <w:rsid w:val="0D3A1668"/>
    <w:rsid w:val="0D3D37F2"/>
    <w:rsid w:val="0D5C2246"/>
    <w:rsid w:val="0D6A3C45"/>
    <w:rsid w:val="0D7F3B4D"/>
    <w:rsid w:val="0D84383E"/>
    <w:rsid w:val="0DA13B17"/>
    <w:rsid w:val="0DA277FF"/>
    <w:rsid w:val="0DB22432"/>
    <w:rsid w:val="0DB8057F"/>
    <w:rsid w:val="0DC57869"/>
    <w:rsid w:val="0DD331D8"/>
    <w:rsid w:val="0DD71E98"/>
    <w:rsid w:val="0DDB677F"/>
    <w:rsid w:val="0E093A81"/>
    <w:rsid w:val="0E0D1416"/>
    <w:rsid w:val="0E1201C4"/>
    <w:rsid w:val="0E35096D"/>
    <w:rsid w:val="0E3C08A3"/>
    <w:rsid w:val="0E626142"/>
    <w:rsid w:val="0E6D3EE4"/>
    <w:rsid w:val="0E7B0A75"/>
    <w:rsid w:val="0E8168AC"/>
    <w:rsid w:val="0E9601D9"/>
    <w:rsid w:val="0EC20452"/>
    <w:rsid w:val="0ECC7523"/>
    <w:rsid w:val="0EDF4D5E"/>
    <w:rsid w:val="0EF860F0"/>
    <w:rsid w:val="0F024085"/>
    <w:rsid w:val="0F1438EF"/>
    <w:rsid w:val="0F463825"/>
    <w:rsid w:val="0F4B0F6A"/>
    <w:rsid w:val="0F575798"/>
    <w:rsid w:val="0F5F5CB1"/>
    <w:rsid w:val="0F6D192D"/>
    <w:rsid w:val="0F6E4AA0"/>
    <w:rsid w:val="0F886069"/>
    <w:rsid w:val="0FA819A2"/>
    <w:rsid w:val="0FCA08C0"/>
    <w:rsid w:val="0FCA14B6"/>
    <w:rsid w:val="0FE42DE8"/>
    <w:rsid w:val="0FFA6EBC"/>
    <w:rsid w:val="101038A7"/>
    <w:rsid w:val="101E2D38"/>
    <w:rsid w:val="10446D2F"/>
    <w:rsid w:val="104957CA"/>
    <w:rsid w:val="104D6EF3"/>
    <w:rsid w:val="105C0433"/>
    <w:rsid w:val="1069417C"/>
    <w:rsid w:val="106C1E4B"/>
    <w:rsid w:val="108A23D3"/>
    <w:rsid w:val="1095135B"/>
    <w:rsid w:val="10B262A5"/>
    <w:rsid w:val="10D35E97"/>
    <w:rsid w:val="11114551"/>
    <w:rsid w:val="112269D1"/>
    <w:rsid w:val="11356135"/>
    <w:rsid w:val="11800917"/>
    <w:rsid w:val="118955AD"/>
    <w:rsid w:val="11970BCB"/>
    <w:rsid w:val="1197226B"/>
    <w:rsid w:val="11AA0839"/>
    <w:rsid w:val="11C42470"/>
    <w:rsid w:val="11C71895"/>
    <w:rsid w:val="11CD444A"/>
    <w:rsid w:val="11E2334D"/>
    <w:rsid w:val="11F058CE"/>
    <w:rsid w:val="11FC3F3B"/>
    <w:rsid w:val="12445622"/>
    <w:rsid w:val="124D3BAD"/>
    <w:rsid w:val="125A52C4"/>
    <w:rsid w:val="12655D96"/>
    <w:rsid w:val="128E3C38"/>
    <w:rsid w:val="12BC78AF"/>
    <w:rsid w:val="12BF2922"/>
    <w:rsid w:val="12C942C8"/>
    <w:rsid w:val="12DC5F5E"/>
    <w:rsid w:val="12DC7F8C"/>
    <w:rsid w:val="12E82A0B"/>
    <w:rsid w:val="12F9465F"/>
    <w:rsid w:val="131873D2"/>
    <w:rsid w:val="13274F9C"/>
    <w:rsid w:val="133228CC"/>
    <w:rsid w:val="13417410"/>
    <w:rsid w:val="134A448A"/>
    <w:rsid w:val="134F7EA7"/>
    <w:rsid w:val="135107A8"/>
    <w:rsid w:val="135D1FDA"/>
    <w:rsid w:val="136066CF"/>
    <w:rsid w:val="13657E31"/>
    <w:rsid w:val="136C3340"/>
    <w:rsid w:val="1387094F"/>
    <w:rsid w:val="139C08EB"/>
    <w:rsid w:val="13D35238"/>
    <w:rsid w:val="13D81B1F"/>
    <w:rsid w:val="14061B66"/>
    <w:rsid w:val="142B5FE2"/>
    <w:rsid w:val="14542872"/>
    <w:rsid w:val="147E2423"/>
    <w:rsid w:val="1487273A"/>
    <w:rsid w:val="148C28CB"/>
    <w:rsid w:val="14944440"/>
    <w:rsid w:val="14A059A0"/>
    <w:rsid w:val="14B97B05"/>
    <w:rsid w:val="14CD31B9"/>
    <w:rsid w:val="14DA6BBE"/>
    <w:rsid w:val="14E67563"/>
    <w:rsid w:val="14F926F4"/>
    <w:rsid w:val="15021B62"/>
    <w:rsid w:val="150A21BA"/>
    <w:rsid w:val="150B2427"/>
    <w:rsid w:val="151779D1"/>
    <w:rsid w:val="1522437E"/>
    <w:rsid w:val="15283931"/>
    <w:rsid w:val="15382F40"/>
    <w:rsid w:val="153F699F"/>
    <w:rsid w:val="156D0F2C"/>
    <w:rsid w:val="158374C1"/>
    <w:rsid w:val="15A62ECC"/>
    <w:rsid w:val="15B14179"/>
    <w:rsid w:val="15C516BD"/>
    <w:rsid w:val="160475A2"/>
    <w:rsid w:val="165E1F7E"/>
    <w:rsid w:val="166266B1"/>
    <w:rsid w:val="169528F0"/>
    <w:rsid w:val="16C724D4"/>
    <w:rsid w:val="16D411E7"/>
    <w:rsid w:val="16DB47A7"/>
    <w:rsid w:val="16ED0036"/>
    <w:rsid w:val="170756D4"/>
    <w:rsid w:val="170F4587"/>
    <w:rsid w:val="171A4BA4"/>
    <w:rsid w:val="173E0C52"/>
    <w:rsid w:val="1746570F"/>
    <w:rsid w:val="176115DC"/>
    <w:rsid w:val="176D7525"/>
    <w:rsid w:val="17824660"/>
    <w:rsid w:val="178F2FF8"/>
    <w:rsid w:val="179121FE"/>
    <w:rsid w:val="17915931"/>
    <w:rsid w:val="17C41ABF"/>
    <w:rsid w:val="18175D56"/>
    <w:rsid w:val="18276B10"/>
    <w:rsid w:val="18930C59"/>
    <w:rsid w:val="18932E60"/>
    <w:rsid w:val="189B5F22"/>
    <w:rsid w:val="18A70256"/>
    <w:rsid w:val="18A944F8"/>
    <w:rsid w:val="18B73074"/>
    <w:rsid w:val="18DA76F1"/>
    <w:rsid w:val="18DF60A5"/>
    <w:rsid w:val="19034C2D"/>
    <w:rsid w:val="1916127C"/>
    <w:rsid w:val="193D465D"/>
    <w:rsid w:val="193D4E12"/>
    <w:rsid w:val="196C6238"/>
    <w:rsid w:val="198A59D6"/>
    <w:rsid w:val="19A73D74"/>
    <w:rsid w:val="19AA5416"/>
    <w:rsid w:val="19CA0B03"/>
    <w:rsid w:val="19CE7FF6"/>
    <w:rsid w:val="19D41982"/>
    <w:rsid w:val="19D70C6D"/>
    <w:rsid w:val="19E2271F"/>
    <w:rsid w:val="19F459F1"/>
    <w:rsid w:val="1A075570"/>
    <w:rsid w:val="1A1C623A"/>
    <w:rsid w:val="1A223226"/>
    <w:rsid w:val="1A270D5F"/>
    <w:rsid w:val="1A4C776A"/>
    <w:rsid w:val="1A4D4CED"/>
    <w:rsid w:val="1A797469"/>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BF35E1"/>
    <w:rsid w:val="1BC872C4"/>
    <w:rsid w:val="1BCE49E9"/>
    <w:rsid w:val="1BD12722"/>
    <w:rsid w:val="1BD15865"/>
    <w:rsid w:val="1BFE7E24"/>
    <w:rsid w:val="1C100B6A"/>
    <w:rsid w:val="1C2075D6"/>
    <w:rsid w:val="1C2B6CB4"/>
    <w:rsid w:val="1C3774BA"/>
    <w:rsid w:val="1C4E114E"/>
    <w:rsid w:val="1C5D5F8B"/>
    <w:rsid w:val="1C6E241C"/>
    <w:rsid w:val="1CB07DF9"/>
    <w:rsid w:val="1CC3681B"/>
    <w:rsid w:val="1CF251D3"/>
    <w:rsid w:val="1CFF3217"/>
    <w:rsid w:val="1D0B7468"/>
    <w:rsid w:val="1D0C3E62"/>
    <w:rsid w:val="1D1D0D81"/>
    <w:rsid w:val="1D3A1AFC"/>
    <w:rsid w:val="1D4E55A7"/>
    <w:rsid w:val="1D5835F0"/>
    <w:rsid w:val="1D594678"/>
    <w:rsid w:val="1D8C5045"/>
    <w:rsid w:val="1D9244F8"/>
    <w:rsid w:val="1D931CEA"/>
    <w:rsid w:val="1DC15D79"/>
    <w:rsid w:val="1DC177D9"/>
    <w:rsid w:val="1E117016"/>
    <w:rsid w:val="1E1A236E"/>
    <w:rsid w:val="1E225BB3"/>
    <w:rsid w:val="1E2A6113"/>
    <w:rsid w:val="1E2D212B"/>
    <w:rsid w:val="1E2E6E13"/>
    <w:rsid w:val="1E32182A"/>
    <w:rsid w:val="1E5A61EE"/>
    <w:rsid w:val="1E713E2F"/>
    <w:rsid w:val="1E980FE4"/>
    <w:rsid w:val="1EA573D8"/>
    <w:rsid w:val="1EA77665"/>
    <w:rsid w:val="1EB0513B"/>
    <w:rsid w:val="1EB72F76"/>
    <w:rsid w:val="1EC10726"/>
    <w:rsid w:val="1EE36B2C"/>
    <w:rsid w:val="1EE81965"/>
    <w:rsid w:val="1EF342CB"/>
    <w:rsid w:val="1F020A44"/>
    <w:rsid w:val="1F041BC7"/>
    <w:rsid w:val="1F127B09"/>
    <w:rsid w:val="1F2354C8"/>
    <w:rsid w:val="1F36160E"/>
    <w:rsid w:val="1F3F33F9"/>
    <w:rsid w:val="1F5D00BF"/>
    <w:rsid w:val="1F640255"/>
    <w:rsid w:val="1F671677"/>
    <w:rsid w:val="1F722047"/>
    <w:rsid w:val="1F7237CF"/>
    <w:rsid w:val="1F904945"/>
    <w:rsid w:val="1FA7625B"/>
    <w:rsid w:val="1FAA6A2E"/>
    <w:rsid w:val="1FC11059"/>
    <w:rsid w:val="1FDC7161"/>
    <w:rsid w:val="1FE570E2"/>
    <w:rsid w:val="1FE7673E"/>
    <w:rsid w:val="1FE87F35"/>
    <w:rsid w:val="20087350"/>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A06E6"/>
    <w:rsid w:val="213D6756"/>
    <w:rsid w:val="213D7BD8"/>
    <w:rsid w:val="214C4EC5"/>
    <w:rsid w:val="2153567F"/>
    <w:rsid w:val="21592826"/>
    <w:rsid w:val="217422B6"/>
    <w:rsid w:val="2176515B"/>
    <w:rsid w:val="217E2424"/>
    <w:rsid w:val="217F52C5"/>
    <w:rsid w:val="2188758A"/>
    <w:rsid w:val="21A34113"/>
    <w:rsid w:val="21A61686"/>
    <w:rsid w:val="21BA18CA"/>
    <w:rsid w:val="21C13A32"/>
    <w:rsid w:val="21E01DC0"/>
    <w:rsid w:val="21FC7CC7"/>
    <w:rsid w:val="22001566"/>
    <w:rsid w:val="22270787"/>
    <w:rsid w:val="224D73DD"/>
    <w:rsid w:val="22592601"/>
    <w:rsid w:val="22603DB2"/>
    <w:rsid w:val="226D7B83"/>
    <w:rsid w:val="2293123C"/>
    <w:rsid w:val="22A570EC"/>
    <w:rsid w:val="22E6302E"/>
    <w:rsid w:val="232E56FD"/>
    <w:rsid w:val="233F5F96"/>
    <w:rsid w:val="235F4D23"/>
    <w:rsid w:val="236D4028"/>
    <w:rsid w:val="238A4DFC"/>
    <w:rsid w:val="238E0DF3"/>
    <w:rsid w:val="2409047A"/>
    <w:rsid w:val="24226CC5"/>
    <w:rsid w:val="24312A4A"/>
    <w:rsid w:val="244A5E9A"/>
    <w:rsid w:val="244C4BB8"/>
    <w:rsid w:val="245168ED"/>
    <w:rsid w:val="24576453"/>
    <w:rsid w:val="24691193"/>
    <w:rsid w:val="246C3A46"/>
    <w:rsid w:val="247152E7"/>
    <w:rsid w:val="24A7024A"/>
    <w:rsid w:val="24E51374"/>
    <w:rsid w:val="24EF7670"/>
    <w:rsid w:val="24F3203F"/>
    <w:rsid w:val="24FF7718"/>
    <w:rsid w:val="251A7612"/>
    <w:rsid w:val="25237A22"/>
    <w:rsid w:val="252E0774"/>
    <w:rsid w:val="25481BCE"/>
    <w:rsid w:val="25525847"/>
    <w:rsid w:val="256E1E26"/>
    <w:rsid w:val="25812F8D"/>
    <w:rsid w:val="25814DB7"/>
    <w:rsid w:val="25824959"/>
    <w:rsid w:val="2584425C"/>
    <w:rsid w:val="25987A23"/>
    <w:rsid w:val="25BC46FF"/>
    <w:rsid w:val="25C517A2"/>
    <w:rsid w:val="25EF41EA"/>
    <w:rsid w:val="25F10744"/>
    <w:rsid w:val="25F5789E"/>
    <w:rsid w:val="25FD6A72"/>
    <w:rsid w:val="2608561B"/>
    <w:rsid w:val="26196938"/>
    <w:rsid w:val="26261861"/>
    <w:rsid w:val="26382AAC"/>
    <w:rsid w:val="26506FAD"/>
    <w:rsid w:val="26656277"/>
    <w:rsid w:val="26663117"/>
    <w:rsid w:val="267771CA"/>
    <w:rsid w:val="267B565F"/>
    <w:rsid w:val="26807144"/>
    <w:rsid w:val="26851ABB"/>
    <w:rsid w:val="268A362E"/>
    <w:rsid w:val="269560EE"/>
    <w:rsid w:val="269D6920"/>
    <w:rsid w:val="26AF686C"/>
    <w:rsid w:val="26CA60FC"/>
    <w:rsid w:val="26D16018"/>
    <w:rsid w:val="26DB3228"/>
    <w:rsid w:val="26DF6074"/>
    <w:rsid w:val="26E05716"/>
    <w:rsid w:val="26E43A97"/>
    <w:rsid w:val="26FE679C"/>
    <w:rsid w:val="27301EDB"/>
    <w:rsid w:val="27453115"/>
    <w:rsid w:val="276C029F"/>
    <w:rsid w:val="27867E0A"/>
    <w:rsid w:val="27932534"/>
    <w:rsid w:val="27982DD4"/>
    <w:rsid w:val="27DD09CE"/>
    <w:rsid w:val="27EC553C"/>
    <w:rsid w:val="28033B5E"/>
    <w:rsid w:val="280C4BFC"/>
    <w:rsid w:val="2813394B"/>
    <w:rsid w:val="281C1F63"/>
    <w:rsid w:val="281C54D8"/>
    <w:rsid w:val="28235F68"/>
    <w:rsid w:val="283610D5"/>
    <w:rsid w:val="283E4B96"/>
    <w:rsid w:val="28414B67"/>
    <w:rsid w:val="285F5293"/>
    <w:rsid w:val="28622D71"/>
    <w:rsid w:val="286E69FD"/>
    <w:rsid w:val="288B76AF"/>
    <w:rsid w:val="28A10C81"/>
    <w:rsid w:val="28C56178"/>
    <w:rsid w:val="28FA546B"/>
    <w:rsid w:val="28FE025E"/>
    <w:rsid w:val="290E1F05"/>
    <w:rsid w:val="29245F1A"/>
    <w:rsid w:val="29366359"/>
    <w:rsid w:val="29586D7A"/>
    <w:rsid w:val="29772B51"/>
    <w:rsid w:val="29791894"/>
    <w:rsid w:val="2984235F"/>
    <w:rsid w:val="29967FD2"/>
    <w:rsid w:val="29A44ECD"/>
    <w:rsid w:val="29A52D8F"/>
    <w:rsid w:val="29C56C3A"/>
    <w:rsid w:val="29D85278"/>
    <w:rsid w:val="29E1380C"/>
    <w:rsid w:val="29E85046"/>
    <w:rsid w:val="29F50977"/>
    <w:rsid w:val="2A017BFD"/>
    <w:rsid w:val="2A0A71F8"/>
    <w:rsid w:val="2A4913A2"/>
    <w:rsid w:val="2A9154D8"/>
    <w:rsid w:val="2AA04C57"/>
    <w:rsid w:val="2AD750C3"/>
    <w:rsid w:val="2AE77D08"/>
    <w:rsid w:val="2AEA3011"/>
    <w:rsid w:val="2AFA0B1C"/>
    <w:rsid w:val="2B252D72"/>
    <w:rsid w:val="2B305FE6"/>
    <w:rsid w:val="2B3E0375"/>
    <w:rsid w:val="2B492499"/>
    <w:rsid w:val="2B652A8D"/>
    <w:rsid w:val="2B6C55DB"/>
    <w:rsid w:val="2B8D5640"/>
    <w:rsid w:val="2BF4029C"/>
    <w:rsid w:val="2C1C6937"/>
    <w:rsid w:val="2C1D0F66"/>
    <w:rsid w:val="2C202757"/>
    <w:rsid w:val="2C270D43"/>
    <w:rsid w:val="2C3D0F98"/>
    <w:rsid w:val="2C4B7809"/>
    <w:rsid w:val="2C6436A6"/>
    <w:rsid w:val="2C7A2A8F"/>
    <w:rsid w:val="2C864D5D"/>
    <w:rsid w:val="2C9023A5"/>
    <w:rsid w:val="2C937549"/>
    <w:rsid w:val="2C9D6A04"/>
    <w:rsid w:val="2CB62598"/>
    <w:rsid w:val="2CBC136A"/>
    <w:rsid w:val="2CD47877"/>
    <w:rsid w:val="2CFE607B"/>
    <w:rsid w:val="2D095409"/>
    <w:rsid w:val="2D314CC9"/>
    <w:rsid w:val="2D3A3199"/>
    <w:rsid w:val="2D4B38E7"/>
    <w:rsid w:val="2D5470D9"/>
    <w:rsid w:val="2D551303"/>
    <w:rsid w:val="2D772574"/>
    <w:rsid w:val="2D8D31B7"/>
    <w:rsid w:val="2D8D5835"/>
    <w:rsid w:val="2D9D2D85"/>
    <w:rsid w:val="2DAB1C25"/>
    <w:rsid w:val="2DCC12FC"/>
    <w:rsid w:val="2DD66E3A"/>
    <w:rsid w:val="2DE60024"/>
    <w:rsid w:val="2DF17D73"/>
    <w:rsid w:val="2E652B8E"/>
    <w:rsid w:val="2E66167A"/>
    <w:rsid w:val="2E6C7EF1"/>
    <w:rsid w:val="2E6D69DB"/>
    <w:rsid w:val="2E6F6584"/>
    <w:rsid w:val="2E731311"/>
    <w:rsid w:val="2E7823B0"/>
    <w:rsid w:val="2E933BCE"/>
    <w:rsid w:val="2E9C6490"/>
    <w:rsid w:val="2EA40069"/>
    <w:rsid w:val="2EAA3B87"/>
    <w:rsid w:val="2EB66E96"/>
    <w:rsid w:val="2EBC23A0"/>
    <w:rsid w:val="2EC15BD9"/>
    <w:rsid w:val="2ECD2121"/>
    <w:rsid w:val="2EFA0191"/>
    <w:rsid w:val="2F030B0F"/>
    <w:rsid w:val="2F436846"/>
    <w:rsid w:val="2F4556CE"/>
    <w:rsid w:val="2F6A001E"/>
    <w:rsid w:val="2F6F3C93"/>
    <w:rsid w:val="2F754A27"/>
    <w:rsid w:val="2F7B047E"/>
    <w:rsid w:val="2F7D70BA"/>
    <w:rsid w:val="2FB1448A"/>
    <w:rsid w:val="2FB35E69"/>
    <w:rsid w:val="2FC802AE"/>
    <w:rsid w:val="2FD90A44"/>
    <w:rsid w:val="2FD91648"/>
    <w:rsid w:val="301C41BF"/>
    <w:rsid w:val="302369A0"/>
    <w:rsid w:val="303474C0"/>
    <w:rsid w:val="305C41A9"/>
    <w:rsid w:val="305D2219"/>
    <w:rsid w:val="307C26FF"/>
    <w:rsid w:val="30820205"/>
    <w:rsid w:val="308E41B5"/>
    <w:rsid w:val="30952C59"/>
    <w:rsid w:val="30E03983"/>
    <w:rsid w:val="30FF4D69"/>
    <w:rsid w:val="310E5321"/>
    <w:rsid w:val="3113559B"/>
    <w:rsid w:val="311978DB"/>
    <w:rsid w:val="312421F6"/>
    <w:rsid w:val="3127420C"/>
    <w:rsid w:val="31477BEB"/>
    <w:rsid w:val="315523B1"/>
    <w:rsid w:val="31605B7D"/>
    <w:rsid w:val="3163741B"/>
    <w:rsid w:val="3198056E"/>
    <w:rsid w:val="31CD31BF"/>
    <w:rsid w:val="31D5021B"/>
    <w:rsid w:val="31D71BB7"/>
    <w:rsid w:val="31D72AD0"/>
    <w:rsid w:val="31E10F55"/>
    <w:rsid w:val="31F664E1"/>
    <w:rsid w:val="320B7F80"/>
    <w:rsid w:val="3219008D"/>
    <w:rsid w:val="32215B79"/>
    <w:rsid w:val="322241F2"/>
    <w:rsid w:val="3229379D"/>
    <w:rsid w:val="32294133"/>
    <w:rsid w:val="322D5AFA"/>
    <w:rsid w:val="32514C44"/>
    <w:rsid w:val="328916BE"/>
    <w:rsid w:val="32974C7A"/>
    <w:rsid w:val="32BB4ABE"/>
    <w:rsid w:val="32C8549C"/>
    <w:rsid w:val="32CA16D9"/>
    <w:rsid w:val="32E83928"/>
    <w:rsid w:val="32F45590"/>
    <w:rsid w:val="331C19F3"/>
    <w:rsid w:val="33380434"/>
    <w:rsid w:val="33577373"/>
    <w:rsid w:val="336631F3"/>
    <w:rsid w:val="336A419B"/>
    <w:rsid w:val="336A59CC"/>
    <w:rsid w:val="33773188"/>
    <w:rsid w:val="337E77C9"/>
    <w:rsid w:val="338F53C2"/>
    <w:rsid w:val="33925662"/>
    <w:rsid w:val="339B68E5"/>
    <w:rsid w:val="339B7AA1"/>
    <w:rsid w:val="33B7637D"/>
    <w:rsid w:val="33D4661F"/>
    <w:rsid w:val="33EA060C"/>
    <w:rsid w:val="33ED39C2"/>
    <w:rsid w:val="340F56DE"/>
    <w:rsid w:val="3425597D"/>
    <w:rsid w:val="342A5DF5"/>
    <w:rsid w:val="344851FD"/>
    <w:rsid w:val="34710480"/>
    <w:rsid w:val="34842C2E"/>
    <w:rsid w:val="349B5E0E"/>
    <w:rsid w:val="34A432B6"/>
    <w:rsid w:val="34A82AD9"/>
    <w:rsid w:val="34AA020B"/>
    <w:rsid w:val="34BC17DA"/>
    <w:rsid w:val="34C71A6F"/>
    <w:rsid w:val="34D015E3"/>
    <w:rsid w:val="34F85DA8"/>
    <w:rsid w:val="3509398E"/>
    <w:rsid w:val="352D1C90"/>
    <w:rsid w:val="3547266B"/>
    <w:rsid w:val="3554479E"/>
    <w:rsid w:val="357263F6"/>
    <w:rsid w:val="357D63E5"/>
    <w:rsid w:val="357F00D0"/>
    <w:rsid w:val="35894506"/>
    <w:rsid w:val="3592742B"/>
    <w:rsid w:val="35A377DB"/>
    <w:rsid w:val="35E7387F"/>
    <w:rsid w:val="35E81F7A"/>
    <w:rsid w:val="35EF4AF5"/>
    <w:rsid w:val="35F52BF3"/>
    <w:rsid w:val="360530D8"/>
    <w:rsid w:val="3605698A"/>
    <w:rsid w:val="36162F1C"/>
    <w:rsid w:val="36223C6F"/>
    <w:rsid w:val="362D09A6"/>
    <w:rsid w:val="363277D2"/>
    <w:rsid w:val="366244D5"/>
    <w:rsid w:val="36922B60"/>
    <w:rsid w:val="36A82C1D"/>
    <w:rsid w:val="36B34449"/>
    <w:rsid w:val="36C342D9"/>
    <w:rsid w:val="370F2E93"/>
    <w:rsid w:val="370F32ED"/>
    <w:rsid w:val="37441A9D"/>
    <w:rsid w:val="374E35E0"/>
    <w:rsid w:val="37560CC6"/>
    <w:rsid w:val="376F7F26"/>
    <w:rsid w:val="378D0CEB"/>
    <w:rsid w:val="379A026D"/>
    <w:rsid w:val="37A2207E"/>
    <w:rsid w:val="37A2434F"/>
    <w:rsid w:val="37BE5463"/>
    <w:rsid w:val="37ED6D6E"/>
    <w:rsid w:val="380C3B20"/>
    <w:rsid w:val="381039F4"/>
    <w:rsid w:val="381B27FE"/>
    <w:rsid w:val="38422CE2"/>
    <w:rsid w:val="38464281"/>
    <w:rsid w:val="386E21B0"/>
    <w:rsid w:val="38787C50"/>
    <w:rsid w:val="389E342F"/>
    <w:rsid w:val="38AE496C"/>
    <w:rsid w:val="38B54D45"/>
    <w:rsid w:val="38D242CD"/>
    <w:rsid w:val="393E0C7A"/>
    <w:rsid w:val="39470BCD"/>
    <w:rsid w:val="39821F75"/>
    <w:rsid w:val="398B5520"/>
    <w:rsid w:val="398C3DB7"/>
    <w:rsid w:val="39AB6275"/>
    <w:rsid w:val="39E17621"/>
    <w:rsid w:val="39F227B1"/>
    <w:rsid w:val="39FF46FA"/>
    <w:rsid w:val="3A024B77"/>
    <w:rsid w:val="3A151290"/>
    <w:rsid w:val="3A201663"/>
    <w:rsid w:val="3A257964"/>
    <w:rsid w:val="3A292038"/>
    <w:rsid w:val="3A4239AF"/>
    <w:rsid w:val="3A4A1178"/>
    <w:rsid w:val="3A524E6B"/>
    <w:rsid w:val="3A762A49"/>
    <w:rsid w:val="3A826354"/>
    <w:rsid w:val="3A9D28F5"/>
    <w:rsid w:val="3ACD43C9"/>
    <w:rsid w:val="3AFF2C64"/>
    <w:rsid w:val="3B135A0E"/>
    <w:rsid w:val="3B2F69DB"/>
    <w:rsid w:val="3B667011"/>
    <w:rsid w:val="3B79226F"/>
    <w:rsid w:val="3B7C01A7"/>
    <w:rsid w:val="3B8F1138"/>
    <w:rsid w:val="3B904834"/>
    <w:rsid w:val="3B932344"/>
    <w:rsid w:val="3B9D20F5"/>
    <w:rsid w:val="3BB33F88"/>
    <w:rsid w:val="3BC15D34"/>
    <w:rsid w:val="3BD93153"/>
    <w:rsid w:val="3BDA6996"/>
    <w:rsid w:val="3C0A3047"/>
    <w:rsid w:val="3C1C08F2"/>
    <w:rsid w:val="3C2D6464"/>
    <w:rsid w:val="3C2E50FB"/>
    <w:rsid w:val="3C37637A"/>
    <w:rsid w:val="3C4A12AD"/>
    <w:rsid w:val="3C5125FC"/>
    <w:rsid w:val="3C690ECB"/>
    <w:rsid w:val="3C860AC6"/>
    <w:rsid w:val="3C8860F4"/>
    <w:rsid w:val="3C8967A4"/>
    <w:rsid w:val="3C9361D9"/>
    <w:rsid w:val="3C960BC8"/>
    <w:rsid w:val="3C9848A1"/>
    <w:rsid w:val="3CA509B7"/>
    <w:rsid w:val="3CA509D1"/>
    <w:rsid w:val="3CD537E6"/>
    <w:rsid w:val="3CD93879"/>
    <w:rsid w:val="3D2571D3"/>
    <w:rsid w:val="3D7A2818"/>
    <w:rsid w:val="3D8106EA"/>
    <w:rsid w:val="3D834DF8"/>
    <w:rsid w:val="3DA352B1"/>
    <w:rsid w:val="3DBA61E7"/>
    <w:rsid w:val="3DC14624"/>
    <w:rsid w:val="3DD55956"/>
    <w:rsid w:val="3E100FFC"/>
    <w:rsid w:val="3E201534"/>
    <w:rsid w:val="3E2717D1"/>
    <w:rsid w:val="3E651EE9"/>
    <w:rsid w:val="3E784A78"/>
    <w:rsid w:val="3E8554F5"/>
    <w:rsid w:val="3EB65E71"/>
    <w:rsid w:val="3EC33032"/>
    <w:rsid w:val="3EC61DB3"/>
    <w:rsid w:val="3EEE738B"/>
    <w:rsid w:val="3EF62661"/>
    <w:rsid w:val="3F103E47"/>
    <w:rsid w:val="3F3C595E"/>
    <w:rsid w:val="3F4A39C9"/>
    <w:rsid w:val="3F59346C"/>
    <w:rsid w:val="3F657308"/>
    <w:rsid w:val="3F7856B5"/>
    <w:rsid w:val="3F7970EE"/>
    <w:rsid w:val="3F8003ED"/>
    <w:rsid w:val="3F8B5F41"/>
    <w:rsid w:val="3FC519F7"/>
    <w:rsid w:val="3FD0326B"/>
    <w:rsid w:val="3FD34D1A"/>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182A7C"/>
    <w:rsid w:val="41335FC7"/>
    <w:rsid w:val="415978C8"/>
    <w:rsid w:val="415C1B4D"/>
    <w:rsid w:val="417843F2"/>
    <w:rsid w:val="41807B75"/>
    <w:rsid w:val="418A1799"/>
    <w:rsid w:val="41A61C3F"/>
    <w:rsid w:val="41B17185"/>
    <w:rsid w:val="41BA218D"/>
    <w:rsid w:val="41E77BF5"/>
    <w:rsid w:val="41F05895"/>
    <w:rsid w:val="420C70DA"/>
    <w:rsid w:val="4226611D"/>
    <w:rsid w:val="425402BB"/>
    <w:rsid w:val="42564ADA"/>
    <w:rsid w:val="426E4B0A"/>
    <w:rsid w:val="42747A95"/>
    <w:rsid w:val="427E52C8"/>
    <w:rsid w:val="429D02B3"/>
    <w:rsid w:val="42B006FD"/>
    <w:rsid w:val="42DB7F0D"/>
    <w:rsid w:val="42E228FC"/>
    <w:rsid w:val="42FA6BD0"/>
    <w:rsid w:val="42FB4E01"/>
    <w:rsid w:val="4301585B"/>
    <w:rsid w:val="431B31A4"/>
    <w:rsid w:val="432307B8"/>
    <w:rsid w:val="43325808"/>
    <w:rsid w:val="433E1CAF"/>
    <w:rsid w:val="43412297"/>
    <w:rsid w:val="43413ED4"/>
    <w:rsid w:val="43594499"/>
    <w:rsid w:val="43636C3F"/>
    <w:rsid w:val="436E5353"/>
    <w:rsid w:val="437D7619"/>
    <w:rsid w:val="438073DF"/>
    <w:rsid w:val="439D6340"/>
    <w:rsid w:val="43FD7280"/>
    <w:rsid w:val="441532B2"/>
    <w:rsid w:val="441C5686"/>
    <w:rsid w:val="441E55BD"/>
    <w:rsid w:val="442C59F4"/>
    <w:rsid w:val="442C5CE7"/>
    <w:rsid w:val="443F7EE3"/>
    <w:rsid w:val="44477A7A"/>
    <w:rsid w:val="445A5900"/>
    <w:rsid w:val="44754DD6"/>
    <w:rsid w:val="44831552"/>
    <w:rsid w:val="44A525D3"/>
    <w:rsid w:val="44A72CB4"/>
    <w:rsid w:val="44DC0CFE"/>
    <w:rsid w:val="44DC4FCA"/>
    <w:rsid w:val="44FD1C6D"/>
    <w:rsid w:val="450C650E"/>
    <w:rsid w:val="453F207E"/>
    <w:rsid w:val="454276A8"/>
    <w:rsid w:val="45465AD9"/>
    <w:rsid w:val="457C4AF8"/>
    <w:rsid w:val="4595430E"/>
    <w:rsid w:val="459D6B25"/>
    <w:rsid w:val="45A100BA"/>
    <w:rsid w:val="45A31600"/>
    <w:rsid w:val="45E526C2"/>
    <w:rsid w:val="45EF5694"/>
    <w:rsid w:val="45F32D75"/>
    <w:rsid w:val="45F60406"/>
    <w:rsid w:val="45FE4441"/>
    <w:rsid w:val="460743C1"/>
    <w:rsid w:val="460934CE"/>
    <w:rsid w:val="460A040B"/>
    <w:rsid w:val="460B738D"/>
    <w:rsid w:val="461F685B"/>
    <w:rsid w:val="463A35BA"/>
    <w:rsid w:val="464478D6"/>
    <w:rsid w:val="46594972"/>
    <w:rsid w:val="46763AFA"/>
    <w:rsid w:val="46A86AC5"/>
    <w:rsid w:val="46AF0ACC"/>
    <w:rsid w:val="46CD2EA3"/>
    <w:rsid w:val="46E33C2A"/>
    <w:rsid w:val="46EB5C2E"/>
    <w:rsid w:val="47191F43"/>
    <w:rsid w:val="471B210D"/>
    <w:rsid w:val="47330BB1"/>
    <w:rsid w:val="474340E1"/>
    <w:rsid w:val="4754737E"/>
    <w:rsid w:val="476E5DEA"/>
    <w:rsid w:val="478D50EB"/>
    <w:rsid w:val="47914A33"/>
    <w:rsid w:val="479B0044"/>
    <w:rsid w:val="479C10BC"/>
    <w:rsid w:val="47A4380D"/>
    <w:rsid w:val="47A6297A"/>
    <w:rsid w:val="47B35BF8"/>
    <w:rsid w:val="47C01A50"/>
    <w:rsid w:val="47C041C7"/>
    <w:rsid w:val="47CB4E60"/>
    <w:rsid w:val="47CD1E0C"/>
    <w:rsid w:val="47D964DB"/>
    <w:rsid w:val="47FC33A5"/>
    <w:rsid w:val="48012A31"/>
    <w:rsid w:val="481D4366"/>
    <w:rsid w:val="485803F1"/>
    <w:rsid w:val="485E2C28"/>
    <w:rsid w:val="4865215C"/>
    <w:rsid w:val="486942C4"/>
    <w:rsid w:val="487B552A"/>
    <w:rsid w:val="48842F37"/>
    <w:rsid w:val="48A34F21"/>
    <w:rsid w:val="48B05292"/>
    <w:rsid w:val="48B971DC"/>
    <w:rsid w:val="48F556EA"/>
    <w:rsid w:val="49017878"/>
    <w:rsid w:val="491946D3"/>
    <w:rsid w:val="4924047E"/>
    <w:rsid w:val="49276380"/>
    <w:rsid w:val="49441489"/>
    <w:rsid w:val="4948117F"/>
    <w:rsid w:val="494B0B0D"/>
    <w:rsid w:val="49522ABB"/>
    <w:rsid w:val="497E20AD"/>
    <w:rsid w:val="49820EB7"/>
    <w:rsid w:val="499416E9"/>
    <w:rsid w:val="49A63EAD"/>
    <w:rsid w:val="49B0784B"/>
    <w:rsid w:val="49B4166E"/>
    <w:rsid w:val="49BA2C9E"/>
    <w:rsid w:val="49BC3715"/>
    <w:rsid w:val="49C56A6D"/>
    <w:rsid w:val="49CD274C"/>
    <w:rsid w:val="49D26E8C"/>
    <w:rsid w:val="49F72310"/>
    <w:rsid w:val="49FD2EE4"/>
    <w:rsid w:val="4A0B4FDE"/>
    <w:rsid w:val="4A343D11"/>
    <w:rsid w:val="4A3E05CE"/>
    <w:rsid w:val="4A497D35"/>
    <w:rsid w:val="4A8A37D8"/>
    <w:rsid w:val="4A8B4AB2"/>
    <w:rsid w:val="4AD9595B"/>
    <w:rsid w:val="4AF93EAE"/>
    <w:rsid w:val="4AFC3A3A"/>
    <w:rsid w:val="4B047121"/>
    <w:rsid w:val="4B311212"/>
    <w:rsid w:val="4B3E6720"/>
    <w:rsid w:val="4B43535A"/>
    <w:rsid w:val="4B476348"/>
    <w:rsid w:val="4B625BF7"/>
    <w:rsid w:val="4BB21AF4"/>
    <w:rsid w:val="4BB54107"/>
    <w:rsid w:val="4BB67EEE"/>
    <w:rsid w:val="4BD17814"/>
    <w:rsid w:val="4BDC5109"/>
    <w:rsid w:val="4BE84FA7"/>
    <w:rsid w:val="4BF70C92"/>
    <w:rsid w:val="4BFC429C"/>
    <w:rsid w:val="4BFD0513"/>
    <w:rsid w:val="4C005E77"/>
    <w:rsid w:val="4C1A02C6"/>
    <w:rsid w:val="4C2B76C1"/>
    <w:rsid w:val="4C352402"/>
    <w:rsid w:val="4C5419A1"/>
    <w:rsid w:val="4C5429A3"/>
    <w:rsid w:val="4C645A11"/>
    <w:rsid w:val="4C704143"/>
    <w:rsid w:val="4C87254B"/>
    <w:rsid w:val="4CDE4416"/>
    <w:rsid w:val="4CFA6A2E"/>
    <w:rsid w:val="4D004DF6"/>
    <w:rsid w:val="4D1C2C8C"/>
    <w:rsid w:val="4D1E77BE"/>
    <w:rsid w:val="4D245FC5"/>
    <w:rsid w:val="4D2B3B2C"/>
    <w:rsid w:val="4D714816"/>
    <w:rsid w:val="4D970721"/>
    <w:rsid w:val="4DA943B0"/>
    <w:rsid w:val="4DC515BB"/>
    <w:rsid w:val="4DCB5984"/>
    <w:rsid w:val="4DD64458"/>
    <w:rsid w:val="4DD728A2"/>
    <w:rsid w:val="4DDD4E1A"/>
    <w:rsid w:val="4DE00A28"/>
    <w:rsid w:val="4E086F29"/>
    <w:rsid w:val="4E135BFA"/>
    <w:rsid w:val="4E1B2DDB"/>
    <w:rsid w:val="4E250E8C"/>
    <w:rsid w:val="4E355E12"/>
    <w:rsid w:val="4E487C6D"/>
    <w:rsid w:val="4E5D7C3A"/>
    <w:rsid w:val="4E8D762E"/>
    <w:rsid w:val="4E9B1112"/>
    <w:rsid w:val="4EA06365"/>
    <w:rsid w:val="4EAC3D58"/>
    <w:rsid w:val="4EBD3915"/>
    <w:rsid w:val="4ECD54B1"/>
    <w:rsid w:val="4ED4046B"/>
    <w:rsid w:val="4EDF4B15"/>
    <w:rsid w:val="4EF43B16"/>
    <w:rsid w:val="4F0E1E8F"/>
    <w:rsid w:val="4F2B6C13"/>
    <w:rsid w:val="4F3153D3"/>
    <w:rsid w:val="4F5F3ED1"/>
    <w:rsid w:val="4F6247EF"/>
    <w:rsid w:val="4F7E2887"/>
    <w:rsid w:val="4F804E7C"/>
    <w:rsid w:val="4F85516A"/>
    <w:rsid w:val="4F8627FB"/>
    <w:rsid w:val="4F944D8F"/>
    <w:rsid w:val="4FC35C6C"/>
    <w:rsid w:val="4FCA5221"/>
    <w:rsid w:val="4FED0FB9"/>
    <w:rsid w:val="50462462"/>
    <w:rsid w:val="50504A55"/>
    <w:rsid w:val="50561719"/>
    <w:rsid w:val="507410D2"/>
    <w:rsid w:val="50A4392E"/>
    <w:rsid w:val="50A97681"/>
    <w:rsid w:val="50AE3B94"/>
    <w:rsid w:val="50AF7418"/>
    <w:rsid w:val="50E93575"/>
    <w:rsid w:val="50EE4AFC"/>
    <w:rsid w:val="50F04D4E"/>
    <w:rsid w:val="50F2608E"/>
    <w:rsid w:val="50F57385"/>
    <w:rsid w:val="50F6016F"/>
    <w:rsid w:val="50FB1FB9"/>
    <w:rsid w:val="51132FF4"/>
    <w:rsid w:val="51151213"/>
    <w:rsid w:val="513225F9"/>
    <w:rsid w:val="513F5114"/>
    <w:rsid w:val="51440384"/>
    <w:rsid w:val="51532BB1"/>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9E42FF"/>
    <w:rsid w:val="52AB4326"/>
    <w:rsid w:val="52B87033"/>
    <w:rsid w:val="52BE5917"/>
    <w:rsid w:val="52ED3633"/>
    <w:rsid w:val="52F766E2"/>
    <w:rsid w:val="531B72EC"/>
    <w:rsid w:val="531E35FC"/>
    <w:rsid w:val="531E3DBA"/>
    <w:rsid w:val="532B1547"/>
    <w:rsid w:val="532C2C22"/>
    <w:rsid w:val="533E6E17"/>
    <w:rsid w:val="5343182D"/>
    <w:rsid w:val="53552E21"/>
    <w:rsid w:val="535D3886"/>
    <w:rsid w:val="536C1D08"/>
    <w:rsid w:val="536C4A63"/>
    <w:rsid w:val="539B26A9"/>
    <w:rsid w:val="53A201DA"/>
    <w:rsid w:val="53B22D34"/>
    <w:rsid w:val="53B6236C"/>
    <w:rsid w:val="53BD6F30"/>
    <w:rsid w:val="53D55AFF"/>
    <w:rsid w:val="53EA41BE"/>
    <w:rsid w:val="540540F5"/>
    <w:rsid w:val="54231D7C"/>
    <w:rsid w:val="542913B3"/>
    <w:rsid w:val="543A39C2"/>
    <w:rsid w:val="543F18BA"/>
    <w:rsid w:val="54883400"/>
    <w:rsid w:val="54932F58"/>
    <w:rsid w:val="54A81CB5"/>
    <w:rsid w:val="54C41B11"/>
    <w:rsid w:val="550E49C6"/>
    <w:rsid w:val="55124B31"/>
    <w:rsid w:val="55A47D96"/>
    <w:rsid w:val="55C4407D"/>
    <w:rsid w:val="55C94049"/>
    <w:rsid w:val="55DA287E"/>
    <w:rsid w:val="55DD1819"/>
    <w:rsid w:val="55EE6DAD"/>
    <w:rsid w:val="55F304BE"/>
    <w:rsid w:val="56073162"/>
    <w:rsid w:val="5609127C"/>
    <w:rsid w:val="56243B92"/>
    <w:rsid w:val="563D619D"/>
    <w:rsid w:val="56413F2B"/>
    <w:rsid w:val="56537C47"/>
    <w:rsid w:val="567A0BDF"/>
    <w:rsid w:val="56A010C0"/>
    <w:rsid w:val="56B96B8E"/>
    <w:rsid w:val="56C747B5"/>
    <w:rsid w:val="56D42684"/>
    <w:rsid w:val="56DD2471"/>
    <w:rsid w:val="571974A0"/>
    <w:rsid w:val="57210A6D"/>
    <w:rsid w:val="5744214A"/>
    <w:rsid w:val="574B480A"/>
    <w:rsid w:val="57543081"/>
    <w:rsid w:val="5789649C"/>
    <w:rsid w:val="57A373F0"/>
    <w:rsid w:val="57C83C57"/>
    <w:rsid w:val="57DB745C"/>
    <w:rsid w:val="57EA584B"/>
    <w:rsid w:val="57FB2FB4"/>
    <w:rsid w:val="582028C2"/>
    <w:rsid w:val="582908A2"/>
    <w:rsid w:val="583D07DD"/>
    <w:rsid w:val="584B7DD5"/>
    <w:rsid w:val="585F1862"/>
    <w:rsid w:val="58620D26"/>
    <w:rsid w:val="58676C6C"/>
    <w:rsid w:val="58706FB1"/>
    <w:rsid w:val="587C5983"/>
    <w:rsid w:val="58E8415E"/>
    <w:rsid w:val="58ED1995"/>
    <w:rsid w:val="58FF1A45"/>
    <w:rsid w:val="59032C79"/>
    <w:rsid w:val="591578E8"/>
    <w:rsid w:val="591C580B"/>
    <w:rsid w:val="5926497A"/>
    <w:rsid w:val="592A1893"/>
    <w:rsid w:val="593C68FB"/>
    <w:rsid w:val="595D3E12"/>
    <w:rsid w:val="59961EFB"/>
    <w:rsid w:val="59A11353"/>
    <w:rsid w:val="59B40569"/>
    <w:rsid w:val="59CC0D4E"/>
    <w:rsid w:val="5A0336C4"/>
    <w:rsid w:val="5A1D0D82"/>
    <w:rsid w:val="5A20315B"/>
    <w:rsid w:val="5A4C2893"/>
    <w:rsid w:val="5A5827FE"/>
    <w:rsid w:val="5A5A4FB0"/>
    <w:rsid w:val="5A70211C"/>
    <w:rsid w:val="5AAB2A29"/>
    <w:rsid w:val="5AAB3211"/>
    <w:rsid w:val="5AAC7307"/>
    <w:rsid w:val="5AB86388"/>
    <w:rsid w:val="5ABF41C0"/>
    <w:rsid w:val="5ACA577B"/>
    <w:rsid w:val="5AD07CB2"/>
    <w:rsid w:val="5AE37CAA"/>
    <w:rsid w:val="5AEF1DC1"/>
    <w:rsid w:val="5B0D4C47"/>
    <w:rsid w:val="5B353486"/>
    <w:rsid w:val="5B3A7E78"/>
    <w:rsid w:val="5B3D442E"/>
    <w:rsid w:val="5B412C22"/>
    <w:rsid w:val="5B4B2EB1"/>
    <w:rsid w:val="5B510D60"/>
    <w:rsid w:val="5B570332"/>
    <w:rsid w:val="5B5F0395"/>
    <w:rsid w:val="5B6300A3"/>
    <w:rsid w:val="5B6C0ED6"/>
    <w:rsid w:val="5B790B4E"/>
    <w:rsid w:val="5B7A2400"/>
    <w:rsid w:val="5B9B626D"/>
    <w:rsid w:val="5BA762EC"/>
    <w:rsid w:val="5BC22E0D"/>
    <w:rsid w:val="5BD32897"/>
    <w:rsid w:val="5BF50A44"/>
    <w:rsid w:val="5C295CCC"/>
    <w:rsid w:val="5C381A3A"/>
    <w:rsid w:val="5C5C135C"/>
    <w:rsid w:val="5C872DAA"/>
    <w:rsid w:val="5C974816"/>
    <w:rsid w:val="5CA8625A"/>
    <w:rsid w:val="5CA97228"/>
    <w:rsid w:val="5CB214C2"/>
    <w:rsid w:val="5CBA57BD"/>
    <w:rsid w:val="5CC5471C"/>
    <w:rsid w:val="5CDC5386"/>
    <w:rsid w:val="5CE22FCD"/>
    <w:rsid w:val="5CEE7B85"/>
    <w:rsid w:val="5CF07506"/>
    <w:rsid w:val="5CF73D69"/>
    <w:rsid w:val="5D202057"/>
    <w:rsid w:val="5D2363AA"/>
    <w:rsid w:val="5D4700C2"/>
    <w:rsid w:val="5D6C4615"/>
    <w:rsid w:val="5D7C5A81"/>
    <w:rsid w:val="5D924A61"/>
    <w:rsid w:val="5DD31E8F"/>
    <w:rsid w:val="5DDF2196"/>
    <w:rsid w:val="5DE17F75"/>
    <w:rsid w:val="5DF704AE"/>
    <w:rsid w:val="5DF954B7"/>
    <w:rsid w:val="5DFD71D0"/>
    <w:rsid w:val="5DFF05CD"/>
    <w:rsid w:val="5E1672C2"/>
    <w:rsid w:val="5E1B6033"/>
    <w:rsid w:val="5E2612F9"/>
    <w:rsid w:val="5E433E59"/>
    <w:rsid w:val="5E534129"/>
    <w:rsid w:val="5E6E3C24"/>
    <w:rsid w:val="5E7255BD"/>
    <w:rsid w:val="5E937CCC"/>
    <w:rsid w:val="5ECC578E"/>
    <w:rsid w:val="5EF83794"/>
    <w:rsid w:val="5EFF7ED4"/>
    <w:rsid w:val="5F0173CC"/>
    <w:rsid w:val="5F0617CE"/>
    <w:rsid w:val="5F1A1A93"/>
    <w:rsid w:val="5F1D47FE"/>
    <w:rsid w:val="5F287F7E"/>
    <w:rsid w:val="5F475677"/>
    <w:rsid w:val="5F484198"/>
    <w:rsid w:val="5F567498"/>
    <w:rsid w:val="5F746FE1"/>
    <w:rsid w:val="5F7D71F9"/>
    <w:rsid w:val="5F8420E2"/>
    <w:rsid w:val="5F887220"/>
    <w:rsid w:val="5F9022AB"/>
    <w:rsid w:val="5FB10752"/>
    <w:rsid w:val="5FB81E56"/>
    <w:rsid w:val="5FD85FDC"/>
    <w:rsid w:val="5FEB78D3"/>
    <w:rsid w:val="5FEC00EE"/>
    <w:rsid w:val="600951D4"/>
    <w:rsid w:val="6010358A"/>
    <w:rsid w:val="60156960"/>
    <w:rsid w:val="601A25EF"/>
    <w:rsid w:val="601F1FA6"/>
    <w:rsid w:val="60250EC1"/>
    <w:rsid w:val="603E7832"/>
    <w:rsid w:val="6044067F"/>
    <w:rsid w:val="605525DF"/>
    <w:rsid w:val="60793AF7"/>
    <w:rsid w:val="6099592B"/>
    <w:rsid w:val="60A13AB9"/>
    <w:rsid w:val="60A7744C"/>
    <w:rsid w:val="60CF04AB"/>
    <w:rsid w:val="60DB5486"/>
    <w:rsid w:val="60E82C1A"/>
    <w:rsid w:val="60EC0541"/>
    <w:rsid w:val="60FD245E"/>
    <w:rsid w:val="61033EA8"/>
    <w:rsid w:val="610A1613"/>
    <w:rsid w:val="610E0DD2"/>
    <w:rsid w:val="61251167"/>
    <w:rsid w:val="613170F5"/>
    <w:rsid w:val="61432D9E"/>
    <w:rsid w:val="61683AEB"/>
    <w:rsid w:val="618A70BC"/>
    <w:rsid w:val="618D5E50"/>
    <w:rsid w:val="61963F6D"/>
    <w:rsid w:val="61BD1F9D"/>
    <w:rsid w:val="61D94A0C"/>
    <w:rsid w:val="61EA093B"/>
    <w:rsid w:val="62024DB4"/>
    <w:rsid w:val="62117D72"/>
    <w:rsid w:val="62140656"/>
    <w:rsid w:val="62210A89"/>
    <w:rsid w:val="62285DB7"/>
    <w:rsid w:val="623C143F"/>
    <w:rsid w:val="626857C6"/>
    <w:rsid w:val="626C17E1"/>
    <w:rsid w:val="62923991"/>
    <w:rsid w:val="62966DA1"/>
    <w:rsid w:val="62A0795E"/>
    <w:rsid w:val="62F20D03"/>
    <w:rsid w:val="62F26EC0"/>
    <w:rsid w:val="62F75B83"/>
    <w:rsid w:val="63095375"/>
    <w:rsid w:val="6312135F"/>
    <w:rsid w:val="632A3D0D"/>
    <w:rsid w:val="633443AB"/>
    <w:rsid w:val="6353750E"/>
    <w:rsid w:val="638857E1"/>
    <w:rsid w:val="63AB78F4"/>
    <w:rsid w:val="63C642C7"/>
    <w:rsid w:val="63C85688"/>
    <w:rsid w:val="63CD5666"/>
    <w:rsid w:val="63D01EF3"/>
    <w:rsid w:val="63D2038C"/>
    <w:rsid w:val="63E15DFA"/>
    <w:rsid w:val="63E631E1"/>
    <w:rsid w:val="63F66CE6"/>
    <w:rsid w:val="640E7E19"/>
    <w:rsid w:val="642E7EC1"/>
    <w:rsid w:val="646A6DA5"/>
    <w:rsid w:val="647527CB"/>
    <w:rsid w:val="648A0F84"/>
    <w:rsid w:val="648E4974"/>
    <w:rsid w:val="648F4377"/>
    <w:rsid w:val="64994927"/>
    <w:rsid w:val="649E65A7"/>
    <w:rsid w:val="64B70C4D"/>
    <w:rsid w:val="64D14920"/>
    <w:rsid w:val="64DC3A26"/>
    <w:rsid w:val="64EA382F"/>
    <w:rsid w:val="64ED3306"/>
    <w:rsid w:val="65112EA3"/>
    <w:rsid w:val="6511603A"/>
    <w:rsid w:val="652763A9"/>
    <w:rsid w:val="653B0F51"/>
    <w:rsid w:val="65434194"/>
    <w:rsid w:val="65477730"/>
    <w:rsid w:val="654912E0"/>
    <w:rsid w:val="654943E2"/>
    <w:rsid w:val="654B3E73"/>
    <w:rsid w:val="656A4332"/>
    <w:rsid w:val="65733372"/>
    <w:rsid w:val="65744876"/>
    <w:rsid w:val="657845AE"/>
    <w:rsid w:val="65991D3E"/>
    <w:rsid w:val="659E280B"/>
    <w:rsid w:val="65A76BCF"/>
    <w:rsid w:val="65B74A52"/>
    <w:rsid w:val="65BD55BD"/>
    <w:rsid w:val="65C53449"/>
    <w:rsid w:val="65F27286"/>
    <w:rsid w:val="6602655A"/>
    <w:rsid w:val="66037BA1"/>
    <w:rsid w:val="660D45C7"/>
    <w:rsid w:val="66280ABB"/>
    <w:rsid w:val="666717B3"/>
    <w:rsid w:val="6668032B"/>
    <w:rsid w:val="667C4290"/>
    <w:rsid w:val="66AB481F"/>
    <w:rsid w:val="66C95898"/>
    <w:rsid w:val="66F8201A"/>
    <w:rsid w:val="67145A4D"/>
    <w:rsid w:val="671C5A04"/>
    <w:rsid w:val="6739092B"/>
    <w:rsid w:val="673F01D2"/>
    <w:rsid w:val="676777C3"/>
    <w:rsid w:val="677D4B8A"/>
    <w:rsid w:val="67802ACE"/>
    <w:rsid w:val="67804B33"/>
    <w:rsid w:val="67C40A09"/>
    <w:rsid w:val="67D020A7"/>
    <w:rsid w:val="67D600B8"/>
    <w:rsid w:val="67E4087E"/>
    <w:rsid w:val="67EC2FBF"/>
    <w:rsid w:val="6821192D"/>
    <w:rsid w:val="68337E89"/>
    <w:rsid w:val="68337EE8"/>
    <w:rsid w:val="683A6C76"/>
    <w:rsid w:val="685C5B46"/>
    <w:rsid w:val="686F1486"/>
    <w:rsid w:val="688C0656"/>
    <w:rsid w:val="68AE1735"/>
    <w:rsid w:val="68B72950"/>
    <w:rsid w:val="68D60630"/>
    <w:rsid w:val="68F00432"/>
    <w:rsid w:val="68F8555D"/>
    <w:rsid w:val="691D712E"/>
    <w:rsid w:val="6926102B"/>
    <w:rsid w:val="69496F06"/>
    <w:rsid w:val="697E7396"/>
    <w:rsid w:val="69A009FE"/>
    <w:rsid w:val="69A729C5"/>
    <w:rsid w:val="69B1341E"/>
    <w:rsid w:val="69BA3375"/>
    <w:rsid w:val="69BE2739"/>
    <w:rsid w:val="69BF206E"/>
    <w:rsid w:val="69E46DF1"/>
    <w:rsid w:val="69E8174D"/>
    <w:rsid w:val="69EB7655"/>
    <w:rsid w:val="69F66247"/>
    <w:rsid w:val="69F820EF"/>
    <w:rsid w:val="69F86AAF"/>
    <w:rsid w:val="6A1F6154"/>
    <w:rsid w:val="6A2746CC"/>
    <w:rsid w:val="6A3053E5"/>
    <w:rsid w:val="6A4F7CF0"/>
    <w:rsid w:val="6A5517EC"/>
    <w:rsid w:val="6A694BA1"/>
    <w:rsid w:val="6A734205"/>
    <w:rsid w:val="6A995680"/>
    <w:rsid w:val="6ABC3292"/>
    <w:rsid w:val="6AC04F0B"/>
    <w:rsid w:val="6AD34458"/>
    <w:rsid w:val="6ADC4801"/>
    <w:rsid w:val="6ADF25FC"/>
    <w:rsid w:val="6AE674CB"/>
    <w:rsid w:val="6B020CD0"/>
    <w:rsid w:val="6B1148AC"/>
    <w:rsid w:val="6B3E0351"/>
    <w:rsid w:val="6B42449D"/>
    <w:rsid w:val="6B4A5562"/>
    <w:rsid w:val="6B565807"/>
    <w:rsid w:val="6B654374"/>
    <w:rsid w:val="6B6E08BB"/>
    <w:rsid w:val="6B7174EC"/>
    <w:rsid w:val="6B7A369F"/>
    <w:rsid w:val="6BAC2823"/>
    <w:rsid w:val="6BBD5024"/>
    <w:rsid w:val="6BF37DF1"/>
    <w:rsid w:val="6BF7777A"/>
    <w:rsid w:val="6C111246"/>
    <w:rsid w:val="6C3323D0"/>
    <w:rsid w:val="6C4433CA"/>
    <w:rsid w:val="6C630CE9"/>
    <w:rsid w:val="6C914CAA"/>
    <w:rsid w:val="6CB57E24"/>
    <w:rsid w:val="6CCC3665"/>
    <w:rsid w:val="6CEC0F34"/>
    <w:rsid w:val="6CF73CA4"/>
    <w:rsid w:val="6D005FF7"/>
    <w:rsid w:val="6D021C57"/>
    <w:rsid w:val="6D05105B"/>
    <w:rsid w:val="6D207FCD"/>
    <w:rsid w:val="6D280C36"/>
    <w:rsid w:val="6D286C4C"/>
    <w:rsid w:val="6D2B5B01"/>
    <w:rsid w:val="6D36363D"/>
    <w:rsid w:val="6D381497"/>
    <w:rsid w:val="6D6A2DB3"/>
    <w:rsid w:val="6D6A50B2"/>
    <w:rsid w:val="6D6A69AA"/>
    <w:rsid w:val="6D79127B"/>
    <w:rsid w:val="6D814635"/>
    <w:rsid w:val="6D832281"/>
    <w:rsid w:val="6D9D5BEC"/>
    <w:rsid w:val="6DC237AE"/>
    <w:rsid w:val="6DF91502"/>
    <w:rsid w:val="6DFA3D25"/>
    <w:rsid w:val="6E01482E"/>
    <w:rsid w:val="6E0D1941"/>
    <w:rsid w:val="6E18292B"/>
    <w:rsid w:val="6E402C35"/>
    <w:rsid w:val="6E403BCF"/>
    <w:rsid w:val="6E424CF7"/>
    <w:rsid w:val="6E96703D"/>
    <w:rsid w:val="6E984122"/>
    <w:rsid w:val="6EC4761A"/>
    <w:rsid w:val="6ED26905"/>
    <w:rsid w:val="6ED924EF"/>
    <w:rsid w:val="6EE20566"/>
    <w:rsid w:val="6EEB6DD8"/>
    <w:rsid w:val="6EF513F6"/>
    <w:rsid w:val="6F1F0771"/>
    <w:rsid w:val="6F3669E2"/>
    <w:rsid w:val="6F3A0437"/>
    <w:rsid w:val="6F452492"/>
    <w:rsid w:val="6F4E1ABB"/>
    <w:rsid w:val="6F5C03A9"/>
    <w:rsid w:val="6F65489B"/>
    <w:rsid w:val="6F86274A"/>
    <w:rsid w:val="6F8A6B50"/>
    <w:rsid w:val="6F9E4E98"/>
    <w:rsid w:val="6FB536E7"/>
    <w:rsid w:val="6FB97C2B"/>
    <w:rsid w:val="6FC169C6"/>
    <w:rsid w:val="6FD20CED"/>
    <w:rsid w:val="700148B1"/>
    <w:rsid w:val="700708F2"/>
    <w:rsid w:val="70262445"/>
    <w:rsid w:val="70796EB7"/>
    <w:rsid w:val="7082657D"/>
    <w:rsid w:val="70846EFD"/>
    <w:rsid w:val="70891E2B"/>
    <w:rsid w:val="709304FC"/>
    <w:rsid w:val="709E59AD"/>
    <w:rsid w:val="70AB3A18"/>
    <w:rsid w:val="70B21D55"/>
    <w:rsid w:val="70BA4068"/>
    <w:rsid w:val="70F06D61"/>
    <w:rsid w:val="70F36F46"/>
    <w:rsid w:val="71231B23"/>
    <w:rsid w:val="712C7728"/>
    <w:rsid w:val="713B214A"/>
    <w:rsid w:val="714633CE"/>
    <w:rsid w:val="714A76D4"/>
    <w:rsid w:val="715C3ADF"/>
    <w:rsid w:val="71726BC2"/>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6C5429"/>
    <w:rsid w:val="728E7595"/>
    <w:rsid w:val="72B1110C"/>
    <w:rsid w:val="72BE6D3E"/>
    <w:rsid w:val="72CD2240"/>
    <w:rsid w:val="72DC19E2"/>
    <w:rsid w:val="72EC4E12"/>
    <w:rsid w:val="72FF66D9"/>
    <w:rsid w:val="73373DED"/>
    <w:rsid w:val="73391B68"/>
    <w:rsid w:val="733F7A24"/>
    <w:rsid w:val="735C44F0"/>
    <w:rsid w:val="736A01CD"/>
    <w:rsid w:val="736B4D35"/>
    <w:rsid w:val="73741988"/>
    <w:rsid w:val="73814929"/>
    <w:rsid w:val="73905BE7"/>
    <w:rsid w:val="7393399F"/>
    <w:rsid w:val="739764D5"/>
    <w:rsid w:val="73984022"/>
    <w:rsid w:val="73A17EFA"/>
    <w:rsid w:val="73C11347"/>
    <w:rsid w:val="73DF64B1"/>
    <w:rsid w:val="73E2421D"/>
    <w:rsid w:val="74000D97"/>
    <w:rsid w:val="74185CCF"/>
    <w:rsid w:val="741D2E7E"/>
    <w:rsid w:val="74694C3B"/>
    <w:rsid w:val="746A6AAD"/>
    <w:rsid w:val="747A4FBC"/>
    <w:rsid w:val="748B466B"/>
    <w:rsid w:val="749018A2"/>
    <w:rsid w:val="74D94903"/>
    <w:rsid w:val="74DC7834"/>
    <w:rsid w:val="74E271F1"/>
    <w:rsid w:val="75326EC3"/>
    <w:rsid w:val="75474A77"/>
    <w:rsid w:val="7551327B"/>
    <w:rsid w:val="755F3E02"/>
    <w:rsid w:val="755F782E"/>
    <w:rsid w:val="758B02BC"/>
    <w:rsid w:val="75956A44"/>
    <w:rsid w:val="75A16A9F"/>
    <w:rsid w:val="75BC6CCF"/>
    <w:rsid w:val="75E27D49"/>
    <w:rsid w:val="761867BE"/>
    <w:rsid w:val="761D3114"/>
    <w:rsid w:val="76365AD0"/>
    <w:rsid w:val="765D57EA"/>
    <w:rsid w:val="7688585F"/>
    <w:rsid w:val="76E97048"/>
    <w:rsid w:val="76F54CF0"/>
    <w:rsid w:val="76FD5906"/>
    <w:rsid w:val="77072866"/>
    <w:rsid w:val="770B684E"/>
    <w:rsid w:val="771D50F3"/>
    <w:rsid w:val="77204CB1"/>
    <w:rsid w:val="77356662"/>
    <w:rsid w:val="7736368D"/>
    <w:rsid w:val="773F4EBA"/>
    <w:rsid w:val="7755292F"/>
    <w:rsid w:val="77702CAE"/>
    <w:rsid w:val="7771703D"/>
    <w:rsid w:val="777C1603"/>
    <w:rsid w:val="778E6B43"/>
    <w:rsid w:val="77A14CDE"/>
    <w:rsid w:val="77AA2F7D"/>
    <w:rsid w:val="77C96BD3"/>
    <w:rsid w:val="781A76D5"/>
    <w:rsid w:val="78266CE5"/>
    <w:rsid w:val="7827421F"/>
    <w:rsid w:val="782B4A23"/>
    <w:rsid w:val="78302F8F"/>
    <w:rsid w:val="784117AB"/>
    <w:rsid w:val="78510397"/>
    <w:rsid w:val="78552936"/>
    <w:rsid w:val="78731F0E"/>
    <w:rsid w:val="78754CBA"/>
    <w:rsid w:val="78962FA5"/>
    <w:rsid w:val="78BF79C0"/>
    <w:rsid w:val="78C148AC"/>
    <w:rsid w:val="78CA1FEE"/>
    <w:rsid w:val="78CB3FEB"/>
    <w:rsid w:val="7929245F"/>
    <w:rsid w:val="793B5CE2"/>
    <w:rsid w:val="795C411F"/>
    <w:rsid w:val="796834B3"/>
    <w:rsid w:val="797B3C8A"/>
    <w:rsid w:val="797F45FC"/>
    <w:rsid w:val="797F5A41"/>
    <w:rsid w:val="79970647"/>
    <w:rsid w:val="79D9682C"/>
    <w:rsid w:val="79DB75C0"/>
    <w:rsid w:val="79E37881"/>
    <w:rsid w:val="79E4486C"/>
    <w:rsid w:val="79EA2E0E"/>
    <w:rsid w:val="79ED08FA"/>
    <w:rsid w:val="7A067AFA"/>
    <w:rsid w:val="7A0C585A"/>
    <w:rsid w:val="7A2C7450"/>
    <w:rsid w:val="7A326B5A"/>
    <w:rsid w:val="7A553725"/>
    <w:rsid w:val="7A616D0A"/>
    <w:rsid w:val="7A6C0DAE"/>
    <w:rsid w:val="7A7F2C76"/>
    <w:rsid w:val="7AAC462A"/>
    <w:rsid w:val="7AB51F89"/>
    <w:rsid w:val="7AF84FA0"/>
    <w:rsid w:val="7AF909C6"/>
    <w:rsid w:val="7B6273C9"/>
    <w:rsid w:val="7B6F1BD0"/>
    <w:rsid w:val="7B732126"/>
    <w:rsid w:val="7B755C15"/>
    <w:rsid w:val="7B7B20CE"/>
    <w:rsid w:val="7B8E1216"/>
    <w:rsid w:val="7B9A1345"/>
    <w:rsid w:val="7BCA6C86"/>
    <w:rsid w:val="7C003703"/>
    <w:rsid w:val="7C044DA1"/>
    <w:rsid w:val="7C0469D6"/>
    <w:rsid w:val="7C365DE1"/>
    <w:rsid w:val="7CA33449"/>
    <w:rsid w:val="7CC876FF"/>
    <w:rsid w:val="7CCE4D69"/>
    <w:rsid w:val="7D0A0BA4"/>
    <w:rsid w:val="7D107AF3"/>
    <w:rsid w:val="7D4253C7"/>
    <w:rsid w:val="7D4C5341"/>
    <w:rsid w:val="7D4E5EE6"/>
    <w:rsid w:val="7D8901AD"/>
    <w:rsid w:val="7D8E577D"/>
    <w:rsid w:val="7D9A426A"/>
    <w:rsid w:val="7DB36601"/>
    <w:rsid w:val="7DDA357B"/>
    <w:rsid w:val="7E006F08"/>
    <w:rsid w:val="7E01736D"/>
    <w:rsid w:val="7E333E03"/>
    <w:rsid w:val="7E391FE6"/>
    <w:rsid w:val="7E916762"/>
    <w:rsid w:val="7EA916FD"/>
    <w:rsid w:val="7EAB552B"/>
    <w:rsid w:val="7EE53C64"/>
    <w:rsid w:val="7EF42A2E"/>
    <w:rsid w:val="7F541580"/>
    <w:rsid w:val="7F590594"/>
    <w:rsid w:val="7F667225"/>
    <w:rsid w:val="7F7B2EF8"/>
    <w:rsid w:val="7F844A6E"/>
    <w:rsid w:val="7F9935D5"/>
    <w:rsid w:val="7FAA1C29"/>
    <w:rsid w:val="7FAC4830"/>
    <w:rsid w:val="7FB659E5"/>
    <w:rsid w:val="7FB7407D"/>
    <w:rsid w:val="7FEF65CD"/>
    <w:rsid w:val="7FF06812"/>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2" Type="http://schemas.openxmlformats.org/officeDocument/2006/relationships/font" Target="fonts/font1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52</Pages>
  <Words>4159</Words>
  <Characters>5168</Characters>
  <Lines>0</Lines>
  <Paragraphs>0</Paragraphs>
  <TotalTime>27</TotalTime>
  <ScaleCrop>false</ScaleCrop>
  <LinksUpToDate>false</LinksUpToDate>
  <CharactersWithSpaces>5250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2025-01-09T06:59:00Z</cp:lastPrinted>
  <dcterms:modified xsi:type="dcterms:W3CDTF">2025-01-17T07:41:46Z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A1CDB740913A46D19493ED739BA0EA25_13</vt:lpwstr>
  </property>
  <property fmtid="{D5CDD505-2E9C-101B-9397-08002B2CF9AE}" pid="4" name="KSOTemplateDocerSaveRecord">
    <vt:lpwstr>eyJoZGlkIjoiMmExZjUxNWE0NWJhMGEyZGI3ZWI3YTYxOTBiYmQ5M2YiLCJ1c2VySWQiOiIxNTY2MDI0ODcyIn0=</vt:lpwstr>
  </property>
</Properties>
</file>