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亳州逸合府项目销售代理业务 </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52125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4F02E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51360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BZJK-2025-002号</w:t>
      </w:r>
      <w:permEnd w:id="1"/>
    </w:p>
    <w:p w14:paraId="73496F8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2025年1</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w:t>
      </w:r>
      <w:r>
        <w:rPr>
          <w:rFonts w:hint="eastAsia" w:ascii="Times New Roman" w:hAnsi="Times New Roman" w:eastAsia="黑体" w:cs="Times New Roman"/>
          <w:kern w:val="0"/>
          <w:sz w:val="32"/>
          <w:szCs w:val="32"/>
          <w:highlight w:val="none"/>
          <w:lang w:val="en-US" w:eastAsia="zh-CN"/>
        </w:rPr>
        <w:t>3</w:t>
      </w:r>
      <w:bookmarkStart w:id="370" w:name="_GoBack"/>
      <w:bookmarkEnd w:id="370"/>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6</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7EBC0D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39</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42</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C9D700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亳州逸合府项目销售代理业务</w:t>
      </w:r>
      <w:permEnd w:id="5"/>
      <w:r>
        <w:rPr>
          <w:rFonts w:hint="eastAsia" w:ascii="Times New Roman" w:hAnsi="Times New Roman" w:eastAsia="黑体" w:cs="Times New Roman"/>
          <w:sz w:val="28"/>
          <w:szCs w:val="28"/>
          <w:highlight w:val="none"/>
          <w:lang w:val="en-US" w:eastAsia="zh-CN"/>
        </w:rPr>
        <w:t>招标公告</w:t>
      </w: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46996909"/>
      <w:bookmarkStart w:id="2" w:name="_Toc144974487"/>
      <w:bookmarkStart w:id="3" w:name="_Toc152045519"/>
      <w:bookmarkStart w:id="4" w:name="_Toc296602410"/>
      <w:bookmarkStart w:id="5" w:name="_Toc247085680"/>
      <w:bookmarkStart w:id="6" w:name="_Toc152042295"/>
      <w:bookmarkStart w:id="7" w:name="_Toc179632536"/>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79632537"/>
      <w:bookmarkStart w:id="10" w:name="_Toc152042296"/>
      <w:bookmarkStart w:id="11" w:name="_Toc247085681"/>
      <w:bookmarkStart w:id="12" w:name="_Toc144974488"/>
      <w:bookmarkStart w:id="13" w:name="_Toc296602411"/>
      <w:bookmarkStart w:id="14" w:name="_Toc246996167"/>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亳州逸合府项目销售代理业务</w:t>
      </w:r>
    </w:p>
    <w:permEnd w:id="6"/>
    <w:p w14:paraId="70266A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BZJK-2025-002号</w:t>
      </w:r>
      <w:r>
        <w:rPr>
          <w:rFonts w:hint="eastAsia" w:asciiTheme="minorEastAsia" w:hAnsiTheme="minorEastAsia" w:eastAsiaTheme="minorEastAsia" w:cstheme="minorEastAsia"/>
          <w:sz w:val="28"/>
          <w:szCs w:val="28"/>
          <w:highlight w:val="none"/>
          <w:lang w:val="en-US" w:eastAsia="zh-CN"/>
        </w:rPr>
        <w:t xml:space="preserve">  </w:t>
      </w:r>
      <w:permEnd w:id="7"/>
    </w:p>
    <w:p w14:paraId="3DB83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 xml:space="preserve"> 企业自筹  </w:t>
      </w:r>
    </w:p>
    <w:permEnd w:id="8"/>
    <w:p w14:paraId="4A253E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 xml:space="preserve"> 亳州通恒置业有限公司  </w:t>
      </w:r>
    </w:p>
    <w:permEnd w:id="9"/>
    <w:p w14:paraId="5DB080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5A6FB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3132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亳州逸合府项目位于亳州市谯城经济技术产业开发区华佗大道与利辛路交叉口，分为南北二区，项目总用地面积134680.30平方米，总建筑面积362853.30平方米。</w:t>
      </w:r>
      <w:r>
        <w:rPr>
          <w:rFonts w:hint="eastAsia" w:asciiTheme="minorEastAsia" w:hAnsiTheme="minorEastAsia" w:cstheme="minorEastAsia"/>
          <w:color w:val="FF0000"/>
          <w:sz w:val="28"/>
          <w:szCs w:val="28"/>
          <w:highlight w:val="none"/>
          <w:lang w:val="en-US" w:eastAsia="zh-CN"/>
        </w:rPr>
        <w:t xml:space="preserve"> </w:t>
      </w:r>
      <w:permEnd w:id="10"/>
    </w:p>
    <w:p w14:paraId="4E6238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 xml:space="preserve">商品房数量暂定120套，实际以发包方审核通过为准，亳州逸合府项目的营销策划代理,主要工作包含全程营销策划、设计推广、案场销售（含内场的接待、催款、签约、收集客户按揭资料、办理移交、备案、预抵押、回款、售后等）方面工作。 </w:t>
      </w:r>
      <w:r>
        <w:rPr>
          <w:rFonts w:hint="eastAsia" w:asciiTheme="minorEastAsia" w:hAnsiTheme="minorEastAsia" w:cstheme="minorEastAsia"/>
          <w:color w:val="FF0000"/>
          <w:sz w:val="28"/>
          <w:szCs w:val="28"/>
          <w:highlight w:val="none"/>
          <w:lang w:val="en-US" w:eastAsia="zh-CN"/>
        </w:rPr>
        <w:t xml:space="preserve"> </w:t>
      </w:r>
      <w:permEnd w:id="11"/>
    </w:p>
    <w:p w14:paraId="72EF6F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none"/>
          <w:lang w:val="en-US" w:eastAsia="zh-CN"/>
        </w:rPr>
        <w:t>自合同签订之日起6个月。</w:t>
      </w:r>
      <w:permEnd w:id="13"/>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（含税6%）</w:t>
      </w:r>
      <w:permEnd w:id="14"/>
      <w:r>
        <w:rPr>
          <w:rFonts w:hint="eastAsia" w:asciiTheme="minorEastAsia" w:hAnsiTheme="minorEastAsia" w:cstheme="minorEastAsia"/>
          <w:sz w:val="28"/>
          <w:szCs w:val="28"/>
          <w:highlight w:val="none"/>
          <w:lang w:val="en-US" w:eastAsia="zh-CN"/>
        </w:rPr>
        <w:t>：投</w:t>
      </w:r>
      <w:r>
        <w:rPr>
          <w:rFonts w:hint="eastAsia" w:asciiTheme="minorEastAsia" w:hAnsiTheme="minorEastAsia" w:eastAsiaTheme="minorEastAsia" w:cstheme="minorEastAsia"/>
          <w:sz w:val="28"/>
          <w:szCs w:val="28"/>
          <w:highlight w:val="none"/>
          <w:lang w:val="en-US" w:eastAsia="zh-CN"/>
        </w:rPr>
        <w:t>标人按</w:t>
      </w:r>
      <w:permStart w:id="15" w:edGrp="everyone"/>
      <w:r>
        <w:rPr>
          <w:rFonts w:hint="eastAsia" w:asciiTheme="minorEastAsia" w:hAnsiTheme="minorEastAsia" w:eastAsiaTheme="minorEastAsia" w:cstheme="minorEastAsia"/>
          <w:sz w:val="28"/>
          <w:szCs w:val="28"/>
          <w:highlight w:val="none"/>
          <w:lang w:val="en-US" w:eastAsia="zh-CN"/>
        </w:rPr>
        <w:t>固定单价</w:t>
      </w:r>
      <w:r>
        <w:rPr>
          <w:rFonts w:hint="eastAsia" w:asciiTheme="minorEastAsia" w:hAnsiTheme="minorEastAsia" w:cstheme="minorEastAsia"/>
          <w:sz w:val="28"/>
          <w:szCs w:val="28"/>
          <w:highlight w:val="none"/>
          <w:lang w:val="en-US" w:eastAsia="zh-CN"/>
        </w:rPr>
        <w:t>分别</w:t>
      </w:r>
      <w:permEnd w:id="15"/>
      <w:r>
        <w:rPr>
          <w:rFonts w:hint="eastAsia" w:asciiTheme="minorEastAsia" w:hAnsiTheme="minorEastAsia" w:cstheme="minorEastAsia"/>
          <w:sz w:val="28"/>
          <w:szCs w:val="28"/>
          <w:highlight w:val="none"/>
          <w:lang w:val="en-US" w:eastAsia="zh-CN"/>
        </w:rPr>
        <w:t>投</w:t>
      </w:r>
      <w:r>
        <w:rPr>
          <w:rFonts w:hint="eastAsia" w:asciiTheme="minorEastAsia" w:hAnsiTheme="minorEastAsia" w:eastAsiaTheme="minorEastAsia" w:cstheme="minorEastAsia"/>
          <w:sz w:val="28"/>
          <w:szCs w:val="28"/>
          <w:highlight w:val="none"/>
          <w:lang w:val="en-US" w:eastAsia="zh-CN"/>
        </w:rPr>
        <w:t>标报价（本次招标商业与住宅同等标准）。自访（或自拓）控制价为12000元/套，分销及渠道带访控制价为6000元/套。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2AC1EB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w:t>
      </w:r>
      <w:permStart w:id="16" w:edGrp="everyone"/>
      <w:r>
        <w:rPr>
          <w:rFonts w:hint="default" w:asciiTheme="minorEastAsia" w:hAnsiTheme="minorEastAsia" w:eastAsiaTheme="minorEastAsia" w:cstheme="minorEastAsia"/>
          <w:sz w:val="28"/>
          <w:szCs w:val="28"/>
          <w:highlight w:val="none"/>
          <w:lang w:val="en-US" w:eastAsia="zh-CN"/>
        </w:rPr>
        <w:t>独立法人资格</w:t>
      </w:r>
      <w:permEnd w:id="16"/>
      <w:r>
        <w:rPr>
          <w:rFonts w:hint="default" w:asciiTheme="minorEastAsia" w:hAnsiTheme="minorEastAsia" w:eastAsiaTheme="minorEastAsia" w:cstheme="minorEastAsia"/>
          <w:sz w:val="28"/>
          <w:szCs w:val="28"/>
          <w:highlight w:val="none"/>
          <w:lang w:val="en-US" w:eastAsia="zh-CN"/>
        </w:rPr>
        <w:t>，并在人员、设备、资金等方面具有承担本项目的能力；</w:t>
      </w:r>
    </w:p>
    <w:p w14:paraId="45E006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（二）提供</w:t>
      </w:r>
      <w:permStart w:id="17" w:edGrp="everyone"/>
      <w:r>
        <w:rPr>
          <w:rFonts w:hint="default" w:asciiTheme="minorEastAsia" w:hAnsiTheme="minorEastAsia" w:eastAsiaTheme="minorEastAsia" w:cstheme="minorEastAsia"/>
          <w:sz w:val="28"/>
          <w:szCs w:val="28"/>
          <w:highlight w:val="none"/>
          <w:lang w:val="en-US" w:eastAsia="zh-CN"/>
        </w:rPr>
        <w:t>2019</w:t>
      </w:r>
      <w:permEnd w:id="17"/>
      <w:r>
        <w:rPr>
          <w:rFonts w:hint="default" w:asciiTheme="minorEastAsia" w:hAnsiTheme="minorEastAsia" w:eastAsiaTheme="minorEastAsia" w:cstheme="minorEastAsia"/>
          <w:sz w:val="28"/>
          <w:szCs w:val="28"/>
          <w:highlight w:val="none"/>
          <w:lang w:val="en-US" w:eastAsia="zh-CN"/>
        </w:rPr>
        <w:t>年至今企业类似项目业绩</w:t>
      </w:r>
      <w:permStart w:id="18" w:edGrp="everyone"/>
      <w:r>
        <w:rPr>
          <w:rFonts w:hint="default" w:asciiTheme="minorEastAsia" w:hAnsiTheme="minorEastAsia" w:eastAsiaTheme="minorEastAsia" w:cstheme="minorEastAsia"/>
          <w:sz w:val="28"/>
          <w:szCs w:val="28"/>
          <w:highlight w:val="none"/>
          <w:lang w:val="en-US" w:eastAsia="zh-CN"/>
        </w:rPr>
        <w:t>1</w:t>
      </w:r>
      <w:permEnd w:id="18"/>
      <w:r>
        <w:rPr>
          <w:rFonts w:hint="default" w:asciiTheme="minorEastAsia" w:hAnsiTheme="minorEastAsia" w:eastAsiaTheme="minorEastAsia" w:cstheme="minorEastAsia"/>
          <w:sz w:val="28"/>
          <w:szCs w:val="28"/>
          <w:highlight w:val="none"/>
          <w:lang w:val="en-US" w:eastAsia="zh-CN"/>
        </w:rPr>
        <w:t>个，以</w:t>
      </w:r>
      <w:permStart w:id="19" w:edGrp="everyone"/>
      <w:r>
        <w:rPr>
          <w:rFonts w:hint="default" w:asciiTheme="minorEastAsia" w:hAnsiTheme="minorEastAsia" w:eastAsiaTheme="minorEastAsia" w:cstheme="minorEastAsia"/>
          <w:sz w:val="28"/>
          <w:szCs w:val="28"/>
          <w:highlight w:val="none"/>
          <w:lang w:val="en-US" w:eastAsia="zh-CN"/>
        </w:rPr>
        <w:t>合同签订时间</w:t>
      </w:r>
      <w:permEnd w:id="19"/>
      <w:r>
        <w:rPr>
          <w:rFonts w:hint="default" w:asciiTheme="minorEastAsia" w:hAnsiTheme="minorEastAsia" w:eastAsiaTheme="minorEastAsia" w:cstheme="minorEastAsia"/>
          <w:sz w:val="28"/>
          <w:szCs w:val="28"/>
          <w:highlight w:val="none"/>
          <w:lang w:val="en-US" w:eastAsia="zh-CN"/>
        </w:rPr>
        <w:t>为准。类似项目业绩指：</w:t>
      </w:r>
      <w:permStart w:id="20" w:edGrp="everyone"/>
      <w:r>
        <w:rPr>
          <w:rFonts w:hint="default" w:asciiTheme="minorEastAsia" w:hAnsiTheme="minorEastAsia" w:eastAsiaTheme="minorEastAsia" w:cstheme="minorEastAsia"/>
          <w:sz w:val="28"/>
          <w:szCs w:val="28"/>
          <w:highlight w:val="none"/>
          <w:lang w:val="en-US" w:eastAsia="zh-CN"/>
        </w:rPr>
        <w:t>单项合同</w:t>
      </w:r>
      <w:r>
        <w:rPr>
          <w:rFonts w:hint="eastAsia" w:asciiTheme="minorEastAsia" w:hAnsiTheme="minorEastAsia" w:cstheme="minorEastAsia"/>
          <w:sz w:val="28"/>
          <w:szCs w:val="28"/>
          <w:highlight w:val="none"/>
          <w:lang w:val="en-US" w:eastAsia="zh-CN"/>
        </w:rPr>
        <w:t>建筑面积不少于</w:t>
      </w:r>
      <w:r>
        <w:rPr>
          <w:rFonts w:hint="default" w:asciiTheme="minorEastAsia" w:hAnsiTheme="minorEastAsia" w:eastAsiaTheme="minorEastAsia" w:cstheme="minorEastAsia"/>
          <w:sz w:val="28"/>
          <w:szCs w:val="28"/>
          <w:highlight w:val="none"/>
          <w:lang w:val="en-US" w:eastAsia="zh-CN"/>
        </w:rPr>
        <w:t>10万</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的住宅项目营销代理业绩</w:t>
      </w:r>
      <w:permEnd w:id="20"/>
      <w:r>
        <w:rPr>
          <w:rFonts w:hint="default" w:asciiTheme="minorEastAsia" w:hAnsiTheme="minorEastAsia" w:eastAsiaTheme="minorEastAsia" w:cstheme="minorEastAsia"/>
          <w:sz w:val="28"/>
          <w:szCs w:val="28"/>
          <w:highlight w:val="none"/>
          <w:lang w:val="en-US" w:eastAsia="zh-CN"/>
        </w:rPr>
        <w:t>；</w:t>
      </w:r>
    </w:p>
    <w:p w14:paraId="7A736A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1" w:edGrp="everyone"/>
      <w:r>
        <w:rPr>
          <w:rFonts w:hint="default" w:asciiTheme="minorEastAsia" w:hAnsiTheme="minorEastAsia" w:eastAsiaTheme="minorEastAsia" w:cstheme="minorEastAsia"/>
          <w:sz w:val="28"/>
          <w:szCs w:val="28"/>
          <w:highlight w:val="none"/>
          <w:lang w:val="en-US" w:eastAsia="zh-CN"/>
        </w:rPr>
        <w:t>提供业绩合同等相关资料复印件或扫描件装订入投标文件中</w:t>
      </w:r>
      <w:permEnd w:id="21"/>
      <w:r>
        <w:rPr>
          <w:rFonts w:hint="default" w:asciiTheme="minorEastAsia" w:hAnsiTheme="minorEastAsia" w:eastAsiaTheme="minorEastAsia" w:cstheme="minorEastAsia"/>
          <w:sz w:val="28"/>
          <w:szCs w:val="28"/>
          <w:highlight w:val="none"/>
          <w:lang w:val="en-US" w:eastAsia="zh-CN"/>
        </w:rPr>
        <w:t>。</w:t>
      </w:r>
    </w:p>
    <w:p w14:paraId="5AF5EC4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（三）投标人（含分公司，不含子公司）存在以下不良信用记录情形之一的，不得推荐为中标候选人，不得确定为中标人。</w:t>
      </w:r>
    </w:p>
    <w:p w14:paraId="6198C6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（1）投标人被人民法院列入失信被执行人的；</w:t>
      </w:r>
    </w:p>
    <w:p w14:paraId="5175D6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（2）投标人被市场监督管理部门列入企业经营异常名录的；</w:t>
      </w:r>
    </w:p>
    <w:p w14:paraId="2EF954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（3）投标人被税务部门列入重大税收违法案件当事人名单的；</w:t>
      </w:r>
    </w:p>
    <w:p w14:paraId="578EC34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注：以上情形以“信用中国”（www.creditchina.gov.cn）发布的为准，有限制期限的按规定期限执行（以现场查询为准）。</w:t>
      </w:r>
    </w:p>
    <w:p w14:paraId="38CC2E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（四）投标人如在以往承接交控集团及下属企业项目过程中被记入“黑名单”，不得参加本次招标投标活动。</w:t>
      </w:r>
    </w:p>
    <w:p w14:paraId="1EC27CF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（五）本次招标</w:t>
      </w:r>
      <w:permStart w:id="22" w:edGrp="everyone"/>
      <w:r>
        <w:rPr>
          <w:rFonts w:hint="default" w:asciiTheme="minorEastAsia" w:hAnsiTheme="minorEastAsia" w:eastAsiaTheme="minorEastAsia" w:cstheme="minorEastAsia"/>
          <w:sz w:val="28"/>
          <w:szCs w:val="28"/>
          <w:highlight w:val="none"/>
          <w:lang w:val="en-US" w:eastAsia="zh-CN"/>
        </w:rPr>
        <w:t>不接受</w:t>
      </w:r>
      <w:permEnd w:id="22"/>
      <w:r>
        <w:rPr>
          <w:rFonts w:hint="default" w:asciiTheme="minorEastAsia" w:hAnsiTheme="minorEastAsia" w:eastAsiaTheme="minorEastAsia" w:cstheme="minorEastAsia"/>
          <w:sz w:val="28"/>
          <w:szCs w:val="28"/>
          <w:highlight w:val="none"/>
          <w:lang w:val="en-US" w:eastAsia="zh-CN"/>
        </w:rPr>
        <w:t>联合体投标。</w:t>
      </w:r>
    </w:p>
    <w:p w14:paraId="0D19A1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（六）本项目委托代理人必须是投标单位正式人员，须提供投标单位公司为其缴纳的</w:t>
      </w:r>
      <w:permStart w:id="23" w:edGrp="everyone"/>
      <w:r>
        <w:rPr>
          <w:rFonts w:hint="default" w:asciiTheme="minorEastAsia" w:hAnsiTheme="minorEastAsia" w:eastAsiaTheme="minorEastAsia" w:cstheme="minorEastAsia"/>
          <w:sz w:val="28"/>
          <w:szCs w:val="28"/>
          <w:highlight w:val="none"/>
          <w:lang w:val="en-US" w:eastAsia="zh-CN"/>
        </w:rPr>
        <w:t>2024年</w:t>
      </w:r>
      <w:r>
        <w:rPr>
          <w:rFonts w:hint="eastAsia" w:asciiTheme="minorEastAsia" w:hAnsiTheme="minorEastAsia" w:cstheme="minorEastAsia"/>
          <w:sz w:val="28"/>
          <w:szCs w:val="28"/>
          <w:highlight w:val="none"/>
          <w:lang w:val="en-US" w:eastAsia="zh-CN"/>
        </w:rPr>
        <w:t>6</w:t>
      </w:r>
      <w:r>
        <w:rPr>
          <w:rFonts w:hint="default" w:asciiTheme="minorEastAsia" w:hAnsiTheme="minorEastAsia" w:eastAsiaTheme="minorEastAsia" w:cstheme="minorEastAsia"/>
          <w:sz w:val="28"/>
          <w:szCs w:val="28"/>
          <w:highlight w:val="none"/>
          <w:lang w:val="en-US" w:eastAsia="zh-CN"/>
        </w:rPr>
        <w:t>月</w:t>
      </w:r>
      <w:permEnd w:id="23"/>
      <w:r>
        <w:rPr>
          <w:rFonts w:hint="default" w:asciiTheme="minorEastAsia" w:hAnsiTheme="minorEastAsia" w:eastAsiaTheme="minorEastAsia" w:cstheme="minorEastAsia"/>
          <w:sz w:val="28"/>
          <w:szCs w:val="28"/>
          <w:highlight w:val="none"/>
          <w:lang w:val="en-US" w:eastAsia="zh-CN"/>
        </w:rPr>
        <w:t>起任意3个月及以上养老保险证明，否则按无效投标处理。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月</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14</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日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时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5" w:edGrp="everyone"/>
      <w:r>
        <w:rPr>
          <w:rFonts w:hint="eastAsia" w:asciiTheme="minorEastAsia" w:hAnsiTheme="minorEastAsia" w:cstheme="minorEastAsia"/>
          <w:color w:val="FF0000"/>
          <w:sz w:val="28"/>
          <w:szCs w:val="28"/>
          <w:highlight w:val="none"/>
          <w:u w:val="singl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permEnd w:id="25"/>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6"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16000元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6"/>
      <w:r>
        <w:rPr>
          <w:rFonts w:hint="default" w:asciiTheme="minorEastAsia" w:hAnsiTheme="minorEastAsia" w:eastAsiaTheme="minorEastAsia" w:cstheme="minorEastAsia"/>
          <w:sz w:val="28"/>
          <w:szCs w:val="28"/>
          <w:highlight w:val="none"/>
          <w:lang w:val="en-US" w:eastAsia="zh-CN"/>
        </w:rPr>
        <w:t>，缴纳方式详见招标文件。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D9641E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 标 人：</w:t>
      </w:r>
      <w:permStart w:id="27" w:edGrp="everyone"/>
      <w:r>
        <w:rPr>
          <w:rFonts w:hint="default" w:asciiTheme="minorEastAsia" w:hAnsiTheme="minorEastAsia" w:eastAsiaTheme="minorEastAsia" w:cstheme="minorEastAsia"/>
          <w:sz w:val="28"/>
          <w:szCs w:val="28"/>
          <w:highlight w:val="none"/>
          <w:lang w:val="en-US" w:eastAsia="zh-CN"/>
        </w:rPr>
        <w:t>亳州通恒置业有限公司</w:t>
      </w:r>
    </w:p>
    <w:permEnd w:id="27"/>
    <w:p w14:paraId="68E6E2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    址：</w:t>
      </w:r>
      <w:permStart w:id="28" w:edGrp="everyone"/>
      <w:r>
        <w:rPr>
          <w:rFonts w:hint="default" w:asciiTheme="minorEastAsia" w:hAnsiTheme="minorEastAsia" w:eastAsiaTheme="minorEastAsia" w:cstheme="minorEastAsia"/>
          <w:sz w:val="28"/>
          <w:szCs w:val="28"/>
          <w:highlight w:val="none"/>
          <w:lang w:val="en-US" w:eastAsia="zh-CN"/>
        </w:rPr>
        <w:t>安徽省亳州市谯城区药都路1289号</w:t>
      </w:r>
      <w:permEnd w:id="28"/>
    </w:p>
    <w:p w14:paraId="0922AC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 系 人：</w:t>
      </w:r>
      <w:permStart w:id="29" w:edGrp="everyone"/>
      <w:r>
        <w:rPr>
          <w:rFonts w:hint="default" w:asciiTheme="minorEastAsia" w:hAnsiTheme="minorEastAsia" w:eastAsiaTheme="minorEastAsia" w:cstheme="minorEastAsia"/>
          <w:sz w:val="28"/>
          <w:szCs w:val="28"/>
          <w:highlight w:val="none"/>
          <w:lang w:val="en-US" w:eastAsia="zh-CN"/>
        </w:rPr>
        <w:t>孙工</w:t>
      </w:r>
      <w:permEnd w:id="29"/>
    </w:p>
    <w:p w14:paraId="5A44D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电    话：</w:t>
      </w:r>
      <w:permStart w:id="30" w:edGrp="everyone"/>
      <w:r>
        <w:rPr>
          <w:rFonts w:hint="default" w:asciiTheme="minorEastAsia" w:hAnsiTheme="minorEastAsia" w:eastAsiaTheme="minorEastAsia" w:cstheme="minorEastAsia"/>
          <w:sz w:val="28"/>
          <w:szCs w:val="28"/>
          <w:highlight w:val="none"/>
          <w:lang w:val="en-US" w:eastAsia="zh-CN"/>
        </w:rPr>
        <w:t>0558-5585196</w:t>
      </w:r>
      <w:permEnd w:id="30"/>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5D6A71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1" w:edGrp="everyone"/>
      <w:r>
        <w:rPr>
          <w:rFonts w:hint="eastAsia" w:asciiTheme="minorEastAsia" w:hAnsiTheme="minorEastAsia" w:eastAsiaTheme="minorEastAsia" w:cstheme="minorEastAsia"/>
          <w:color w:val="FF0000"/>
          <w:sz w:val="28"/>
          <w:szCs w:val="28"/>
          <w:highlight w:val="none"/>
          <w:lang w:val="en-US" w:eastAsia="zh-CN"/>
        </w:rPr>
        <w:t xml:space="preserve"> 亳州通恒置业有限公司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 xml:space="preserve"> 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ermEnd w:id="31"/>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6D3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4C33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068C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460A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F83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453B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B99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5717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221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90C2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DE5A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0046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C4E8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0296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6D03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8687C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8F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184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A2B7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D4A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BC6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8761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A26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F79D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0879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D4C3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FEB7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7E9A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24D0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D245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6D7C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E951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E40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FB35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470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2F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6D23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74A2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E3E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F085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A62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043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0877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D3C1A7">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0CE18159">
            <w:pPr>
              <w:autoSpaceDE w:val="0"/>
              <w:autoSpaceDN w:val="0"/>
              <w:adjustRightInd w:val="0"/>
              <w:snapToGrid w:val="0"/>
              <w:spacing w:line="440" w:lineRule="exact"/>
              <w:jc w:val="left"/>
              <w:rPr>
                <w:rFonts w:hint="eastAsia" w:hAnsi="宋体"/>
                <w:color w:val="FF0000"/>
                <w:szCs w:val="21"/>
              </w:rPr>
            </w:pPr>
            <w:permStart w:id="32" w:edGrp="everyone"/>
            <w:r>
              <w:rPr>
                <w:rFonts w:hint="eastAsia" w:hAnsi="宋体"/>
                <w:color w:val="FF0000"/>
                <w:szCs w:val="21"/>
                <w:lang w:val="en-US" w:eastAsia="zh-CN"/>
              </w:rPr>
              <w:t>2</w:t>
            </w:r>
            <w:r>
              <w:rPr>
                <w:rFonts w:hint="eastAsia" w:hAnsi="宋体"/>
                <w:color w:val="FF0000"/>
                <w:szCs w:val="21"/>
              </w:rPr>
              <w:t>、财务要求：</w:t>
            </w:r>
          </w:p>
          <w:p w14:paraId="0F92D73E">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30501C1C">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2"/>
          <w:p w14:paraId="67B3878F">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8F4A623">
            <w:pPr>
              <w:pStyle w:val="6"/>
              <w:topLinePunct/>
              <w:spacing w:line="440" w:lineRule="exact"/>
              <w:ind w:firstLine="420" w:firstLineChars="200"/>
              <w:rPr>
                <w:rFonts w:hint="default" w:ascii="Times New Roman" w:hAnsi="Times New Roman" w:cs="Times New Roman"/>
                <w:szCs w:val="21"/>
                <w:highlight w:val="none"/>
              </w:rPr>
            </w:pPr>
            <w:permStart w:id="33" w:edGrp="everyone"/>
            <w:r>
              <w:rPr>
                <w:rFonts w:hint="eastAsia" w:hAnsi="宋体"/>
                <w:sz w:val="21"/>
                <w:szCs w:val="21"/>
                <w:lang w:val="en-US" w:eastAsia="zh-CN"/>
              </w:rPr>
              <w:t xml:space="preserve">  /  </w:t>
            </w:r>
            <w:permEnd w:id="33"/>
          </w:p>
        </w:tc>
      </w:tr>
      <w:tr w14:paraId="2DAF0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A6C1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3D63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1BC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4"/>
          </w:p>
        </w:tc>
      </w:tr>
      <w:tr w14:paraId="1FC5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8D5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26A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40031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5" w:edGrp="everyone"/>
            <w:r>
              <w:rPr>
                <w:rFonts w:hint="eastAsia" w:hAnsi="宋体"/>
                <w:sz w:val="21"/>
                <w:szCs w:val="21"/>
                <w:lang w:val="en-US" w:eastAsia="zh-CN"/>
              </w:rPr>
              <w:t xml:space="preserve">         /          </w:t>
            </w:r>
            <w:permEnd w:id="35"/>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6"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6"/>
      <w:tr w14:paraId="039F3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B9BA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7"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D8FE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37517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7"/>
      <w:tr w14:paraId="7D74D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9D86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48B1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A8A307">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E228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5A75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FED0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C0743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23A37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0A8B67B9">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6890B3FA">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8"/>
          </w:p>
        </w:tc>
      </w:tr>
      <w:tr w14:paraId="19E7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5F4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BF3B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2D63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9" w:edGrp="everyone"/>
            <w:r>
              <w:rPr>
                <w:rFonts w:hint="eastAsia" w:ascii="Times New Roman" w:hAnsi="Times New Roman" w:cs="Times New Roman"/>
                <w:color w:val="FF0000"/>
                <w:sz w:val="21"/>
                <w:szCs w:val="21"/>
                <w:highlight w:val="none"/>
                <w:lang w:val="en-US" w:eastAsia="zh-CN"/>
              </w:rPr>
              <w:t xml:space="preserve"> 详见招标文件第一章招标公告、第四章合同条款及格式、第五章发包人要求。 </w:t>
            </w:r>
            <w:permEnd w:id="3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40"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10 </w:t>
            </w:r>
            <w:r>
              <w:rPr>
                <w:rFonts w:hint="eastAsia" w:ascii="Times New Roman" w:hAnsi="Times New Roman" w:cs="Times New Roman"/>
                <w:szCs w:val="21"/>
                <w:highlight w:val="none"/>
                <w:u w:val="none"/>
                <w:lang w:val="en-US" w:eastAsia="zh-CN"/>
              </w:rPr>
              <w:t>日前</w:t>
            </w:r>
            <w:permEnd w:id="40"/>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94F1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41"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1"/>
            <w:r>
              <w:rPr>
                <w:rFonts w:hint="default" w:ascii="Times New Roman" w:hAnsi="Times New Roman" w:cs="Times New Roman"/>
                <w:szCs w:val="21"/>
                <w:highlight w:val="none"/>
                <w:u w:val="none"/>
                <w:lang w:val="en-US" w:eastAsia="zh-CN"/>
              </w:rPr>
              <w:t>进行发布。</w:t>
            </w:r>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42"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2"/>
            <w:r>
              <w:rPr>
                <w:rFonts w:hint="default" w:ascii="Times New Roman" w:hAnsi="Times New Roman" w:cs="Times New Roman"/>
                <w:szCs w:val="21"/>
                <w:highlight w:val="none"/>
                <w:u w:val="none"/>
                <w:lang w:val="en-US" w:eastAsia="zh-CN"/>
              </w:rPr>
              <w:t>的发布时间，视为投标人确认收到招标文件澄清的时间。</w:t>
            </w:r>
          </w:p>
        </w:tc>
      </w:tr>
      <w:tr w14:paraId="35C4A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0" w:hRule="atLeast"/>
        </w:trPr>
        <w:tc>
          <w:tcPr>
            <w:tcW w:w="1008" w:type="dxa"/>
            <w:vMerge w:val="continue"/>
            <w:tcBorders>
              <w:left w:val="single" w:color="auto" w:sz="4" w:space="0"/>
              <w:bottom w:val="single" w:color="auto" w:sz="4" w:space="0"/>
              <w:right w:val="single" w:color="auto" w:sz="4" w:space="0"/>
            </w:tcBorders>
            <w:noWrap w:val="0"/>
            <w:vAlign w:val="center"/>
          </w:tcPr>
          <w:p w14:paraId="75F554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20C9DD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1C87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3"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3"/>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D1CE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6CCE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BACE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CA8B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44"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4"/>
            <w:r>
              <w:rPr>
                <w:rFonts w:hint="default" w:ascii="Times New Roman" w:hAnsi="Times New Roman" w:cs="Times New Roman"/>
                <w:szCs w:val="21"/>
                <w:highlight w:val="none"/>
                <w:u w:val="none"/>
                <w:lang w:val="en-US" w:eastAsia="zh-CN"/>
              </w:rPr>
              <w:t>进行发布。</w:t>
            </w:r>
          </w:p>
        </w:tc>
      </w:tr>
      <w:tr w14:paraId="76430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51365A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C05D4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37DF71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45"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5"/>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752F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4393B5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88838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79B8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6"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6"/>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C57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0527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A3C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6EFE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7" w:edGrp="everyone"/>
            <w:r>
              <w:rPr>
                <w:rFonts w:hint="eastAsia" w:ascii="Times New Roman" w:hAnsi="Times New Roman" w:cs="Times New Roman"/>
                <w:kern w:val="2"/>
                <w:sz w:val="21"/>
                <w:szCs w:val="21"/>
                <w:highlight w:val="none"/>
                <w:u w:val="single"/>
                <w:lang w:val="en-US" w:eastAsia="zh-CN" w:bidi="ar-SA"/>
              </w:rPr>
              <w:t xml:space="preserve"> / </w:t>
            </w:r>
            <w:permEnd w:id="47"/>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8"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8"/>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9" w:edGrp="everyone"/>
            <w:r>
              <w:rPr>
                <w:rFonts w:hint="default" w:ascii="Times New Roman" w:hAnsi="Times New Roman" w:cs="Times New Roman"/>
                <w:color w:val="FF0000"/>
                <w:szCs w:val="21"/>
                <w:highlight w:val="none"/>
              </w:rPr>
              <w:t>银行汇款或转账</w:t>
            </w:r>
            <w:permEnd w:id="4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50" w:edGrp="everyone"/>
            <w:r>
              <w:rPr>
                <w:rFonts w:hint="eastAsia" w:ascii="Times New Roman" w:hAnsi="Times New Roman" w:cs="Times New Roman"/>
                <w:color w:val="auto"/>
                <w:szCs w:val="21"/>
                <w:highlight w:val="none"/>
                <w:u w:val="single"/>
                <w:lang w:val="en-US" w:eastAsia="zh-CN"/>
              </w:rPr>
              <w:t xml:space="preserve"> 16000元  </w:t>
            </w:r>
            <w:permEnd w:id="5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51" w:edGrp="everyone"/>
            <w:r>
              <w:rPr>
                <w:rFonts w:hint="eastAsia" w:ascii="Times New Roman" w:hAnsi="Times New Roman" w:cs="Times New Roman"/>
                <w:color w:val="FF0000"/>
                <w:szCs w:val="21"/>
                <w:highlight w:val="none"/>
                <w:lang w:val="en-US" w:eastAsia="zh-CN"/>
              </w:rPr>
              <w:t>BZJK-2025-002号保证金</w:t>
            </w:r>
            <w:permEnd w:id="5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42179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F11C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C2BE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582A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9191B4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36DD206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FE75F7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5DDA0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961425">
            <w:pPr>
              <w:spacing w:line="382" w:lineRule="auto"/>
              <w:jc w:val="center"/>
              <w:rPr>
                <w:rFonts w:ascii="Arial"/>
                <w:sz w:val="21"/>
              </w:rPr>
            </w:pPr>
          </w:p>
          <w:p w14:paraId="17B7BCC7">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A2CB68">
            <w:pPr>
              <w:pStyle w:val="32"/>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2FB28BF">
            <w:pPr>
              <w:pStyle w:val="32"/>
              <w:spacing w:before="152" w:line="227" w:lineRule="auto"/>
              <w:ind w:left="129"/>
            </w:pPr>
            <w:permStart w:id="52" w:edGrp="everyone"/>
            <w:r>
              <w:rPr>
                <w:rFonts w:hint="eastAsia" w:ascii="Times New Roman" w:hAnsi="Times New Roman" w:eastAsia="宋体" w:cs="Times New Roman"/>
                <w:spacing w:val="-9"/>
                <w:sz w:val="31"/>
                <w:szCs w:val="31"/>
                <w:lang w:eastAsia="zh-CN"/>
              </w:rPr>
              <w:t>☑</w:t>
            </w:r>
            <w:r>
              <w:rPr>
                <w:spacing w:val="-9"/>
              </w:rPr>
              <w:t>无</w:t>
            </w:r>
          </w:p>
          <w:p w14:paraId="2C31AC9D">
            <w:pPr>
              <w:pStyle w:val="32"/>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52"/>
          </w:p>
        </w:tc>
      </w:tr>
      <w:tr w14:paraId="63CEB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E8064">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A789AA">
            <w:pPr>
              <w:pStyle w:val="32"/>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1721C03F">
            <w:pPr>
              <w:pStyle w:val="32"/>
              <w:tabs>
                <w:tab w:val="left" w:pos="663"/>
              </w:tabs>
              <w:spacing w:before="69" w:line="221" w:lineRule="auto"/>
              <w:rPr>
                <w:rFonts w:hint="eastAsia" w:ascii="Times New Roman" w:hAnsi="Times New Roman" w:cs="Times New Roman"/>
                <w:szCs w:val="21"/>
                <w:highlight w:val="none"/>
                <w:lang w:val="en-US" w:eastAsia="zh-CN"/>
              </w:rPr>
            </w:pPr>
            <w:permStart w:id="53" w:edGrp="everyone"/>
            <w:r>
              <w:rPr>
                <w:rFonts w:hint="eastAsia"/>
                <w:u w:val="single" w:color="auto"/>
                <w:lang w:val="en-US" w:eastAsia="zh-CN"/>
              </w:rPr>
              <w:t>/</w:t>
            </w:r>
            <w:r>
              <w:rPr>
                <w:u w:val="single" w:color="auto"/>
              </w:rPr>
              <w:t>年至</w:t>
            </w:r>
            <w:r>
              <w:rPr>
                <w:rFonts w:hint="eastAsia"/>
                <w:u w:val="single" w:color="auto"/>
                <w:lang w:val="en-US" w:eastAsia="zh-CN"/>
              </w:rPr>
              <w:t>/</w:t>
            </w:r>
            <w:r>
              <w:rPr>
                <w:u w:val="single" w:color="auto"/>
              </w:rPr>
              <w:t>年</w:t>
            </w:r>
            <w:permEnd w:id="53"/>
          </w:p>
        </w:tc>
      </w:tr>
      <w:tr w14:paraId="33067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05A8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B49D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E346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4780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4B9E38">
            <w:pPr>
              <w:spacing w:before="60" w:line="187" w:lineRule="auto"/>
              <w:jc w:val="center"/>
              <w:rPr>
                <w:rFonts w:hint="eastAsia" w:ascii="Times New Roman" w:hAnsi="Times New Roman" w:eastAsia="宋体" w:cs="Times New Roman"/>
                <w:spacing w:val="-1"/>
                <w:sz w:val="21"/>
                <w:szCs w:val="21"/>
                <w:lang w:val="en-US" w:eastAsia="zh-CN"/>
              </w:rPr>
            </w:pPr>
            <w:r>
              <w:rPr>
                <w:rFonts w:ascii="Times New Roman" w:hAnsi="Times New Roman" w:eastAsia="Times New Roman" w:cs="Times New Roman"/>
                <w:spacing w:val="-1"/>
                <w:sz w:val="21"/>
                <w:szCs w:val="21"/>
              </w:rPr>
              <w:t>3.5.</w:t>
            </w:r>
            <w:r>
              <w:rPr>
                <w:rFonts w:hint="eastAsia" w:ascii="Times New Roman" w:hAnsi="Times New Roman" w:eastAsia="宋体" w:cs="Times New Roman"/>
                <w:spacing w:val="-1"/>
                <w:sz w:val="21"/>
                <w:szCs w:val="21"/>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B13929">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4D7A9F">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54" w:edGrp="everyone"/>
            <w:r>
              <w:rPr>
                <w:rFonts w:hint="eastAsia"/>
                <w:spacing w:val="6"/>
                <w:u w:val="single" w:color="auto"/>
                <w:lang w:val="en-US" w:eastAsia="zh-CN"/>
              </w:rPr>
              <w:t>/</w:t>
            </w:r>
            <w:r>
              <w:rPr>
                <w:spacing w:val="6"/>
                <w:u w:val="single" w:color="auto"/>
              </w:rPr>
              <w:t>年至</w:t>
            </w:r>
            <w:r>
              <w:rPr>
                <w:rFonts w:hint="eastAsia"/>
                <w:spacing w:val="6"/>
                <w:u w:val="single" w:color="auto"/>
                <w:lang w:val="en-US" w:eastAsia="zh-CN"/>
              </w:rPr>
              <w:t>/</w:t>
            </w:r>
            <w:r>
              <w:rPr>
                <w:spacing w:val="6"/>
                <w:u w:val="single" w:color="auto"/>
              </w:rPr>
              <w:t>年</w:t>
            </w:r>
            <w:permEnd w:id="54"/>
          </w:p>
        </w:tc>
      </w:tr>
      <w:tr w14:paraId="06FA2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4F1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478C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AFA3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5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5"/>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B565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6"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5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23D8DA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7A43D21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77F6ED6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14:paraId="1DFD454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u w:val="none"/>
                <w:lang w:val="en-US" w:eastAsia="zh-CN"/>
              </w:rPr>
              <w:t>述标要求</w:t>
            </w:r>
            <w:r>
              <w:rPr>
                <w:rFonts w:hint="eastAsia" w:ascii="Times New Roman" w:hAnsi="Times New Roman" w:cs="Times New Roman"/>
                <w:szCs w:val="21"/>
                <w:highlight w:val="none"/>
                <w:u w:val="none"/>
                <w:lang w:val="en-US" w:eastAsia="zh-CN"/>
              </w:rPr>
              <w:t>：投标人对各自投标文件中的营销方案、策划方案向评标委员会进行PPT演示与讲解（投标人自带PPT演示所需的U盘和其他相关的物品及资料，招标人提供笔记本电脑、投影仪等设备）；每家投标人PPT演示和现场答辩时间原则上不超过25分钟。</w:t>
            </w:r>
          </w:p>
        </w:tc>
      </w:tr>
      <w:tr w14:paraId="6247D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5754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44CD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CA4C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692D3C7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7"/>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A6EFA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8"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14:paraId="6336E2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14:paraId="56990BF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亳州逸合府项目销售代理业务投标文件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项目编号：BZJK-2025-002号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8"/>
          </w:p>
        </w:tc>
      </w:tr>
      <w:tr w14:paraId="4427C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672F32">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4A0E30">
            <w:pPr>
              <w:pStyle w:val="32"/>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65204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8A9D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C67E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D7BD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69E0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621251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B708FF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应持授权委托书及有效身份证件递交投标文件，否则招标平台有权拒收，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59" w:edGrp="everyone"/>
            <w:r>
              <w:rPr>
                <w:rFonts w:hint="eastAsia" w:ascii="Times New Roman" w:hAnsi="Times New Roman" w:cs="Times New Roman"/>
                <w:szCs w:val="21"/>
                <w:highlight w:val="none"/>
                <w:u w:val="single"/>
                <w:lang w:val="en-US" w:eastAsia="zh-CN"/>
              </w:rPr>
              <w:t>由投标人代表或招标平台工作人员检查确认。</w:t>
            </w:r>
            <w:permEnd w:id="59"/>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632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4D44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4154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9A8E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2214B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6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亳州市谯城区药都大道1289号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60"/>
          </w:p>
        </w:tc>
      </w:tr>
      <w:tr w14:paraId="3E0A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CCD7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73D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BE529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1DFAE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45A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8B6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28EAD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permStart w:id="61" w:edGrp="everyone"/>
            <w:r>
              <w:rPr>
                <w:rFonts w:hint="eastAsia" w:ascii="Times New Roman" w:hAnsi="Times New Roman" w:cs="Times New Roman"/>
                <w:szCs w:val="21"/>
                <w:highlight w:val="none"/>
                <w:lang w:val="en-US" w:eastAsia="zh-CN"/>
              </w:rPr>
              <w:t xml:space="preserve">不补偿 </w:t>
            </w:r>
            <w:permEnd w:id="61"/>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6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62"/>
          <w:p w14:paraId="697CA42E">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lang w:val="en-US" w:eastAsia="zh-CN"/>
              </w:rPr>
              <w:t>收</w:t>
            </w:r>
            <w:r>
              <w:rPr>
                <w:rFonts w:hint="eastAsia" w:ascii="Times New Roman" w:hAnsi="Times New Roman" w:cs="Times New Roman"/>
                <w:b/>
                <w:bCs/>
                <w:color w:val="FF0000"/>
                <w:szCs w:val="21"/>
                <w:highlight w:val="none"/>
              </w:rPr>
              <w:t>取履约保证金的账户信息：</w:t>
            </w:r>
          </w:p>
          <w:p w14:paraId="16CF5E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开户名称：</w:t>
            </w:r>
            <w:r>
              <w:rPr>
                <w:rFonts w:hint="eastAsia" w:ascii="Times New Roman" w:hAnsi="Times New Roman" w:cs="Times New Roman"/>
                <w:b/>
                <w:bCs/>
                <w:color w:val="FF0000"/>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开户银行：</w:t>
            </w:r>
            <w:r>
              <w:rPr>
                <w:rFonts w:hint="eastAsia" w:ascii="Times New Roman" w:hAnsi="Times New Roman" w:cs="Times New Roman"/>
                <w:b/>
                <w:bCs/>
                <w:color w:val="FF0000"/>
                <w:szCs w:val="21"/>
                <w:highlight w:val="none"/>
                <w:lang w:val="en-US" w:eastAsia="zh-CN"/>
              </w:rPr>
              <w:t>建行亳州市分行</w:t>
            </w:r>
          </w:p>
          <w:p w14:paraId="70FA12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银行账号：</w:t>
            </w:r>
            <w:r>
              <w:rPr>
                <w:rFonts w:hint="eastAsia" w:ascii="Times New Roman" w:hAnsi="Times New Roman" w:cs="Times New Roman"/>
                <w:b/>
                <w:bCs/>
                <w:color w:val="FF0000"/>
                <w:szCs w:val="21"/>
                <w:highlight w:val="none"/>
                <w:lang w:val="en-US" w:eastAsia="zh-CN"/>
              </w:rPr>
              <w:t>34050188860800002404</w:t>
            </w:r>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63"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63"/>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val="en-US" w:eastAsia="zh-CN"/>
              </w:rPr>
              <w:t>6</w:t>
            </w:r>
            <w:r>
              <w:rPr>
                <w:rFonts w:hint="eastAsia" w:ascii="Times New Roman" w:hAnsi="Times New Roman" w:cs="Times New Roman"/>
                <w:b/>
                <w:bCs/>
                <w:color w:val="FF0000"/>
                <w:szCs w:val="21"/>
                <w:highlight w:val="none"/>
                <w:u w:val="single"/>
                <w:lang w:val="en-US" w:eastAsia="zh-CN"/>
              </w:rPr>
              <w:t>0000</w:t>
            </w:r>
            <w:r>
              <w:rPr>
                <w:rFonts w:hint="eastAsia" w:ascii="Times New Roman" w:hAnsi="Times New Roman" w:cs="Times New Roman"/>
                <w:b/>
                <w:bCs/>
                <w:color w:val="FF0000"/>
                <w:szCs w:val="21"/>
                <w:highlight w:val="none"/>
                <w:lang w:val="en-US" w:eastAsia="zh-CN"/>
              </w:rPr>
              <w:t>元</w:t>
            </w:r>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6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6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30662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60C0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C283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FE2B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1D3F7F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369303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4AA17B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7A322A7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17085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6C783A8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2BEC2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FB5118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115A3B2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1D72842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48CB259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089FB1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FF590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09EEB10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1565AD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7085692"/>
      <w:bookmarkStart w:id="17" w:name="_Toc246996921"/>
      <w:bookmarkStart w:id="18" w:name="_Toc152042308"/>
      <w:bookmarkStart w:id="19" w:name="_Toc144974500"/>
      <w:bookmarkStart w:id="20" w:name="_Toc246996178"/>
      <w:bookmarkStart w:id="21" w:name="_Toc152045532"/>
      <w:bookmarkStart w:id="22" w:name="_Toc179632549"/>
      <w:bookmarkStart w:id="23" w:name="_Toc296602423"/>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296602426"/>
      <w:bookmarkStart w:id="26" w:name="_Toc247085695"/>
      <w:bookmarkStart w:id="27" w:name="_Toc246996924"/>
      <w:bookmarkStart w:id="28" w:name="_Toc246996181"/>
      <w:bookmarkStart w:id="29" w:name="_Toc152042312"/>
      <w:bookmarkStart w:id="30" w:name="_Toc144974504"/>
      <w:bookmarkStart w:id="31" w:name="_Toc152045536"/>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79632554"/>
      <w:bookmarkStart w:id="34" w:name="_Toc152045537"/>
      <w:bookmarkStart w:id="35" w:name="_Toc247085696"/>
      <w:bookmarkStart w:id="36" w:name="_Toc246996925"/>
      <w:bookmarkStart w:id="37" w:name="_Toc152042313"/>
      <w:bookmarkStart w:id="38" w:name="_Toc296602427"/>
      <w:bookmarkStart w:id="39" w:name="_Toc246996182"/>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2314"/>
      <w:bookmarkStart w:id="41" w:name="_Toc152045538"/>
      <w:bookmarkStart w:id="42" w:name="_Toc246996926"/>
      <w:bookmarkStart w:id="43" w:name="_Toc246996183"/>
      <w:bookmarkStart w:id="44" w:name="_Toc144974506"/>
      <w:bookmarkStart w:id="45" w:name="_Toc247085697"/>
      <w:bookmarkStart w:id="46" w:name="_Toc179632555"/>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0"/>
      <w:bookmarkStart w:id="48" w:name="_Toc247085701"/>
      <w:bookmarkStart w:id="49" w:name="_Toc152042318"/>
      <w:bookmarkStart w:id="50" w:name="_Toc179632560"/>
      <w:bookmarkStart w:id="51" w:name="_Toc246996187"/>
      <w:bookmarkStart w:id="52" w:name="_Toc152045542"/>
      <w:bookmarkStart w:id="53" w:name="_Toc246996930"/>
      <w:bookmarkStart w:id="54" w:name="_Toc296602432"/>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96602433"/>
      <w:bookmarkStart w:id="56" w:name="_Toc246996931"/>
      <w:bookmarkStart w:id="57" w:name="_Toc144974511"/>
      <w:bookmarkStart w:id="58" w:name="_Toc247085702"/>
      <w:bookmarkStart w:id="59" w:name="_Toc246996188"/>
      <w:bookmarkStart w:id="60" w:name="_Toc179632561"/>
      <w:bookmarkStart w:id="61" w:name="_Toc152045543"/>
      <w:bookmarkStart w:id="62" w:name="_Toc152042319"/>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2320"/>
      <w:bookmarkStart w:id="64" w:name="_Toc152045544"/>
      <w:bookmarkStart w:id="65" w:name="_Toc296602434"/>
      <w:bookmarkStart w:id="66" w:name="_Toc179632562"/>
      <w:bookmarkStart w:id="67" w:name="_Toc144974512"/>
      <w:bookmarkStart w:id="68" w:name="_Toc246996189"/>
      <w:bookmarkStart w:id="69" w:name="_Toc247085703"/>
      <w:bookmarkStart w:id="70" w:name="_Toc246996932"/>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79632563"/>
      <w:bookmarkStart w:id="72" w:name="_Toc247085704"/>
      <w:bookmarkStart w:id="73" w:name="_Toc144974513"/>
      <w:bookmarkStart w:id="74" w:name="_Toc246996190"/>
      <w:bookmarkStart w:id="75" w:name="_Toc296602435"/>
      <w:bookmarkStart w:id="76" w:name="_Toc152045545"/>
      <w:bookmarkStart w:id="77" w:name="_Toc246996933"/>
      <w:bookmarkStart w:id="78" w:name="_Toc152042321"/>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144974514"/>
      <w:bookmarkStart w:id="80" w:name="_Toc246996191"/>
      <w:bookmarkStart w:id="81" w:name="_Toc179632564"/>
      <w:bookmarkStart w:id="82" w:name="_Toc247085705"/>
      <w:bookmarkStart w:id="83" w:name="_Toc296602436"/>
      <w:bookmarkStart w:id="84" w:name="_Toc152042322"/>
      <w:bookmarkStart w:id="85" w:name="_Toc152045546"/>
      <w:bookmarkStart w:id="86" w:name="_Toc24699693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144974515"/>
      <w:bookmarkStart w:id="89" w:name="_Toc246996192"/>
      <w:bookmarkStart w:id="90" w:name="_Toc247085706"/>
      <w:bookmarkStart w:id="91" w:name="_Toc246996935"/>
      <w:bookmarkStart w:id="92" w:name="_Toc296602437"/>
      <w:bookmarkStart w:id="93" w:name="_Toc179632565"/>
      <w:bookmarkStart w:id="94" w:name="_Toc152042323"/>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2324"/>
      <w:bookmarkStart w:id="96" w:name="_Toc152045548"/>
      <w:bookmarkStart w:id="97" w:name="_Toc246996936"/>
      <w:bookmarkStart w:id="98" w:name="_Toc247085707"/>
      <w:bookmarkStart w:id="99" w:name="_Toc296602438"/>
      <w:bookmarkStart w:id="100" w:name="_Toc246996193"/>
      <w:bookmarkStart w:id="101" w:name="_Toc144974516"/>
      <w:bookmarkStart w:id="102" w:name="_Toc179632566"/>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79632567"/>
      <w:bookmarkStart w:id="105" w:name="_Toc152042325"/>
      <w:bookmarkStart w:id="106" w:name="_Toc152045549"/>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46996194"/>
      <w:bookmarkStart w:id="109" w:name="_Toc296602439"/>
      <w:bookmarkStart w:id="110" w:name="_Toc246996937"/>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179632568"/>
      <w:bookmarkStart w:id="112" w:name="_Toc152045550"/>
      <w:bookmarkStart w:id="113" w:name="_Toc246996938"/>
      <w:bookmarkStart w:id="114" w:name="_Toc246996195"/>
      <w:bookmarkStart w:id="115" w:name="_Toc152042326"/>
      <w:bookmarkStart w:id="116" w:name="_Toc144974518"/>
      <w:bookmarkStart w:id="117" w:name="_Toc296602440"/>
      <w:bookmarkStart w:id="118" w:name="_Toc247085709"/>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246996939"/>
      <w:bookmarkStart w:id="120" w:name="_Toc144974520"/>
      <w:bookmarkStart w:id="121" w:name="_Toc296602441"/>
      <w:bookmarkStart w:id="122" w:name="_Toc179632570"/>
      <w:bookmarkStart w:id="123" w:name="_Toc246996196"/>
      <w:bookmarkStart w:id="124" w:name="_Toc152042328"/>
      <w:bookmarkStart w:id="125" w:name="_Toc247085710"/>
      <w:bookmarkStart w:id="126" w:name="_Toc152045552"/>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9"/>
      <w:bookmarkStart w:id="128" w:name="_Toc296602443"/>
      <w:bookmarkStart w:id="129" w:name="_Toc246996942"/>
      <w:bookmarkStart w:id="130" w:name="_Toc152045555"/>
      <w:bookmarkStart w:id="131" w:name="_Toc144974523"/>
      <w:bookmarkStart w:id="132" w:name="_Toc247085713"/>
      <w:bookmarkStart w:id="133" w:name="_Toc179632573"/>
      <w:bookmarkStart w:id="134" w:name="_Toc152042331"/>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24"/>
      <w:bookmarkStart w:id="136" w:name="_Toc246996200"/>
      <w:bookmarkStart w:id="137" w:name="_Toc247085714"/>
      <w:bookmarkStart w:id="138" w:name="_Toc246996943"/>
      <w:bookmarkStart w:id="139" w:name="_Toc152042332"/>
      <w:bookmarkStart w:id="140" w:name="_Toc296602444"/>
      <w:bookmarkStart w:id="141" w:name="_Toc152045556"/>
      <w:bookmarkStart w:id="142" w:name="_Toc179632574"/>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52045557"/>
      <w:bookmarkStart w:id="144" w:name="_Toc144974525"/>
      <w:bookmarkStart w:id="145" w:name="_Toc152042333"/>
      <w:bookmarkStart w:id="146" w:name="_Toc246996944"/>
      <w:bookmarkStart w:id="147" w:name="_Toc179632575"/>
      <w:bookmarkStart w:id="148" w:name="_Toc247085715"/>
      <w:bookmarkStart w:id="149" w:name="_Toc246996201"/>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2"/>
      <w:bookmarkStart w:id="151" w:name="_Toc296602446"/>
      <w:bookmarkStart w:id="152" w:name="_Toc247085716"/>
      <w:bookmarkStart w:id="153" w:name="_Toc152045558"/>
      <w:bookmarkStart w:id="154" w:name="_Toc152042334"/>
      <w:bookmarkStart w:id="155" w:name="_Toc144974526"/>
      <w:bookmarkStart w:id="156" w:name="_Toc246996945"/>
      <w:bookmarkStart w:id="157" w:name="_Toc179632576"/>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6"/>
      <w:bookmarkStart w:id="159" w:name="_Toc179632577"/>
      <w:bookmarkStart w:id="160" w:name="_Toc246996203"/>
      <w:bookmarkStart w:id="161" w:name="_Toc296602447"/>
      <w:bookmarkStart w:id="162" w:name="_Toc152042335"/>
      <w:bookmarkStart w:id="163" w:name="_Toc152045559"/>
      <w:bookmarkStart w:id="164" w:name="_Toc247085717"/>
      <w:bookmarkStart w:id="165" w:name="_Toc144974527"/>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48"/>
      <w:bookmarkStart w:id="167" w:name="_Toc152045560"/>
      <w:bookmarkStart w:id="168" w:name="_Toc152042336"/>
      <w:bookmarkStart w:id="169" w:name="_Toc246996204"/>
      <w:bookmarkStart w:id="170" w:name="_Toc179632578"/>
      <w:bookmarkStart w:id="171" w:name="_Toc246996947"/>
      <w:bookmarkStart w:id="172" w:name="_Toc247085718"/>
      <w:bookmarkStart w:id="173" w:name="_Toc144974528"/>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79632579"/>
      <w:bookmarkStart w:id="175" w:name="_Toc246996948"/>
      <w:bookmarkStart w:id="176" w:name="_Toc246996205"/>
      <w:bookmarkStart w:id="177" w:name="_Toc152045561"/>
      <w:bookmarkStart w:id="178" w:name="_Toc144974529"/>
      <w:bookmarkStart w:id="179" w:name="_Toc296602449"/>
      <w:bookmarkStart w:id="180" w:name="_Toc247085719"/>
      <w:bookmarkStart w:id="181" w:name="_Toc152042337"/>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0"/>
      <w:bookmarkStart w:id="183" w:name="_Toc247085721"/>
      <w:bookmarkStart w:id="184" w:name="_Toc296602452"/>
      <w:bookmarkStart w:id="185" w:name="_Toc246996207"/>
      <w:bookmarkStart w:id="186" w:name="_Toc144974531"/>
      <w:bookmarkStart w:id="187" w:name="_Toc179632581"/>
      <w:bookmarkStart w:id="188" w:name="_Toc152045563"/>
      <w:bookmarkStart w:id="189" w:name="_Toc152042339"/>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246996953"/>
      <w:bookmarkStart w:id="191" w:name="_Toc144974534"/>
      <w:bookmarkStart w:id="192" w:name="_Toc152045566"/>
      <w:bookmarkStart w:id="193" w:name="_Toc152042342"/>
      <w:bookmarkStart w:id="194" w:name="_Toc179632584"/>
      <w:bookmarkStart w:id="195" w:name="_Toc246996210"/>
      <w:bookmarkStart w:id="196" w:name="_Toc296602455"/>
      <w:bookmarkStart w:id="197" w:name="_Toc247085724"/>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46996954"/>
      <w:bookmarkStart w:id="199" w:name="_Toc144974535"/>
      <w:bookmarkStart w:id="200" w:name="_Toc246996211"/>
      <w:bookmarkStart w:id="201" w:name="_Toc152042343"/>
      <w:bookmarkStart w:id="202" w:name="_Toc179632585"/>
      <w:bookmarkStart w:id="203" w:name="_Toc247085725"/>
      <w:bookmarkStart w:id="204" w:name="_Toc152045567"/>
      <w:bookmarkStart w:id="205" w:name="_Toc296602456"/>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179632586"/>
      <w:bookmarkStart w:id="208" w:name="_Toc296602458"/>
      <w:bookmarkStart w:id="209" w:name="_Toc246996212"/>
      <w:bookmarkStart w:id="210" w:name="_Toc144974536"/>
      <w:bookmarkStart w:id="211" w:name="_Toc152042344"/>
      <w:bookmarkStart w:id="212" w:name="_Toc152045568"/>
      <w:bookmarkStart w:id="213" w:name="_Toc247085726"/>
      <w:bookmarkStart w:id="214" w:name="_Toc246996955"/>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46996213"/>
      <w:bookmarkStart w:id="216" w:name="_Toc246996956"/>
      <w:bookmarkStart w:id="217" w:name="_Toc152042345"/>
      <w:bookmarkStart w:id="218" w:name="_Toc296602459"/>
      <w:bookmarkStart w:id="219" w:name="_Toc152045569"/>
      <w:bookmarkStart w:id="220" w:name="_Toc179632587"/>
      <w:bookmarkStart w:id="221" w:name="_Toc247085727"/>
      <w:bookmarkStart w:id="222" w:name="_Toc144974537"/>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144974543"/>
      <w:bookmarkStart w:id="225" w:name="_Toc247085733"/>
      <w:bookmarkStart w:id="226" w:name="_Toc246996219"/>
      <w:bookmarkStart w:id="227" w:name="_Toc296590983"/>
      <w:bookmarkStart w:id="228" w:name="_Toc179632593"/>
      <w:bookmarkStart w:id="229" w:name="_Toc152045575"/>
      <w:bookmarkStart w:id="230" w:name="_Toc152042351"/>
      <w:bookmarkStart w:id="231" w:name="_Toc246996962"/>
      <w:bookmarkStart w:id="232" w:name="_Toc296602462"/>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33" w:name="_Toc246996220"/>
      <w:bookmarkStart w:id="234" w:name="_Toc246996963"/>
      <w:bookmarkStart w:id="235" w:name="_Toc247085734"/>
      <w:bookmarkStart w:id="236" w:name="_Toc296602463"/>
      <w:bookmarkStart w:id="237" w:name="_Toc152042352"/>
      <w:bookmarkStart w:id="238" w:name="_Toc152045576"/>
      <w:bookmarkStart w:id="239" w:name="_Toc179632594"/>
      <w:bookmarkStart w:id="240" w:name="_Toc144974544"/>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246996964"/>
      <w:bookmarkStart w:id="242" w:name="_Toc247085735"/>
      <w:bookmarkStart w:id="243" w:name="_Toc152042353"/>
      <w:bookmarkStart w:id="244" w:name="_Toc246996221"/>
      <w:bookmarkStart w:id="245" w:name="_Toc152045577"/>
      <w:bookmarkStart w:id="246" w:name="_Toc179632595"/>
      <w:bookmarkStart w:id="247" w:name="_Toc144974545"/>
      <w:bookmarkStart w:id="248" w:name="_Toc296602464"/>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344B6E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2B799AD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0FC146F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4492AE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val="en-US" w:eastAsia="zh-CN"/>
              </w:rPr>
              <w:t>一致</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BB251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4BCF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62E351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223DB8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35FF42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0E4FEA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E8BF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26899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5"/>
      <w:tr w14:paraId="65C29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CC06B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14:paraId="0DF639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71C15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8587F2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6"/>
      <w:tr w14:paraId="515AE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5CC7D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14:paraId="715A03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24A97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5BB4D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7"/>
      <w:tr w14:paraId="4F5013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B2260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14:paraId="0B9C43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E2217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4C5C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8"/>
      <w:tr w14:paraId="0219F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C6D67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14:paraId="3B82C5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40B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128A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9"/>
      <w:tr w14:paraId="7DF8C4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310EA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282E3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EDCD0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F5285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70" w:edGrp="everyone"/>
            <w:r>
              <w:rPr>
                <w:rFonts w:hint="eastAsia" w:ascii="Times New Roman" w:hAnsi="Times New Roman" w:cs="Times New Roman"/>
                <w:kern w:val="0"/>
                <w:sz w:val="24"/>
                <w:szCs w:val="24"/>
                <w:highlight w:val="none"/>
                <w:lang w:val="en-US" w:eastAsia="zh-CN"/>
              </w:rPr>
              <w:t>符合第二章“投标人须知”第1.4.1项规定</w:t>
            </w:r>
            <w:permEnd w:id="70"/>
          </w:p>
        </w:tc>
      </w:tr>
      <w:tr w14:paraId="6AC7B0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5D65C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404EC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A8975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F1E2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71"/>
      <w:tr w14:paraId="7EBB80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74F766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7A355A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EC358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8075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72"/>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9F0F9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14:paraId="12C7B9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73"/>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310A0C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4"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74"/>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58EC8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5"/>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0FB9B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6"/>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2C809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7" w:edGrp="everyone" w:colFirst="3" w:colLast="3"/>
          </w:p>
        </w:tc>
        <w:tc>
          <w:tcPr>
            <w:tcW w:w="850" w:type="dxa"/>
            <w:vMerge w:val="continue"/>
            <w:tcBorders>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7"/>
      <w:tr w14:paraId="24987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49B84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8" w:edGrp="everyone" w:colFirst="3" w:colLast="3"/>
          </w:p>
        </w:tc>
        <w:tc>
          <w:tcPr>
            <w:tcW w:w="850" w:type="dxa"/>
            <w:vMerge w:val="continue"/>
            <w:tcBorders>
              <w:right w:val="single" w:color="auto" w:sz="4" w:space="0"/>
            </w:tcBorders>
            <w:noWrap w:val="0"/>
            <w:vAlign w:val="center"/>
          </w:tcPr>
          <w:p w14:paraId="5EE74A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9920C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23D43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8"/>
      <w:tr w14:paraId="53D744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D957C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9" w:edGrp="everyone" w:colFirst="3" w:colLast="3"/>
          </w:p>
        </w:tc>
        <w:tc>
          <w:tcPr>
            <w:tcW w:w="850" w:type="dxa"/>
            <w:vMerge w:val="continue"/>
            <w:tcBorders>
              <w:right w:val="single" w:color="auto" w:sz="4" w:space="0"/>
            </w:tcBorders>
            <w:noWrap w:val="0"/>
            <w:vAlign w:val="center"/>
          </w:tcPr>
          <w:p w14:paraId="781400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3A16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D0D99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9"/>
      <w:tr w14:paraId="3EFF6A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2FB37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0" w:edGrp="everyone" w:colFirst="3" w:colLast="3"/>
          </w:p>
        </w:tc>
        <w:tc>
          <w:tcPr>
            <w:tcW w:w="850" w:type="dxa"/>
            <w:vMerge w:val="continue"/>
            <w:tcBorders>
              <w:right w:val="single" w:color="auto" w:sz="4" w:space="0"/>
            </w:tcBorders>
            <w:noWrap w:val="0"/>
            <w:vAlign w:val="center"/>
          </w:tcPr>
          <w:p w14:paraId="06CC44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0695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626F1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80"/>
      <w:tr w14:paraId="492C23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43421B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81" w:edGrp="everyone" w:colFirst="3" w:colLast="3"/>
          </w:p>
        </w:tc>
        <w:tc>
          <w:tcPr>
            <w:tcW w:w="850" w:type="dxa"/>
            <w:vMerge w:val="continue"/>
            <w:tcBorders>
              <w:bottom w:val="single" w:color="auto" w:sz="4" w:space="0"/>
              <w:right w:val="single" w:color="auto" w:sz="4" w:space="0"/>
            </w:tcBorders>
            <w:noWrap w:val="0"/>
            <w:vAlign w:val="center"/>
          </w:tcPr>
          <w:p w14:paraId="68F84D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C67F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F94503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81"/>
      <w:tr w14:paraId="210FD1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861CA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249" w:name="_Toc144974556"/>
            <w:bookmarkStart w:id="250" w:name="_Toc246996232"/>
            <w:bookmarkStart w:id="251" w:name="_Toc179632607"/>
            <w:bookmarkStart w:id="252" w:name="_Toc247085747"/>
            <w:bookmarkStart w:id="253" w:name="_Toc152045589"/>
            <w:bookmarkStart w:id="254" w:name="_Toc152042366"/>
            <w:bookmarkStart w:id="255" w:name="_Toc296602477"/>
            <w:bookmarkStart w:id="256" w:name="_Toc246996975"/>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1452E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9563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1DFFC4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57780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82"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D0DA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0021C8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AB42C7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项目业绩：10分</w:t>
            </w:r>
          </w:p>
          <w:p w14:paraId="2AA949A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服务方案：50分</w:t>
            </w:r>
          </w:p>
          <w:p w14:paraId="11F17B7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增值服务：5分</w:t>
            </w:r>
          </w:p>
          <w:p w14:paraId="18553F0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投标报价：35分</w:t>
            </w:r>
          </w:p>
        </w:tc>
      </w:tr>
      <w:permEnd w:id="82"/>
      <w:tr w14:paraId="66CBF9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70771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83"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FC55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621B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投标报价分为自拓（或自访）和分销及渠道带访两部分，采用低价优先法计算，即满足招标要求且该部分投标报价最低的投标人的投标报价为评标基准价，投标人该部分价格分为满分。</w:t>
            </w:r>
          </w:p>
        </w:tc>
      </w:tr>
      <w:permEnd w:id="83"/>
      <w:tr w14:paraId="3B123B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9E78B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54F5F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投标报价得分计算公式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8A19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详见2.2.4（4）投标报价评分标准。</w:t>
            </w:r>
          </w:p>
        </w:tc>
      </w:tr>
      <w:tr w14:paraId="5BFEA9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BBF08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9C48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4677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243489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14:paraId="4BECCF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1" w:colLast="1"/>
            <w:permStart w:id="85" w:edGrp="everyone" w:colFirst="2" w:colLast="2"/>
            <w:permStart w:id="86" w:edGrp="everyone" w:colFirst="3" w:colLast="3"/>
            <w:r>
              <w:rPr>
                <w:rFonts w:hint="eastAsia" w:ascii="Times New Roman" w:hAnsi="Times New Roman" w:cs="Times New Roman"/>
                <w:kern w:val="0"/>
                <w:sz w:val="24"/>
                <w:szCs w:val="24"/>
                <w:highlight w:val="none"/>
                <w:lang w:val="en-US" w:eastAsia="zh-CN"/>
              </w:rPr>
              <w:t>2.2.4</w:t>
            </w:r>
          </w:p>
          <w:p w14:paraId="12257E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14:paraId="03A477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项目业绩评分标准</w:t>
            </w:r>
          </w:p>
          <w:p w14:paraId="051698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8530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类似项目业绩</w:t>
            </w:r>
          </w:p>
          <w:p w14:paraId="0EF4817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FF0000"/>
                <w:kern w:val="0"/>
                <w:sz w:val="24"/>
                <w:szCs w:val="24"/>
                <w:highlight w:val="yellow"/>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08169A">
            <w:pPr>
              <w:keepNext w:val="0"/>
              <w:keepLines w:val="0"/>
              <w:pageBreakBefore w:val="0"/>
              <w:widowControl w:val="0"/>
              <w:numPr>
                <w:ilvl w:val="-1"/>
                <w:numId w:val="0"/>
              </w:numPr>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除招标公告投标人资格要求业绩外，投标人每额外提供一个单项合同建筑面积不少于10万㎡住宅项目营销代理业绩得5分，本项目最高得分10分。 </w:t>
            </w:r>
          </w:p>
        </w:tc>
      </w:tr>
      <w:permEnd w:id="84"/>
      <w:permEnd w:id="85"/>
      <w:permEnd w:id="86"/>
      <w:tr w14:paraId="1CD62E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30D389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1" w:colLast="1"/>
            <w:permStart w:id="88" w:edGrp="everyone" w:colFirst="2" w:colLast="2"/>
            <w:permStart w:id="89" w:edGrp="everyone" w:colFirst="3" w:colLast="3"/>
            <w:r>
              <w:rPr>
                <w:rFonts w:hint="eastAsia" w:ascii="Times New Roman" w:hAnsi="Times New Roman" w:cs="Times New Roman"/>
                <w:kern w:val="0"/>
                <w:sz w:val="24"/>
                <w:szCs w:val="24"/>
                <w:highlight w:val="none"/>
                <w:lang w:val="en-US" w:eastAsia="zh-CN"/>
              </w:rPr>
              <w:t>2.2.4</w:t>
            </w:r>
          </w:p>
          <w:p w14:paraId="5FCF73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301F5F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14:paraId="5C1668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B4404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团队服务能力</w:t>
            </w:r>
          </w:p>
          <w:p w14:paraId="237523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C1602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评审委员会依据投标人为本项目配备的项目管理机构人员数量、人员简历、类似工作经验等进行横向比较。</w:t>
            </w:r>
          </w:p>
          <w:p w14:paraId="2074711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（1）人员配置数量齐全，人员简历丰富，结构设置合理满足项目需求得10分；</w:t>
            </w:r>
          </w:p>
          <w:p w14:paraId="5194AD9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（2）人员配置数量基本满足需求，配备人员结构基本健全得7分；</w:t>
            </w:r>
          </w:p>
          <w:p w14:paraId="3CFDF51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（3）人员配置数量少，人员经验少，结构一般得3分，未提供不得分。</w:t>
            </w:r>
          </w:p>
        </w:tc>
      </w:tr>
      <w:permEnd w:id="87"/>
      <w:permEnd w:id="88"/>
      <w:permEnd w:id="89"/>
      <w:tr w14:paraId="31CDD3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8012C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0" w:edGrp="everyone" w:colFirst="2" w:colLast="2"/>
            <w:permStart w:id="91" w:edGrp="everyone" w:colFirst="3" w:colLast="3"/>
          </w:p>
        </w:tc>
        <w:tc>
          <w:tcPr>
            <w:tcW w:w="850" w:type="dxa"/>
            <w:vMerge w:val="continue"/>
            <w:tcBorders>
              <w:bottom w:val="single" w:color="auto" w:sz="4" w:space="0"/>
              <w:right w:val="single" w:color="auto" w:sz="4" w:space="0"/>
            </w:tcBorders>
            <w:noWrap w:val="0"/>
            <w:vAlign w:val="center"/>
          </w:tcPr>
          <w:p w14:paraId="47FDF8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5E2D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营销方案PPT演示25分钟</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501E4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策划报告必须针对本项目，由评委对各报价人策划报告进行横向比较后，综合评分。</w:t>
            </w:r>
          </w:p>
          <w:p w14:paraId="48C391A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（1）市场分析：宏观、城市、区域、个案等。优得4-6分，良得2-4，合格得1-2分，差不得分；</w:t>
            </w:r>
          </w:p>
          <w:p w14:paraId="6C7868C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(2)项目分析：项目SWOT、目标客群分析等。优得4-6分，良得2-4分，合格得1-2分，差不得分；</w:t>
            </w:r>
          </w:p>
          <w:p w14:paraId="62672F9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(3)项目定位：整体定位、招商运营定位、客群定位等。优得4-6分，良得2-4分，合格得1-2分，差不得分；</w:t>
            </w:r>
          </w:p>
          <w:p w14:paraId="116259E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(4) 项目销售价格建议；定价策略、上市均价、项目整体均价预判等。优得4-6分，良得2-4分，合格得1-2分，差不得分；</w:t>
            </w:r>
          </w:p>
          <w:p w14:paraId="7B1456D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(5)营销推广策略：营销思路、营销创新、核心诉求等。优得4-6分，良得2-4分，合格得1-2分，差不得分；</w:t>
            </w:r>
          </w:p>
          <w:p w14:paraId="046D121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(6)销售执行方案：推盘节奏、推广方案、广告预算等。优得4-5分，良得3-4分，合格得1.5-3分，差不得分；</w:t>
            </w:r>
          </w:p>
          <w:p w14:paraId="51BD966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(7)项目投资收益估算。优得4-5分，良得3-4分，合格得1.5-3分，差不得分。</w:t>
            </w:r>
          </w:p>
        </w:tc>
      </w:tr>
      <w:permEnd w:id="90"/>
      <w:permEnd w:id="91"/>
      <w:tr w14:paraId="74254A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766B87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2" w:edGrp="everyone" w:colFirst="1" w:colLast="1"/>
            <w:permStart w:id="93" w:edGrp="everyone" w:colFirst="2" w:colLast="2"/>
            <w:permStart w:id="94" w:edGrp="everyone" w:colFirst="3" w:colLast="3"/>
            <w:r>
              <w:rPr>
                <w:rFonts w:hint="eastAsia" w:ascii="Times New Roman" w:hAnsi="Times New Roman" w:cs="Times New Roman"/>
                <w:kern w:val="0"/>
                <w:sz w:val="24"/>
                <w:szCs w:val="24"/>
                <w:highlight w:val="none"/>
                <w:lang w:val="en-US" w:eastAsia="zh-CN"/>
              </w:rPr>
              <w:t>2.2.4</w:t>
            </w:r>
          </w:p>
          <w:p w14:paraId="687E6B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7567E6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增值服务评分标准</w:t>
            </w:r>
          </w:p>
          <w:p w14:paraId="3AD161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C7B5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增值服务</w:t>
            </w:r>
          </w:p>
          <w:p w14:paraId="732144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AB2A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评标委员会依据投标人所提供主动拓客等相关增值服务方便的反映情况，进行综合评审。</w:t>
            </w:r>
          </w:p>
          <w:p w14:paraId="7DEE9C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① 方案针对性强，切合实际，合理优秀得3-5分；</w:t>
            </w:r>
          </w:p>
          <w:p w14:paraId="707917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②方案安排合理，售后服务良好得1-3分；</w:t>
            </w:r>
          </w:p>
          <w:p w14:paraId="414B47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③方案内容存在瑕疵，服务内容不完整得0-1分，未提供不得分。</w:t>
            </w:r>
          </w:p>
        </w:tc>
      </w:tr>
      <w:permEnd w:id="92"/>
      <w:permEnd w:id="93"/>
      <w:permEnd w:id="94"/>
      <w:tr w14:paraId="31B1D4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36435D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5" w:edGrp="everyone" w:colFirst="1" w:colLast="1"/>
            <w:permStart w:id="96" w:edGrp="everyone" w:colFirst="2" w:colLast="2"/>
            <w:permStart w:id="97" w:edGrp="everyone" w:colFirst="3" w:colLast="3"/>
            <w:r>
              <w:rPr>
                <w:rFonts w:hint="eastAsia" w:ascii="Times New Roman" w:hAnsi="Times New Roman" w:cs="Times New Roman"/>
                <w:kern w:val="0"/>
                <w:sz w:val="24"/>
                <w:szCs w:val="24"/>
                <w:highlight w:val="none"/>
                <w:lang w:val="en-US" w:eastAsia="zh-CN"/>
              </w:rPr>
              <w:t>2.2.4</w:t>
            </w:r>
          </w:p>
          <w:p w14:paraId="1A82A5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14:paraId="7171E6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7F6E2B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B1A9F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商务评标</w:t>
            </w:r>
          </w:p>
          <w:p w14:paraId="385D9E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19ED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投标报价分为自拓（或自访）和分销及渠道带访两部分，采用低价优先法计算，即满足招标要求且该部分投标报价最低的投标人的投标报价为评标基准价，投标人该部分价格分为满分。其他投标人该部分价格分统一按照下列公式计算：</w:t>
            </w:r>
          </w:p>
          <w:p w14:paraId="4E4B0D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自拓（或自访）投标报价得分=（评标基准价/投标报价）×10</w:t>
            </w:r>
          </w:p>
          <w:p w14:paraId="1A16EB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分销及渠道带访投标报价得分=（评标基准价/投标报价）×25</w:t>
            </w:r>
          </w:p>
          <w:p w14:paraId="6EA422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投标报价总得分=自拓（或自访）投标报价得分+分销及渠道带访投标报价得分</w:t>
            </w:r>
          </w:p>
          <w:p w14:paraId="530685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报价得分小数点后保留 2 位小数，四舍五入</w:t>
            </w:r>
          </w:p>
        </w:tc>
      </w:tr>
      <w:permEnd w:id="95"/>
      <w:permEnd w:id="96"/>
      <w:permEnd w:id="97"/>
    </w:tbl>
    <w:p w14:paraId="3CA67BE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45EA9D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7548B5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41F61AD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57" w:name="_Toc247085748"/>
      <w:bookmarkStart w:id="258" w:name="_Toc152042367"/>
      <w:bookmarkStart w:id="259" w:name="_Toc144974557"/>
      <w:bookmarkStart w:id="260" w:name="_Toc179632608"/>
      <w:bookmarkStart w:id="261" w:name="_Toc296602478"/>
      <w:bookmarkStart w:id="262" w:name="_Toc246996976"/>
      <w:bookmarkStart w:id="263" w:name="_Toc246996233"/>
      <w:bookmarkStart w:id="264" w:name="_Toc152045590"/>
      <w:r>
        <w:rPr>
          <w:rFonts w:hint="default" w:ascii="Times New Roman" w:hAnsi="Times New Roman" w:cs="Times New Roman" w:eastAsiaTheme="minorEastAsia"/>
          <w:b/>
          <w:bCs/>
          <w:kern w:val="0"/>
          <w:sz w:val="28"/>
          <w:szCs w:val="28"/>
          <w:highlight w:val="none"/>
        </w:rPr>
        <w:t>2. 评审标准</w:t>
      </w:r>
      <w:bookmarkEnd w:id="257"/>
      <w:bookmarkEnd w:id="258"/>
      <w:bookmarkEnd w:id="259"/>
      <w:bookmarkEnd w:id="260"/>
      <w:bookmarkEnd w:id="261"/>
      <w:bookmarkEnd w:id="262"/>
      <w:bookmarkEnd w:id="263"/>
      <w:bookmarkEnd w:id="264"/>
    </w:p>
    <w:p w14:paraId="56922F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65" w:name="_Toc152042368"/>
      <w:bookmarkStart w:id="266" w:name="_Toc246996234"/>
      <w:bookmarkStart w:id="267" w:name="_Toc246996977"/>
      <w:bookmarkStart w:id="268" w:name="_Toc247085749"/>
      <w:bookmarkStart w:id="269" w:name="_Toc296602479"/>
      <w:bookmarkStart w:id="270" w:name="_Toc144974558"/>
      <w:bookmarkStart w:id="271" w:name="_Toc152045591"/>
      <w:bookmarkStart w:id="272"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265"/>
      <w:bookmarkEnd w:id="266"/>
      <w:bookmarkEnd w:id="267"/>
      <w:bookmarkEnd w:id="268"/>
      <w:bookmarkEnd w:id="269"/>
      <w:bookmarkEnd w:id="270"/>
      <w:bookmarkEnd w:id="271"/>
      <w:bookmarkEnd w:id="272"/>
    </w:p>
    <w:p w14:paraId="23E65D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11EEC3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8932C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1B40F98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273" w:name="_Toc152042370"/>
      <w:bookmarkStart w:id="274" w:name="_Toc246996236"/>
      <w:bookmarkStart w:id="275" w:name="_Toc246996979"/>
      <w:bookmarkStart w:id="276" w:name="_Toc144974560"/>
      <w:bookmarkStart w:id="277" w:name="_Toc247085751"/>
      <w:bookmarkStart w:id="278" w:name="_Toc296602481"/>
      <w:bookmarkStart w:id="279" w:name="_Toc152045593"/>
      <w:bookmarkStart w:id="280" w:name="_Toc17963261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0551F3A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0BF5205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eastAsiaTheme="minorEastAsia"/>
          <w:kern w:val="0"/>
          <w:sz w:val="24"/>
          <w:szCs w:val="24"/>
          <w:highlight w:val="none"/>
          <w:lang w:val="en-US" w:eastAsia="zh-CN"/>
        </w:rPr>
        <w:t>项目业绩：</w:t>
      </w:r>
      <w:r>
        <w:rPr>
          <w:rFonts w:hint="default" w:ascii="Times New Roman" w:hAnsi="Times New Roman" w:cs="Times New Roman" w:eastAsiaTheme="minorEastAsia"/>
          <w:kern w:val="0"/>
          <w:sz w:val="24"/>
          <w:szCs w:val="24"/>
          <w:highlight w:val="none"/>
        </w:rPr>
        <w:t>见评标办法前附表；</w:t>
      </w:r>
    </w:p>
    <w:p w14:paraId="2F8F61B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8" w:edGrp="everyone"/>
      <w:r>
        <w:rPr>
          <w:rFonts w:hint="default" w:ascii="Times New Roman" w:hAnsi="Times New Roman" w:cs="Times New Roman" w:eastAsiaTheme="minorEastAsia"/>
          <w:kern w:val="0"/>
          <w:sz w:val="24"/>
          <w:szCs w:val="24"/>
          <w:highlight w:val="none"/>
          <w:lang w:val="en-US" w:eastAsia="zh-CN"/>
        </w:rPr>
        <w:t>服务方案</w:t>
      </w:r>
      <w:permEnd w:id="98"/>
      <w:r>
        <w:rPr>
          <w:rFonts w:hint="default" w:ascii="Times New Roman" w:hAnsi="Times New Roman" w:cs="Times New Roman" w:eastAsiaTheme="minorEastAsia"/>
          <w:kern w:val="0"/>
          <w:sz w:val="24"/>
          <w:szCs w:val="24"/>
          <w:highlight w:val="none"/>
        </w:rPr>
        <w:t>：见评标办法前附表；</w:t>
      </w:r>
    </w:p>
    <w:p w14:paraId="4EA089F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lang w:val="en-US" w:eastAsia="zh-CN"/>
        </w:rPr>
        <w:t>（3）增值服务：见评标办法前附表；</w:t>
      </w:r>
    </w:p>
    <w:p w14:paraId="71AC4D0D">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eastAsiaTheme="minorEastAsia"/>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permStart w:id="99" w:edGrp="everyone"/>
      <w:r>
        <w:rPr>
          <w:rFonts w:hint="default" w:ascii="Times New Roman" w:hAnsi="Times New Roman" w:cs="Times New Roman" w:eastAsiaTheme="minorEastAsia"/>
          <w:kern w:val="0"/>
          <w:sz w:val="24"/>
          <w:szCs w:val="24"/>
          <w:highlight w:val="none"/>
          <w:lang w:val="en-US" w:eastAsia="zh-CN"/>
        </w:rPr>
        <w:t>投标报价</w:t>
      </w:r>
      <w:permEnd w:id="99"/>
      <w:r>
        <w:rPr>
          <w:rFonts w:hint="default" w:ascii="Times New Roman" w:hAnsi="Times New Roman" w:cs="Times New Roman" w:eastAsiaTheme="minorEastAsia"/>
          <w:kern w:val="0"/>
          <w:sz w:val="24"/>
          <w:szCs w:val="24"/>
          <w:highlight w:val="none"/>
        </w:rPr>
        <w:t>：见评标办法前附表</w:t>
      </w:r>
      <w:r>
        <w:rPr>
          <w:rFonts w:hint="default" w:ascii="Times New Roman" w:hAnsi="Times New Roman" w:cs="Times New Roman" w:eastAsiaTheme="minorEastAsia"/>
          <w:kern w:val="0"/>
          <w:sz w:val="24"/>
          <w:szCs w:val="24"/>
          <w:highlight w:val="none"/>
          <w:lang w:eastAsia="zh-CN"/>
        </w:rPr>
        <w:t>。</w:t>
      </w:r>
    </w:p>
    <w:p w14:paraId="2D00A77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1E4D037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14E3E10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3AB7AF1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3E336AE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7B63D05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0" w:edGrp="everyone"/>
      <w:r>
        <w:rPr>
          <w:rFonts w:hint="default" w:ascii="Times New Roman" w:hAnsi="Times New Roman" w:cs="Times New Roman" w:eastAsiaTheme="minorEastAsia"/>
          <w:kern w:val="0"/>
          <w:sz w:val="24"/>
          <w:szCs w:val="24"/>
          <w:highlight w:val="none"/>
          <w:lang w:val="en-US" w:eastAsia="zh-CN"/>
        </w:rPr>
        <w:t>项目业绩评分标准</w:t>
      </w:r>
      <w:permEnd w:id="100"/>
      <w:r>
        <w:rPr>
          <w:rFonts w:hint="default" w:ascii="Times New Roman" w:hAnsi="Times New Roman" w:cs="Times New Roman" w:eastAsiaTheme="minorEastAsia"/>
          <w:kern w:val="0"/>
          <w:sz w:val="24"/>
          <w:szCs w:val="24"/>
          <w:highlight w:val="none"/>
        </w:rPr>
        <w:t>：见评标办法前附表；</w:t>
      </w:r>
    </w:p>
    <w:p w14:paraId="76FA749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1" w:edGrp="everyone"/>
      <w:r>
        <w:rPr>
          <w:rFonts w:hint="default" w:ascii="Times New Roman" w:hAnsi="Times New Roman" w:cs="Times New Roman" w:eastAsiaTheme="minorEastAsia"/>
          <w:kern w:val="0"/>
          <w:sz w:val="24"/>
          <w:szCs w:val="24"/>
          <w:highlight w:val="none"/>
          <w:lang w:val="en-US" w:eastAsia="zh-CN"/>
        </w:rPr>
        <w:t>服务方案评分标准</w:t>
      </w:r>
      <w:permEnd w:id="101"/>
      <w:r>
        <w:rPr>
          <w:rFonts w:hint="default" w:ascii="Times New Roman" w:hAnsi="Times New Roman" w:cs="Times New Roman" w:eastAsiaTheme="minorEastAsia"/>
          <w:kern w:val="0"/>
          <w:sz w:val="24"/>
          <w:szCs w:val="24"/>
          <w:highlight w:val="none"/>
        </w:rPr>
        <w:t>：见评标办法前附表；</w:t>
      </w:r>
    </w:p>
    <w:p w14:paraId="0D351DE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eastAsia="zh-CN"/>
        </w:rPr>
        <w:t>（</w:t>
      </w:r>
      <w:r>
        <w:rPr>
          <w:rFonts w:hint="default" w:ascii="Times New Roman" w:hAnsi="Times New Roman" w:cs="Times New Roman" w:eastAsiaTheme="minorEastAsia"/>
          <w:kern w:val="0"/>
          <w:sz w:val="24"/>
          <w:szCs w:val="24"/>
          <w:highlight w:val="none"/>
          <w:lang w:val="en-US" w:eastAsia="zh-CN"/>
        </w:rPr>
        <w:t>3）增值服务评分标准：见评标办法前附表；</w:t>
      </w:r>
    </w:p>
    <w:p w14:paraId="4857C68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eastAsiaTheme="minorEastAsia"/>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permStart w:id="102" w:edGrp="everyone"/>
      <w:r>
        <w:rPr>
          <w:rFonts w:hint="default" w:ascii="Times New Roman" w:hAnsi="Times New Roman" w:cs="Times New Roman" w:eastAsiaTheme="minorEastAsia"/>
          <w:kern w:val="0"/>
          <w:sz w:val="24"/>
          <w:szCs w:val="24"/>
          <w:highlight w:val="none"/>
          <w:lang w:val="en-US" w:eastAsia="zh-CN"/>
        </w:rPr>
        <w:t>投标报价评分标准</w:t>
      </w:r>
      <w:permEnd w:id="102"/>
      <w:r>
        <w:rPr>
          <w:rFonts w:hint="default" w:ascii="Times New Roman" w:hAnsi="Times New Roman" w:cs="Times New Roman" w:eastAsiaTheme="minorEastAsia"/>
          <w:kern w:val="0"/>
          <w:sz w:val="24"/>
          <w:szCs w:val="24"/>
          <w:highlight w:val="none"/>
        </w:rPr>
        <w:t>：见评标办法前附表</w:t>
      </w:r>
      <w:r>
        <w:rPr>
          <w:rFonts w:hint="default" w:ascii="Times New Roman" w:hAnsi="Times New Roman" w:cs="Times New Roman" w:eastAsiaTheme="minorEastAsia"/>
          <w:kern w:val="0"/>
          <w:sz w:val="24"/>
          <w:szCs w:val="24"/>
          <w:highlight w:val="none"/>
          <w:lang w:eastAsia="zh-CN"/>
        </w:rPr>
        <w:t>。</w:t>
      </w:r>
    </w:p>
    <w:p w14:paraId="550EE22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273"/>
      <w:bookmarkEnd w:id="274"/>
      <w:bookmarkEnd w:id="275"/>
      <w:bookmarkEnd w:id="276"/>
      <w:bookmarkEnd w:id="277"/>
      <w:bookmarkEnd w:id="278"/>
      <w:bookmarkEnd w:id="279"/>
      <w:bookmarkEnd w:id="280"/>
    </w:p>
    <w:p w14:paraId="04F1251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1" w:name="_Toc152042371"/>
      <w:bookmarkStart w:id="282" w:name="_Toc179632612"/>
      <w:bookmarkStart w:id="283" w:name="_Toc246996237"/>
      <w:bookmarkStart w:id="284" w:name="_Toc296602482"/>
      <w:bookmarkStart w:id="285" w:name="_Toc152045594"/>
      <w:bookmarkStart w:id="286" w:name="_Toc247085752"/>
      <w:bookmarkStart w:id="287" w:name="_Toc246996980"/>
      <w:bookmarkStart w:id="288" w:name="_Toc144974561"/>
      <w:r>
        <w:rPr>
          <w:rFonts w:hint="default" w:ascii="Times New Roman" w:hAnsi="Times New Roman" w:cs="Times New Roman" w:eastAsiaTheme="minorEastAsia"/>
          <w:b/>
          <w:bCs/>
          <w:kern w:val="0"/>
          <w:sz w:val="28"/>
          <w:szCs w:val="28"/>
          <w:highlight w:val="none"/>
        </w:rPr>
        <w:t>3.1 初步评审</w:t>
      </w:r>
      <w:bookmarkEnd w:id="281"/>
      <w:bookmarkEnd w:id="282"/>
      <w:bookmarkEnd w:id="283"/>
      <w:bookmarkEnd w:id="284"/>
      <w:bookmarkEnd w:id="285"/>
      <w:bookmarkEnd w:id="286"/>
      <w:bookmarkEnd w:id="287"/>
      <w:bookmarkEnd w:id="288"/>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29CF72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9" w:name="_Toc247085753"/>
      <w:bookmarkStart w:id="290" w:name="_Toc152045595"/>
      <w:bookmarkStart w:id="291" w:name="_Toc179632613"/>
      <w:bookmarkStart w:id="292" w:name="_Toc144974562"/>
      <w:bookmarkStart w:id="293" w:name="_Toc296602483"/>
      <w:bookmarkStart w:id="294" w:name="_Toc246996981"/>
      <w:bookmarkStart w:id="295" w:name="_Toc246996238"/>
      <w:bookmarkStart w:id="296" w:name="_Toc152042372"/>
      <w:r>
        <w:rPr>
          <w:rFonts w:hint="default" w:ascii="Times New Roman" w:hAnsi="Times New Roman" w:cs="Times New Roman" w:eastAsiaTheme="minorEastAsia"/>
          <w:b/>
          <w:bCs/>
          <w:kern w:val="0"/>
          <w:sz w:val="28"/>
          <w:szCs w:val="28"/>
          <w:highlight w:val="none"/>
        </w:rPr>
        <w:t>3.2 详细评审</w:t>
      </w:r>
      <w:bookmarkEnd w:id="289"/>
      <w:bookmarkEnd w:id="290"/>
      <w:bookmarkEnd w:id="291"/>
      <w:bookmarkEnd w:id="292"/>
      <w:bookmarkEnd w:id="293"/>
      <w:bookmarkEnd w:id="294"/>
      <w:bookmarkEnd w:id="295"/>
      <w:bookmarkEnd w:id="296"/>
    </w:p>
    <w:p w14:paraId="4514561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97" w:name="_Toc144974563"/>
      <w:bookmarkStart w:id="298" w:name="_Toc179632614"/>
      <w:bookmarkStart w:id="299" w:name="_Toc152045596"/>
      <w:bookmarkStart w:id="300" w:name="_Toc296602484"/>
      <w:bookmarkStart w:id="301" w:name="_Toc152042373"/>
      <w:bookmarkStart w:id="302" w:name="_Toc246996982"/>
      <w:bookmarkStart w:id="303" w:name="_Toc247085754"/>
      <w:bookmarkStart w:id="304"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62ADEC9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（1）按本章第2.2.4（1）目规定的评审因素和分值对项目业绩计算出得分A；</w:t>
      </w:r>
    </w:p>
    <w:p w14:paraId="5211213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（2）按本章第2.2.4（2）目规定的评审因素和分值对</w:t>
      </w:r>
      <w:permStart w:id="103" w:edGrp="everyone"/>
      <w:r>
        <w:rPr>
          <w:rFonts w:hint="default" w:ascii="Times New Roman" w:hAnsi="Times New Roman" w:cs="Times New Roman"/>
          <w:kern w:val="0"/>
          <w:sz w:val="24"/>
          <w:szCs w:val="24"/>
          <w:highlight w:val="none"/>
          <w:lang w:val="en-US" w:eastAsia="zh-CN"/>
        </w:rPr>
        <w:t>服务方案</w:t>
      </w:r>
      <w:permEnd w:id="103"/>
      <w:r>
        <w:rPr>
          <w:rFonts w:hint="default" w:ascii="Times New Roman" w:hAnsi="Times New Roman" w:cs="Times New Roman"/>
          <w:kern w:val="0"/>
          <w:sz w:val="24"/>
          <w:szCs w:val="24"/>
          <w:highlight w:val="none"/>
          <w:lang w:val="en-US" w:eastAsia="zh-CN"/>
        </w:rPr>
        <w:t>计算出得分B；</w:t>
      </w:r>
    </w:p>
    <w:p w14:paraId="0914956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（3）按本章第2.2.4（3）目规定的评审因素和分值对增值服务计算出得分C。</w:t>
      </w:r>
    </w:p>
    <w:p w14:paraId="17EE3F3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（4）按本章第2.2.4（4）目规定的评审因素和分值对</w:t>
      </w:r>
      <w:permStart w:id="104" w:edGrp="everyone"/>
      <w:r>
        <w:rPr>
          <w:rFonts w:hint="default" w:ascii="Times New Roman" w:hAnsi="Times New Roman" w:cs="Times New Roman"/>
          <w:kern w:val="0"/>
          <w:sz w:val="24"/>
          <w:szCs w:val="24"/>
          <w:highlight w:val="none"/>
          <w:lang w:val="en-US" w:eastAsia="zh-CN"/>
        </w:rPr>
        <w:t>投标报价</w:t>
      </w:r>
      <w:permEnd w:id="104"/>
      <w:r>
        <w:rPr>
          <w:rFonts w:hint="default" w:ascii="Times New Roman" w:hAnsi="Times New Roman" w:cs="Times New Roman"/>
          <w:kern w:val="0"/>
          <w:sz w:val="24"/>
          <w:szCs w:val="24"/>
          <w:highlight w:val="none"/>
          <w:lang w:val="en-US" w:eastAsia="zh-CN"/>
        </w:rPr>
        <w:t>计算出得分D。</w:t>
      </w:r>
    </w:p>
    <w:p w14:paraId="460FE56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0863F86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6F21832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297"/>
      <w:r>
        <w:rPr>
          <w:rFonts w:hint="default" w:ascii="Times New Roman" w:hAnsi="Times New Roman" w:cs="Times New Roman" w:eastAsiaTheme="minorEastAsia"/>
          <w:b/>
          <w:bCs/>
          <w:kern w:val="0"/>
          <w:sz w:val="28"/>
          <w:szCs w:val="28"/>
          <w:highlight w:val="none"/>
        </w:rPr>
        <w:t>和补正</w:t>
      </w:r>
      <w:bookmarkEnd w:id="298"/>
      <w:bookmarkEnd w:id="299"/>
      <w:bookmarkEnd w:id="300"/>
      <w:bookmarkEnd w:id="301"/>
      <w:bookmarkEnd w:id="302"/>
      <w:bookmarkEnd w:id="303"/>
      <w:bookmarkEnd w:id="304"/>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9C6F7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762BE4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77BE2D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C0F483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3D09141">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2469580">
      <w:pPr>
        <w:spacing w:line="360" w:lineRule="auto"/>
        <w:jc w:val="center"/>
        <w:rPr>
          <w:rFonts w:hint="eastAsia" w:ascii="宋体" w:hAnsi="宋体" w:eastAsia="宋体" w:cs="宋体-18030"/>
          <w:b/>
          <w:bCs/>
          <w:color w:val="000000"/>
          <w:sz w:val="56"/>
          <w:szCs w:val="56"/>
          <w:lang w:val="en-US" w:eastAsia="zh-CN"/>
        </w:rPr>
      </w:pPr>
      <w:r>
        <w:rPr>
          <w:rFonts w:hint="eastAsia" w:ascii="宋体" w:hAnsi="宋体" w:eastAsia="宋体" w:cs="宋体-18030"/>
          <w:b/>
          <w:bCs/>
          <w:color w:val="000000"/>
          <w:sz w:val="56"/>
          <w:szCs w:val="56"/>
          <w:lang w:val="en-US" w:eastAsia="zh-CN"/>
        </w:rPr>
        <w:t>亳州逸合府策划及销售代理</w:t>
      </w:r>
    </w:p>
    <w:p w14:paraId="70536B42">
      <w:pPr>
        <w:spacing w:line="360" w:lineRule="auto"/>
        <w:jc w:val="center"/>
        <w:rPr>
          <w:rFonts w:hint="eastAsia" w:ascii="宋体" w:hAnsi="宋体" w:eastAsia="宋体" w:cs="宋体-18030"/>
          <w:b/>
          <w:bCs/>
          <w:color w:val="000000"/>
          <w:sz w:val="56"/>
          <w:szCs w:val="56"/>
          <w:lang w:val="en-US" w:eastAsia="zh-CN"/>
        </w:rPr>
      </w:pPr>
    </w:p>
    <w:p w14:paraId="67F5C92E">
      <w:pPr>
        <w:rPr>
          <w:rFonts w:hint="eastAsia" w:asciiTheme="majorEastAsia" w:hAnsiTheme="majorEastAsia" w:eastAsiaTheme="majorEastAsia" w:cstheme="majorEastAsia"/>
          <w:b/>
          <w:bCs/>
          <w:sz w:val="32"/>
          <w:szCs w:val="32"/>
          <w:highlight w:val="none"/>
          <w:lang w:val="en-US" w:eastAsia="zh-CN"/>
        </w:rPr>
      </w:pPr>
    </w:p>
    <w:p w14:paraId="4E51AB09">
      <w:pPr>
        <w:spacing w:line="360" w:lineRule="auto"/>
        <w:jc w:val="center"/>
        <w:rPr>
          <w:rFonts w:hint="eastAsia" w:ascii="宋体" w:hAnsi="宋体" w:eastAsia="宋体" w:cs="宋体-18030"/>
          <w:b/>
          <w:bCs/>
          <w:color w:val="000000"/>
          <w:sz w:val="52"/>
          <w:szCs w:val="52"/>
          <w:lang w:val="en-US" w:eastAsia="zh-CN"/>
        </w:rPr>
      </w:pPr>
      <w:r>
        <w:rPr>
          <w:rFonts w:hint="eastAsia" w:ascii="宋体" w:hAnsi="宋体" w:eastAsia="宋体" w:cs="宋体-18030"/>
          <w:b/>
          <w:bCs/>
          <w:color w:val="000000"/>
          <w:sz w:val="52"/>
          <w:szCs w:val="52"/>
          <w:lang w:val="en-US" w:eastAsia="zh-CN"/>
        </w:rPr>
        <w:t>服</w:t>
      </w:r>
    </w:p>
    <w:p w14:paraId="22F6ED3E">
      <w:pPr>
        <w:spacing w:line="360" w:lineRule="auto"/>
        <w:jc w:val="center"/>
        <w:rPr>
          <w:rFonts w:hint="eastAsia" w:ascii="宋体" w:hAnsi="宋体" w:eastAsia="宋体" w:cs="宋体-18030"/>
          <w:b/>
          <w:bCs/>
          <w:color w:val="000000"/>
          <w:sz w:val="52"/>
          <w:szCs w:val="52"/>
          <w:lang w:val="en-US" w:eastAsia="zh-CN"/>
        </w:rPr>
      </w:pPr>
      <w:r>
        <w:rPr>
          <w:rFonts w:hint="eastAsia" w:ascii="宋体" w:hAnsi="宋体" w:eastAsia="宋体" w:cs="宋体-18030"/>
          <w:b/>
          <w:bCs/>
          <w:color w:val="000000"/>
          <w:sz w:val="52"/>
          <w:szCs w:val="52"/>
          <w:lang w:val="en-US" w:eastAsia="zh-CN"/>
        </w:rPr>
        <w:t>务</w:t>
      </w:r>
    </w:p>
    <w:p w14:paraId="137213B0">
      <w:pPr>
        <w:spacing w:line="360" w:lineRule="auto"/>
        <w:jc w:val="center"/>
        <w:rPr>
          <w:rFonts w:hint="eastAsia" w:ascii="宋体" w:hAnsi="宋体" w:eastAsia="宋体" w:cs="宋体-18030"/>
          <w:b/>
          <w:bCs/>
          <w:color w:val="000000"/>
          <w:sz w:val="52"/>
          <w:szCs w:val="52"/>
          <w:lang w:val="en-US" w:eastAsia="zh-CN"/>
        </w:rPr>
      </w:pPr>
      <w:r>
        <w:rPr>
          <w:rFonts w:hint="eastAsia" w:ascii="宋体" w:hAnsi="宋体" w:eastAsia="宋体" w:cs="宋体-18030"/>
          <w:b/>
          <w:bCs/>
          <w:color w:val="000000"/>
          <w:sz w:val="52"/>
          <w:szCs w:val="52"/>
          <w:lang w:val="en-US" w:eastAsia="zh-CN"/>
        </w:rPr>
        <w:t>协</w:t>
      </w:r>
    </w:p>
    <w:p w14:paraId="14D39E92">
      <w:pPr>
        <w:spacing w:line="360" w:lineRule="auto"/>
        <w:jc w:val="center"/>
        <w:rPr>
          <w:rFonts w:hint="eastAsia" w:ascii="宋体" w:hAnsi="宋体" w:eastAsia="宋体" w:cs="宋体-18030"/>
          <w:b/>
          <w:bCs/>
          <w:color w:val="000000"/>
          <w:sz w:val="52"/>
          <w:szCs w:val="52"/>
          <w:lang w:val="en-US" w:eastAsia="zh-CN"/>
        </w:rPr>
      </w:pPr>
      <w:r>
        <w:rPr>
          <w:rFonts w:hint="eastAsia" w:ascii="宋体" w:hAnsi="宋体" w:eastAsia="宋体" w:cs="宋体-18030"/>
          <w:b/>
          <w:bCs/>
          <w:color w:val="000000"/>
          <w:sz w:val="52"/>
          <w:szCs w:val="52"/>
          <w:lang w:val="en-US" w:eastAsia="zh-CN"/>
        </w:rPr>
        <w:t>议</w:t>
      </w:r>
    </w:p>
    <w:p w14:paraId="6F987CED">
      <w:pPr>
        <w:rPr>
          <w:rFonts w:hint="eastAsia" w:asciiTheme="majorEastAsia" w:hAnsiTheme="majorEastAsia" w:eastAsiaTheme="majorEastAsia" w:cstheme="majorEastAsia"/>
          <w:b/>
          <w:bCs/>
          <w:sz w:val="32"/>
          <w:szCs w:val="32"/>
          <w:highlight w:val="none"/>
          <w:lang w:val="en-US" w:eastAsia="zh-CN"/>
        </w:rPr>
      </w:pPr>
    </w:p>
    <w:p w14:paraId="2FDAFA3C">
      <w:pPr>
        <w:rPr>
          <w:rFonts w:hint="eastAsia" w:asciiTheme="majorEastAsia" w:hAnsiTheme="majorEastAsia" w:eastAsiaTheme="majorEastAsia" w:cstheme="majorEastAsia"/>
          <w:b/>
          <w:bCs/>
          <w:sz w:val="32"/>
          <w:szCs w:val="32"/>
          <w:highlight w:val="none"/>
          <w:lang w:val="en-US" w:eastAsia="zh-CN"/>
        </w:rPr>
      </w:pPr>
    </w:p>
    <w:p w14:paraId="226D2710">
      <w:pPr>
        <w:rPr>
          <w:rFonts w:hint="eastAsia" w:asciiTheme="majorEastAsia" w:hAnsiTheme="majorEastAsia" w:eastAsiaTheme="majorEastAsia" w:cstheme="majorEastAsia"/>
          <w:b/>
          <w:bCs/>
          <w:sz w:val="32"/>
          <w:szCs w:val="32"/>
          <w:highlight w:val="none"/>
          <w:lang w:val="en-US" w:eastAsia="zh-CN"/>
        </w:rPr>
      </w:pPr>
    </w:p>
    <w:p w14:paraId="0D6359A1">
      <w:pPr>
        <w:rPr>
          <w:rFonts w:hint="eastAsia" w:asciiTheme="majorEastAsia" w:hAnsiTheme="majorEastAsia" w:eastAsiaTheme="majorEastAsia" w:cstheme="majorEastAsia"/>
          <w:b/>
          <w:bCs/>
          <w:sz w:val="32"/>
          <w:szCs w:val="32"/>
          <w:highlight w:val="none"/>
          <w:lang w:val="en-US" w:eastAsia="zh-CN"/>
        </w:rPr>
      </w:pPr>
    </w:p>
    <w:p w14:paraId="5A3EDFD4">
      <w:pPr>
        <w:rPr>
          <w:rFonts w:hint="eastAsia" w:asciiTheme="majorEastAsia" w:hAnsiTheme="majorEastAsia" w:eastAsiaTheme="majorEastAsia" w:cstheme="majorEastAsia"/>
          <w:b/>
          <w:bCs/>
          <w:sz w:val="32"/>
          <w:szCs w:val="32"/>
          <w:highlight w:val="none"/>
          <w:lang w:val="en-US" w:eastAsia="zh-CN"/>
        </w:rPr>
      </w:pPr>
    </w:p>
    <w:p w14:paraId="07C6CB73">
      <w:pPr>
        <w:spacing w:line="480" w:lineRule="exact"/>
        <w:ind w:firstLine="562" w:firstLineChars="200"/>
        <w:rPr>
          <w:rFonts w:hint="eastAsia" w:ascii="宋体" w:hAnsi="宋体" w:eastAsia="宋体" w:cs="宋体-18030"/>
          <w:b/>
          <w:bCs/>
          <w:color w:val="000000"/>
          <w:sz w:val="28"/>
          <w:szCs w:val="28"/>
          <w:lang w:val="en-US" w:eastAsia="zh-CN"/>
        </w:rPr>
      </w:pPr>
      <w:r>
        <w:rPr>
          <w:rFonts w:hint="eastAsia" w:ascii="宋体" w:hAnsi="宋体" w:eastAsia="宋体" w:cs="宋体-18030"/>
          <w:b/>
          <w:bCs/>
          <w:color w:val="000000"/>
          <w:sz w:val="28"/>
          <w:szCs w:val="28"/>
          <w:lang w:val="en-US" w:eastAsia="zh-CN"/>
        </w:rPr>
        <w:t>委托方（以下简称甲方）：亳州通恒置业有限公司</w:t>
      </w:r>
    </w:p>
    <w:p w14:paraId="25EE25E0">
      <w:pPr>
        <w:spacing w:line="480" w:lineRule="exact"/>
        <w:ind w:firstLine="562" w:firstLineChars="200"/>
        <w:rPr>
          <w:rFonts w:hint="eastAsia" w:ascii="宋体" w:hAnsi="宋体" w:eastAsia="宋体" w:cs="宋体-18030"/>
          <w:b/>
          <w:bCs/>
          <w:color w:val="000000"/>
          <w:sz w:val="28"/>
          <w:szCs w:val="28"/>
          <w:lang w:val="en-US" w:eastAsia="zh-CN"/>
        </w:rPr>
      </w:pPr>
      <w:r>
        <w:rPr>
          <w:rFonts w:hint="eastAsia" w:ascii="宋体" w:hAnsi="宋体" w:eastAsia="宋体" w:cs="宋体-18030"/>
          <w:b/>
          <w:bCs/>
          <w:color w:val="000000"/>
          <w:sz w:val="28"/>
          <w:szCs w:val="28"/>
          <w:lang w:val="en-US" w:eastAsia="zh-CN"/>
        </w:rPr>
        <w:t>地址：安徽省亳州市谯城区药都大道1289号</w:t>
      </w:r>
    </w:p>
    <w:p w14:paraId="1413AD28">
      <w:pPr>
        <w:spacing w:line="480" w:lineRule="exact"/>
        <w:ind w:firstLine="562" w:firstLineChars="200"/>
        <w:rPr>
          <w:rFonts w:hint="eastAsia" w:ascii="宋体" w:hAnsi="宋体" w:eastAsia="宋体" w:cs="宋体-18030"/>
          <w:b/>
          <w:bCs/>
          <w:color w:val="000000"/>
          <w:sz w:val="28"/>
          <w:szCs w:val="28"/>
          <w:lang w:val="en-US" w:eastAsia="zh-CN"/>
        </w:rPr>
      </w:pPr>
      <w:r>
        <w:rPr>
          <w:rFonts w:hint="eastAsia" w:ascii="宋体" w:hAnsi="宋体" w:eastAsia="宋体" w:cs="宋体-18030"/>
          <w:b/>
          <w:bCs/>
          <w:color w:val="000000"/>
          <w:sz w:val="28"/>
          <w:szCs w:val="28"/>
          <w:lang w:val="en-US" w:eastAsia="zh-CN"/>
        </w:rPr>
        <w:t>电话：0558-5227666</w:t>
      </w:r>
    </w:p>
    <w:p w14:paraId="267BBD4D">
      <w:pPr>
        <w:spacing w:line="480" w:lineRule="exact"/>
        <w:ind w:firstLine="562" w:firstLineChars="200"/>
        <w:rPr>
          <w:rFonts w:hint="eastAsia" w:ascii="宋体" w:hAnsi="宋体" w:eastAsia="宋体" w:cs="宋体-18030"/>
          <w:b/>
          <w:bCs/>
          <w:color w:val="000000"/>
          <w:sz w:val="28"/>
          <w:szCs w:val="28"/>
          <w:lang w:val="en-US" w:eastAsia="zh-CN"/>
        </w:rPr>
      </w:pPr>
    </w:p>
    <w:p w14:paraId="7401F397">
      <w:pPr>
        <w:spacing w:line="480" w:lineRule="exact"/>
        <w:ind w:firstLine="562" w:firstLineChars="200"/>
        <w:rPr>
          <w:rFonts w:hint="eastAsia" w:ascii="宋体" w:hAnsi="宋体" w:eastAsia="宋体" w:cs="宋体-18030"/>
          <w:b/>
          <w:bCs/>
          <w:color w:val="000000"/>
          <w:sz w:val="28"/>
          <w:szCs w:val="28"/>
          <w:lang w:val="en-US" w:eastAsia="zh-CN"/>
        </w:rPr>
      </w:pPr>
      <w:r>
        <w:rPr>
          <w:rFonts w:hint="eastAsia" w:ascii="宋体" w:hAnsi="宋体" w:eastAsia="宋体" w:cs="宋体-18030"/>
          <w:b/>
          <w:bCs/>
          <w:color w:val="000000"/>
          <w:sz w:val="28"/>
          <w:szCs w:val="28"/>
          <w:lang w:val="en-US" w:eastAsia="zh-CN"/>
        </w:rPr>
        <w:t>代理方（以下简称乙方）：</w:t>
      </w:r>
    </w:p>
    <w:p w14:paraId="777D6B6E">
      <w:pPr>
        <w:spacing w:line="480" w:lineRule="exact"/>
        <w:ind w:firstLine="562" w:firstLineChars="200"/>
        <w:rPr>
          <w:rFonts w:hint="eastAsia" w:ascii="宋体" w:hAnsi="宋体" w:eastAsia="宋体" w:cs="宋体-18030"/>
          <w:b/>
          <w:bCs/>
          <w:color w:val="000000"/>
          <w:sz w:val="28"/>
          <w:szCs w:val="28"/>
          <w:lang w:val="en-US" w:eastAsia="zh-CN"/>
        </w:rPr>
      </w:pPr>
      <w:r>
        <w:rPr>
          <w:rFonts w:hint="eastAsia" w:ascii="宋体" w:hAnsi="宋体" w:eastAsia="宋体" w:cs="宋体-18030"/>
          <w:b/>
          <w:bCs/>
          <w:color w:val="000000"/>
          <w:sz w:val="28"/>
          <w:szCs w:val="28"/>
          <w:lang w:val="en-US" w:eastAsia="zh-CN"/>
        </w:rPr>
        <w:t xml:space="preserve">地址：              </w:t>
      </w:r>
    </w:p>
    <w:p w14:paraId="65E293FA">
      <w:pPr>
        <w:spacing w:line="480" w:lineRule="exact"/>
        <w:ind w:firstLine="562" w:firstLineChars="200"/>
        <w:rPr>
          <w:rFonts w:hint="eastAsia" w:ascii="宋体" w:hAnsi="宋体" w:eastAsia="宋体" w:cs="宋体-18030"/>
          <w:b/>
          <w:bCs/>
          <w:color w:val="000000"/>
          <w:sz w:val="28"/>
          <w:szCs w:val="28"/>
          <w:lang w:val="en-US" w:eastAsia="zh-CN"/>
        </w:rPr>
        <w:sectPr>
          <w:headerReference r:id="rId4" w:type="default"/>
          <w:footerReference r:id="rId5" w:type="default"/>
          <w:pgSz w:w="11906" w:h="16838"/>
          <w:pgMar w:top="1418" w:right="1418" w:bottom="1418" w:left="1418" w:header="851" w:footer="992" w:gutter="0"/>
          <w:cols w:space="720" w:num="1"/>
          <w:docGrid w:type="lines" w:linePitch="312" w:charSpace="0"/>
        </w:sectPr>
      </w:pPr>
      <w:r>
        <w:rPr>
          <w:rFonts w:hint="eastAsia" w:ascii="宋体" w:hAnsi="宋体" w:eastAsia="宋体" w:cs="宋体-18030"/>
          <w:b/>
          <w:bCs/>
          <w:color w:val="000000"/>
          <w:sz w:val="28"/>
          <w:szCs w:val="28"/>
          <w:lang w:val="en-US" w:eastAsia="zh-CN"/>
        </w:rPr>
        <w:t>电话：</w:t>
      </w:r>
    </w:p>
    <w:p w14:paraId="52FA26DE">
      <w:pPr>
        <w:spacing w:line="400" w:lineRule="exact"/>
        <w:jc w:val="center"/>
        <w:rPr>
          <w:rFonts w:hint="eastAsia" w:ascii="华文细黑" w:hAnsi="华文细黑" w:eastAsia="华文细黑" w:cs="Times New Roman"/>
          <w:b/>
          <w:bCs/>
          <w:sz w:val="32"/>
          <w:szCs w:val="32"/>
          <w:lang w:val="en-US" w:eastAsia="zh-CN"/>
        </w:rPr>
      </w:pPr>
      <w:r>
        <w:rPr>
          <w:rFonts w:hint="eastAsia" w:ascii="华文细黑" w:hAnsi="华文细黑" w:eastAsia="华文细黑" w:cs="Times New Roman"/>
          <w:b/>
          <w:bCs/>
          <w:sz w:val="32"/>
          <w:szCs w:val="32"/>
          <w:lang w:val="en-US" w:eastAsia="zh-CN"/>
        </w:rPr>
        <w:t>亳州逸合府项目营销策划及销售代理服务协议</w:t>
      </w:r>
    </w:p>
    <w:p w14:paraId="30156CE9">
      <w:pPr>
        <w:rPr>
          <w:rFonts w:hint="eastAsia" w:asciiTheme="majorEastAsia" w:hAnsiTheme="majorEastAsia" w:eastAsiaTheme="majorEastAsia" w:cstheme="majorEastAsia"/>
          <w:b/>
          <w:bCs/>
          <w:sz w:val="32"/>
          <w:szCs w:val="32"/>
          <w:highlight w:val="none"/>
          <w:lang w:val="en-US" w:eastAsia="zh-CN"/>
        </w:rPr>
      </w:pPr>
    </w:p>
    <w:p w14:paraId="7FBF56C9">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甲方开发的亳州逸合府项目采取营销策划代理，经公开招标由乙方开展营销策划代理工作，依据中华人民共和国有关法律、法规、政策，本着平等、互利的原则，经双方协商签订本合同。</w:t>
      </w:r>
    </w:p>
    <w:p w14:paraId="13D6CEC8">
      <w:pPr>
        <w:spacing w:line="520" w:lineRule="exact"/>
        <w:ind w:firstLine="562" w:firstLineChars="200"/>
        <w:jc w:val="center"/>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第一章  项目概况</w:t>
      </w:r>
    </w:p>
    <w:p w14:paraId="6AEC0250">
      <w:pPr>
        <w:spacing w:line="520" w:lineRule="exact"/>
        <w:ind w:firstLine="562"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b/>
          <w:bCs/>
          <w:color w:val="000000"/>
          <w:sz w:val="28"/>
          <w:szCs w:val="28"/>
          <w:lang w:val="en-US" w:eastAsia="zh-CN"/>
        </w:rPr>
        <w:t>第一条</w:t>
      </w:r>
      <w:r>
        <w:rPr>
          <w:rFonts w:hint="eastAsia" w:ascii="宋体" w:hAnsi="宋体" w:eastAsia="宋体" w:cs="Times New Roman"/>
          <w:color w:val="000000"/>
          <w:sz w:val="28"/>
          <w:szCs w:val="28"/>
          <w:lang w:val="en-US" w:eastAsia="zh-CN"/>
        </w:rPr>
        <w:t xml:space="preserve"> 亳州逸合府项目，地块位于亳州市谯城区利辛路与华佗大道交叉口，其中项目占地约202.021亩，容积率不大于2.0，商品房数量约1860套（实际以规委会审核通过为准）。</w:t>
      </w:r>
    </w:p>
    <w:p w14:paraId="30C22711">
      <w:pPr>
        <w:spacing w:line="520" w:lineRule="exact"/>
        <w:ind w:firstLine="562" w:firstLineChars="200"/>
        <w:jc w:val="center"/>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第二章  服务内容、目标任务、销售价格、佣金标准</w:t>
      </w:r>
    </w:p>
    <w:p w14:paraId="5D76B820">
      <w:pPr>
        <w:spacing w:line="520" w:lineRule="exact"/>
        <w:ind w:firstLine="562"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b/>
          <w:bCs/>
          <w:color w:val="000000"/>
          <w:sz w:val="28"/>
          <w:szCs w:val="28"/>
          <w:lang w:val="en-US" w:eastAsia="zh-CN"/>
        </w:rPr>
        <w:t>第二条 服务内容</w:t>
      </w:r>
      <w:r>
        <w:rPr>
          <w:rFonts w:hint="eastAsia" w:ascii="宋体" w:hAnsi="宋体" w:eastAsia="宋体" w:cs="Times New Roman"/>
          <w:color w:val="000000"/>
          <w:sz w:val="28"/>
          <w:szCs w:val="28"/>
          <w:lang w:val="en-US" w:eastAsia="zh-CN"/>
        </w:rPr>
        <w:t xml:space="preserve"> </w:t>
      </w:r>
    </w:p>
    <w:p w14:paraId="5E82133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2.1甲方委托乙方进行该项目的营销策划代理,主要工作包含营销策划及销售代理（包含但不限于营销策划、广告设计、销售代理等）。根据双方约定，乙方若委托期未达到考核任务，甲方有权委托其他商家策划销售“该项目”，组建新的销售队伍。</w:t>
      </w:r>
    </w:p>
    <w:p w14:paraId="296AB2EE">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2.2双方约定，乙方团队在签订合同之日进场。本合同履行期限自合同签订之日起6个月，本合同到期后，经甲、乙双方协商，可延长合同服务期限，但应就此重新签订相关协议或补充协议。乙方工作内容包含但不限于项目营销策划、设计推广、案场销售（含内场的接待、催款、签约、收集客户按揭资料、办理移交、备案、预抵押、回款、售后等）方面工作，并确保有关工作及资料的真实性。</w:t>
      </w:r>
    </w:p>
    <w:p w14:paraId="396F5AF4">
      <w:pPr>
        <w:spacing w:line="520" w:lineRule="exact"/>
        <w:ind w:firstLine="562"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b/>
          <w:bCs/>
          <w:color w:val="000000"/>
          <w:sz w:val="28"/>
          <w:szCs w:val="28"/>
          <w:lang w:val="en-US" w:eastAsia="zh-CN"/>
        </w:rPr>
        <w:t>第三条 目标任务</w:t>
      </w:r>
      <w:r>
        <w:rPr>
          <w:rFonts w:hint="eastAsia" w:ascii="宋体" w:hAnsi="宋体" w:eastAsia="宋体" w:cs="Times New Roman"/>
          <w:color w:val="000000"/>
          <w:sz w:val="28"/>
          <w:szCs w:val="28"/>
          <w:lang w:val="en-US" w:eastAsia="zh-CN"/>
        </w:rPr>
        <w:t xml:space="preserve"> </w:t>
      </w:r>
    </w:p>
    <w:p w14:paraId="1FBA2E0F">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3.1甲方对乙方按照月度考核、季度算总方式进行考核，考核期（6个月）销售（签约）任务为 120套，具体考核任务分解以甲方下达的任务为准。</w:t>
      </w:r>
    </w:p>
    <w:p w14:paraId="587F5E5E">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3.2乙方若季度未完成甲方下达的销售目标，甲方有权单方面终止合同关系或引进其他销售团队，销售目标以甲方书面下达当月销售目标任务为准。</w:t>
      </w:r>
    </w:p>
    <w:p w14:paraId="68FDFD5B">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3.3乙方应当于每月3日前向甲方提交上月推广策划总结报告，及本月工作计划。</w:t>
      </w:r>
    </w:p>
    <w:p w14:paraId="05D0B421">
      <w:pPr>
        <w:spacing w:line="520" w:lineRule="exact"/>
        <w:ind w:firstLine="562" w:firstLineChars="200"/>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 xml:space="preserve">第四条 销售价格 </w:t>
      </w:r>
    </w:p>
    <w:p w14:paraId="2E3991E8">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以该项目确定的价格和优惠体系为准，依据当地市场情况如需调整，经双方商讨后，最终由甲方确定，乙方须按照甲方意见执行。</w:t>
      </w:r>
    </w:p>
    <w:p w14:paraId="3F3F256E">
      <w:pPr>
        <w:spacing w:line="520" w:lineRule="exact"/>
        <w:ind w:firstLine="562" w:firstLineChars="200"/>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 xml:space="preserve">第五条 佣金标准 （含税） </w:t>
      </w:r>
    </w:p>
    <w:p w14:paraId="4108D435">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5.1本协议期内，自签订本合同之日起，所销售的住宅类型房源，按照以下佣金结算标准计提内场服务佣金：</w:t>
      </w:r>
    </w:p>
    <w:p w14:paraId="39AD4C69">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自访自拓成交的客户，按照     元/套计提；</w:t>
      </w:r>
    </w:p>
    <w:p w14:paraId="4CAFB6F1">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分销及渠道带访成交的客户，按照     元/套计提；</w:t>
      </w:r>
    </w:p>
    <w:p w14:paraId="4C30C2DC">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项目商铺产品参照住宅的销售房源佣金标准计提。</w:t>
      </w:r>
    </w:p>
    <w:p w14:paraId="1AE67A0F">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5.2本协议期内，若出现其他渠道成交的（老带新，员工推荐，工抵房的按揭客户等），均按照分销结算标准给予办理手续服务费并给予乙方计算销售任务：</w:t>
      </w:r>
    </w:p>
    <w:p w14:paraId="1E83893C">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5.3工抵房的全款客户成交的不予结算服务佣金，给予乙方计算销售任务。</w:t>
      </w:r>
    </w:p>
    <w:p w14:paraId="33F80A3D">
      <w:pPr>
        <w:spacing w:line="520" w:lineRule="exact"/>
        <w:ind w:firstLine="562" w:firstLineChars="200"/>
        <w:jc w:val="center"/>
        <w:rPr>
          <w:rFonts w:hint="eastAsia" w:ascii="宋体" w:hAnsi="宋体" w:eastAsia="宋体" w:cs="Times New Roman"/>
          <w:color w:val="000000"/>
          <w:sz w:val="28"/>
          <w:szCs w:val="28"/>
          <w:lang w:val="en-US" w:eastAsia="zh-CN"/>
        </w:rPr>
      </w:pPr>
      <w:r>
        <w:rPr>
          <w:rFonts w:hint="eastAsia" w:ascii="宋体" w:hAnsi="宋体" w:eastAsia="宋体" w:cs="Times New Roman"/>
          <w:b/>
          <w:bCs/>
          <w:color w:val="000000"/>
          <w:sz w:val="28"/>
          <w:szCs w:val="28"/>
          <w:lang w:val="en-US" w:eastAsia="zh-CN"/>
        </w:rPr>
        <w:t>第三章 特殊约定</w:t>
      </w:r>
    </w:p>
    <w:p w14:paraId="49300382">
      <w:pPr>
        <w:spacing w:line="520" w:lineRule="exact"/>
        <w:ind w:firstLine="562" w:firstLineChars="200"/>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第六条 销售考核方式</w:t>
      </w:r>
    </w:p>
    <w:p w14:paraId="4E157D6F">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6.1考核周期按自然月计算，即每月1日至每月最后一日，每月最后一日结束后计算当月考核核定，由该项目甲方案场销售负责人确认。</w:t>
      </w:r>
    </w:p>
    <w:p w14:paraId="3C0D2BCE">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6.2考核核定标准：</w:t>
      </w:r>
    </w:p>
    <w:p w14:paraId="25596D4B">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当月签约的，按照本合同约定的佣金标准核算。签约核定标准：按揭的按照购房者交齐办理按揭所需首付款金额，生成《商品房买卖合同》编号初始时间为核定标准；一次性的按照购房者交齐款项，生成《商品房买卖合同》编号初始时间为核定标准。</w:t>
      </w:r>
    </w:p>
    <w:p w14:paraId="7C4E9543">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2）当月若出现退房、退款情况，对于当月考核核定套数进行重新核定。</w:t>
      </w:r>
    </w:p>
    <w:p w14:paraId="5354B6F2">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6.3甲方对乙方采取月度考核、季度算总方式进行考核。每月度、季度考核任务按照任务表执行，（详见考核任务表），如未完成季度目标，甲方有权单方面解除合同，同时乙方5日内须移交相关资料并撤场，若基于市场原因未解除合同，不视为乙方完成季度考核任务。</w:t>
      </w:r>
    </w:p>
    <w:p w14:paraId="14834D40">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6.4若乙方未完成月度签约任务标准（以完成明源签约数据为准），甲方将按每套1000元的标准给乙方下达罚款通知书；若乙方季度累计完成签约任务标准（以完成明源签约数据为准），甲方下达的罚款通知书不予执行；若乙方季度累计未完成签约任务标准（以完成明源签约数据为准），甲方下达罚款通知书中的罚款金额，乙方须10日内全额缴纳至甲方账户或者甲方直接从履约保证金中扣除。甲方扣罚后，履约保证金不足部分，乙方应立即补足。</w:t>
      </w:r>
    </w:p>
    <w:p w14:paraId="5C381E79">
      <w:pPr>
        <w:spacing w:line="520" w:lineRule="exact"/>
        <w:ind w:firstLine="562" w:firstLineChars="200"/>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第七条 佣金结算条件、结算时间、结算单位</w:t>
      </w:r>
    </w:p>
    <w:p w14:paraId="1B97395B">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7.1乙方成功销售的房屋，按月度考核任务及成交渠道的类别，以套为单位进行结算佣金，结算条件为：</w:t>
      </w:r>
    </w:p>
    <w:p w14:paraId="7D6344B5">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按揭客户签订《商品房买卖合同》，按合同约定付清首付款，按揭尾款全部到账，完成各项按揭手续收集整理并移交甲方案场审核验收后，给予结算佣金。</w:t>
      </w:r>
    </w:p>
    <w:p w14:paraId="1D57B568">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全款客户，房款全部到账后，给予结算佣金。</w:t>
      </w:r>
    </w:p>
    <w:p w14:paraId="3182C265">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7.2所有费用均以人民币为结算单位，以转帐方式支付。乙方需按甲方要求开具增值税专用发票后向甲方领取相应款项（乙方需于次月向甲方提报经甲方签字认可的合同卷宗移交表，甲方审核无误后于当月支付，每月支付一次）。</w:t>
      </w:r>
    </w:p>
    <w:p w14:paraId="50254A42">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7.3若出现客户退房、退款情况，乙方应当立刻一次性返还甲方已支付的佣金。</w:t>
      </w:r>
    </w:p>
    <w:p w14:paraId="1C7A43F3">
      <w:pPr>
        <w:spacing w:line="520" w:lineRule="exact"/>
        <w:ind w:firstLine="562" w:firstLineChars="200"/>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第八条 人员配置</w:t>
      </w:r>
    </w:p>
    <w:p w14:paraId="1F759F9D">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8.1乙方人员配置项目经理 1 名、驻场策划 1 名、驻场销售经理 1 名、驻场置业顾问 6 名（不低于）、驻场销售后勤 1 名，负责该项目营销策划及销售案场管理及销售环节执行，积极配合甲方展开项目前期规划及相关销售准备工作。</w:t>
      </w:r>
    </w:p>
    <w:p w14:paraId="2DFD5C5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8.2乙方提供少于上述人员人数配置，甲方有权随时单方解除本合同。</w:t>
      </w:r>
    </w:p>
    <w:p w14:paraId="3B26FE66">
      <w:pPr>
        <w:spacing w:line="520" w:lineRule="exact"/>
        <w:ind w:firstLine="562" w:firstLineChars="200"/>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第九条 履约保证金及双方账号</w:t>
      </w:r>
    </w:p>
    <w:p w14:paraId="1D512BF4">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1、履约保证金</w:t>
      </w:r>
    </w:p>
    <w:p w14:paraId="6FAF7B53">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9.1乙方同意本项目签订合同前，向甲方支付</w:t>
      </w:r>
      <w:r>
        <w:rPr>
          <w:rFonts w:hint="eastAsia" w:ascii="宋体" w:hAnsi="宋体" w:eastAsia="宋体" w:cs="Times New Roman"/>
          <w:color w:val="000000"/>
          <w:sz w:val="28"/>
          <w:szCs w:val="28"/>
          <w:u w:val="single"/>
          <w:lang w:val="en-US" w:eastAsia="zh-CN"/>
        </w:rPr>
        <w:t>6万</w:t>
      </w:r>
      <w:r>
        <w:rPr>
          <w:rFonts w:hint="eastAsia" w:ascii="宋体" w:hAnsi="宋体" w:eastAsia="宋体" w:cs="Times New Roman"/>
          <w:color w:val="000000"/>
          <w:sz w:val="28"/>
          <w:szCs w:val="28"/>
          <w:lang w:val="en-US" w:eastAsia="zh-CN"/>
        </w:rPr>
        <w:t>元整，作为合同履约保证金。</w:t>
      </w:r>
    </w:p>
    <w:p w14:paraId="2244EE31">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9.2合同期满或解除的14个工作日内无息退还全部履约保证金，如在合作期间有违约或违反案场管理行为的，则在扣除罚款后无息退还剩余部分（因未完成任务导致撤场的，不视为违约）。（本金无息）</w:t>
      </w:r>
    </w:p>
    <w:p w14:paraId="209F1B53">
      <w:pPr>
        <w:spacing w:line="520" w:lineRule="exact"/>
        <w:ind w:firstLine="560" w:firstLineChars="200"/>
        <w:rPr>
          <w:rFonts w:hint="eastAsia" w:ascii="宋体" w:hAnsi="宋体" w:eastAsia="宋体" w:cs="Times New Roman"/>
          <w:color w:val="000000"/>
          <w:sz w:val="28"/>
          <w:szCs w:val="28"/>
          <w:lang w:val="en-US" w:eastAsia="zh-CN"/>
        </w:rPr>
      </w:pPr>
    </w:p>
    <w:p w14:paraId="7E7F63AF">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2、乙方帐号：</w:t>
      </w:r>
    </w:p>
    <w:p w14:paraId="136AABA3">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 xml:space="preserve">名称：   </w:t>
      </w:r>
    </w:p>
    <w:p w14:paraId="7387C8AF">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 xml:space="preserve">纳税人识别号：          </w:t>
      </w:r>
    </w:p>
    <w:p w14:paraId="4C52A8D8">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 xml:space="preserve">地     址：  </w:t>
      </w:r>
    </w:p>
    <w:p w14:paraId="3C54D779">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开户银行：</w:t>
      </w:r>
    </w:p>
    <w:p w14:paraId="5D59042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账    号：</w:t>
      </w:r>
    </w:p>
    <w:p w14:paraId="7678AB02">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3、甲方提供增值税发票上甲方信息。</w:t>
      </w:r>
    </w:p>
    <w:p w14:paraId="7D564845">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单位名称：亳州通恒置业有限公司</w:t>
      </w:r>
    </w:p>
    <w:p w14:paraId="3C15CEA0">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纳税人识别号：91341600MA8L8AAW7D</w:t>
      </w:r>
    </w:p>
    <w:p w14:paraId="06991BDB">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地址电话：亳州市谯城区药都大道1289号 0558-5998970</w:t>
      </w:r>
    </w:p>
    <w:p w14:paraId="73695CB1">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开户行及账号：建行亳州市分行 34050188860800002404</w:t>
      </w:r>
    </w:p>
    <w:p w14:paraId="74D8EF75">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双方权利义务</w:t>
      </w:r>
    </w:p>
    <w:p w14:paraId="07C7D922">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双方约定，在销售过程中，所有的折让、条款之让步须在甲方的明确规定下方可执行。</w:t>
      </w:r>
    </w:p>
    <w:p w14:paraId="07296E60">
      <w:pPr>
        <w:spacing w:line="520" w:lineRule="exact"/>
        <w:ind w:firstLine="562"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b/>
          <w:bCs/>
          <w:color w:val="000000"/>
          <w:sz w:val="28"/>
          <w:szCs w:val="28"/>
          <w:lang w:val="en-US" w:eastAsia="zh-CN"/>
        </w:rPr>
        <w:t>第十条  甲方责权</w:t>
      </w:r>
      <w:r>
        <w:rPr>
          <w:rFonts w:hint="eastAsia" w:ascii="宋体" w:hAnsi="宋体" w:eastAsia="宋体" w:cs="Times New Roman"/>
          <w:color w:val="000000"/>
          <w:sz w:val="28"/>
          <w:szCs w:val="28"/>
          <w:lang w:val="en-US" w:eastAsia="zh-CN"/>
        </w:rPr>
        <w:t xml:space="preserve"> </w:t>
      </w:r>
    </w:p>
    <w:p w14:paraId="001B17F3">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10.1甲方负责该项目广告宣传及活动物料所需费用。</w:t>
      </w:r>
    </w:p>
    <w:p w14:paraId="59153A04">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10.2甲方监督乙方整个宣传、策划和销售过程。</w:t>
      </w:r>
    </w:p>
    <w:p w14:paraId="5595D4E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10.3甲方发现乙方工作人员及代为管理的案场人员有违反案场管理规定或违反合同之处，甲方有权对乙方进行处罚。</w:t>
      </w:r>
    </w:p>
    <w:p w14:paraId="08DFB30B">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10.4甲方负责现场销售耗材及项目所产生的办公成本。</w:t>
      </w:r>
    </w:p>
    <w:p w14:paraId="4482B69D">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10.5如乙方在销售代理或推广策划工作中未严格按照本合同履行任何一项义务，甲方有权要求乙方整改，乙方接到甲方整改通知函后三天内未整改到位，甲方有权单方面解除本合同，甲方不承担任何违约责任，并有权追究乙方给甲方造成的所有损失。</w:t>
      </w:r>
    </w:p>
    <w:p w14:paraId="71DEBEF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10.6如乙方在工作中不配合甲方安排的合理性工作，或者出现严重失误、造成不良后果，甲方有权扣除相应的损失费用，并保留单方面解除本合同的权利。</w:t>
      </w:r>
    </w:p>
    <w:p w14:paraId="126B04D9">
      <w:pPr>
        <w:spacing w:line="520" w:lineRule="exact"/>
        <w:ind w:firstLine="562" w:firstLineChars="200"/>
        <w:rPr>
          <w:rFonts w:hint="eastAsia" w:ascii="宋体" w:hAnsi="宋体" w:eastAsia="宋体" w:cs="Times New Roman"/>
          <w:b/>
          <w:bCs/>
          <w:color w:val="000000"/>
          <w:sz w:val="28"/>
          <w:szCs w:val="28"/>
          <w:lang w:val="en-US" w:eastAsia="zh-CN"/>
        </w:rPr>
      </w:pPr>
      <w:r>
        <w:rPr>
          <w:rFonts w:hint="eastAsia" w:ascii="宋体" w:hAnsi="宋体" w:eastAsia="宋体" w:cs="Times New Roman"/>
          <w:b/>
          <w:bCs/>
          <w:color w:val="000000"/>
          <w:sz w:val="28"/>
          <w:szCs w:val="28"/>
          <w:lang w:val="en-US" w:eastAsia="zh-CN"/>
        </w:rPr>
        <w:t>第十一条  乙方责权</w:t>
      </w:r>
    </w:p>
    <w:p w14:paraId="66385193">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11.1整个策划、销售过程必须遵守中华人民共和国、安徽省及亳州市的有关法规、政策文件等。</w:t>
      </w:r>
    </w:p>
    <w:p w14:paraId="26A769C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 xml:space="preserve">11.2乙方指定 </w:t>
      </w:r>
      <w:r>
        <w:rPr>
          <w:rFonts w:hint="eastAsia" w:ascii="宋体" w:hAnsi="宋体" w:eastAsia="宋体" w:cs="Times New Roman"/>
          <w:color w:val="000000"/>
          <w:sz w:val="28"/>
          <w:szCs w:val="28"/>
          <w:u w:val="single"/>
          <w:lang w:val="en-US" w:eastAsia="zh-CN"/>
        </w:rPr>
        <w:t xml:space="preserve">         </w:t>
      </w:r>
      <w:r>
        <w:rPr>
          <w:rFonts w:hint="eastAsia" w:ascii="宋体" w:hAnsi="宋体" w:eastAsia="宋体" w:cs="Times New Roman"/>
          <w:color w:val="000000"/>
          <w:sz w:val="28"/>
          <w:szCs w:val="28"/>
          <w:lang w:val="en-US" w:eastAsia="zh-CN"/>
        </w:rPr>
        <w:t>作为乙方项目经理与甲方进行沟通、协调。如乙方需更换代表，应提前一周书面通知甲方，经的甲方同意后，方可更换。</w:t>
      </w:r>
    </w:p>
    <w:p w14:paraId="3225DAF2">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11.3乙方若完不成销售考核任务，不得以因向甲方提出广告、宣传、推广、活动、销售价格等方面支持不到位为由抗辩。</w:t>
      </w:r>
    </w:p>
    <w:p w14:paraId="17B5544F">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11.4乙方负责项目营销活动的策划，若设计的项目宣传信息及制作的物料等违反相关法律规定，由此引起的一切经济法律责任均有乙方承担责任，对甲方造成损失的，乙方承担赔偿责任。</w:t>
      </w:r>
    </w:p>
    <w:p w14:paraId="2921E77F">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11.5乙方应严格按照甲方委托事项和委托范围从事销售代理活动，不得向认购者作出超过甲方委托及许可范围的书面或口头的承诺。</w:t>
      </w:r>
    </w:p>
    <w:p w14:paraId="7AE80E81">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11.6合作期内，乙方销售的房源在签署《商品房买卖》合同时，若出现面积错误、客户信息错误、合同条款等信息错误的，由乙方负责解决，甲方有权追究乙方的责任。</w:t>
      </w:r>
    </w:p>
    <w:p w14:paraId="5D4B73D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11.7本合同结束后，乙方需将甲方提供的办公用品（易耗品除外）、已售客户的所有资料移交甲方，以便甲方继续跟进。</w:t>
      </w:r>
    </w:p>
    <w:p w14:paraId="598DBE09">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11.8乙方不得以任何形式收取客户任何费用，不得以甲方名义收取客户所付的购房款，应指导客户将购房款交由甲方财务部。乙方严格按照甲方所定价格表销售。不得以低于甲方所确定的价格销售本项目。</w:t>
      </w:r>
    </w:p>
    <w:p w14:paraId="6E282AA7">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11.9乙方团队须服从甲方制订的各项“案场管理规定和制度”，甲方有权对乙方人员违反制度的行为按相关条例进行处罚。</w:t>
      </w:r>
    </w:p>
    <w:p w14:paraId="7781852A">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11.10</w:t>
      </w:r>
    </w:p>
    <w:p w14:paraId="1CB823C1">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（1）合同签订7日内，乙方完成项目销售的各项筹备工作，包括项目的销售管理制度、培训计划书、完善各种销售应对预案等，书面提交甲方并获得甲方的确认。</w:t>
      </w:r>
    </w:p>
    <w:p w14:paraId="43A894B2">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（2）合同签订后乙方正式进场，进场后7日内组建本项目销售团队并完成销售团队培训，按制度进行团队管理。</w:t>
      </w:r>
    </w:p>
    <w:p w14:paraId="410BF707">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（3）销售现场管理：乙方代表甲方在案场管理规定和制度范围内负责项目销售现场的管理，维持现场销售秩序。</w:t>
      </w:r>
    </w:p>
    <w:p w14:paraId="7841056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（4）乙方项目经理对项目营销进行总控，根据甲方要求把握项目各个阶段营销方案、推盘计划及推广计划，对乙方项目团队实时管理和监控。</w:t>
      </w:r>
    </w:p>
    <w:p w14:paraId="77A39BC5">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以上人员驻场的考勤记录，遵照甲方考勤管理制度，乙方盖章后提交给甲方用于存档。乙方调离任何本案驻场人员需要经过甲方书面同意。</w:t>
      </w:r>
    </w:p>
    <w:p w14:paraId="3BBFCE33">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（5）本项目公开发售前，在不违反国家及地方法律、法规情况下，乙方须对本项目进行推广并对意向客户进行调查统计，完成客户积累及登记工作。</w:t>
      </w:r>
    </w:p>
    <w:p w14:paraId="2DBFA569">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（6）乙方负责接洽客户、市调人员以及交流参观人员、负责接待甲方团购客户、合作单位的参观。</w:t>
      </w:r>
    </w:p>
    <w:p w14:paraId="6BCF5681">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（7）乙方负责收集来电来访客户信息，向甲方反馈客户意见。</w:t>
      </w:r>
    </w:p>
    <w:p w14:paraId="20CA5AB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（8）本项目公开发售后，乙方协助甲方与客户签订《认购书》。客户签订《认购书》的同时交纳定金，认购行为按照双方事先共同制订的认购流程执行。</w:t>
      </w:r>
    </w:p>
    <w:p w14:paraId="19C72F47">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9）乙方应及时督促购房客户在《认购书》约定的期限内与甲方签订《商品房买卖合同》及相关文件，督促购房客户交纳购房款，在甲方规定时间内要求客户备齐按揭资料，协助客户在签约时办理贷款相关手续，跟进银行按揭回款，并协助甲方完成业主房产证办理工作。签约行为按照双方事先制订的签约流程执行。</w:t>
      </w:r>
    </w:p>
    <w:p w14:paraId="78F9D7A4">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（10）乙方负责按照甲方书面确认的房号销控表，组织好楼盘的销售工作，及时将日报和销控表更新电子档给甲方。</w:t>
      </w:r>
    </w:p>
    <w:p w14:paraId="291701A5">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（11）在本项目销售过程中,协助甲方维护好媒体关系和新闻动态的更新和发布。并协助甲方妥善做好与本项目相关的营销推广舆论公关处理工作。</w:t>
      </w:r>
    </w:p>
    <w:p w14:paraId="368AFC94">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12）乙方制订媒体广告发布、公关活动等方面的计划、策划方案、广告设计、包装及费用预算，经甲方审核批准后实施，所发生的费用由甲方直接支付给有关承办方。乙方应全面参与以上工作，并有义务协助甲方将费用控制在合同约定的范围之内。</w:t>
      </w:r>
    </w:p>
    <w:p w14:paraId="74D0BEFC">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13）乙方协助甲方办理房源签约、备案手续，协助甲方完成房屋交付工作、办理房屋不动产权证、他项权证及其他需要乙方协助的事项。乙方应当保存与客户交易过程中各环节的文件，同时向甲方及时提交本项目完善的客户资料并确保其真实性。对存在违约情况的客户（如逾期付款、逾期拿房等），乙方应每日汇总向甲方提交书面情况报告，并按照甲方意见进行催收处理等工作。对于由乙方原因出现的问题客户，有乙方负责处理，若对甲方造成相应损失由乙方负责。</w:t>
      </w:r>
    </w:p>
    <w:p w14:paraId="7A6ED7BF">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（14）整理成交客户档案（包括客户姓名、房号、合同金额、付款方式、款项支付情况、优惠情况、特殊承诺、联系方式、年龄、职业、住址、文化程度、月收入情况、家庭结构、身份证复印件等），交予甲方。</w:t>
      </w:r>
    </w:p>
    <w:p w14:paraId="5595C05E">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（15）对来电来访咨询客户、活动登记客户等潜在交易客户信息，乙方应于当日录入销售管理系统，并确保其资料准确性，同时将纸质资料移交甲方，不得将客户信息带离销售现场、对外传播或用于其他项目。</w:t>
      </w:r>
    </w:p>
    <w:p w14:paraId="2F8B5BF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（16）乙方应当于每周周日前、每月3日前向甲方提交当周、上月销售总结报告，及下周、本月工作计划。</w:t>
      </w:r>
    </w:p>
    <w:p w14:paraId="12590FC8">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11.11在周计划、月计划工作单中注明各项执行工作完成的时间节点（项目整体营销节点经甲方同意后可适当延期）。乙方若未按照甲方要求时间提交相关设计文稿、策划文稿、营销方案或者未落实执行工作的，甲方有权对乙方项目负责人处以每次1000元工作过失罚款，此费用可从当月佣金或月费中扣除。</w:t>
      </w:r>
    </w:p>
    <w:p w14:paraId="5F65847D">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11.12乙方应当做如实介绍，不得夸大、隐瞒或超越甲方授权范围向客户做出过度宣传、邀约或者承诺。</w:t>
      </w:r>
    </w:p>
    <w:p w14:paraId="1C39CEBA">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11.13乙方应保证其提交的所有成果和其所制定的宣传、策划方案、资料等均不涉及对第三方知识产权、著作权的侵权，如有任何第三方提出异议，全部责任、后果由乙方承担。所有策划成果等一经提交给甲方，其版权归甲方所有。</w:t>
      </w:r>
    </w:p>
    <w:p w14:paraId="6D0AAA99">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11.14乙方的销售代理权不得转让。乙方不得将本合同中的全部或部分工作转委托第三人完成，否则扣除所有佣金并追究违约责任。</w:t>
      </w:r>
    </w:p>
    <w:p w14:paraId="03A91C24">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11.15在未取得甲方书面同意前，乙方不得在本合同有效期内担任距离本项目三公里范围内任何楼盘项目销售代理、推广策划等方面的工作。否则甲方有权解除合同、扣除佣金并追究违约责任。</w:t>
      </w:r>
    </w:p>
    <w:p w14:paraId="719B253B">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11.16乙方根据国家和项目所在地有关部门制定的相关法律、规定，负责广告画面设计、规划，如因是乙方设计原因对外发布的广告或画面内容受到相关政府机构处罚的，责任由乙方承担。</w:t>
      </w:r>
    </w:p>
    <w:p w14:paraId="640D77F4">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11.17乙方需维护甲方企业和项目品牌形象，如乙方有损甲方企业和项目品牌的行为发生，一经发现，甲方将视情节严重给予乙方处罚并追究相关责任。</w:t>
      </w:r>
    </w:p>
    <w:p w14:paraId="290C0430">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11.18委托期内，乙方不得对外作出超过甲方书面认可的书面或口头承诺。否则，由此产生的一切后果由乙方承担。</w:t>
      </w:r>
    </w:p>
    <w:p w14:paraId="703DAD9A">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11.19在合同履行期间，乙方需遵照甲方项目案场管理制度。</w:t>
      </w:r>
    </w:p>
    <w:p w14:paraId="25CB960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第五章  其它</w:t>
      </w:r>
    </w:p>
    <w:p w14:paraId="760E69A9">
      <w:pPr>
        <w:spacing w:line="520" w:lineRule="exact"/>
        <w:ind w:firstLine="562"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b/>
          <w:bCs/>
          <w:color w:val="000000"/>
          <w:sz w:val="28"/>
          <w:szCs w:val="28"/>
          <w:lang w:val="en-US" w:eastAsia="zh-CN"/>
        </w:rPr>
        <w:t>第十二条</w:t>
      </w:r>
      <w:r>
        <w:rPr>
          <w:rFonts w:hint="eastAsia" w:ascii="宋体" w:hAnsi="宋体" w:eastAsia="宋体" w:cs="Times New Roman"/>
          <w:color w:val="000000"/>
          <w:sz w:val="28"/>
          <w:szCs w:val="28"/>
          <w:lang w:val="en-US" w:eastAsia="zh-CN"/>
        </w:rPr>
        <w:t xml:space="preserve"> </w:t>
      </w:r>
    </w:p>
    <w:p w14:paraId="6CA4AB2A">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12.1因不可抗力的因素或各级政府行政行为因素造成本合同无法继续履行，由甲、乙双方各自承担损失。</w:t>
      </w:r>
    </w:p>
    <w:p w14:paraId="58643667">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12.2甲乙双方对本合同的所有条款均应共同遵守、严格执行。</w:t>
      </w:r>
    </w:p>
    <w:p w14:paraId="4DA0CC8A">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12.3关于亳州逸合府的销售代理，除本合同外，另行再签订补充协议作为本合同的从合同，与本合同具备同等法律效力。</w:t>
      </w:r>
    </w:p>
    <w:p w14:paraId="2BC409D7">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12.4甲乙双方同意无论甲方向乙方提供的有关信息情报、资料、合同或乙方向甲方提交的咨询报告及相关条件，均是商业机密文件，未经过双方许可，任何一方不得向第三方或第三人出示。</w:t>
      </w:r>
    </w:p>
    <w:p w14:paraId="20415887">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12.5本合同如有未尽事宜，甲、乙双方协商签定补充协议，补充条款与本合同具同等法律效力。</w:t>
      </w:r>
    </w:p>
    <w:p w14:paraId="3016B3C4">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12.6本合同在履行过程中发生纠纷，双方应及时协商解决，在确实协商不成的情形下，甲、乙双方一致同意将争议事项依法向项目地法院提起诉讼。</w:t>
      </w:r>
    </w:p>
    <w:p w14:paraId="21CC457D">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12.7招标文件是合同的组成部分，合同与招标文件不一致的，以招标文件为准。</w:t>
      </w:r>
    </w:p>
    <w:p w14:paraId="2CDDCA26">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12.8本代理合同一式肆份，于双方公司盖章后生效，甲乙双方各执贰份，具有同等法律效力。</w:t>
      </w:r>
    </w:p>
    <w:p w14:paraId="51F76BA8">
      <w:pPr>
        <w:spacing w:line="520" w:lineRule="exact"/>
        <w:ind w:firstLine="560" w:firstLineChars="200"/>
        <w:rPr>
          <w:rFonts w:hint="eastAsia" w:ascii="宋体" w:hAnsi="宋体" w:eastAsia="宋体" w:cs="Times New Roman"/>
          <w:color w:val="000000"/>
          <w:sz w:val="28"/>
          <w:szCs w:val="28"/>
          <w:lang w:val="en-US" w:eastAsia="zh-CN"/>
        </w:rPr>
      </w:pPr>
    </w:p>
    <w:p w14:paraId="74FD2942">
      <w:pPr>
        <w:spacing w:line="520" w:lineRule="exact"/>
        <w:ind w:firstLine="560" w:firstLineChars="200"/>
        <w:rPr>
          <w:rFonts w:hint="eastAsia" w:ascii="宋体" w:hAnsi="宋体" w:eastAsia="宋体" w:cs="Times New Roman"/>
          <w:color w:val="000000"/>
          <w:sz w:val="28"/>
          <w:szCs w:val="28"/>
          <w:lang w:val="en-US" w:eastAsia="zh-CN"/>
        </w:rPr>
      </w:pPr>
    </w:p>
    <w:p w14:paraId="174A1749">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 xml:space="preserve">甲  方（盖章） ：                  乙  方（盖章） ：                                              </w:t>
      </w:r>
    </w:p>
    <w:p w14:paraId="76B5D4FA">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法定代表人或委托代理人：           法定代表人或委托代理人：</w:t>
      </w:r>
    </w:p>
    <w:p w14:paraId="2760DB88">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 xml:space="preserve">  </w:t>
      </w:r>
    </w:p>
    <w:p w14:paraId="6184B0AA">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年    月    日</w:t>
      </w:r>
      <w:r>
        <w:rPr>
          <w:rFonts w:hint="eastAsia" w:ascii="宋体" w:hAnsi="宋体" w:eastAsia="宋体" w:cs="Times New Roman"/>
          <w:color w:val="000000"/>
          <w:sz w:val="28"/>
          <w:szCs w:val="28"/>
          <w:lang w:val="en-US" w:eastAsia="zh-CN"/>
        </w:rPr>
        <w:tab/>
      </w:r>
      <w:r>
        <w:rPr>
          <w:rFonts w:hint="eastAsia" w:ascii="宋体" w:hAnsi="宋体" w:eastAsia="宋体" w:cs="Times New Roman"/>
          <w:color w:val="000000"/>
          <w:sz w:val="28"/>
          <w:szCs w:val="28"/>
          <w:lang w:val="en-US" w:eastAsia="zh-CN"/>
        </w:rPr>
        <w:t xml:space="preserve">             签订地点：中国·亳州</w:t>
      </w:r>
    </w:p>
    <w:p w14:paraId="4DF0F737">
      <w:pPr>
        <w:spacing w:line="520" w:lineRule="exact"/>
        <w:ind w:firstLine="560" w:firstLineChars="200"/>
        <w:rPr>
          <w:rFonts w:hint="eastAsia" w:ascii="宋体" w:hAnsi="宋体" w:eastAsia="宋体" w:cs="Times New Roman"/>
          <w:color w:val="000000"/>
          <w:sz w:val="28"/>
          <w:szCs w:val="28"/>
          <w:lang w:val="en-US" w:eastAsia="zh-CN"/>
        </w:rPr>
      </w:pPr>
    </w:p>
    <w:p w14:paraId="7D814EFE">
      <w:pPr>
        <w:spacing w:line="520" w:lineRule="exact"/>
        <w:ind w:firstLine="560" w:firstLineChars="200"/>
        <w:rPr>
          <w:rFonts w:hint="eastAsia" w:ascii="宋体" w:hAnsi="宋体" w:eastAsia="宋体" w:cs="Times New Roman"/>
          <w:color w:val="000000"/>
          <w:sz w:val="28"/>
          <w:szCs w:val="28"/>
          <w:lang w:val="en-US" w:eastAsia="zh-CN"/>
        </w:rPr>
      </w:pPr>
    </w:p>
    <w:p w14:paraId="0FF4E562">
      <w:pPr>
        <w:spacing w:line="520" w:lineRule="exact"/>
        <w:ind w:firstLine="560" w:firstLineChars="200"/>
        <w:rPr>
          <w:rFonts w:hint="eastAsia" w:ascii="宋体" w:hAnsi="宋体" w:eastAsia="宋体" w:cs="Times New Roman"/>
          <w:color w:val="000000"/>
          <w:sz w:val="28"/>
          <w:szCs w:val="28"/>
          <w:lang w:val="en-US" w:eastAsia="zh-CN"/>
        </w:rPr>
      </w:pPr>
    </w:p>
    <w:p w14:paraId="3ECB71BB">
      <w:pPr>
        <w:spacing w:line="520" w:lineRule="exact"/>
        <w:ind w:firstLine="560" w:firstLineChars="200"/>
        <w:rPr>
          <w:rFonts w:hint="eastAsia" w:ascii="宋体" w:hAnsi="宋体" w:eastAsia="宋体" w:cs="Times New Roman"/>
          <w:color w:val="000000"/>
          <w:sz w:val="28"/>
          <w:szCs w:val="28"/>
          <w:lang w:val="en-US" w:eastAsia="zh-CN"/>
        </w:rPr>
      </w:pPr>
    </w:p>
    <w:p w14:paraId="0C71130C">
      <w:pPr>
        <w:spacing w:line="520" w:lineRule="exact"/>
        <w:ind w:firstLine="560" w:firstLineChars="200"/>
        <w:rPr>
          <w:rFonts w:hint="eastAsia" w:ascii="宋体" w:hAnsi="宋体" w:eastAsia="宋体" w:cs="Times New Roman"/>
          <w:color w:val="000000"/>
          <w:sz w:val="28"/>
          <w:szCs w:val="28"/>
          <w:lang w:val="en-US" w:eastAsia="zh-CN"/>
        </w:rPr>
      </w:pPr>
    </w:p>
    <w:p w14:paraId="5A002FFD">
      <w:pPr>
        <w:spacing w:line="520" w:lineRule="exact"/>
        <w:ind w:firstLine="560" w:firstLineChars="200"/>
        <w:rPr>
          <w:rFonts w:hint="eastAsia" w:ascii="宋体" w:hAnsi="宋体" w:eastAsia="宋体" w:cs="Times New Roman"/>
          <w:color w:val="000000"/>
          <w:sz w:val="28"/>
          <w:szCs w:val="28"/>
          <w:lang w:val="en-US" w:eastAsia="zh-CN"/>
        </w:rPr>
      </w:pPr>
    </w:p>
    <w:p w14:paraId="552045D2">
      <w:pPr>
        <w:spacing w:line="520" w:lineRule="exact"/>
        <w:ind w:firstLine="560" w:firstLineChars="200"/>
        <w:rPr>
          <w:rFonts w:hint="eastAsia" w:ascii="宋体" w:hAnsi="宋体" w:eastAsia="宋体" w:cs="Times New Roman"/>
          <w:color w:val="000000"/>
          <w:sz w:val="28"/>
          <w:szCs w:val="28"/>
          <w:lang w:val="en-US" w:eastAsia="zh-CN"/>
        </w:rPr>
      </w:pPr>
    </w:p>
    <w:p w14:paraId="1652229D">
      <w:pPr>
        <w:spacing w:line="520" w:lineRule="exact"/>
        <w:ind w:firstLine="560" w:firstLineChars="200"/>
        <w:rPr>
          <w:rFonts w:hint="eastAsia" w:ascii="宋体" w:hAnsi="宋体" w:eastAsia="宋体" w:cs="Times New Roman"/>
          <w:color w:val="000000"/>
          <w:sz w:val="28"/>
          <w:szCs w:val="28"/>
          <w:lang w:val="en-US" w:eastAsia="zh-CN"/>
        </w:rPr>
      </w:pPr>
    </w:p>
    <w:p w14:paraId="6D47E2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 xml:space="preserve">第五章 </w:t>
      </w:r>
      <w:bookmarkEnd w:id="249"/>
      <w:bookmarkEnd w:id="250"/>
      <w:bookmarkEnd w:id="251"/>
      <w:bookmarkEnd w:id="252"/>
      <w:bookmarkEnd w:id="253"/>
      <w:bookmarkEnd w:id="254"/>
      <w:bookmarkEnd w:id="255"/>
      <w:bookmarkEnd w:id="256"/>
      <w:r>
        <w:rPr>
          <w:rFonts w:hint="eastAsia" w:ascii="Times New Roman" w:hAnsi="Times New Roman" w:cs="Times New Roman" w:eastAsiaTheme="majorEastAsia"/>
          <w:b/>
          <w:bCs/>
          <w:sz w:val="32"/>
          <w:szCs w:val="32"/>
          <w:highlight w:val="none"/>
          <w:lang w:val="en-US" w:eastAsia="zh-CN"/>
        </w:rPr>
        <w:t>发包人要求</w:t>
      </w:r>
    </w:p>
    <w:p w14:paraId="0E3AFA02">
      <w:pPr>
        <w:spacing w:line="520" w:lineRule="exact"/>
        <w:ind w:firstLine="560" w:firstLineChars="200"/>
        <w:rPr>
          <w:rFonts w:hint="eastAsia" w:ascii="宋体" w:hAnsi="宋体" w:eastAsia="宋体" w:cs="Times New Roman"/>
          <w:color w:val="000000"/>
          <w:sz w:val="28"/>
          <w:szCs w:val="28"/>
          <w:lang w:val="en-US" w:eastAsia="zh-CN"/>
        </w:rPr>
      </w:pPr>
    </w:p>
    <w:p w14:paraId="50F6A6A2">
      <w:pPr>
        <w:spacing w:line="520" w:lineRule="exact"/>
        <w:ind w:firstLine="560" w:firstLineChars="200"/>
        <w:rPr>
          <w:rFonts w:hint="eastAsia" w:ascii="宋体" w:hAnsi="宋体" w:eastAsia="宋体" w:cs="Times New Roman"/>
          <w:color w:val="000000"/>
          <w:sz w:val="28"/>
          <w:szCs w:val="28"/>
          <w:lang w:val="en-US" w:eastAsia="zh-CN"/>
        </w:rPr>
      </w:pPr>
      <w:permStart w:id="105" w:edGrp="everyone"/>
      <w:r>
        <w:rPr>
          <w:rFonts w:hint="eastAsia" w:ascii="宋体" w:hAnsi="宋体" w:eastAsia="宋体" w:cs="Times New Roman"/>
          <w:color w:val="000000"/>
          <w:sz w:val="28"/>
          <w:szCs w:val="28"/>
          <w:lang w:val="en-US" w:eastAsia="zh-CN"/>
        </w:rPr>
        <w:t>发包人要求包括但不限于以下内容：</w:t>
      </w:r>
    </w:p>
    <w:p w14:paraId="2B124A09">
      <w:pPr>
        <w:spacing w:line="520" w:lineRule="exact"/>
        <w:ind w:firstLine="560" w:firstLineChars="200"/>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一、服务要求</w:t>
      </w:r>
    </w:p>
    <w:p w14:paraId="582F6D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招标人应当根据项目情况在本章中明确相应的设计要求，一般应包括以下内容：</w:t>
      </w:r>
    </w:p>
    <w:p w14:paraId="2B75BA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1.项目概况：逸合府项目，地块位于亳州市谯城区利辛路与华佗大道交叉口，其中项目占地约202.021亩，容积率不大于2.0。</w:t>
      </w:r>
    </w:p>
    <w:p w14:paraId="7D06F0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2.服务范围及内容：包括但不限于营销策划及销售代理（含营销策划、广告设计、销售代理等）。</w:t>
      </w:r>
    </w:p>
    <w:p w14:paraId="3ECCF7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3.营销策划</w:t>
      </w:r>
    </w:p>
    <w:p w14:paraId="02C57A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bCs/>
          <w:kern w:val="0"/>
          <w:sz w:val="24"/>
          <w:szCs w:val="24"/>
          <w:highlight w:val="none"/>
          <w:lang w:val="en-US" w:eastAsia="zh-CN" w:bidi="ar-SA"/>
        </w:rPr>
        <w:t>（1）</w:t>
      </w:r>
      <w:r>
        <w:rPr>
          <w:rFonts w:hint="eastAsia" w:ascii="Times New Roman" w:hAnsi="Times New Roman" w:cs="Times New Roman" w:eastAsiaTheme="minorEastAsia"/>
          <w:bCs/>
          <w:kern w:val="0"/>
          <w:sz w:val="24"/>
          <w:szCs w:val="24"/>
          <w:highlight w:val="none"/>
          <w:lang w:val="en-US" w:eastAsia="zh-CN" w:bidi="ar-SA"/>
        </w:rPr>
        <w:t>房地产市场现状分析</w:t>
      </w:r>
    </w:p>
    <w:p w14:paraId="7CBE0AD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2</w:t>
      </w:r>
      <w:r>
        <w:rPr>
          <w:rFonts w:hint="eastAsia" w:ascii="Times New Roman" w:hAnsi="Times New Roman" w:cs="Times New Roman" w:eastAsiaTheme="minorEastAsia"/>
          <w:bCs/>
          <w:kern w:val="0"/>
          <w:sz w:val="24"/>
          <w:szCs w:val="24"/>
          <w:highlight w:val="none"/>
          <w:lang w:val="en-US" w:eastAsia="zh-CN" w:bidi="ar-SA"/>
        </w:rPr>
        <w:t>）同类项目竞争优劣势分析</w:t>
      </w:r>
    </w:p>
    <w:p w14:paraId="0AEF6A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3</w:t>
      </w:r>
      <w:r>
        <w:rPr>
          <w:rFonts w:hint="eastAsia" w:ascii="Times New Roman" w:hAnsi="Times New Roman" w:cs="Times New Roman" w:eastAsiaTheme="minorEastAsia"/>
          <w:bCs/>
          <w:kern w:val="0"/>
          <w:sz w:val="24"/>
          <w:szCs w:val="24"/>
          <w:highlight w:val="none"/>
          <w:lang w:val="en-US" w:eastAsia="zh-CN" w:bidi="ar-SA"/>
        </w:rPr>
        <w:t>）项目所在地块的优劣势、机会点与威胁点分析</w:t>
      </w:r>
    </w:p>
    <w:p w14:paraId="0FA495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4</w:t>
      </w:r>
      <w:r>
        <w:rPr>
          <w:rFonts w:hint="eastAsia" w:ascii="Times New Roman" w:hAnsi="Times New Roman" w:cs="Times New Roman" w:eastAsiaTheme="minorEastAsia"/>
          <w:bCs/>
          <w:kern w:val="0"/>
          <w:sz w:val="24"/>
          <w:szCs w:val="24"/>
          <w:highlight w:val="none"/>
          <w:lang w:val="en-US" w:eastAsia="zh-CN" w:bidi="ar-SA"/>
        </w:rPr>
        <w:t>）目标客户定位、项目形象定位</w:t>
      </w:r>
    </w:p>
    <w:p w14:paraId="3FFC8A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5</w:t>
      </w:r>
      <w:r>
        <w:rPr>
          <w:rFonts w:hint="eastAsia" w:ascii="Times New Roman" w:hAnsi="Times New Roman" w:cs="Times New Roman" w:eastAsiaTheme="minorEastAsia"/>
          <w:bCs/>
          <w:kern w:val="0"/>
          <w:sz w:val="24"/>
          <w:szCs w:val="24"/>
          <w:highlight w:val="none"/>
          <w:lang w:val="en-US" w:eastAsia="zh-CN" w:bidi="ar-SA"/>
        </w:rPr>
        <w:t>）项目营销总体策略</w:t>
      </w:r>
    </w:p>
    <w:p w14:paraId="62A3BE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6</w:t>
      </w:r>
      <w:r>
        <w:rPr>
          <w:rFonts w:hint="eastAsia" w:ascii="Times New Roman" w:hAnsi="Times New Roman" w:cs="Times New Roman" w:eastAsiaTheme="minorEastAsia"/>
          <w:bCs/>
          <w:kern w:val="0"/>
          <w:sz w:val="24"/>
          <w:szCs w:val="24"/>
          <w:highlight w:val="none"/>
          <w:lang w:val="en-US" w:eastAsia="zh-CN" w:bidi="ar-SA"/>
        </w:rPr>
        <w:t>）项目阶段性营销计划</w:t>
      </w:r>
    </w:p>
    <w:p w14:paraId="3F3B4F9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7</w:t>
      </w:r>
      <w:r>
        <w:rPr>
          <w:rFonts w:hint="eastAsia" w:ascii="Times New Roman" w:hAnsi="Times New Roman" w:cs="Times New Roman" w:eastAsiaTheme="minorEastAsia"/>
          <w:bCs/>
          <w:kern w:val="0"/>
          <w:sz w:val="24"/>
          <w:szCs w:val="24"/>
          <w:highlight w:val="none"/>
          <w:lang w:val="en-US" w:eastAsia="zh-CN" w:bidi="ar-SA"/>
        </w:rPr>
        <w:t>）入市时机选择</w:t>
      </w:r>
    </w:p>
    <w:p w14:paraId="6BEDE6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8</w:t>
      </w:r>
      <w:r>
        <w:rPr>
          <w:rFonts w:hint="eastAsia" w:ascii="Times New Roman" w:hAnsi="Times New Roman" w:cs="Times New Roman" w:eastAsiaTheme="minorEastAsia"/>
          <w:bCs/>
          <w:kern w:val="0"/>
          <w:sz w:val="24"/>
          <w:szCs w:val="24"/>
          <w:highlight w:val="none"/>
          <w:lang w:val="en-US" w:eastAsia="zh-CN" w:bidi="ar-SA"/>
        </w:rPr>
        <w:t>）销售分期控制</w:t>
      </w:r>
    </w:p>
    <w:p w14:paraId="6A3926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9</w:t>
      </w:r>
      <w:r>
        <w:rPr>
          <w:rFonts w:hint="eastAsia" w:ascii="Times New Roman" w:hAnsi="Times New Roman" w:cs="Times New Roman" w:eastAsiaTheme="minorEastAsia"/>
          <w:bCs/>
          <w:kern w:val="0"/>
          <w:sz w:val="24"/>
          <w:szCs w:val="24"/>
          <w:highlight w:val="none"/>
          <w:lang w:val="en-US" w:eastAsia="zh-CN" w:bidi="ar-SA"/>
        </w:rPr>
        <w:t>）价格定位及策略</w:t>
      </w:r>
    </w:p>
    <w:p w14:paraId="330679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bCs/>
          <w:kern w:val="0"/>
          <w:sz w:val="24"/>
          <w:szCs w:val="24"/>
          <w:highlight w:val="none"/>
          <w:lang w:val="en-US" w:eastAsia="zh-CN" w:bidi="ar-SA"/>
        </w:rPr>
        <w:t>4.</w:t>
      </w:r>
      <w:r>
        <w:rPr>
          <w:rFonts w:hint="eastAsia" w:ascii="Times New Roman" w:hAnsi="Times New Roman" w:cs="Times New Roman" w:eastAsiaTheme="minorEastAsia"/>
          <w:bCs/>
          <w:kern w:val="0"/>
          <w:sz w:val="24"/>
          <w:szCs w:val="24"/>
          <w:highlight w:val="none"/>
          <w:lang w:val="en-US" w:eastAsia="zh-CN" w:bidi="ar-SA"/>
        </w:rPr>
        <w:t>广告策划</w:t>
      </w:r>
    </w:p>
    <w:p w14:paraId="487B20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（1）项目推广主题</w:t>
      </w:r>
    </w:p>
    <w:p w14:paraId="33AB61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2</w:t>
      </w:r>
      <w:r>
        <w:rPr>
          <w:rFonts w:hint="eastAsia" w:ascii="Times New Roman" w:hAnsi="Times New Roman" w:cs="Times New Roman" w:eastAsiaTheme="minorEastAsia"/>
          <w:bCs/>
          <w:kern w:val="0"/>
          <w:sz w:val="24"/>
          <w:szCs w:val="24"/>
          <w:highlight w:val="none"/>
          <w:lang w:val="en-US" w:eastAsia="zh-CN" w:bidi="ar-SA"/>
        </w:rPr>
        <w:t>）项目卖点整合包装</w:t>
      </w:r>
    </w:p>
    <w:p w14:paraId="0574C9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3</w:t>
      </w:r>
      <w:r>
        <w:rPr>
          <w:rFonts w:hint="eastAsia" w:ascii="Times New Roman" w:hAnsi="Times New Roman" w:cs="Times New Roman" w:eastAsiaTheme="minorEastAsia"/>
          <w:bCs/>
          <w:kern w:val="0"/>
          <w:sz w:val="24"/>
          <w:szCs w:val="24"/>
          <w:highlight w:val="none"/>
          <w:lang w:val="en-US" w:eastAsia="zh-CN" w:bidi="ar-SA"/>
        </w:rPr>
        <w:t>）整体广告计划（包含但不限于下列内容）推广策略建议：媒介策略、推广费用计划、公关活动及现场包装建议针对项目开发进度，进行电视、互联网等媒介广告、户外广告、新闻发布会、开盘等活动</w:t>
      </w:r>
    </w:p>
    <w:p w14:paraId="4ACB31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4</w:t>
      </w:r>
      <w:r>
        <w:rPr>
          <w:rFonts w:hint="eastAsia" w:ascii="Times New Roman" w:hAnsi="Times New Roman" w:cs="Times New Roman" w:eastAsiaTheme="minorEastAsia"/>
          <w:bCs/>
          <w:kern w:val="0"/>
          <w:sz w:val="24"/>
          <w:szCs w:val="24"/>
          <w:highlight w:val="none"/>
          <w:lang w:val="en-US" w:eastAsia="zh-CN" w:bidi="ar-SA"/>
        </w:rPr>
        <w:t>）广告预算及媒体组合</w:t>
      </w:r>
    </w:p>
    <w:p w14:paraId="52FA9CD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5</w:t>
      </w:r>
      <w:r>
        <w:rPr>
          <w:rFonts w:hint="eastAsia" w:ascii="Times New Roman" w:hAnsi="Times New Roman" w:cs="Times New Roman" w:eastAsiaTheme="minorEastAsia"/>
          <w:bCs/>
          <w:kern w:val="0"/>
          <w:sz w:val="24"/>
          <w:szCs w:val="24"/>
          <w:highlight w:val="none"/>
          <w:lang w:val="en-US" w:eastAsia="zh-CN" w:bidi="ar-SA"/>
        </w:rPr>
        <w:t>）项目形象策划A.项目基本形象设计——项目VI系统及应用包装设计；B.项目标志形象应用设计——内部应用（名片、信封、信签、识别卡、文件袋、贺卡、水杯、手提袋等）、销售中心（售楼处及外卖场、展示中心整体风格及布局建议；售楼处展板、LOGO墙、吊旗等设计）、户外应用（建筑物、围墙、道旗、引导路牌等工地现场包装设计；示范区、景观区、样板间等导视系统包装设计；看房车包装设计；户外广告牌、道旗、公交车体等户外广告平面稿件创意、设计等）。</w:t>
      </w:r>
    </w:p>
    <w:p w14:paraId="0CE0FE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6</w:t>
      </w:r>
      <w:r>
        <w:rPr>
          <w:rFonts w:hint="eastAsia" w:ascii="Times New Roman" w:hAnsi="Times New Roman" w:cs="Times New Roman" w:eastAsiaTheme="minorEastAsia"/>
          <w:bCs/>
          <w:kern w:val="0"/>
          <w:sz w:val="24"/>
          <w:szCs w:val="24"/>
          <w:highlight w:val="none"/>
          <w:lang w:val="en-US" w:eastAsia="zh-CN" w:bidi="ar-SA"/>
        </w:rPr>
        <w:t>）传播工具的创意与设计：楼书创作（创意、文案、设计）、折页及海报创作（创意、文案、设计）、报广创作（创意、文案、设计）、广播、电视稿文案等。</w:t>
      </w:r>
    </w:p>
    <w:p w14:paraId="7DE84E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bCs/>
          <w:kern w:val="0"/>
          <w:sz w:val="24"/>
          <w:szCs w:val="24"/>
          <w:highlight w:val="none"/>
          <w:lang w:val="en-US" w:eastAsia="zh-CN" w:bidi="ar-SA"/>
        </w:rPr>
        <w:t>5.</w:t>
      </w:r>
      <w:r>
        <w:rPr>
          <w:rFonts w:hint="eastAsia" w:ascii="Times New Roman" w:hAnsi="Times New Roman" w:cs="Times New Roman" w:eastAsiaTheme="minorEastAsia"/>
          <w:bCs/>
          <w:kern w:val="0"/>
          <w:sz w:val="24"/>
          <w:szCs w:val="24"/>
          <w:highlight w:val="none"/>
          <w:lang w:val="en-US" w:eastAsia="zh-CN" w:bidi="ar-SA"/>
        </w:rPr>
        <w:t>项目销售代理执行</w:t>
      </w:r>
    </w:p>
    <w:p w14:paraId="73A838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（1）建立销售队伍，依据合同授权的范围执行销售行为。</w:t>
      </w:r>
    </w:p>
    <w:p w14:paraId="71184D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2</w:t>
      </w:r>
      <w:r>
        <w:rPr>
          <w:rFonts w:hint="eastAsia" w:ascii="Times New Roman" w:hAnsi="Times New Roman" w:cs="Times New Roman" w:eastAsiaTheme="minorEastAsia"/>
          <w:bCs/>
          <w:kern w:val="0"/>
          <w:sz w:val="24"/>
          <w:szCs w:val="24"/>
          <w:highlight w:val="none"/>
          <w:lang w:val="en-US" w:eastAsia="zh-CN" w:bidi="ar-SA"/>
        </w:rPr>
        <w:t>）制定销售文件及管理文件；</w:t>
      </w:r>
    </w:p>
    <w:p w14:paraId="0BE4BA0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3</w:t>
      </w:r>
      <w:r>
        <w:rPr>
          <w:rFonts w:hint="eastAsia" w:ascii="Times New Roman" w:hAnsi="Times New Roman" w:cs="Times New Roman" w:eastAsiaTheme="minorEastAsia"/>
          <w:bCs/>
          <w:kern w:val="0"/>
          <w:sz w:val="24"/>
          <w:szCs w:val="24"/>
          <w:highlight w:val="none"/>
          <w:lang w:val="en-US" w:eastAsia="zh-CN" w:bidi="ar-SA"/>
        </w:rPr>
        <w:t>）销售道具使用；</w:t>
      </w:r>
    </w:p>
    <w:p w14:paraId="4346C5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4</w:t>
      </w:r>
      <w:r>
        <w:rPr>
          <w:rFonts w:hint="eastAsia" w:ascii="Times New Roman" w:hAnsi="Times New Roman" w:cs="Times New Roman" w:eastAsiaTheme="minorEastAsia"/>
          <w:bCs/>
          <w:kern w:val="0"/>
          <w:sz w:val="24"/>
          <w:szCs w:val="24"/>
          <w:highlight w:val="none"/>
          <w:lang w:val="en-US" w:eastAsia="zh-CN" w:bidi="ar-SA"/>
        </w:rPr>
        <w:t>）销售人员培训、管理；</w:t>
      </w:r>
    </w:p>
    <w:p w14:paraId="438698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5</w:t>
      </w:r>
      <w:r>
        <w:rPr>
          <w:rFonts w:hint="eastAsia" w:ascii="Times New Roman" w:hAnsi="Times New Roman" w:cs="Times New Roman" w:eastAsiaTheme="minorEastAsia"/>
          <w:bCs/>
          <w:kern w:val="0"/>
          <w:sz w:val="24"/>
          <w:szCs w:val="24"/>
          <w:highlight w:val="none"/>
          <w:lang w:val="en-US" w:eastAsia="zh-CN" w:bidi="ar-SA"/>
        </w:rPr>
        <w:t>）客户资源库的建立；</w:t>
      </w:r>
    </w:p>
    <w:p w14:paraId="504D2FBF">
      <w:pPr>
        <w:keepNext w:val="0"/>
        <w:keepLines w:val="0"/>
        <w:pageBreakBefore w:val="0"/>
        <w:widowControl w:val="0"/>
        <w:kinsoku/>
        <w:wordWrap w:val="0"/>
        <w:overflowPunct/>
        <w:topLinePunct w:val="0"/>
        <w:autoSpaceDE/>
        <w:autoSpaceDN/>
        <w:bidi w:val="0"/>
        <w:adjustRightInd/>
        <w:snapToGrid/>
        <w:spacing w:line="440" w:lineRule="exact"/>
        <w:ind w:left="479" w:leftChars="228" w:firstLine="0" w:firstLineChars="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w:t>
      </w:r>
      <w:r>
        <w:rPr>
          <w:rFonts w:hint="eastAsia" w:ascii="Times New Roman" w:hAnsi="Times New Roman" w:cs="Times New Roman"/>
          <w:bCs/>
          <w:kern w:val="0"/>
          <w:sz w:val="24"/>
          <w:szCs w:val="24"/>
          <w:highlight w:val="none"/>
          <w:lang w:val="en-US" w:eastAsia="zh-CN" w:bidi="ar-SA"/>
        </w:rPr>
        <w:t>6</w:t>
      </w:r>
      <w:r>
        <w:rPr>
          <w:rFonts w:hint="eastAsia" w:ascii="Times New Roman" w:hAnsi="Times New Roman" w:cs="Times New Roman" w:eastAsiaTheme="minorEastAsia"/>
          <w:bCs/>
          <w:kern w:val="0"/>
          <w:sz w:val="24"/>
          <w:szCs w:val="24"/>
          <w:highlight w:val="none"/>
          <w:lang w:val="en-US" w:eastAsia="zh-CN" w:bidi="ar-SA"/>
        </w:rPr>
        <w:t>）销售价格定位及策略，销售付款方式的拟定（经招标人审定认可）； （7）项目销售节点控制、制定销控计划；</w:t>
      </w:r>
    </w:p>
    <w:p w14:paraId="6DA777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（8）客户接待、咨询、洽谈、成交、协助签约、跟进客户付款、协助办理入伙等销售组织及案场、展销会具体实施工作。</w:t>
      </w:r>
    </w:p>
    <w:p w14:paraId="1EF360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（9）开盘方案制定及开盘活动组织；</w:t>
      </w:r>
    </w:p>
    <w:p w14:paraId="4C77E3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（10）建立健全销售执行的内外部协调程序；</w:t>
      </w:r>
    </w:p>
    <w:p w14:paraId="642522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（11）建立售后服务机制；</w:t>
      </w:r>
    </w:p>
    <w:p w14:paraId="6519B3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（12）定期报送各项统计报表及分析报告，书面汇报实际销售情况，提交详细销售报表、客户统计分析、策划及销售工作分析报告等）；</w:t>
      </w:r>
    </w:p>
    <w:p w14:paraId="3E15A2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（13）销售回款；</w:t>
      </w:r>
    </w:p>
    <w:p w14:paraId="1133F8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（14）与销售相关的其他工作。</w:t>
      </w:r>
    </w:p>
    <w:p w14:paraId="5F920ECB">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二、成果要求</w:t>
      </w:r>
    </w:p>
    <w:p w14:paraId="12F126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发包人的成果要求</w:t>
      </w:r>
      <w:r>
        <w:rPr>
          <w:rFonts w:hint="eastAsia" w:ascii="Times New Roman" w:hAnsi="Times New Roman" w:cs="Times New Roman"/>
          <w:bCs/>
          <w:kern w:val="0"/>
          <w:sz w:val="24"/>
          <w:szCs w:val="24"/>
          <w:highlight w:val="none"/>
          <w:lang w:val="en-US" w:eastAsia="zh-CN" w:bidi="ar-SA"/>
        </w:rPr>
        <w:t>：</w:t>
      </w:r>
    </w:p>
    <w:p w14:paraId="559252A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1.成果文件的组成：前期策划方案、营销策划方案、广告策划方案、各类活动，需经甲方审核批准。</w:t>
      </w:r>
    </w:p>
    <w:p w14:paraId="197BB1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2.成果文件的深度：匹配市场行情，满足业主需要。</w:t>
      </w:r>
    </w:p>
    <w:p w14:paraId="3B8BBD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3.成果文件的份数要求：纸质3份，电子版1份。</w:t>
      </w:r>
    </w:p>
    <w:p w14:paraId="3B94A5F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4.成果文件的载体要求</w:t>
      </w:r>
    </w:p>
    <w:p w14:paraId="5084F2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（1）纸质版的要求：胶装成册营销策划相关方案</w:t>
      </w:r>
    </w:p>
    <w:p w14:paraId="0562E5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（2）电子版的要求：U盘</w:t>
      </w:r>
    </w:p>
    <w:p w14:paraId="16D64E84">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三．其他要求：</w:t>
      </w:r>
    </w:p>
    <w:p w14:paraId="015ABA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bCs/>
          <w:kern w:val="0"/>
          <w:sz w:val="24"/>
          <w:szCs w:val="24"/>
          <w:highlight w:val="none"/>
          <w:lang w:val="en-US" w:eastAsia="zh-CN" w:bidi="ar-SA"/>
        </w:rPr>
      </w:pPr>
      <w:r>
        <w:rPr>
          <w:rFonts w:hint="eastAsia" w:ascii="Times New Roman" w:hAnsi="Times New Roman" w:cs="Times New Roman" w:eastAsiaTheme="minorEastAsia"/>
          <w:bCs/>
          <w:kern w:val="0"/>
          <w:sz w:val="24"/>
          <w:szCs w:val="24"/>
          <w:highlight w:val="none"/>
          <w:lang w:val="en-US" w:eastAsia="zh-CN" w:bidi="ar-SA"/>
        </w:rPr>
        <w:t>1.</w:t>
      </w:r>
      <w:r>
        <w:rPr>
          <w:rFonts w:hint="eastAsia" w:ascii="Times New Roman" w:hAnsi="Times New Roman" w:cs="Times New Roman"/>
          <w:bCs/>
          <w:kern w:val="0"/>
          <w:sz w:val="24"/>
          <w:szCs w:val="24"/>
          <w:highlight w:val="none"/>
          <w:lang w:val="en-US" w:eastAsia="zh-CN" w:bidi="ar-SA"/>
        </w:rPr>
        <w:t>投标人</w:t>
      </w:r>
      <w:r>
        <w:rPr>
          <w:rFonts w:hint="eastAsia" w:ascii="Times New Roman" w:hAnsi="Times New Roman" w:cs="Times New Roman" w:eastAsiaTheme="minorEastAsia"/>
          <w:bCs/>
          <w:kern w:val="0"/>
          <w:sz w:val="24"/>
          <w:szCs w:val="24"/>
          <w:highlight w:val="none"/>
          <w:lang w:val="en-US" w:eastAsia="zh-CN" w:bidi="ar-SA"/>
        </w:rPr>
        <w:t>必须满足本地化服务要求，成交后须成立项目策划咨询服务小组，须有满足服务要求的配置人员及驻场人员：</w:t>
      </w:r>
    </w:p>
    <w:p w14:paraId="5AACB1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eastAsiaTheme="minorEastAsia"/>
          <w:bCs/>
          <w:kern w:val="0"/>
          <w:sz w:val="24"/>
          <w:szCs w:val="24"/>
          <w:highlight w:val="none"/>
          <w:lang w:val="en-US" w:eastAsia="zh-CN" w:bidi="ar-SA"/>
        </w:rPr>
        <w:t>2.服务期间，中标人派驻的服务团队全部人员必须遵守招标人的管理要求，否则招标人有权要求中标人予以更换，直至符合招标人要求，否则招标人将不予退还中标人的履约保证金，并有权解除合同，由此造成的一切损失，由中标人自行承担。</w:t>
      </w:r>
    </w:p>
    <w:permEnd w:id="105"/>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15CDD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305" w:name="_Toc247527827"/>
      <w:bookmarkStart w:id="306" w:name="_Toc144974856"/>
      <w:bookmarkStart w:id="307" w:name="_Toc247514246"/>
      <w:bookmarkStart w:id="308" w:name="_Toc300835209"/>
      <w:bookmarkStart w:id="309" w:name="_Toc152042576"/>
      <w:bookmarkStart w:id="310" w:name="_Toc152045787"/>
      <w:r>
        <w:rPr>
          <w:rFonts w:hint="default" w:ascii="Times New Roman" w:hAnsi="Times New Roman" w:cs="Times New Roman"/>
        </w:rPr>
        <w:t>目    录</w:t>
      </w:r>
      <w:bookmarkEnd w:id="305"/>
      <w:bookmarkEnd w:id="306"/>
      <w:bookmarkEnd w:id="307"/>
      <w:bookmarkEnd w:id="308"/>
      <w:bookmarkEnd w:id="309"/>
      <w:bookmarkEnd w:id="310"/>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r>
              <w:rPr>
                <w:rFonts w:hint="eastAsia" w:ascii="Times New Roman" w:hAnsi="Times New Roman" w:cs="Times New Roman"/>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二</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四</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vertAlign w:val="baseline"/>
              </w:rPr>
            </w:pPr>
          </w:p>
        </w:tc>
      </w:tr>
    </w:tbl>
    <w:p w14:paraId="0967BDB5">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311" w:name="_Toc300835210"/>
      <w:bookmarkStart w:id="312" w:name="_Toc152042577"/>
      <w:bookmarkStart w:id="313" w:name="_Toc247514247"/>
      <w:bookmarkStart w:id="314" w:name="_Toc247527828"/>
      <w:bookmarkStart w:id="315" w:name="_Toc152045788"/>
      <w:bookmarkStart w:id="316" w:name="_Toc144974857"/>
      <w:r>
        <w:rPr>
          <w:rFonts w:hint="default" w:ascii="Times New Roman" w:hAnsi="Times New Roman" w:cs="Times New Roman"/>
        </w:rPr>
        <w:t>一、投标函及投标函附录</w:t>
      </w:r>
      <w:bookmarkEnd w:id="311"/>
      <w:bookmarkEnd w:id="312"/>
      <w:bookmarkEnd w:id="313"/>
      <w:bookmarkEnd w:id="314"/>
      <w:bookmarkEnd w:id="315"/>
      <w:bookmarkEnd w:id="316"/>
    </w:p>
    <w:p w14:paraId="4D2C35A7">
      <w:pPr>
        <w:spacing w:line="440" w:lineRule="exact"/>
        <w:rPr>
          <w:rFonts w:hint="default" w:ascii="Times New Roman" w:hAnsi="Times New Roman" w:cs="Times New Roman" w:eastAsiaTheme="minorEastAsia"/>
          <w:sz w:val="20"/>
          <w:szCs w:val="20"/>
          <w:lang w:val="en-US" w:eastAsia="zh-CN"/>
        </w:rPr>
      </w:pPr>
      <w:bookmarkStart w:id="317" w:name="_Toc247527830"/>
      <w:bookmarkStart w:id="318" w:name="_Toc247514249"/>
      <w:bookmarkStart w:id="319" w:name="_Toc300835212"/>
      <w:bookmarkStart w:id="320" w:name="_Toc152045790"/>
      <w:bookmarkStart w:id="321" w:name="_Toc144974859"/>
      <w:bookmarkStart w:id="322" w:name="_Toc15204257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5507282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招标项目招标文件的全部内容，自访/自拓愿意以</w:t>
      </w:r>
      <w:permStart w:id="106"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每套（¥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元/套）（其中，增值税税率为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），分销及渠道带访愿意以人民币（大写）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每套（¥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元/套）的投标单价报价（其中，增值税税率为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106"/>
      <w:r>
        <w:rPr>
          <w:rFonts w:hint="eastAsia" w:ascii="Times New Roman" w:hAnsi="Times New Roman" w:cs="Times New Roman"/>
          <w:szCs w:val="21"/>
          <w:lang w:val="en-US" w:eastAsia="zh-CN"/>
        </w:rPr>
        <w:t>（以上报价商业与住宅同等标准），服务期限：</w:t>
      </w:r>
      <w:permStart w:id="107" w:edGrp="everyone"/>
      <w:r>
        <w:rPr>
          <w:rFonts w:hint="eastAsia" w:ascii="Times New Roman" w:hAnsi="Times New Roman" w:cs="Times New Roman"/>
          <w:szCs w:val="21"/>
          <w:lang w:val="en-US" w:eastAsia="zh-CN"/>
        </w:rPr>
        <w:t xml:space="preserve"> 自合同签订之日起6个月</w:t>
      </w:r>
      <w:permEnd w:id="107"/>
      <w:r>
        <w:rPr>
          <w:rFonts w:hint="eastAsia" w:ascii="Times New Roman" w:hAnsi="Times New Roman" w:cs="Times New Roman"/>
          <w:szCs w:val="21"/>
          <w:lang w:val="en-US" w:eastAsia="zh-CN"/>
        </w:rPr>
        <w:t>，按合同约定完成本项全部工作。</w:t>
      </w:r>
    </w:p>
    <w:p w14:paraId="72AC649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437E8CE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（1）投标函及投标函附录；（2）法定代表人身份证明；（2）授权委托书；（3）投标保证金（如有）；（4）服务费用清单；（5）资格审查资料；（6）服务方案；（7）其他资料；.......</w:t>
      </w:r>
    </w:p>
    <w:p w14:paraId="415D171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24EE73C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0B66BE1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365679B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47C34423">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434761F3">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3BC2107">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1DFBB47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6A3E1B4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BDD4CBA">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17"/>
    <w:bookmarkEnd w:id="318"/>
    <w:bookmarkEnd w:id="319"/>
    <w:bookmarkEnd w:id="320"/>
    <w:bookmarkEnd w:id="321"/>
    <w:bookmarkEnd w:id="322"/>
    <w:p w14:paraId="577C2232">
      <w:pPr>
        <w:spacing w:line="240" w:lineRule="auto"/>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br w:type="page"/>
      </w:r>
    </w:p>
    <w:p w14:paraId="56DF1D8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1A43B721">
      <w:pPr>
        <w:spacing w:line="440" w:lineRule="exact"/>
        <w:rPr>
          <w:rFonts w:hint="eastAsia" w:ascii="Times New Roman" w:hAnsi="Times New Roman" w:cs="Times New Roman" w:eastAsiaTheme="minorEastAsia"/>
          <w:sz w:val="20"/>
          <w:szCs w:val="20"/>
          <w:lang w:eastAsia="zh-C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4097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340BE2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355EAB1B">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0B09B75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7BA7F0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482B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C141647">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4E4887D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4BD2775F">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14:paraId="414CEBBA">
            <w:pPr>
              <w:spacing w:line="440" w:lineRule="exact"/>
              <w:jc w:val="center"/>
              <w:rPr>
                <w:rFonts w:hint="eastAsia" w:ascii="Times New Roman" w:hAnsi="Times New Roman" w:cs="Times New Roman" w:eastAsiaTheme="minorEastAsia"/>
                <w:sz w:val="20"/>
                <w:szCs w:val="20"/>
                <w:vertAlign w:val="baseline"/>
                <w:lang w:eastAsia="zh-CN"/>
              </w:rPr>
            </w:pPr>
          </w:p>
        </w:tc>
      </w:tr>
      <w:tr w14:paraId="7536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1D39AF">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20D5BC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56EF80D5">
            <w:pPr>
              <w:wordWrap w:val="0"/>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none"/>
                <w:vertAlign w:val="baseline"/>
                <w:lang w:val="en-US" w:eastAsia="zh-CN"/>
              </w:rPr>
              <w:t>自合同签订之日起       月</w:t>
            </w:r>
          </w:p>
        </w:tc>
        <w:tc>
          <w:tcPr>
            <w:tcW w:w="3702" w:type="dxa"/>
            <w:vAlign w:val="center"/>
          </w:tcPr>
          <w:p w14:paraId="11A814BB">
            <w:pPr>
              <w:spacing w:line="440" w:lineRule="exact"/>
              <w:jc w:val="center"/>
              <w:rPr>
                <w:rFonts w:hint="eastAsia" w:ascii="Times New Roman" w:hAnsi="Times New Roman" w:cs="Times New Roman" w:eastAsiaTheme="minorEastAsia"/>
                <w:sz w:val="20"/>
                <w:szCs w:val="20"/>
                <w:vertAlign w:val="baseline"/>
                <w:lang w:eastAsia="zh-CN"/>
              </w:rPr>
            </w:pPr>
          </w:p>
        </w:tc>
      </w:tr>
      <w:tr w14:paraId="42416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855448">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64E2D5F6">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7393FBC0">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4EDEDEBC">
            <w:pPr>
              <w:spacing w:line="440" w:lineRule="exact"/>
              <w:jc w:val="center"/>
              <w:rPr>
                <w:rFonts w:hint="eastAsia" w:ascii="Times New Roman" w:hAnsi="Times New Roman" w:cs="Times New Roman" w:eastAsiaTheme="minorEastAsia"/>
                <w:sz w:val="20"/>
                <w:szCs w:val="20"/>
                <w:vertAlign w:val="baseline"/>
                <w:lang w:eastAsia="zh-CN"/>
              </w:rPr>
            </w:pPr>
          </w:p>
        </w:tc>
      </w:tr>
      <w:tr w14:paraId="040C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5F4C529">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599C8CA">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4E36276">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B01C43E">
            <w:pPr>
              <w:spacing w:line="440" w:lineRule="exact"/>
              <w:jc w:val="center"/>
              <w:rPr>
                <w:rFonts w:hint="eastAsia" w:ascii="Times New Roman" w:hAnsi="Times New Roman" w:cs="Times New Roman" w:eastAsiaTheme="minorEastAsia"/>
                <w:sz w:val="20"/>
                <w:szCs w:val="20"/>
                <w:vertAlign w:val="baseline"/>
                <w:lang w:eastAsia="zh-CN"/>
              </w:rPr>
            </w:pPr>
          </w:p>
        </w:tc>
      </w:tr>
    </w:tbl>
    <w:p w14:paraId="17CAF583">
      <w:pPr>
        <w:spacing w:line="440" w:lineRule="exact"/>
        <w:rPr>
          <w:rFonts w:hint="eastAsia" w:ascii="Times New Roman" w:hAnsi="Times New Roman" w:cs="Times New Roman" w:eastAsiaTheme="minorEastAsia"/>
          <w:sz w:val="20"/>
          <w:szCs w:val="20"/>
          <w:lang w:eastAsia="zh-CN"/>
        </w:rPr>
      </w:pPr>
    </w:p>
    <w:p w14:paraId="18937AE8">
      <w:pPr>
        <w:spacing w:line="440" w:lineRule="exact"/>
        <w:rPr>
          <w:rFonts w:hint="eastAsia" w:ascii="Times New Roman" w:hAnsi="Times New Roman" w:cs="Times New Roman" w:eastAsiaTheme="minorEastAsia"/>
          <w:sz w:val="20"/>
          <w:szCs w:val="20"/>
          <w:lang w:eastAsia="zh-CN"/>
        </w:rPr>
      </w:pPr>
    </w:p>
    <w:p w14:paraId="3AAE6934">
      <w:pPr>
        <w:spacing w:line="440" w:lineRule="exact"/>
        <w:ind w:firstLine="1470" w:firstLineChars="7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BB62F1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624981F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80A0BC2">
      <w:pPr>
        <w:spacing w:line="440" w:lineRule="exact"/>
        <w:rPr>
          <w:rFonts w:hint="eastAsia" w:ascii="Times New Roman" w:hAnsi="Times New Roman" w:cs="Times New Roman" w:eastAsiaTheme="minorEastAsia"/>
          <w:sz w:val="20"/>
          <w:szCs w:val="20"/>
          <w:lang w:eastAsia="zh-CN"/>
        </w:rPr>
      </w:pPr>
    </w:p>
    <w:p w14:paraId="7B52786F">
      <w:pPr>
        <w:spacing w:line="440" w:lineRule="exact"/>
        <w:rPr>
          <w:rFonts w:hint="default" w:ascii="Times New Roman" w:hAnsi="Times New Roman" w:cs="Times New Roman"/>
          <w:szCs w:val="21"/>
        </w:rPr>
      </w:pPr>
    </w:p>
    <w:p w14:paraId="231BDE03">
      <w:pPr>
        <w:rPr>
          <w:rFonts w:hint="default" w:ascii="Times New Roman" w:hAnsi="Times New Roman" w:cs="Times New Roman"/>
        </w:rPr>
      </w:pPr>
      <w:bookmarkStart w:id="323" w:name="_Toc152045791"/>
      <w:bookmarkStart w:id="324" w:name="_Toc247514283"/>
      <w:bookmarkStart w:id="325" w:name="_Toc247527831"/>
      <w:bookmarkStart w:id="326" w:name="_Toc144974860"/>
      <w:bookmarkStart w:id="327" w:name="_Toc152042580"/>
      <w:bookmarkStart w:id="328" w:name="_Toc300835213"/>
      <w:r>
        <w:rPr>
          <w:rFonts w:hint="default" w:ascii="Times New Roman" w:hAnsi="Times New Roman" w:cs="Times New Roman"/>
        </w:rPr>
        <w:br w:type="page"/>
      </w: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23"/>
      <w:bookmarkEnd w:id="324"/>
      <w:bookmarkEnd w:id="325"/>
      <w:bookmarkEnd w:id="326"/>
      <w:bookmarkEnd w:id="327"/>
      <w:bookmarkEnd w:id="328"/>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jc w:val="center"/>
        <w:rPr>
          <w:rFonts w:hint="default" w:ascii="Times New Roman" w:hAnsi="Times New Roman" w:cs="Times New Roman"/>
        </w:rPr>
      </w:pPr>
      <w:bookmarkStart w:id="329" w:name="_Toc152042581"/>
      <w:bookmarkStart w:id="330" w:name="_Toc300835214"/>
      <w:bookmarkStart w:id="331" w:name="_Toc247527832"/>
      <w:bookmarkStart w:id="332" w:name="_Toc247514284"/>
      <w:bookmarkStart w:id="333" w:name="_Toc144974861"/>
      <w:bookmarkStart w:id="334"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329"/>
      <w:bookmarkEnd w:id="330"/>
      <w:bookmarkEnd w:id="331"/>
      <w:bookmarkEnd w:id="332"/>
      <w:bookmarkEnd w:id="333"/>
      <w:bookmarkEnd w:id="334"/>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证复印件、委托代理人身份证复印件、委托代理人2024年6月起任意3个月及以上养老保险证明。</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FFE9B5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7CD075A">
      <w:pPr>
        <w:pStyle w:val="3"/>
        <w:jc w:val="center"/>
        <w:rPr>
          <w:rFonts w:hint="default" w:ascii="Times New Roman" w:hAnsi="Times New Roman" w:cs="Times New Roman"/>
          <w:highlight w:val="none"/>
        </w:rPr>
      </w:pPr>
      <w:bookmarkStart w:id="335" w:name="_Toc152045794"/>
      <w:bookmarkStart w:id="336" w:name="_Toc300835216"/>
      <w:bookmarkStart w:id="337" w:name="_Toc152042583"/>
      <w:bookmarkStart w:id="338" w:name="_Toc247514286"/>
      <w:bookmarkStart w:id="339" w:name="_Toc144974862"/>
      <w:bookmarkStart w:id="340" w:name="_Toc247527834"/>
      <w:r>
        <w:rPr>
          <w:rFonts w:hint="eastAsia"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335"/>
      <w:bookmarkEnd w:id="336"/>
      <w:bookmarkEnd w:id="337"/>
      <w:bookmarkEnd w:id="338"/>
      <w:bookmarkEnd w:id="339"/>
      <w:bookmarkEnd w:id="340"/>
    </w:p>
    <w:p w14:paraId="6BC6DC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41"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70A222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6953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74A6E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FEE45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3170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60A5C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EE96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C5FF6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52210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74BABB">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6958032">
      <w:pPr>
        <w:spacing w:line="440" w:lineRule="exact"/>
        <w:rPr>
          <w:rFonts w:hint="default" w:ascii="Times New Roman" w:hAnsi="Times New Roman" w:cs="Times New Roman"/>
          <w:b/>
          <w:bCs/>
        </w:rPr>
      </w:pPr>
    </w:p>
    <w:bookmarkEnd w:id="341"/>
    <w:p w14:paraId="4F2CC585">
      <w:pPr>
        <w:rPr>
          <w:rFonts w:hint="default" w:ascii="Times New Roman" w:hAnsi="Times New Roman" w:cs="Times New Roman"/>
        </w:rPr>
      </w:pPr>
      <w:bookmarkStart w:id="342" w:name="_Toc152042584"/>
      <w:bookmarkStart w:id="343" w:name="_Toc300835218"/>
      <w:bookmarkStart w:id="344" w:name="_Toc247514287"/>
      <w:bookmarkStart w:id="345" w:name="_Toc144974863"/>
      <w:bookmarkStart w:id="346" w:name="_Toc152045795"/>
      <w:bookmarkStart w:id="347" w:name="_Toc247527835"/>
      <w:r>
        <w:rPr>
          <w:rFonts w:hint="default" w:ascii="Times New Roman" w:hAnsi="Times New Roman" w:cs="Times New Roman"/>
        </w:rPr>
        <w:br w:type="page"/>
      </w:r>
    </w:p>
    <w:p w14:paraId="47CA8CDF">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342"/>
      <w:bookmarkEnd w:id="343"/>
      <w:bookmarkEnd w:id="344"/>
      <w:bookmarkEnd w:id="345"/>
      <w:bookmarkEnd w:id="346"/>
      <w:bookmarkEnd w:id="347"/>
      <w:r>
        <w:rPr>
          <w:rFonts w:hint="eastAsia" w:ascii="Times New Roman" w:hAnsi="Times New Roman" w:cs="Times New Roman"/>
          <w:lang w:val="en-US" w:eastAsia="zh-CN"/>
        </w:rPr>
        <w:t>服务费用清单</w:t>
      </w:r>
    </w:p>
    <w:p w14:paraId="27F0F8D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77CAA65F">
      <w:pPr>
        <w:rPr>
          <w:rFonts w:hint="eastAsia" w:ascii="Times New Roman" w:hAnsi="Times New Roman" w:cs="Times New Roman"/>
          <w:lang w:val="en-US" w:eastAsia="zh-CN"/>
        </w:rPr>
      </w:pPr>
    </w:p>
    <w:p w14:paraId="7290E239">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7BA74246">
      <w:pPr>
        <w:rPr>
          <w:rFonts w:hint="default" w:ascii="Times New Roman" w:hAnsi="Times New Roman" w:cs="Times New Roman"/>
          <w:lang w:val="en-US" w:eastAsia="zh-CN"/>
        </w:rPr>
      </w:pPr>
    </w:p>
    <w:p w14:paraId="2547E1A5">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3FDE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A098DDF">
            <w:pPr>
              <w:jc w:val="center"/>
              <w:rPr>
                <w:rFonts w:hint="eastAsia" w:ascii="Times New Roman" w:hAnsi="Times New Roman" w:cs="Times New Roman" w:eastAsiaTheme="minorEastAsia"/>
                <w:b/>
                <w:bCs/>
                <w:vertAlign w:val="baseline"/>
                <w:lang w:val="en-US" w:eastAsia="zh-CN"/>
              </w:rPr>
            </w:pPr>
            <w:bookmarkStart w:id="348" w:name="_Toc300835221"/>
            <w:bookmarkStart w:id="349" w:name="_Toc247527836"/>
            <w:bookmarkStart w:id="350" w:name="_Toc247514288"/>
            <w:bookmarkStart w:id="351" w:name="_Toc152045796"/>
            <w:bookmarkStart w:id="352" w:name="_Toc152042585"/>
            <w:bookmarkStart w:id="353" w:name="_Toc144974864"/>
            <w:r>
              <w:rPr>
                <w:rFonts w:hint="eastAsia" w:ascii="Times New Roman" w:hAnsi="Times New Roman" w:cs="Times New Roman"/>
                <w:b/>
                <w:bCs/>
                <w:vertAlign w:val="baseline"/>
                <w:lang w:val="en-US" w:eastAsia="zh-CN"/>
              </w:rPr>
              <w:t>序号</w:t>
            </w:r>
          </w:p>
        </w:tc>
        <w:tc>
          <w:tcPr>
            <w:tcW w:w="2268" w:type="dxa"/>
            <w:vAlign w:val="center"/>
          </w:tcPr>
          <w:p w14:paraId="2095DA42">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6C84F63C">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16BEA9E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0D422061">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34BE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D3F24E">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3B502AF9">
            <w:pPr>
              <w:jc w:val="center"/>
              <w:rPr>
                <w:rFonts w:hint="default" w:ascii="Times New Roman" w:hAnsi="Times New Roman" w:cs="Times New Roman"/>
                <w:vertAlign w:val="baseline"/>
              </w:rPr>
            </w:pPr>
          </w:p>
        </w:tc>
        <w:tc>
          <w:tcPr>
            <w:tcW w:w="2268" w:type="dxa"/>
            <w:vAlign w:val="center"/>
          </w:tcPr>
          <w:p w14:paraId="75ACB2FA">
            <w:pPr>
              <w:jc w:val="center"/>
              <w:rPr>
                <w:rFonts w:hint="default" w:ascii="Times New Roman" w:hAnsi="Times New Roman" w:cs="Times New Roman"/>
                <w:vertAlign w:val="baseline"/>
              </w:rPr>
            </w:pPr>
          </w:p>
        </w:tc>
        <w:tc>
          <w:tcPr>
            <w:tcW w:w="1134" w:type="dxa"/>
            <w:vAlign w:val="center"/>
          </w:tcPr>
          <w:p w14:paraId="23D665D5">
            <w:pPr>
              <w:jc w:val="center"/>
              <w:rPr>
                <w:rFonts w:hint="default" w:ascii="Times New Roman" w:hAnsi="Times New Roman" w:cs="Times New Roman"/>
                <w:vertAlign w:val="baseline"/>
              </w:rPr>
            </w:pPr>
          </w:p>
        </w:tc>
        <w:tc>
          <w:tcPr>
            <w:tcW w:w="2001" w:type="dxa"/>
            <w:vAlign w:val="center"/>
          </w:tcPr>
          <w:p w14:paraId="00B59EA5">
            <w:pPr>
              <w:jc w:val="center"/>
              <w:rPr>
                <w:rFonts w:hint="default" w:ascii="Times New Roman" w:hAnsi="Times New Roman" w:cs="Times New Roman"/>
                <w:vertAlign w:val="baseline"/>
              </w:rPr>
            </w:pPr>
          </w:p>
        </w:tc>
      </w:tr>
      <w:tr w14:paraId="50D1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8694CAC">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15A6200B">
            <w:pPr>
              <w:jc w:val="center"/>
              <w:rPr>
                <w:rFonts w:hint="default" w:ascii="Times New Roman" w:hAnsi="Times New Roman" w:cs="Times New Roman"/>
                <w:vertAlign w:val="baseline"/>
              </w:rPr>
            </w:pPr>
          </w:p>
        </w:tc>
        <w:tc>
          <w:tcPr>
            <w:tcW w:w="2268" w:type="dxa"/>
            <w:vAlign w:val="center"/>
          </w:tcPr>
          <w:p w14:paraId="2306F553">
            <w:pPr>
              <w:jc w:val="center"/>
              <w:rPr>
                <w:rFonts w:hint="default" w:ascii="Times New Roman" w:hAnsi="Times New Roman" w:cs="Times New Roman"/>
                <w:vertAlign w:val="baseline"/>
              </w:rPr>
            </w:pPr>
          </w:p>
        </w:tc>
        <w:tc>
          <w:tcPr>
            <w:tcW w:w="1134" w:type="dxa"/>
            <w:vAlign w:val="center"/>
          </w:tcPr>
          <w:p w14:paraId="2D5BF974">
            <w:pPr>
              <w:jc w:val="center"/>
              <w:rPr>
                <w:rFonts w:hint="default" w:ascii="Times New Roman" w:hAnsi="Times New Roman" w:cs="Times New Roman"/>
                <w:vertAlign w:val="baseline"/>
              </w:rPr>
            </w:pPr>
          </w:p>
        </w:tc>
        <w:tc>
          <w:tcPr>
            <w:tcW w:w="2001" w:type="dxa"/>
            <w:vAlign w:val="center"/>
          </w:tcPr>
          <w:p w14:paraId="553FC5A5">
            <w:pPr>
              <w:jc w:val="center"/>
              <w:rPr>
                <w:rFonts w:hint="default" w:ascii="Times New Roman" w:hAnsi="Times New Roman" w:cs="Times New Roman"/>
                <w:vertAlign w:val="baseline"/>
              </w:rPr>
            </w:pPr>
          </w:p>
        </w:tc>
      </w:tr>
      <w:tr w14:paraId="0AF8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89B394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7CB0C63E">
            <w:pPr>
              <w:jc w:val="center"/>
              <w:rPr>
                <w:rFonts w:hint="default" w:ascii="Times New Roman" w:hAnsi="Times New Roman" w:cs="Times New Roman"/>
                <w:vertAlign w:val="baseline"/>
              </w:rPr>
            </w:pPr>
          </w:p>
        </w:tc>
        <w:tc>
          <w:tcPr>
            <w:tcW w:w="2268" w:type="dxa"/>
            <w:vAlign w:val="center"/>
          </w:tcPr>
          <w:p w14:paraId="78C6DC2D">
            <w:pPr>
              <w:jc w:val="center"/>
              <w:rPr>
                <w:rFonts w:hint="default" w:ascii="Times New Roman" w:hAnsi="Times New Roman" w:cs="Times New Roman"/>
                <w:vertAlign w:val="baseline"/>
              </w:rPr>
            </w:pPr>
          </w:p>
        </w:tc>
        <w:tc>
          <w:tcPr>
            <w:tcW w:w="1134" w:type="dxa"/>
            <w:vAlign w:val="center"/>
          </w:tcPr>
          <w:p w14:paraId="24A95020">
            <w:pPr>
              <w:jc w:val="center"/>
              <w:rPr>
                <w:rFonts w:hint="default" w:ascii="Times New Roman" w:hAnsi="Times New Roman" w:cs="Times New Roman"/>
                <w:vertAlign w:val="baseline"/>
              </w:rPr>
            </w:pPr>
          </w:p>
        </w:tc>
        <w:tc>
          <w:tcPr>
            <w:tcW w:w="2001" w:type="dxa"/>
            <w:vAlign w:val="center"/>
          </w:tcPr>
          <w:p w14:paraId="36D1B64E">
            <w:pPr>
              <w:jc w:val="center"/>
              <w:rPr>
                <w:rFonts w:hint="default" w:ascii="Times New Roman" w:hAnsi="Times New Roman" w:cs="Times New Roman"/>
                <w:vertAlign w:val="baseline"/>
              </w:rPr>
            </w:pPr>
          </w:p>
        </w:tc>
      </w:tr>
      <w:tr w14:paraId="63985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F81BBD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40E9712F">
            <w:pPr>
              <w:jc w:val="center"/>
              <w:rPr>
                <w:rFonts w:hint="default" w:ascii="Times New Roman" w:hAnsi="Times New Roman" w:cs="Times New Roman"/>
                <w:vertAlign w:val="baseline"/>
              </w:rPr>
            </w:pPr>
          </w:p>
        </w:tc>
        <w:tc>
          <w:tcPr>
            <w:tcW w:w="2268" w:type="dxa"/>
            <w:vAlign w:val="center"/>
          </w:tcPr>
          <w:p w14:paraId="3213C301">
            <w:pPr>
              <w:jc w:val="center"/>
              <w:rPr>
                <w:rFonts w:hint="default" w:ascii="Times New Roman" w:hAnsi="Times New Roman" w:cs="Times New Roman"/>
                <w:vertAlign w:val="baseline"/>
              </w:rPr>
            </w:pPr>
          </w:p>
        </w:tc>
        <w:tc>
          <w:tcPr>
            <w:tcW w:w="1134" w:type="dxa"/>
            <w:vAlign w:val="center"/>
          </w:tcPr>
          <w:p w14:paraId="0CEFEDF7">
            <w:pPr>
              <w:jc w:val="center"/>
              <w:rPr>
                <w:rFonts w:hint="default" w:ascii="Times New Roman" w:hAnsi="Times New Roman" w:cs="Times New Roman"/>
                <w:vertAlign w:val="baseline"/>
              </w:rPr>
            </w:pPr>
          </w:p>
        </w:tc>
        <w:tc>
          <w:tcPr>
            <w:tcW w:w="2001" w:type="dxa"/>
            <w:vAlign w:val="center"/>
          </w:tcPr>
          <w:p w14:paraId="2C3F5173">
            <w:pPr>
              <w:jc w:val="center"/>
              <w:rPr>
                <w:rFonts w:hint="default" w:ascii="Times New Roman" w:hAnsi="Times New Roman" w:cs="Times New Roman"/>
                <w:vertAlign w:val="baseline"/>
              </w:rPr>
            </w:pPr>
          </w:p>
        </w:tc>
      </w:tr>
      <w:tr w14:paraId="582A5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2A2BA7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3EB80E49">
            <w:pPr>
              <w:jc w:val="center"/>
              <w:rPr>
                <w:rFonts w:hint="default" w:ascii="Times New Roman" w:hAnsi="Times New Roman" w:cs="Times New Roman"/>
                <w:vertAlign w:val="baseline"/>
              </w:rPr>
            </w:pPr>
          </w:p>
        </w:tc>
        <w:tc>
          <w:tcPr>
            <w:tcW w:w="2268" w:type="dxa"/>
            <w:vAlign w:val="center"/>
          </w:tcPr>
          <w:p w14:paraId="2910D946">
            <w:pPr>
              <w:jc w:val="center"/>
              <w:rPr>
                <w:rFonts w:hint="default" w:ascii="Times New Roman" w:hAnsi="Times New Roman" w:cs="Times New Roman"/>
                <w:vertAlign w:val="baseline"/>
              </w:rPr>
            </w:pPr>
          </w:p>
        </w:tc>
        <w:tc>
          <w:tcPr>
            <w:tcW w:w="1134" w:type="dxa"/>
            <w:vAlign w:val="center"/>
          </w:tcPr>
          <w:p w14:paraId="26D96CB2">
            <w:pPr>
              <w:jc w:val="center"/>
              <w:rPr>
                <w:rFonts w:hint="default" w:ascii="Times New Roman" w:hAnsi="Times New Roman" w:cs="Times New Roman"/>
                <w:vertAlign w:val="baseline"/>
              </w:rPr>
            </w:pPr>
          </w:p>
        </w:tc>
        <w:tc>
          <w:tcPr>
            <w:tcW w:w="2001" w:type="dxa"/>
            <w:vAlign w:val="center"/>
          </w:tcPr>
          <w:p w14:paraId="604FBE2A">
            <w:pPr>
              <w:jc w:val="center"/>
              <w:rPr>
                <w:rFonts w:hint="default" w:ascii="Times New Roman" w:hAnsi="Times New Roman" w:cs="Times New Roman"/>
                <w:vertAlign w:val="baseline"/>
              </w:rPr>
            </w:pPr>
          </w:p>
        </w:tc>
      </w:tr>
      <w:tr w14:paraId="4284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2CE9B32">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6E7068EC">
            <w:pPr>
              <w:jc w:val="center"/>
              <w:rPr>
                <w:rFonts w:hint="default" w:ascii="Times New Roman" w:hAnsi="Times New Roman" w:cs="Times New Roman"/>
                <w:vertAlign w:val="baseline"/>
              </w:rPr>
            </w:pPr>
          </w:p>
        </w:tc>
        <w:tc>
          <w:tcPr>
            <w:tcW w:w="2268" w:type="dxa"/>
            <w:vAlign w:val="center"/>
          </w:tcPr>
          <w:p w14:paraId="0DA0E17B">
            <w:pPr>
              <w:jc w:val="center"/>
              <w:rPr>
                <w:rFonts w:hint="default" w:ascii="Times New Roman" w:hAnsi="Times New Roman" w:cs="Times New Roman"/>
                <w:vertAlign w:val="baseline"/>
              </w:rPr>
            </w:pPr>
          </w:p>
        </w:tc>
        <w:tc>
          <w:tcPr>
            <w:tcW w:w="1134" w:type="dxa"/>
            <w:vAlign w:val="center"/>
          </w:tcPr>
          <w:p w14:paraId="62679BC2">
            <w:pPr>
              <w:jc w:val="center"/>
              <w:rPr>
                <w:rFonts w:hint="default" w:ascii="Times New Roman" w:hAnsi="Times New Roman" w:cs="Times New Roman"/>
                <w:vertAlign w:val="baseline"/>
              </w:rPr>
            </w:pPr>
          </w:p>
        </w:tc>
        <w:tc>
          <w:tcPr>
            <w:tcW w:w="2001" w:type="dxa"/>
            <w:vAlign w:val="center"/>
          </w:tcPr>
          <w:p w14:paraId="39EC441C">
            <w:pPr>
              <w:jc w:val="center"/>
              <w:rPr>
                <w:rFonts w:hint="default" w:ascii="Times New Roman" w:hAnsi="Times New Roman" w:cs="Times New Roman"/>
                <w:vertAlign w:val="baseline"/>
              </w:rPr>
            </w:pPr>
          </w:p>
        </w:tc>
      </w:tr>
      <w:tr w14:paraId="06D5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5386" w:type="dxa"/>
            <w:gridSpan w:val="3"/>
            <w:vAlign w:val="center"/>
          </w:tcPr>
          <w:p w14:paraId="19E19265">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762B658">
            <w:pPr>
              <w:jc w:val="center"/>
              <w:rPr>
                <w:rFonts w:hint="default" w:ascii="Times New Roman" w:hAnsi="Times New Roman" w:cs="Times New Roman"/>
                <w:vertAlign w:val="baseline"/>
              </w:rPr>
            </w:pPr>
          </w:p>
        </w:tc>
        <w:tc>
          <w:tcPr>
            <w:tcW w:w="2001" w:type="dxa"/>
            <w:vAlign w:val="center"/>
          </w:tcPr>
          <w:p w14:paraId="1FEDC827">
            <w:pPr>
              <w:jc w:val="center"/>
              <w:rPr>
                <w:rFonts w:hint="default" w:ascii="Times New Roman" w:hAnsi="Times New Roman" w:cs="Times New Roman"/>
                <w:vertAlign w:val="baseline"/>
              </w:rPr>
            </w:pPr>
          </w:p>
        </w:tc>
      </w:tr>
    </w:tbl>
    <w:p w14:paraId="6A670C21">
      <w:pPr>
        <w:rPr>
          <w:rFonts w:hint="default" w:ascii="Times New Roman" w:hAnsi="Times New Roman" w:cs="Times New Roman"/>
        </w:rPr>
      </w:pPr>
    </w:p>
    <w:p w14:paraId="18CB8C78">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348"/>
    <w:bookmarkEnd w:id="349"/>
    <w:bookmarkEnd w:id="350"/>
    <w:bookmarkEnd w:id="351"/>
    <w:bookmarkEnd w:id="352"/>
    <w:bookmarkEnd w:id="353"/>
    <w:p w14:paraId="66EB7782">
      <w:pPr>
        <w:pStyle w:val="3"/>
        <w:jc w:val="center"/>
        <w:rPr>
          <w:rFonts w:hint="eastAsia"/>
          <w:highlight w:val="none"/>
        </w:rPr>
      </w:pPr>
      <w:bookmarkStart w:id="354" w:name="_Toc247527848"/>
      <w:bookmarkStart w:id="355" w:name="_Toc246997112"/>
      <w:bookmarkStart w:id="356" w:name="_Toc152042592"/>
      <w:bookmarkStart w:id="357" w:name="_Toc144974871"/>
      <w:bookmarkStart w:id="358" w:name="_Toc152045808"/>
      <w:bookmarkStart w:id="359" w:name="_Toc247514300"/>
      <w:bookmarkStart w:id="360" w:name="_Toc246996369"/>
      <w:bookmarkStart w:id="361" w:name="_Toc247085887"/>
      <w:bookmarkStart w:id="362" w:name="_Toc179632823"/>
      <w:bookmarkStart w:id="363" w:name="_Toc152045803"/>
      <w:bookmarkStart w:id="364" w:name="_Toc300835224"/>
      <w:bookmarkStart w:id="365" w:name="_Toc296602614"/>
      <w:bookmarkStart w:id="366" w:name="_Toc152042597"/>
      <w:bookmarkStart w:id="367" w:name="_Toc144974876"/>
      <w:r>
        <w:rPr>
          <w:rFonts w:hint="eastAsia"/>
          <w:highlight w:val="none"/>
          <w:lang w:val="en-US" w:eastAsia="zh-CN"/>
        </w:rPr>
        <w:t>五</w:t>
      </w:r>
      <w:r>
        <w:rPr>
          <w:highlight w:val="none"/>
        </w:rPr>
        <w:t>、资格审查资料</w:t>
      </w:r>
    </w:p>
    <w:p w14:paraId="09D406F3">
      <w:pPr>
        <w:pStyle w:val="4"/>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2D096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35E6A0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7A0BD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E3132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77E7222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CF6EF5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4A5349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11E80D5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5E23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08E0D7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27F6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819C6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1E6958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97A32C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B868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6E44F95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6B40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65C2E0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8F87E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34567B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D03F2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72AF91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8FC1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4FD4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609ADF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C2941D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9856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FD70C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E80D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6D6584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FA81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4EA9A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4963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0F3ED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6DF2E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A9AE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1AA8E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A952C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EA888CF">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587CA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BFB2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B3CC445">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78A00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D7B40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A88292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5135F717">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383B0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1F723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B9EAC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364633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E1C1F1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3F8756E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56A4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926586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2161FAC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73283C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C038CA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E26C0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33FC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495A0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5AC416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3DE373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188B690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CE7B0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3E362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95CBB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FAC647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E9AEC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78525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374AAEE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9E7D15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3F81B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1E22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CA177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8EA53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74D7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18F5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0A824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818D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0D234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F454C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2A327D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7C89817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5FDC7730">
      <w:pPr>
        <w:rPr>
          <w:rFonts w:hint="eastAsia"/>
        </w:rPr>
      </w:pPr>
      <w:r>
        <w:rPr>
          <w:rFonts w:hint="eastAsia"/>
        </w:rPr>
        <w:br w:type="page"/>
      </w:r>
    </w:p>
    <w:p w14:paraId="32C4C7FD">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6DF820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72B49D9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0321C3D">
      <w:pPr>
        <w:rPr>
          <w:rFonts w:hint="eastAsia"/>
        </w:rPr>
      </w:pPr>
      <w:r>
        <w:rPr>
          <w:rFonts w:hint="eastAsia"/>
        </w:rPr>
        <w:br w:type="page"/>
      </w:r>
    </w:p>
    <w:p w14:paraId="5B8EBCBD">
      <w:pPr>
        <w:pStyle w:val="4"/>
        <w:rPr>
          <w:rFonts w:hint="default" w:ascii="Times New Roman" w:hAnsi="Times New Roman" w:cs="Times New Roman"/>
        </w:rPr>
      </w:pPr>
      <w:r>
        <w:rPr>
          <w:rFonts w:hint="default" w:ascii="Times New Roman" w:hAnsi="Times New Roman" w:cs="Times New Roman"/>
        </w:rPr>
        <w:t>（三）近年完成的类似项目情况表</w:t>
      </w:r>
    </w:p>
    <w:p w14:paraId="30E3483B">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AB9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BBB9C74">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7811893F">
            <w:pPr>
              <w:topLinePunct/>
              <w:spacing w:line="440" w:lineRule="exact"/>
              <w:rPr>
                <w:rFonts w:hint="default" w:ascii="Times New Roman" w:hAnsi="Times New Roman" w:cs="Times New Roman"/>
                <w:szCs w:val="21"/>
                <w:highlight w:val="black"/>
              </w:rPr>
            </w:pPr>
          </w:p>
        </w:tc>
      </w:tr>
      <w:tr w14:paraId="5B1B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B6BCBDE">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8E41977">
            <w:pPr>
              <w:topLinePunct/>
              <w:spacing w:line="440" w:lineRule="exact"/>
              <w:rPr>
                <w:rFonts w:hint="default" w:ascii="Times New Roman" w:hAnsi="Times New Roman" w:cs="Times New Roman"/>
                <w:szCs w:val="21"/>
                <w:highlight w:val="black"/>
              </w:rPr>
            </w:pPr>
          </w:p>
        </w:tc>
      </w:tr>
      <w:tr w14:paraId="5926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39A580">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50C57A7D">
            <w:pPr>
              <w:topLinePunct/>
              <w:spacing w:line="440" w:lineRule="exact"/>
              <w:rPr>
                <w:rFonts w:hint="default" w:ascii="Times New Roman" w:hAnsi="Times New Roman" w:cs="Times New Roman"/>
                <w:szCs w:val="21"/>
                <w:highlight w:val="black"/>
              </w:rPr>
            </w:pPr>
          </w:p>
        </w:tc>
      </w:tr>
      <w:tr w14:paraId="0BD3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9841255">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1646E14A">
            <w:pPr>
              <w:topLinePunct/>
              <w:spacing w:line="440" w:lineRule="exact"/>
              <w:rPr>
                <w:rFonts w:hint="default" w:ascii="Times New Roman" w:hAnsi="Times New Roman" w:cs="Times New Roman"/>
                <w:szCs w:val="21"/>
                <w:highlight w:val="black"/>
              </w:rPr>
            </w:pPr>
          </w:p>
        </w:tc>
      </w:tr>
      <w:tr w14:paraId="7A9D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EBD866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141B9C63">
            <w:pPr>
              <w:topLinePunct/>
              <w:spacing w:line="440" w:lineRule="exact"/>
              <w:rPr>
                <w:rFonts w:hint="default" w:ascii="Times New Roman" w:hAnsi="Times New Roman" w:cs="Times New Roman"/>
                <w:szCs w:val="21"/>
              </w:rPr>
            </w:pPr>
          </w:p>
        </w:tc>
      </w:tr>
      <w:tr w14:paraId="2C3E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BF0706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DCB4024">
            <w:pPr>
              <w:topLinePunct/>
              <w:spacing w:line="440" w:lineRule="exact"/>
              <w:rPr>
                <w:rFonts w:hint="default" w:ascii="Times New Roman" w:hAnsi="Times New Roman" w:cs="Times New Roman"/>
                <w:szCs w:val="21"/>
              </w:rPr>
            </w:pPr>
          </w:p>
        </w:tc>
      </w:tr>
      <w:tr w14:paraId="44C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C5CD20E">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0763C813">
            <w:pPr>
              <w:topLinePunct/>
              <w:spacing w:line="440" w:lineRule="exact"/>
              <w:rPr>
                <w:rFonts w:hint="default" w:ascii="Times New Roman" w:hAnsi="Times New Roman" w:cs="Times New Roman"/>
                <w:szCs w:val="21"/>
              </w:rPr>
            </w:pPr>
          </w:p>
        </w:tc>
      </w:tr>
      <w:tr w14:paraId="05F0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AA64185">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37761599">
            <w:pPr>
              <w:topLinePunct/>
              <w:spacing w:line="440" w:lineRule="exact"/>
              <w:rPr>
                <w:rFonts w:hint="default" w:ascii="Times New Roman" w:hAnsi="Times New Roman" w:cs="Times New Roman"/>
                <w:szCs w:val="21"/>
              </w:rPr>
            </w:pPr>
          </w:p>
        </w:tc>
      </w:tr>
      <w:tr w14:paraId="5EE77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AB13EC">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72A3EAFF">
            <w:pPr>
              <w:topLinePunct/>
              <w:spacing w:line="440" w:lineRule="exact"/>
              <w:rPr>
                <w:rFonts w:hint="default" w:ascii="Times New Roman" w:hAnsi="Times New Roman" w:cs="Times New Roman"/>
                <w:szCs w:val="21"/>
              </w:rPr>
            </w:pPr>
          </w:p>
        </w:tc>
      </w:tr>
      <w:tr w14:paraId="21EB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37F58D">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43C9C3E8">
            <w:pPr>
              <w:topLinePunct/>
              <w:spacing w:line="440" w:lineRule="exact"/>
              <w:rPr>
                <w:rFonts w:hint="default" w:ascii="Times New Roman" w:hAnsi="Times New Roman" w:cs="Times New Roman"/>
                <w:szCs w:val="21"/>
              </w:rPr>
            </w:pPr>
          </w:p>
          <w:p w14:paraId="6DA96EC7">
            <w:pPr>
              <w:topLinePunct/>
              <w:spacing w:line="440" w:lineRule="exact"/>
              <w:rPr>
                <w:rFonts w:hint="default" w:ascii="Times New Roman" w:hAnsi="Times New Roman" w:cs="Times New Roman"/>
                <w:szCs w:val="21"/>
              </w:rPr>
            </w:pPr>
          </w:p>
          <w:p w14:paraId="69E398D7">
            <w:pPr>
              <w:topLinePunct/>
              <w:spacing w:line="440" w:lineRule="exact"/>
              <w:rPr>
                <w:rFonts w:hint="default" w:ascii="Times New Roman" w:hAnsi="Times New Roman" w:cs="Times New Roman"/>
                <w:szCs w:val="21"/>
              </w:rPr>
            </w:pPr>
          </w:p>
          <w:p w14:paraId="5D4C28FB">
            <w:pPr>
              <w:topLinePunct/>
              <w:spacing w:line="440" w:lineRule="exact"/>
              <w:rPr>
                <w:rFonts w:hint="default" w:ascii="Times New Roman" w:hAnsi="Times New Roman" w:cs="Times New Roman"/>
                <w:szCs w:val="21"/>
              </w:rPr>
            </w:pPr>
          </w:p>
          <w:p w14:paraId="7BD9AFAE">
            <w:pPr>
              <w:topLinePunct/>
              <w:spacing w:line="440" w:lineRule="exact"/>
              <w:rPr>
                <w:rFonts w:hint="default" w:ascii="Times New Roman" w:hAnsi="Times New Roman" w:cs="Times New Roman"/>
                <w:szCs w:val="21"/>
              </w:rPr>
            </w:pPr>
          </w:p>
          <w:p w14:paraId="79789407">
            <w:pPr>
              <w:topLinePunct/>
              <w:spacing w:line="440" w:lineRule="exact"/>
              <w:rPr>
                <w:rFonts w:hint="default" w:ascii="Times New Roman" w:hAnsi="Times New Roman" w:cs="Times New Roman"/>
                <w:szCs w:val="21"/>
              </w:rPr>
            </w:pPr>
          </w:p>
          <w:p w14:paraId="56B4137F">
            <w:pPr>
              <w:topLinePunct/>
              <w:spacing w:line="440" w:lineRule="exact"/>
              <w:rPr>
                <w:rFonts w:hint="default" w:ascii="Times New Roman" w:hAnsi="Times New Roman" w:cs="Times New Roman"/>
                <w:szCs w:val="21"/>
              </w:rPr>
            </w:pPr>
          </w:p>
        </w:tc>
      </w:tr>
      <w:tr w14:paraId="6B5F0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A448B3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1C8DD3E">
            <w:pPr>
              <w:topLinePunct/>
              <w:spacing w:line="440" w:lineRule="exact"/>
              <w:rPr>
                <w:rFonts w:hint="default" w:ascii="Times New Roman" w:hAnsi="Times New Roman" w:cs="Times New Roman"/>
                <w:szCs w:val="21"/>
              </w:rPr>
            </w:pPr>
          </w:p>
        </w:tc>
      </w:tr>
    </w:tbl>
    <w:p w14:paraId="46B3BB3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11887C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14:paraId="3B888FCA">
      <w:pPr>
        <w:rPr>
          <w:rFonts w:hint="eastAsia"/>
        </w:rPr>
      </w:pPr>
      <w:r>
        <w:rPr>
          <w:rFonts w:hint="eastAsia"/>
        </w:rPr>
        <w:br w:type="page"/>
      </w:r>
    </w:p>
    <w:p w14:paraId="315C2CBE">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2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799A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10F31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767B71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3D9225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7E5CF7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76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1FEF9D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7B999C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1D86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1395BA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6847D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64715A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414D08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5EBF24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48B13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5EC9EF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4DF68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5D2378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0007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120C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8CCA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D782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1E4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00EA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31FEE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87CB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2D80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7D4EF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7578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9301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1008E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36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D84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5420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7CA75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FF01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FCA3C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CDF38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29F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12E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2237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C01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DBB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3748D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22F0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610B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206C5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6682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2E3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EE83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5132A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FEC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722A3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C7DD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3FDD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8F4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A6E4E4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BA0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35C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AFE40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993F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CB8E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3518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C08F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9FC4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245C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48A5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BF1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760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A48CD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73F43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AE0F6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E3BA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E7EA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CCDC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25A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14371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4BAE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A6D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5C29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882AA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C243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3C4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B0CAC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04AC1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9E267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B9F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4088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25B5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175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CDB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470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F435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675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758055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87DC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BA344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0E522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8F5B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74B8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54EB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64AE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A18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83B4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411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19BE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DB54E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A391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EAA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6F079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377C6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879C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2F380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28158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980E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9BC9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97CF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03E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F55A2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FB831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E003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B576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0971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6E9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AC64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3CB99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8815B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3F8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4C03F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72A6F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8AA30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92EA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9BE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09376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4780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97873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370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B795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43AF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3291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184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C839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72373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5F06D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3696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3155F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87E9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C863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DAA8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02457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AE7F5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F7F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3D04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160B5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F6EE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1B183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3B8AD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FC3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5EFE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0A38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02651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0BD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D404B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6851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B5CF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80BE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E04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0E6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6888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95A40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1A91F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A9C4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97D3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4E5F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3545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8656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C5E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1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C05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7540D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7FE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56F2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91E2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29244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463D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C37C0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E1A1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A71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A1743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C000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E42D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3FA7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131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3D19F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3ACC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DB8AE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4E41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3F8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D67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A9AD3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04E8B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2EA4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790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AA129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940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1C906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9E04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7C1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0B547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1E5F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2FA70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4F9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2CA0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7521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3EE9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E8301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73CD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D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32F8E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55FF0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29EC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5440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49AE7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03FD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EF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4D5AFF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F55C4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4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A66EF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9EB17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80D7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34D20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CD82B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B38C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3E0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A4F78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BCCE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378006A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C923B0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4757E74C">
      <w:pPr>
        <w:rPr>
          <w:rFonts w:hint="eastAsia"/>
          <w:i/>
          <w:iCs/>
          <w:color w:val="FF0000"/>
          <w:u w:val="single"/>
          <w:lang w:val="en-US" w:eastAsia="zh-CN"/>
        </w:rPr>
      </w:pPr>
    </w:p>
    <w:p w14:paraId="2A32C792">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71A97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FDDA9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0D4A0D0">
            <w:pPr>
              <w:jc w:val="center"/>
              <w:rPr>
                <w:rFonts w:hint="eastAsia"/>
                <w:i w:val="0"/>
                <w:iCs w:val="0"/>
                <w:color w:val="auto"/>
                <w:u w:val="none"/>
                <w:vertAlign w:val="baseline"/>
                <w:lang w:val="en-US" w:eastAsia="zh-CN"/>
              </w:rPr>
            </w:pPr>
          </w:p>
        </w:tc>
        <w:tc>
          <w:tcPr>
            <w:tcW w:w="1134" w:type="dxa"/>
            <w:vAlign w:val="center"/>
          </w:tcPr>
          <w:p w14:paraId="04412A0F">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59E62E54">
            <w:pPr>
              <w:jc w:val="center"/>
              <w:rPr>
                <w:rFonts w:hint="eastAsia"/>
                <w:i w:val="0"/>
                <w:iCs w:val="0"/>
                <w:color w:val="auto"/>
                <w:u w:val="none"/>
                <w:vertAlign w:val="baseline"/>
                <w:lang w:val="en-US" w:eastAsia="zh-CN"/>
              </w:rPr>
            </w:pPr>
          </w:p>
        </w:tc>
        <w:tc>
          <w:tcPr>
            <w:tcW w:w="1701" w:type="dxa"/>
            <w:vAlign w:val="center"/>
          </w:tcPr>
          <w:p w14:paraId="395395C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7070BB3A">
            <w:pPr>
              <w:jc w:val="center"/>
              <w:rPr>
                <w:rFonts w:hint="eastAsia"/>
                <w:i w:val="0"/>
                <w:iCs w:val="0"/>
                <w:color w:val="auto"/>
                <w:u w:val="none"/>
                <w:vertAlign w:val="baseline"/>
                <w:lang w:val="en-US" w:eastAsia="zh-CN"/>
              </w:rPr>
            </w:pPr>
          </w:p>
        </w:tc>
      </w:tr>
      <w:tr w14:paraId="0DC77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C095F1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03D7EC6">
            <w:pPr>
              <w:jc w:val="center"/>
              <w:rPr>
                <w:rFonts w:hint="eastAsia"/>
                <w:i w:val="0"/>
                <w:iCs w:val="0"/>
                <w:color w:val="auto"/>
                <w:u w:val="none"/>
                <w:vertAlign w:val="baseline"/>
                <w:lang w:val="en-US" w:eastAsia="zh-CN"/>
              </w:rPr>
            </w:pPr>
          </w:p>
        </w:tc>
        <w:tc>
          <w:tcPr>
            <w:tcW w:w="1134" w:type="dxa"/>
            <w:vAlign w:val="center"/>
          </w:tcPr>
          <w:p w14:paraId="0403359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3FFEE8B4">
            <w:pPr>
              <w:jc w:val="center"/>
              <w:rPr>
                <w:rFonts w:hint="eastAsia"/>
                <w:i w:val="0"/>
                <w:iCs w:val="0"/>
                <w:color w:val="auto"/>
                <w:u w:val="none"/>
                <w:vertAlign w:val="baseline"/>
                <w:lang w:val="en-US" w:eastAsia="zh-CN"/>
              </w:rPr>
            </w:pPr>
          </w:p>
        </w:tc>
        <w:tc>
          <w:tcPr>
            <w:tcW w:w="1701" w:type="dxa"/>
            <w:vAlign w:val="center"/>
          </w:tcPr>
          <w:p w14:paraId="2F1A0DF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0A17E3E7">
            <w:pPr>
              <w:jc w:val="center"/>
              <w:rPr>
                <w:rFonts w:hint="eastAsia"/>
                <w:i w:val="0"/>
                <w:iCs w:val="0"/>
                <w:color w:val="auto"/>
                <w:u w:val="none"/>
                <w:vertAlign w:val="baseline"/>
                <w:lang w:val="en-US" w:eastAsia="zh-CN"/>
              </w:rPr>
            </w:pPr>
          </w:p>
        </w:tc>
      </w:tr>
      <w:tr w14:paraId="50B3B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682870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030D12DE">
            <w:pPr>
              <w:jc w:val="center"/>
              <w:rPr>
                <w:rFonts w:hint="eastAsia"/>
                <w:i w:val="0"/>
                <w:iCs w:val="0"/>
                <w:color w:val="auto"/>
                <w:u w:val="none"/>
                <w:vertAlign w:val="baseline"/>
                <w:lang w:val="en-US" w:eastAsia="zh-CN"/>
              </w:rPr>
            </w:pPr>
          </w:p>
        </w:tc>
        <w:tc>
          <w:tcPr>
            <w:tcW w:w="1701" w:type="dxa"/>
            <w:vAlign w:val="center"/>
          </w:tcPr>
          <w:p w14:paraId="46CFE8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53E668C6">
            <w:pPr>
              <w:jc w:val="center"/>
              <w:rPr>
                <w:rFonts w:hint="eastAsia"/>
                <w:i w:val="0"/>
                <w:iCs w:val="0"/>
                <w:color w:val="auto"/>
                <w:u w:val="none"/>
                <w:vertAlign w:val="baseline"/>
                <w:lang w:val="en-US" w:eastAsia="zh-CN"/>
              </w:rPr>
            </w:pPr>
          </w:p>
        </w:tc>
      </w:tr>
      <w:tr w14:paraId="6756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FB09C3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2E5C14C3">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1FB7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045D1F69">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72D8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D3A9BB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52A314B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19C354C2">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2FED89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2697B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4E6EF9C">
            <w:pPr>
              <w:jc w:val="center"/>
              <w:rPr>
                <w:rFonts w:hint="eastAsia"/>
                <w:i w:val="0"/>
                <w:iCs w:val="0"/>
                <w:color w:val="auto"/>
                <w:u w:val="none"/>
                <w:vertAlign w:val="baseline"/>
                <w:lang w:val="en-US" w:eastAsia="zh-CN"/>
              </w:rPr>
            </w:pPr>
          </w:p>
        </w:tc>
        <w:tc>
          <w:tcPr>
            <w:tcW w:w="3402" w:type="dxa"/>
            <w:gridSpan w:val="3"/>
            <w:vAlign w:val="center"/>
          </w:tcPr>
          <w:p w14:paraId="5284C2A5">
            <w:pPr>
              <w:jc w:val="center"/>
              <w:rPr>
                <w:rFonts w:hint="eastAsia"/>
                <w:i w:val="0"/>
                <w:iCs w:val="0"/>
                <w:color w:val="auto"/>
                <w:u w:val="none"/>
                <w:vertAlign w:val="baseline"/>
                <w:lang w:val="en-US" w:eastAsia="zh-CN"/>
              </w:rPr>
            </w:pPr>
          </w:p>
        </w:tc>
        <w:tc>
          <w:tcPr>
            <w:tcW w:w="1701" w:type="dxa"/>
            <w:vAlign w:val="center"/>
          </w:tcPr>
          <w:p w14:paraId="726447C8">
            <w:pPr>
              <w:jc w:val="center"/>
              <w:rPr>
                <w:rFonts w:hint="eastAsia"/>
                <w:i w:val="0"/>
                <w:iCs w:val="0"/>
                <w:color w:val="auto"/>
                <w:u w:val="none"/>
                <w:vertAlign w:val="baseline"/>
                <w:lang w:val="en-US" w:eastAsia="zh-CN"/>
              </w:rPr>
            </w:pPr>
          </w:p>
        </w:tc>
        <w:tc>
          <w:tcPr>
            <w:tcW w:w="2285" w:type="dxa"/>
            <w:vAlign w:val="center"/>
          </w:tcPr>
          <w:p w14:paraId="6FDAA577">
            <w:pPr>
              <w:jc w:val="center"/>
              <w:rPr>
                <w:rFonts w:hint="eastAsia"/>
                <w:i w:val="0"/>
                <w:iCs w:val="0"/>
                <w:color w:val="auto"/>
                <w:u w:val="none"/>
                <w:vertAlign w:val="baseline"/>
                <w:lang w:val="en-US" w:eastAsia="zh-CN"/>
              </w:rPr>
            </w:pPr>
          </w:p>
        </w:tc>
      </w:tr>
      <w:tr w14:paraId="4761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29770DD">
            <w:pPr>
              <w:jc w:val="center"/>
              <w:rPr>
                <w:rFonts w:hint="eastAsia"/>
                <w:i w:val="0"/>
                <w:iCs w:val="0"/>
                <w:color w:val="auto"/>
                <w:u w:val="none"/>
                <w:vertAlign w:val="baseline"/>
                <w:lang w:val="en-US" w:eastAsia="zh-CN"/>
              </w:rPr>
            </w:pPr>
          </w:p>
        </w:tc>
        <w:tc>
          <w:tcPr>
            <w:tcW w:w="3402" w:type="dxa"/>
            <w:gridSpan w:val="3"/>
            <w:vAlign w:val="center"/>
          </w:tcPr>
          <w:p w14:paraId="7F9CDC6F">
            <w:pPr>
              <w:jc w:val="center"/>
              <w:rPr>
                <w:rFonts w:hint="eastAsia"/>
                <w:i w:val="0"/>
                <w:iCs w:val="0"/>
                <w:color w:val="auto"/>
                <w:u w:val="none"/>
                <w:vertAlign w:val="baseline"/>
                <w:lang w:val="en-US" w:eastAsia="zh-CN"/>
              </w:rPr>
            </w:pPr>
          </w:p>
        </w:tc>
        <w:tc>
          <w:tcPr>
            <w:tcW w:w="1701" w:type="dxa"/>
            <w:vAlign w:val="center"/>
          </w:tcPr>
          <w:p w14:paraId="6417FA19">
            <w:pPr>
              <w:jc w:val="center"/>
              <w:rPr>
                <w:rFonts w:hint="eastAsia"/>
                <w:i w:val="0"/>
                <w:iCs w:val="0"/>
                <w:color w:val="auto"/>
                <w:u w:val="none"/>
                <w:vertAlign w:val="baseline"/>
                <w:lang w:val="en-US" w:eastAsia="zh-CN"/>
              </w:rPr>
            </w:pPr>
          </w:p>
        </w:tc>
        <w:tc>
          <w:tcPr>
            <w:tcW w:w="2285" w:type="dxa"/>
            <w:vAlign w:val="center"/>
          </w:tcPr>
          <w:p w14:paraId="3E9BC512">
            <w:pPr>
              <w:jc w:val="center"/>
              <w:rPr>
                <w:rFonts w:hint="eastAsia"/>
                <w:i w:val="0"/>
                <w:iCs w:val="0"/>
                <w:color w:val="auto"/>
                <w:u w:val="none"/>
                <w:vertAlign w:val="baseline"/>
                <w:lang w:val="en-US" w:eastAsia="zh-CN"/>
              </w:rPr>
            </w:pPr>
          </w:p>
        </w:tc>
      </w:tr>
      <w:tr w14:paraId="0FE8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4757AF6">
            <w:pPr>
              <w:jc w:val="center"/>
              <w:rPr>
                <w:rFonts w:hint="eastAsia"/>
                <w:i w:val="0"/>
                <w:iCs w:val="0"/>
                <w:color w:val="auto"/>
                <w:u w:val="none"/>
                <w:vertAlign w:val="baseline"/>
                <w:lang w:val="en-US" w:eastAsia="zh-CN"/>
              </w:rPr>
            </w:pPr>
          </w:p>
        </w:tc>
        <w:tc>
          <w:tcPr>
            <w:tcW w:w="3402" w:type="dxa"/>
            <w:gridSpan w:val="3"/>
            <w:vAlign w:val="center"/>
          </w:tcPr>
          <w:p w14:paraId="0BFD69CA">
            <w:pPr>
              <w:jc w:val="center"/>
              <w:rPr>
                <w:rFonts w:hint="eastAsia"/>
                <w:i w:val="0"/>
                <w:iCs w:val="0"/>
                <w:color w:val="auto"/>
                <w:u w:val="none"/>
                <w:vertAlign w:val="baseline"/>
                <w:lang w:val="en-US" w:eastAsia="zh-CN"/>
              </w:rPr>
            </w:pPr>
          </w:p>
        </w:tc>
        <w:tc>
          <w:tcPr>
            <w:tcW w:w="1701" w:type="dxa"/>
            <w:vAlign w:val="center"/>
          </w:tcPr>
          <w:p w14:paraId="23381A41">
            <w:pPr>
              <w:jc w:val="center"/>
              <w:rPr>
                <w:rFonts w:hint="eastAsia"/>
                <w:i w:val="0"/>
                <w:iCs w:val="0"/>
                <w:color w:val="auto"/>
                <w:u w:val="none"/>
                <w:vertAlign w:val="baseline"/>
                <w:lang w:val="en-US" w:eastAsia="zh-CN"/>
              </w:rPr>
            </w:pPr>
          </w:p>
        </w:tc>
        <w:tc>
          <w:tcPr>
            <w:tcW w:w="2285" w:type="dxa"/>
            <w:vAlign w:val="center"/>
          </w:tcPr>
          <w:p w14:paraId="4D3835F4">
            <w:pPr>
              <w:jc w:val="center"/>
              <w:rPr>
                <w:rFonts w:hint="eastAsia"/>
                <w:i w:val="0"/>
                <w:iCs w:val="0"/>
                <w:color w:val="auto"/>
                <w:u w:val="none"/>
                <w:vertAlign w:val="baseline"/>
                <w:lang w:val="en-US" w:eastAsia="zh-CN"/>
              </w:rPr>
            </w:pPr>
          </w:p>
        </w:tc>
      </w:tr>
      <w:tr w14:paraId="295F6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2F38B98">
            <w:pPr>
              <w:jc w:val="center"/>
              <w:rPr>
                <w:rFonts w:hint="eastAsia"/>
                <w:i w:val="0"/>
                <w:iCs w:val="0"/>
                <w:color w:val="auto"/>
                <w:u w:val="none"/>
                <w:vertAlign w:val="baseline"/>
                <w:lang w:val="en-US" w:eastAsia="zh-CN"/>
              </w:rPr>
            </w:pPr>
          </w:p>
        </w:tc>
        <w:tc>
          <w:tcPr>
            <w:tcW w:w="3402" w:type="dxa"/>
            <w:gridSpan w:val="3"/>
            <w:vAlign w:val="center"/>
          </w:tcPr>
          <w:p w14:paraId="1F093A38">
            <w:pPr>
              <w:jc w:val="center"/>
              <w:rPr>
                <w:rFonts w:hint="eastAsia"/>
                <w:i w:val="0"/>
                <w:iCs w:val="0"/>
                <w:color w:val="auto"/>
                <w:u w:val="none"/>
                <w:vertAlign w:val="baseline"/>
                <w:lang w:val="en-US" w:eastAsia="zh-CN"/>
              </w:rPr>
            </w:pPr>
          </w:p>
        </w:tc>
        <w:tc>
          <w:tcPr>
            <w:tcW w:w="1701" w:type="dxa"/>
            <w:vAlign w:val="center"/>
          </w:tcPr>
          <w:p w14:paraId="0563B554">
            <w:pPr>
              <w:jc w:val="center"/>
              <w:rPr>
                <w:rFonts w:hint="eastAsia"/>
                <w:i w:val="0"/>
                <w:iCs w:val="0"/>
                <w:color w:val="auto"/>
                <w:u w:val="none"/>
                <w:vertAlign w:val="baseline"/>
                <w:lang w:val="en-US" w:eastAsia="zh-CN"/>
              </w:rPr>
            </w:pPr>
          </w:p>
        </w:tc>
        <w:tc>
          <w:tcPr>
            <w:tcW w:w="2285" w:type="dxa"/>
            <w:vAlign w:val="center"/>
          </w:tcPr>
          <w:p w14:paraId="53A7D5ED">
            <w:pPr>
              <w:jc w:val="center"/>
              <w:rPr>
                <w:rFonts w:hint="eastAsia"/>
                <w:i w:val="0"/>
                <w:iCs w:val="0"/>
                <w:color w:val="auto"/>
                <w:u w:val="none"/>
                <w:vertAlign w:val="baseline"/>
                <w:lang w:val="en-US" w:eastAsia="zh-CN"/>
              </w:rPr>
            </w:pPr>
          </w:p>
        </w:tc>
      </w:tr>
      <w:tr w14:paraId="0013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272D0EF">
            <w:pPr>
              <w:jc w:val="center"/>
              <w:rPr>
                <w:rFonts w:hint="eastAsia"/>
                <w:i w:val="0"/>
                <w:iCs w:val="0"/>
                <w:color w:val="auto"/>
                <w:u w:val="none"/>
                <w:vertAlign w:val="baseline"/>
                <w:lang w:val="en-US" w:eastAsia="zh-CN"/>
              </w:rPr>
            </w:pPr>
          </w:p>
        </w:tc>
        <w:tc>
          <w:tcPr>
            <w:tcW w:w="3402" w:type="dxa"/>
            <w:gridSpan w:val="3"/>
            <w:vAlign w:val="center"/>
          </w:tcPr>
          <w:p w14:paraId="04A1722E">
            <w:pPr>
              <w:jc w:val="center"/>
              <w:rPr>
                <w:rFonts w:hint="eastAsia"/>
                <w:i w:val="0"/>
                <w:iCs w:val="0"/>
                <w:color w:val="auto"/>
                <w:u w:val="none"/>
                <w:vertAlign w:val="baseline"/>
                <w:lang w:val="en-US" w:eastAsia="zh-CN"/>
              </w:rPr>
            </w:pPr>
          </w:p>
        </w:tc>
        <w:tc>
          <w:tcPr>
            <w:tcW w:w="1701" w:type="dxa"/>
            <w:vAlign w:val="center"/>
          </w:tcPr>
          <w:p w14:paraId="1DD64376">
            <w:pPr>
              <w:jc w:val="center"/>
              <w:rPr>
                <w:rFonts w:hint="eastAsia"/>
                <w:i w:val="0"/>
                <w:iCs w:val="0"/>
                <w:color w:val="auto"/>
                <w:u w:val="none"/>
                <w:vertAlign w:val="baseline"/>
                <w:lang w:val="en-US" w:eastAsia="zh-CN"/>
              </w:rPr>
            </w:pPr>
          </w:p>
        </w:tc>
        <w:tc>
          <w:tcPr>
            <w:tcW w:w="2285" w:type="dxa"/>
            <w:vAlign w:val="center"/>
          </w:tcPr>
          <w:p w14:paraId="0A119A17">
            <w:pPr>
              <w:jc w:val="center"/>
              <w:rPr>
                <w:rFonts w:hint="eastAsia"/>
                <w:i w:val="0"/>
                <w:iCs w:val="0"/>
                <w:color w:val="auto"/>
                <w:u w:val="none"/>
                <w:vertAlign w:val="baseline"/>
                <w:lang w:val="en-US" w:eastAsia="zh-CN"/>
              </w:rPr>
            </w:pPr>
          </w:p>
        </w:tc>
      </w:tr>
      <w:tr w14:paraId="746C0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9432682">
            <w:pPr>
              <w:jc w:val="center"/>
              <w:rPr>
                <w:rFonts w:hint="eastAsia"/>
                <w:i w:val="0"/>
                <w:iCs w:val="0"/>
                <w:color w:val="auto"/>
                <w:u w:val="none"/>
                <w:vertAlign w:val="baseline"/>
                <w:lang w:val="en-US" w:eastAsia="zh-CN"/>
              </w:rPr>
            </w:pPr>
          </w:p>
        </w:tc>
        <w:tc>
          <w:tcPr>
            <w:tcW w:w="3402" w:type="dxa"/>
            <w:gridSpan w:val="3"/>
            <w:vAlign w:val="center"/>
          </w:tcPr>
          <w:p w14:paraId="2DE7889C">
            <w:pPr>
              <w:jc w:val="center"/>
              <w:rPr>
                <w:rFonts w:hint="eastAsia"/>
                <w:i w:val="0"/>
                <w:iCs w:val="0"/>
                <w:color w:val="auto"/>
                <w:u w:val="none"/>
                <w:vertAlign w:val="baseline"/>
                <w:lang w:val="en-US" w:eastAsia="zh-CN"/>
              </w:rPr>
            </w:pPr>
          </w:p>
        </w:tc>
        <w:tc>
          <w:tcPr>
            <w:tcW w:w="1701" w:type="dxa"/>
            <w:vAlign w:val="center"/>
          </w:tcPr>
          <w:p w14:paraId="3D975C41">
            <w:pPr>
              <w:jc w:val="center"/>
              <w:rPr>
                <w:rFonts w:hint="eastAsia"/>
                <w:i w:val="0"/>
                <w:iCs w:val="0"/>
                <w:color w:val="auto"/>
                <w:u w:val="none"/>
                <w:vertAlign w:val="baseline"/>
                <w:lang w:val="en-US" w:eastAsia="zh-CN"/>
              </w:rPr>
            </w:pPr>
          </w:p>
        </w:tc>
        <w:tc>
          <w:tcPr>
            <w:tcW w:w="2285" w:type="dxa"/>
            <w:vAlign w:val="center"/>
          </w:tcPr>
          <w:p w14:paraId="45FFE8D0">
            <w:pPr>
              <w:jc w:val="center"/>
              <w:rPr>
                <w:rFonts w:hint="eastAsia"/>
                <w:i w:val="0"/>
                <w:iCs w:val="0"/>
                <w:color w:val="auto"/>
                <w:u w:val="none"/>
                <w:vertAlign w:val="baseline"/>
                <w:lang w:val="en-US" w:eastAsia="zh-CN"/>
              </w:rPr>
            </w:pPr>
          </w:p>
        </w:tc>
      </w:tr>
      <w:tr w14:paraId="1EDF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C3042CD">
            <w:pPr>
              <w:jc w:val="center"/>
              <w:rPr>
                <w:rFonts w:hint="eastAsia"/>
                <w:i w:val="0"/>
                <w:iCs w:val="0"/>
                <w:color w:val="auto"/>
                <w:u w:val="none"/>
                <w:vertAlign w:val="baseline"/>
                <w:lang w:val="en-US" w:eastAsia="zh-CN"/>
              </w:rPr>
            </w:pPr>
          </w:p>
        </w:tc>
        <w:tc>
          <w:tcPr>
            <w:tcW w:w="3402" w:type="dxa"/>
            <w:gridSpan w:val="3"/>
            <w:vAlign w:val="center"/>
          </w:tcPr>
          <w:p w14:paraId="5BEABFDD">
            <w:pPr>
              <w:jc w:val="center"/>
              <w:rPr>
                <w:rFonts w:hint="eastAsia"/>
                <w:i w:val="0"/>
                <w:iCs w:val="0"/>
                <w:color w:val="auto"/>
                <w:u w:val="none"/>
                <w:vertAlign w:val="baseline"/>
                <w:lang w:val="en-US" w:eastAsia="zh-CN"/>
              </w:rPr>
            </w:pPr>
          </w:p>
        </w:tc>
        <w:tc>
          <w:tcPr>
            <w:tcW w:w="1701" w:type="dxa"/>
            <w:vAlign w:val="center"/>
          </w:tcPr>
          <w:p w14:paraId="2E24F3D4">
            <w:pPr>
              <w:jc w:val="center"/>
              <w:rPr>
                <w:rFonts w:hint="eastAsia"/>
                <w:i w:val="0"/>
                <w:iCs w:val="0"/>
                <w:color w:val="auto"/>
                <w:u w:val="none"/>
                <w:vertAlign w:val="baseline"/>
                <w:lang w:val="en-US" w:eastAsia="zh-CN"/>
              </w:rPr>
            </w:pPr>
          </w:p>
        </w:tc>
        <w:tc>
          <w:tcPr>
            <w:tcW w:w="2285" w:type="dxa"/>
            <w:vAlign w:val="center"/>
          </w:tcPr>
          <w:p w14:paraId="45E837F9">
            <w:pPr>
              <w:jc w:val="center"/>
              <w:rPr>
                <w:rFonts w:hint="eastAsia"/>
                <w:i w:val="0"/>
                <w:iCs w:val="0"/>
                <w:color w:val="auto"/>
                <w:u w:val="none"/>
                <w:vertAlign w:val="baseline"/>
                <w:lang w:val="en-US" w:eastAsia="zh-CN"/>
              </w:rPr>
            </w:pPr>
          </w:p>
        </w:tc>
      </w:tr>
    </w:tbl>
    <w:p w14:paraId="0DCD8FA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5E17FF0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7345A5B">
      <w:pPr>
        <w:rPr>
          <w:rFonts w:hint="eastAsia"/>
          <w:i/>
          <w:iCs/>
          <w:color w:val="FF0000"/>
          <w:u w:val="single"/>
          <w:lang w:val="en-US" w:eastAsia="zh-CN"/>
        </w:rPr>
      </w:pPr>
      <w:r>
        <w:rPr>
          <w:rFonts w:hint="eastAsia"/>
          <w:i/>
          <w:iCs/>
          <w:color w:val="FF0000"/>
          <w:u w:val="single"/>
          <w:lang w:val="en-US" w:eastAsia="zh-CN"/>
        </w:rPr>
        <w:br w:type="page"/>
      </w:r>
    </w:p>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14:paraId="071A80E0">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14:paraId="3F725A6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服务方案应包括（但不限于）下列内容（方案内容可根据项目实际情况据实编写）：</w:t>
      </w:r>
    </w:p>
    <w:p w14:paraId="40F00E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3990E18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5BD388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3566484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42F0F3A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0269C47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57D59E7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46043F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1D361C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1F4D2C9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14:paraId="3B21F786">
      <w:pPr>
        <w:rPr>
          <w:rFonts w:hint="default" w:ascii="Times New Roman" w:hAnsi="Times New Roman" w:cs="Times New Roman"/>
        </w:rPr>
      </w:pPr>
      <w:r>
        <w:rPr>
          <w:rFonts w:hint="default" w:ascii="Times New Roman" w:hAnsi="Times New Roman" w:cs="Times New Roman"/>
        </w:rPr>
        <w:br w:type="page"/>
      </w:r>
    </w:p>
    <w:p w14:paraId="29A0D878">
      <w:pPr>
        <w:pStyle w:val="3"/>
        <w:jc w:val="center"/>
        <w:rPr>
          <w:rFonts w:hint="default" w:ascii="Times New Roman" w:hAnsi="Times New Roman" w:cs="Times New Roman"/>
        </w:rPr>
      </w:pPr>
      <w:bookmarkStart w:id="368" w:name="_Toc300835233"/>
      <w:bookmarkStart w:id="369"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368"/>
      <w:bookmarkEnd w:id="369"/>
    </w:p>
    <w:p w14:paraId="38CC7AC0">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407BDE4A">
      <w:pPr>
        <w:rPr>
          <w:rFonts w:hint="default" w:ascii="Times New Roman" w:hAnsi="Times New Roman" w:eastAsia="宋体" w:cs="Times New Roman"/>
          <w:b w:val="0"/>
          <w:bCs w:val="0"/>
          <w:kern w:val="0"/>
          <w:sz w:val="24"/>
          <w:szCs w:val="24"/>
          <w:highlight w:val="no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B9483EC-8C50-4E23-9C6C-06C7705B28CF}"/>
  </w:font>
  <w:font w:name="Arial">
    <w:panose1 w:val="020B0604020202020204"/>
    <w:charset w:val="01"/>
    <w:family w:val="swiss"/>
    <w:pitch w:val="default"/>
    <w:sig w:usb0="E0002EFF" w:usb1="C000785B" w:usb2="00000009" w:usb3="00000000" w:csb0="400001FF" w:csb1="FFFF0000"/>
    <w:embedRegular r:id="rId2" w:fontKey="{3F286D23-FDC4-494D-AD3C-E7FF0998BE81}"/>
  </w:font>
  <w:font w:name="黑体">
    <w:panose1 w:val="02010609060101010101"/>
    <w:charset w:val="86"/>
    <w:family w:val="auto"/>
    <w:pitch w:val="default"/>
    <w:sig w:usb0="800002BF" w:usb1="38CF7CFA" w:usb2="00000016" w:usb3="00000000" w:csb0="00040001" w:csb1="00000000"/>
    <w:embedRegular r:id="rId3" w:fontKey="{F2A76D8A-A4CC-425F-8CE9-636AFEA33C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233152B2-F926-4331-B680-5A472BB47668}"/>
  </w:font>
  <w:font w:name="仿宋_GB2312">
    <w:panose1 w:val="02010609030101010101"/>
    <w:charset w:val="86"/>
    <w:family w:val="modern"/>
    <w:pitch w:val="default"/>
    <w:sig w:usb0="00000001" w:usb1="080E0000" w:usb2="00000000" w:usb3="00000000" w:csb0="00040000" w:csb1="00000000"/>
    <w:embedRegular r:id="rId5" w:fontKey="{464471F8-0FAD-4FE3-BB18-4CA6A5F7EDD0}"/>
  </w:font>
  <w:font w:name="Arial Unicode MS">
    <w:altName w:val="宋体"/>
    <w:panose1 w:val="020B0604020202020204"/>
    <w:charset w:val="86"/>
    <w:family w:val="auto"/>
    <w:pitch w:val="default"/>
    <w:sig w:usb0="00000000" w:usb1="00000000" w:usb2="0000003F" w:usb3="00000000" w:csb0="603F01FF" w:csb1="FFFF0000"/>
  </w:font>
  <w:font w:name="方正小标宋简体">
    <w:panose1 w:val="02000000000000000000"/>
    <w:charset w:val="86"/>
    <w:family w:val="auto"/>
    <w:pitch w:val="default"/>
    <w:sig w:usb0="00000001" w:usb1="08000000" w:usb2="00000000" w:usb3="00000000" w:csb0="00040000" w:csb1="00000000"/>
    <w:embedRegular r:id="rId6" w:fontKey="{A21F49D9-CFB6-4FFE-B694-9262B01BCC41}"/>
  </w:font>
  <w:font w:name="楷体">
    <w:panose1 w:val="02010609060101010101"/>
    <w:charset w:val="86"/>
    <w:family w:val="auto"/>
    <w:pitch w:val="default"/>
    <w:sig w:usb0="800002BF" w:usb1="38CF7CFA" w:usb2="00000016" w:usb3="00000000" w:csb0="00040001" w:csb1="00000000"/>
    <w:embedRegular r:id="rId7" w:fontKey="{C8E67FC0-0A48-43E3-AA51-E9D927CA85E3}"/>
  </w:font>
  <w:font w:name="Wingdings 2">
    <w:panose1 w:val="05020102010507070707"/>
    <w:charset w:val="00"/>
    <w:family w:val="auto"/>
    <w:pitch w:val="default"/>
    <w:sig w:usb0="00000000" w:usb1="00000000" w:usb2="00000000" w:usb3="00000000" w:csb0="80000000" w:csb1="00000000"/>
    <w:embedRegular r:id="rId8" w:fontKey="{3FB2DE8D-3527-499F-8122-DA1712B33CA6}"/>
  </w:font>
  <w:font w:name="方正仿宋_GB2312">
    <w:panose1 w:val="02000000000000000000"/>
    <w:charset w:val="86"/>
    <w:family w:val="auto"/>
    <w:pitch w:val="default"/>
    <w:sig w:usb0="A00002BF" w:usb1="184F6CFA" w:usb2="00000012" w:usb3="00000000" w:csb0="00040001" w:csb1="00000000"/>
    <w:embedRegular r:id="rId9" w:fontKey="{87B3C58E-A6A1-48BA-9D01-FFE725C33D0F}"/>
  </w:font>
  <w:font w:name="方正楷体_GB2312">
    <w:panose1 w:val="02000000000000000000"/>
    <w:charset w:val="86"/>
    <w:family w:val="auto"/>
    <w:pitch w:val="default"/>
    <w:sig w:usb0="A00002BF" w:usb1="184F6CFA" w:usb2="00000012" w:usb3="00000000" w:csb0="00040001" w:csb1="00000000"/>
    <w:embedRegular r:id="rId10" w:fontKey="{B622D2C3-13C5-4F73-A500-3EAC5C56B18F}"/>
  </w:font>
  <w:font w:name="宋体-18030">
    <w:altName w:val="宋体"/>
    <w:panose1 w:val="00000000000000000000"/>
    <w:charset w:val="86"/>
    <w:family w:val="modern"/>
    <w:pitch w:val="default"/>
    <w:sig w:usb0="00000000" w:usb1="00000000" w:usb2="000A005E" w:usb3="00000000" w:csb0="00040001" w:csb1="00000000"/>
    <w:embedRegular r:id="rId11" w:fontKey="{4880C228-07EE-4D32-88E1-50800C311B0F}"/>
  </w:font>
  <w:font w:name="华文细黑">
    <w:altName w:val="微软雅黑"/>
    <w:panose1 w:val="02010600040101010101"/>
    <w:charset w:val="7A"/>
    <w:family w:val="auto"/>
    <w:pitch w:val="default"/>
    <w:sig w:usb0="00000000" w:usb1="00000000" w:usb2="00000000" w:usb3="00000000" w:csb0="0004009F" w:csb1="DFD70000"/>
    <w:embedRegular r:id="rId12" w:fontKey="{43C2BF36-97FF-4FD7-AF45-C0D7FDFEC6CF}"/>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A12FE">
    <w:pPr>
      <w:pStyle w:val="11"/>
      <w:jc w:val="center"/>
    </w:pPr>
    <w:r>
      <w:fldChar w:fldCharType="begin"/>
    </w:r>
    <w:r>
      <w:instrText xml:space="preserve">PAGE   \* MERGEFORMAT</w:instrText>
    </w:r>
    <w:r>
      <w:fldChar w:fldCharType="separate"/>
    </w:r>
    <w:r>
      <w:rPr>
        <w:lang w:val="zh-CN"/>
      </w:rPr>
      <w:t>1</w:t>
    </w:r>
    <w:r>
      <w:fldChar w:fldCharType="end"/>
    </w:r>
  </w:p>
  <w:p w14:paraId="6C9BE93F">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6C7B598">
                          <w:pPr>
                            <w:pStyle w:val="11"/>
                          </w:pPr>
                          <w:r>
                            <w:fldChar w:fldCharType="begin"/>
                          </w:r>
                          <w:r>
                            <w:instrText xml:space="preserve"> PAGE  \* MERGEFORMAT </w:instrText>
                          </w:r>
                          <w:r>
                            <w:fldChar w:fldCharType="separate"/>
                          </w:r>
                          <w:r>
                            <w:t>- 29 -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76C7B598">
                    <w:pPr>
                      <w:pStyle w:val="11"/>
                    </w:pPr>
                    <w:r>
                      <w:fldChar w:fldCharType="begin"/>
                    </w:r>
                    <w:r>
                      <w:instrText xml:space="preserve"> PAGE  \* MERGEFORMAT </w:instrText>
                    </w:r>
                    <w:r>
                      <w:fldChar w:fldCharType="separate"/>
                    </w:r>
                    <w:r>
                      <w:t>- 29 -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1A219">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40224D"/>
    <w:rsid w:val="00733B0B"/>
    <w:rsid w:val="00764376"/>
    <w:rsid w:val="00796B76"/>
    <w:rsid w:val="00850CC0"/>
    <w:rsid w:val="00B00F2F"/>
    <w:rsid w:val="00FF308E"/>
    <w:rsid w:val="01180B1A"/>
    <w:rsid w:val="011959AD"/>
    <w:rsid w:val="011E6004"/>
    <w:rsid w:val="0145105E"/>
    <w:rsid w:val="01656AFA"/>
    <w:rsid w:val="018C519F"/>
    <w:rsid w:val="019846E3"/>
    <w:rsid w:val="01B6046E"/>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839EA"/>
    <w:rsid w:val="03696450"/>
    <w:rsid w:val="038E65F9"/>
    <w:rsid w:val="03C10800"/>
    <w:rsid w:val="03C96DCC"/>
    <w:rsid w:val="03FB71CD"/>
    <w:rsid w:val="04005BB6"/>
    <w:rsid w:val="04127BBC"/>
    <w:rsid w:val="041515CF"/>
    <w:rsid w:val="041A5F1A"/>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4FF2195"/>
    <w:rsid w:val="050252F6"/>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86A37"/>
    <w:rsid w:val="06BF2153"/>
    <w:rsid w:val="06D375E0"/>
    <w:rsid w:val="06D9502E"/>
    <w:rsid w:val="06E329B2"/>
    <w:rsid w:val="06EB4F76"/>
    <w:rsid w:val="06ED1728"/>
    <w:rsid w:val="06F81D74"/>
    <w:rsid w:val="074267A8"/>
    <w:rsid w:val="07462294"/>
    <w:rsid w:val="074A7C93"/>
    <w:rsid w:val="07666E00"/>
    <w:rsid w:val="07723470"/>
    <w:rsid w:val="077965A7"/>
    <w:rsid w:val="07832BA1"/>
    <w:rsid w:val="07972327"/>
    <w:rsid w:val="07A85930"/>
    <w:rsid w:val="07EE56D8"/>
    <w:rsid w:val="07F14ED8"/>
    <w:rsid w:val="07F65A68"/>
    <w:rsid w:val="081608A9"/>
    <w:rsid w:val="083726B7"/>
    <w:rsid w:val="08554A0D"/>
    <w:rsid w:val="08563EE1"/>
    <w:rsid w:val="086D3DA1"/>
    <w:rsid w:val="08774BE1"/>
    <w:rsid w:val="088F5820"/>
    <w:rsid w:val="08903F11"/>
    <w:rsid w:val="08932D8F"/>
    <w:rsid w:val="08B056B6"/>
    <w:rsid w:val="08E13E13"/>
    <w:rsid w:val="08ED571D"/>
    <w:rsid w:val="08F53A28"/>
    <w:rsid w:val="0922447E"/>
    <w:rsid w:val="0926237D"/>
    <w:rsid w:val="092D0C4C"/>
    <w:rsid w:val="09434CDD"/>
    <w:rsid w:val="096213E6"/>
    <w:rsid w:val="09641BD1"/>
    <w:rsid w:val="0967298A"/>
    <w:rsid w:val="098F4C8F"/>
    <w:rsid w:val="099948FD"/>
    <w:rsid w:val="09A71C3D"/>
    <w:rsid w:val="09AF2C22"/>
    <w:rsid w:val="09B32D8C"/>
    <w:rsid w:val="09C37FE6"/>
    <w:rsid w:val="09D236A1"/>
    <w:rsid w:val="09DB25D9"/>
    <w:rsid w:val="09DF226A"/>
    <w:rsid w:val="09E87633"/>
    <w:rsid w:val="09EC69D2"/>
    <w:rsid w:val="09FD66D9"/>
    <w:rsid w:val="0A074254"/>
    <w:rsid w:val="0A0D7099"/>
    <w:rsid w:val="0A3B332D"/>
    <w:rsid w:val="0A3E36F7"/>
    <w:rsid w:val="0A466107"/>
    <w:rsid w:val="0A500304"/>
    <w:rsid w:val="0A5234C1"/>
    <w:rsid w:val="0A704DEE"/>
    <w:rsid w:val="0A801619"/>
    <w:rsid w:val="0A8B5261"/>
    <w:rsid w:val="0A8E5075"/>
    <w:rsid w:val="0AA913FB"/>
    <w:rsid w:val="0AAE6B76"/>
    <w:rsid w:val="0AB37F43"/>
    <w:rsid w:val="0AB930A2"/>
    <w:rsid w:val="0ADD0DF0"/>
    <w:rsid w:val="0AE86877"/>
    <w:rsid w:val="0AEB40E8"/>
    <w:rsid w:val="0B0A404A"/>
    <w:rsid w:val="0B0E131B"/>
    <w:rsid w:val="0B416906"/>
    <w:rsid w:val="0B5D1C2A"/>
    <w:rsid w:val="0B685C3C"/>
    <w:rsid w:val="0B7202E7"/>
    <w:rsid w:val="0B923CFA"/>
    <w:rsid w:val="0B991D46"/>
    <w:rsid w:val="0B9F686D"/>
    <w:rsid w:val="0BDE31B0"/>
    <w:rsid w:val="0C0D5702"/>
    <w:rsid w:val="0C110CA2"/>
    <w:rsid w:val="0C773477"/>
    <w:rsid w:val="0C873133"/>
    <w:rsid w:val="0C9F113B"/>
    <w:rsid w:val="0CD3448B"/>
    <w:rsid w:val="0CDD3F24"/>
    <w:rsid w:val="0CF072F3"/>
    <w:rsid w:val="0D1336AF"/>
    <w:rsid w:val="0D2466BD"/>
    <w:rsid w:val="0D3A1668"/>
    <w:rsid w:val="0D5C2246"/>
    <w:rsid w:val="0D5E3DDF"/>
    <w:rsid w:val="0D6A3C45"/>
    <w:rsid w:val="0D7F3B4D"/>
    <w:rsid w:val="0D84383E"/>
    <w:rsid w:val="0DA13B17"/>
    <w:rsid w:val="0DA277FF"/>
    <w:rsid w:val="0DB22432"/>
    <w:rsid w:val="0DB8057F"/>
    <w:rsid w:val="0DC57869"/>
    <w:rsid w:val="0DD331D8"/>
    <w:rsid w:val="0DD34156"/>
    <w:rsid w:val="0DDB677F"/>
    <w:rsid w:val="0E093A81"/>
    <w:rsid w:val="0E1201C4"/>
    <w:rsid w:val="0E35096D"/>
    <w:rsid w:val="0E3C08A3"/>
    <w:rsid w:val="0E626142"/>
    <w:rsid w:val="0E6D3EE4"/>
    <w:rsid w:val="0E8168AC"/>
    <w:rsid w:val="0E9601D9"/>
    <w:rsid w:val="0EA16002"/>
    <w:rsid w:val="0EAC50D3"/>
    <w:rsid w:val="0EBD2E3C"/>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2DF6"/>
    <w:rsid w:val="10D35E97"/>
    <w:rsid w:val="110805BA"/>
    <w:rsid w:val="11114551"/>
    <w:rsid w:val="112269D1"/>
    <w:rsid w:val="11356135"/>
    <w:rsid w:val="11800917"/>
    <w:rsid w:val="118955AD"/>
    <w:rsid w:val="11970BCB"/>
    <w:rsid w:val="1197226B"/>
    <w:rsid w:val="11AA0839"/>
    <w:rsid w:val="11BC705C"/>
    <w:rsid w:val="11C42470"/>
    <w:rsid w:val="11C71895"/>
    <w:rsid w:val="11CD444A"/>
    <w:rsid w:val="11E2334D"/>
    <w:rsid w:val="11EE77B0"/>
    <w:rsid w:val="11F058CE"/>
    <w:rsid w:val="11FC3F3B"/>
    <w:rsid w:val="12445622"/>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143273"/>
    <w:rsid w:val="142B5FE2"/>
    <w:rsid w:val="143F42B4"/>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5A7AD3"/>
    <w:rsid w:val="158374C1"/>
    <w:rsid w:val="1585362D"/>
    <w:rsid w:val="15A62ECC"/>
    <w:rsid w:val="15B14179"/>
    <w:rsid w:val="15C516BD"/>
    <w:rsid w:val="160475A2"/>
    <w:rsid w:val="160F71A0"/>
    <w:rsid w:val="162304BC"/>
    <w:rsid w:val="166266B1"/>
    <w:rsid w:val="16932BF5"/>
    <w:rsid w:val="169528F0"/>
    <w:rsid w:val="16C724D4"/>
    <w:rsid w:val="16D411E7"/>
    <w:rsid w:val="16ED0036"/>
    <w:rsid w:val="170756D4"/>
    <w:rsid w:val="170F4587"/>
    <w:rsid w:val="176115DC"/>
    <w:rsid w:val="176D7525"/>
    <w:rsid w:val="17824660"/>
    <w:rsid w:val="178F2FF8"/>
    <w:rsid w:val="179121FE"/>
    <w:rsid w:val="17915931"/>
    <w:rsid w:val="17C41ABF"/>
    <w:rsid w:val="17EE4066"/>
    <w:rsid w:val="18057602"/>
    <w:rsid w:val="18175D56"/>
    <w:rsid w:val="18276B10"/>
    <w:rsid w:val="18695DE3"/>
    <w:rsid w:val="18930C59"/>
    <w:rsid w:val="189B5F22"/>
    <w:rsid w:val="18A70256"/>
    <w:rsid w:val="18A944F8"/>
    <w:rsid w:val="18B73074"/>
    <w:rsid w:val="18DA76F1"/>
    <w:rsid w:val="19034C2D"/>
    <w:rsid w:val="1916127C"/>
    <w:rsid w:val="19292616"/>
    <w:rsid w:val="193D465D"/>
    <w:rsid w:val="193D4E12"/>
    <w:rsid w:val="196C6238"/>
    <w:rsid w:val="198A59D6"/>
    <w:rsid w:val="19A73D74"/>
    <w:rsid w:val="19AA5416"/>
    <w:rsid w:val="19CE7FF6"/>
    <w:rsid w:val="19D70C6D"/>
    <w:rsid w:val="19E2271F"/>
    <w:rsid w:val="1A075570"/>
    <w:rsid w:val="1A1C623A"/>
    <w:rsid w:val="1A270D5F"/>
    <w:rsid w:val="1A4D4CED"/>
    <w:rsid w:val="1A6E148E"/>
    <w:rsid w:val="1A797469"/>
    <w:rsid w:val="1A8850B8"/>
    <w:rsid w:val="1A9B5FFB"/>
    <w:rsid w:val="1AA066C8"/>
    <w:rsid w:val="1ABF2F84"/>
    <w:rsid w:val="1ADB0B95"/>
    <w:rsid w:val="1AF80851"/>
    <w:rsid w:val="1B0361BC"/>
    <w:rsid w:val="1B116412"/>
    <w:rsid w:val="1B262D26"/>
    <w:rsid w:val="1B2670F4"/>
    <w:rsid w:val="1B2D1E19"/>
    <w:rsid w:val="1B2D7FD6"/>
    <w:rsid w:val="1B3A5220"/>
    <w:rsid w:val="1B3B258E"/>
    <w:rsid w:val="1B495259"/>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30441"/>
    <w:rsid w:val="1C6E241C"/>
    <w:rsid w:val="1CB07DF9"/>
    <w:rsid w:val="1CC3681B"/>
    <w:rsid w:val="1CF251D3"/>
    <w:rsid w:val="1CFF3217"/>
    <w:rsid w:val="1D01483C"/>
    <w:rsid w:val="1D097B94"/>
    <w:rsid w:val="1D0C3E62"/>
    <w:rsid w:val="1D1D0D81"/>
    <w:rsid w:val="1D5835F0"/>
    <w:rsid w:val="1D594678"/>
    <w:rsid w:val="1D8C5045"/>
    <w:rsid w:val="1D9244F8"/>
    <w:rsid w:val="1D931CEA"/>
    <w:rsid w:val="1DC177D9"/>
    <w:rsid w:val="1E1A236E"/>
    <w:rsid w:val="1E225BB3"/>
    <w:rsid w:val="1E2A6113"/>
    <w:rsid w:val="1E2D212B"/>
    <w:rsid w:val="1E2E6E13"/>
    <w:rsid w:val="1E32182A"/>
    <w:rsid w:val="1E454BFC"/>
    <w:rsid w:val="1E5A61EE"/>
    <w:rsid w:val="1E6A55EE"/>
    <w:rsid w:val="1E713E2F"/>
    <w:rsid w:val="1E980FE4"/>
    <w:rsid w:val="1EA573D8"/>
    <w:rsid w:val="1EA77665"/>
    <w:rsid w:val="1EB0513B"/>
    <w:rsid w:val="1EB72F76"/>
    <w:rsid w:val="1EC10726"/>
    <w:rsid w:val="1EE36B2C"/>
    <w:rsid w:val="1EF342CB"/>
    <w:rsid w:val="1F020A44"/>
    <w:rsid w:val="1F041BC7"/>
    <w:rsid w:val="1F127B09"/>
    <w:rsid w:val="1F2354C8"/>
    <w:rsid w:val="1F2C3C4B"/>
    <w:rsid w:val="1F36160E"/>
    <w:rsid w:val="1F387C9B"/>
    <w:rsid w:val="1F3F33F9"/>
    <w:rsid w:val="1F5D00BF"/>
    <w:rsid w:val="1F640255"/>
    <w:rsid w:val="1F671677"/>
    <w:rsid w:val="1F722047"/>
    <w:rsid w:val="1F7317C2"/>
    <w:rsid w:val="1F904945"/>
    <w:rsid w:val="1FA60EFB"/>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B41BC5"/>
    <w:rsid w:val="20D658C9"/>
    <w:rsid w:val="20D95B5B"/>
    <w:rsid w:val="20DC2416"/>
    <w:rsid w:val="20DE6C42"/>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5163A"/>
    <w:rsid w:val="21A61686"/>
    <w:rsid w:val="21B56BEB"/>
    <w:rsid w:val="21C13A32"/>
    <w:rsid w:val="221C4EF2"/>
    <w:rsid w:val="22270787"/>
    <w:rsid w:val="224D73DD"/>
    <w:rsid w:val="22592601"/>
    <w:rsid w:val="22603DB2"/>
    <w:rsid w:val="226D7B83"/>
    <w:rsid w:val="227301D5"/>
    <w:rsid w:val="2293123C"/>
    <w:rsid w:val="22A570EC"/>
    <w:rsid w:val="232E56FD"/>
    <w:rsid w:val="233F5F96"/>
    <w:rsid w:val="235F4D23"/>
    <w:rsid w:val="236D4028"/>
    <w:rsid w:val="238A4DFC"/>
    <w:rsid w:val="24226CC5"/>
    <w:rsid w:val="24312A4A"/>
    <w:rsid w:val="244A5E9A"/>
    <w:rsid w:val="244C4BB8"/>
    <w:rsid w:val="246851A0"/>
    <w:rsid w:val="24691193"/>
    <w:rsid w:val="246C3A46"/>
    <w:rsid w:val="247152E7"/>
    <w:rsid w:val="249E48F8"/>
    <w:rsid w:val="24FF7718"/>
    <w:rsid w:val="251A7612"/>
    <w:rsid w:val="25237A22"/>
    <w:rsid w:val="252E0774"/>
    <w:rsid w:val="25481BCE"/>
    <w:rsid w:val="256E1E26"/>
    <w:rsid w:val="25812F8D"/>
    <w:rsid w:val="25814DB7"/>
    <w:rsid w:val="25824959"/>
    <w:rsid w:val="25902676"/>
    <w:rsid w:val="25987A23"/>
    <w:rsid w:val="25BC160E"/>
    <w:rsid w:val="25BC46FF"/>
    <w:rsid w:val="25C517A2"/>
    <w:rsid w:val="25EF41EA"/>
    <w:rsid w:val="25F5789E"/>
    <w:rsid w:val="25FD6A72"/>
    <w:rsid w:val="2608561B"/>
    <w:rsid w:val="26196938"/>
    <w:rsid w:val="26261861"/>
    <w:rsid w:val="26301CEE"/>
    <w:rsid w:val="26382AAC"/>
    <w:rsid w:val="26506FAD"/>
    <w:rsid w:val="26656277"/>
    <w:rsid w:val="26663117"/>
    <w:rsid w:val="26745106"/>
    <w:rsid w:val="267771CA"/>
    <w:rsid w:val="26807144"/>
    <w:rsid w:val="26851ABB"/>
    <w:rsid w:val="268A362E"/>
    <w:rsid w:val="269560EE"/>
    <w:rsid w:val="26AF686C"/>
    <w:rsid w:val="26CA60FC"/>
    <w:rsid w:val="26D16018"/>
    <w:rsid w:val="26DB3228"/>
    <w:rsid w:val="26DF6074"/>
    <w:rsid w:val="26E05716"/>
    <w:rsid w:val="26EB2B3D"/>
    <w:rsid w:val="26FE679C"/>
    <w:rsid w:val="27221F7E"/>
    <w:rsid w:val="27301EDB"/>
    <w:rsid w:val="27453115"/>
    <w:rsid w:val="276C029F"/>
    <w:rsid w:val="27867E0A"/>
    <w:rsid w:val="27871DE1"/>
    <w:rsid w:val="27982DD4"/>
    <w:rsid w:val="27DD09CE"/>
    <w:rsid w:val="27EC553C"/>
    <w:rsid w:val="280C4BFC"/>
    <w:rsid w:val="2813394B"/>
    <w:rsid w:val="281C1F63"/>
    <w:rsid w:val="281C54D8"/>
    <w:rsid w:val="283610D5"/>
    <w:rsid w:val="285F5293"/>
    <w:rsid w:val="28622D71"/>
    <w:rsid w:val="286E69FD"/>
    <w:rsid w:val="28760EC1"/>
    <w:rsid w:val="28A10C81"/>
    <w:rsid w:val="28C56178"/>
    <w:rsid w:val="28FA546B"/>
    <w:rsid w:val="28FE025E"/>
    <w:rsid w:val="29245F1A"/>
    <w:rsid w:val="29366359"/>
    <w:rsid w:val="294066EC"/>
    <w:rsid w:val="29586D7A"/>
    <w:rsid w:val="29772B51"/>
    <w:rsid w:val="29791894"/>
    <w:rsid w:val="2984235F"/>
    <w:rsid w:val="29967FD2"/>
    <w:rsid w:val="29A52D8F"/>
    <w:rsid w:val="29C55D89"/>
    <w:rsid w:val="29C56C3A"/>
    <w:rsid w:val="29D85278"/>
    <w:rsid w:val="29E1380C"/>
    <w:rsid w:val="29E85046"/>
    <w:rsid w:val="2A017BFD"/>
    <w:rsid w:val="2A0A71F8"/>
    <w:rsid w:val="2A4913A2"/>
    <w:rsid w:val="2A9154D8"/>
    <w:rsid w:val="2AA04C57"/>
    <w:rsid w:val="2AD750C3"/>
    <w:rsid w:val="2AE77D08"/>
    <w:rsid w:val="2AE92F98"/>
    <w:rsid w:val="2AEA3011"/>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A174A1"/>
    <w:rsid w:val="2CB62598"/>
    <w:rsid w:val="2CBC136A"/>
    <w:rsid w:val="2CC367B6"/>
    <w:rsid w:val="2CD23AFF"/>
    <w:rsid w:val="2CD47877"/>
    <w:rsid w:val="2CFE607B"/>
    <w:rsid w:val="2D095409"/>
    <w:rsid w:val="2D3A3199"/>
    <w:rsid w:val="2D4B38E7"/>
    <w:rsid w:val="2D5470D9"/>
    <w:rsid w:val="2D551303"/>
    <w:rsid w:val="2D772574"/>
    <w:rsid w:val="2D80355B"/>
    <w:rsid w:val="2D8D31B7"/>
    <w:rsid w:val="2D8D5835"/>
    <w:rsid w:val="2DAB1C25"/>
    <w:rsid w:val="2DCC12FC"/>
    <w:rsid w:val="2DD66E3A"/>
    <w:rsid w:val="2DF17D73"/>
    <w:rsid w:val="2E652B8E"/>
    <w:rsid w:val="2E66167A"/>
    <w:rsid w:val="2E6C7EF1"/>
    <w:rsid w:val="2E6D69DB"/>
    <w:rsid w:val="2E6F6584"/>
    <w:rsid w:val="2E762194"/>
    <w:rsid w:val="2E7823B0"/>
    <w:rsid w:val="2E933BCE"/>
    <w:rsid w:val="2E9C6490"/>
    <w:rsid w:val="2EA109C3"/>
    <w:rsid w:val="2EA40069"/>
    <w:rsid w:val="2EAA3B87"/>
    <w:rsid w:val="2EB66E96"/>
    <w:rsid w:val="2EBC23A0"/>
    <w:rsid w:val="2EFA0191"/>
    <w:rsid w:val="2F436846"/>
    <w:rsid w:val="2F4556CE"/>
    <w:rsid w:val="2F6F3C93"/>
    <w:rsid w:val="2F754A27"/>
    <w:rsid w:val="2FB1448A"/>
    <w:rsid w:val="2FC802AE"/>
    <w:rsid w:val="2FDB042D"/>
    <w:rsid w:val="30030473"/>
    <w:rsid w:val="301C41BF"/>
    <w:rsid w:val="30203591"/>
    <w:rsid w:val="302369A0"/>
    <w:rsid w:val="303474C0"/>
    <w:rsid w:val="305C41A9"/>
    <w:rsid w:val="307C26FF"/>
    <w:rsid w:val="30820205"/>
    <w:rsid w:val="308E41B5"/>
    <w:rsid w:val="30952C59"/>
    <w:rsid w:val="30FF4D69"/>
    <w:rsid w:val="310E5321"/>
    <w:rsid w:val="3113559B"/>
    <w:rsid w:val="311978DB"/>
    <w:rsid w:val="31230DCD"/>
    <w:rsid w:val="312421F6"/>
    <w:rsid w:val="3127420C"/>
    <w:rsid w:val="31477BEB"/>
    <w:rsid w:val="315523B1"/>
    <w:rsid w:val="3198056E"/>
    <w:rsid w:val="31A00DEF"/>
    <w:rsid w:val="31CC2E69"/>
    <w:rsid w:val="31CD31BF"/>
    <w:rsid w:val="31D72AD0"/>
    <w:rsid w:val="31E10F55"/>
    <w:rsid w:val="31F664E1"/>
    <w:rsid w:val="320B7F80"/>
    <w:rsid w:val="3219008D"/>
    <w:rsid w:val="32215B79"/>
    <w:rsid w:val="322241F2"/>
    <w:rsid w:val="3229379D"/>
    <w:rsid w:val="32294133"/>
    <w:rsid w:val="322D5AFA"/>
    <w:rsid w:val="32514C44"/>
    <w:rsid w:val="32867865"/>
    <w:rsid w:val="328916BE"/>
    <w:rsid w:val="32974C7A"/>
    <w:rsid w:val="329B4FCB"/>
    <w:rsid w:val="32B23857"/>
    <w:rsid w:val="32BB4ABE"/>
    <w:rsid w:val="32C8549C"/>
    <w:rsid w:val="32CA16D9"/>
    <w:rsid w:val="32E83928"/>
    <w:rsid w:val="32F45590"/>
    <w:rsid w:val="331C19F3"/>
    <w:rsid w:val="331F55C4"/>
    <w:rsid w:val="33380434"/>
    <w:rsid w:val="33577373"/>
    <w:rsid w:val="336A419B"/>
    <w:rsid w:val="336A59CC"/>
    <w:rsid w:val="33773188"/>
    <w:rsid w:val="337E77C9"/>
    <w:rsid w:val="338F53C2"/>
    <w:rsid w:val="33925662"/>
    <w:rsid w:val="339B7AA1"/>
    <w:rsid w:val="33B7637D"/>
    <w:rsid w:val="33D4661F"/>
    <w:rsid w:val="33ED39C2"/>
    <w:rsid w:val="340F56DE"/>
    <w:rsid w:val="342235B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D722FA"/>
    <w:rsid w:val="35E7387F"/>
    <w:rsid w:val="35E81F7A"/>
    <w:rsid w:val="35EF4AF5"/>
    <w:rsid w:val="35F52BF3"/>
    <w:rsid w:val="360530D8"/>
    <w:rsid w:val="3605698A"/>
    <w:rsid w:val="36162F1C"/>
    <w:rsid w:val="362A49AB"/>
    <w:rsid w:val="363277D2"/>
    <w:rsid w:val="366244D5"/>
    <w:rsid w:val="368045CB"/>
    <w:rsid w:val="36A82C1D"/>
    <w:rsid w:val="36B34449"/>
    <w:rsid w:val="36C20165"/>
    <w:rsid w:val="36C342D9"/>
    <w:rsid w:val="370F2E93"/>
    <w:rsid w:val="370F32ED"/>
    <w:rsid w:val="374E35E0"/>
    <w:rsid w:val="37560CC6"/>
    <w:rsid w:val="377C2FE5"/>
    <w:rsid w:val="378D0CEB"/>
    <w:rsid w:val="379A026D"/>
    <w:rsid w:val="37A2207E"/>
    <w:rsid w:val="37A2434F"/>
    <w:rsid w:val="37DC1CD5"/>
    <w:rsid w:val="37ED6D6E"/>
    <w:rsid w:val="37FB65FF"/>
    <w:rsid w:val="380C3B20"/>
    <w:rsid w:val="381039F4"/>
    <w:rsid w:val="381B27FE"/>
    <w:rsid w:val="38422CE2"/>
    <w:rsid w:val="38464281"/>
    <w:rsid w:val="386E21B0"/>
    <w:rsid w:val="388D4D7E"/>
    <w:rsid w:val="38AE496C"/>
    <w:rsid w:val="38B54D45"/>
    <w:rsid w:val="38C74734"/>
    <w:rsid w:val="38D242CD"/>
    <w:rsid w:val="392E6561"/>
    <w:rsid w:val="393E0C7A"/>
    <w:rsid w:val="39470BCD"/>
    <w:rsid w:val="39821F75"/>
    <w:rsid w:val="398B5520"/>
    <w:rsid w:val="398C3DB7"/>
    <w:rsid w:val="39AB6275"/>
    <w:rsid w:val="39E17621"/>
    <w:rsid w:val="39F227B1"/>
    <w:rsid w:val="3A002A5F"/>
    <w:rsid w:val="3A151290"/>
    <w:rsid w:val="3A201663"/>
    <w:rsid w:val="3A257964"/>
    <w:rsid w:val="3A292038"/>
    <w:rsid w:val="3A3A2CE3"/>
    <w:rsid w:val="3A4A1178"/>
    <w:rsid w:val="3A524E6B"/>
    <w:rsid w:val="3A762A49"/>
    <w:rsid w:val="3A826354"/>
    <w:rsid w:val="3A9D28F5"/>
    <w:rsid w:val="3ACD43C9"/>
    <w:rsid w:val="3AEF56B0"/>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6744A"/>
    <w:rsid w:val="3C2E50FB"/>
    <w:rsid w:val="3C37637A"/>
    <w:rsid w:val="3C4A12AD"/>
    <w:rsid w:val="3C5125FC"/>
    <w:rsid w:val="3C690ECB"/>
    <w:rsid w:val="3C7F70D3"/>
    <w:rsid w:val="3C860AC6"/>
    <w:rsid w:val="3C8967A4"/>
    <w:rsid w:val="3C960BC8"/>
    <w:rsid w:val="3C9848A1"/>
    <w:rsid w:val="3CA509B7"/>
    <w:rsid w:val="3CA509D1"/>
    <w:rsid w:val="3CB01BD3"/>
    <w:rsid w:val="3CD537E6"/>
    <w:rsid w:val="3CD93879"/>
    <w:rsid w:val="3CE75508"/>
    <w:rsid w:val="3D2571D3"/>
    <w:rsid w:val="3D471C3E"/>
    <w:rsid w:val="3D7A2818"/>
    <w:rsid w:val="3D8106EA"/>
    <w:rsid w:val="3D834DF8"/>
    <w:rsid w:val="3D8B5E25"/>
    <w:rsid w:val="3DA352B1"/>
    <w:rsid w:val="3DBA61E7"/>
    <w:rsid w:val="3DC14624"/>
    <w:rsid w:val="3DD55956"/>
    <w:rsid w:val="3E03273F"/>
    <w:rsid w:val="3E100FFC"/>
    <w:rsid w:val="3E201534"/>
    <w:rsid w:val="3E3363C7"/>
    <w:rsid w:val="3E651EE9"/>
    <w:rsid w:val="3E784A78"/>
    <w:rsid w:val="3E8554F5"/>
    <w:rsid w:val="3EB65E71"/>
    <w:rsid w:val="3EC314F9"/>
    <w:rsid w:val="3EC33032"/>
    <w:rsid w:val="3EC61DB3"/>
    <w:rsid w:val="3EE33056"/>
    <w:rsid w:val="3EF47905"/>
    <w:rsid w:val="3EF62661"/>
    <w:rsid w:val="3F3C595E"/>
    <w:rsid w:val="3F59346C"/>
    <w:rsid w:val="3F657308"/>
    <w:rsid w:val="3F7856B5"/>
    <w:rsid w:val="3F7970EE"/>
    <w:rsid w:val="3F8003ED"/>
    <w:rsid w:val="3F8B5F41"/>
    <w:rsid w:val="3FB13A48"/>
    <w:rsid w:val="3FC519F7"/>
    <w:rsid w:val="3FD0326B"/>
    <w:rsid w:val="3FD34D1A"/>
    <w:rsid w:val="3FE03B95"/>
    <w:rsid w:val="3FED63B1"/>
    <w:rsid w:val="40031733"/>
    <w:rsid w:val="40076D3D"/>
    <w:rsid w:val="401F65F0"/>
    <w:rsid w:val="4033445D"/>
    <w:rsid w:val="404470DB"/>
    <w:rsid w:val="40464190"/>
    <w:rsid w:val="404C2292"/>
    <w:rsid w:val="405D572D"/>
    <w:rsid w:val="40860A30"/>
    <w:rsid w:val="408D1EA0"/>
    <w:rsid w:val="408E2DBF"/>
    <w:rsid w:val="409D2A1A"/>
    <w:rsid w:val="40A752D1"/>
    <w:rsid w:val="40B21FB5"/>
    <w:rsid w:val="40B95E2E"/>
    <w:rsid w:val="40C17F9E"/>
    <w:rsid w:val="40C43B66"/>
    <w:rsid w:val="40E247F7"/>
    <w:rsid w:val="40EE5966"/>
    <w:rsid w:val="410F1967"/>
    <w:rsid w:val="41182A7C"/>
    <w:rsid w:val="41322966"/>
    <w:rsid w:val="41335FC7"/>
    <w:rsid w:val="414D59F2"/>
    <w:rsid w:val="415978C8"/>
    <w:rsid w:val="415C1B4D"/>
    <w:rsid w:val="417843F2"/>
    <w:rsid w:val="41807B75"/>
    <w:rsid w:val="418A1799"/>
    <w:rsid w:val="41A61C3F"/>
    <w:rsid w:val="41B17185"/>
    <w:rsid w:val="41DB6A6F"/>
    <w:rsid w:val="41F05895"/>
    <w:rsid w:val="420A5691"/>
    <w:rsid w:val="420C70DA"/>
    <w:rsid w:val="420F4A55"/>
    <w:rsid w:val="4226611D"/>
    <w:rsid w:val="423B715F"/>
    <w:rsid w:val="425402BB"/>
    <w:rsid w:val="42564ADA"/>
    <w:rsid w:val="425D6E2C"/>
    <w:rsid w:val="425D7EB7"/>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BD26D0"/>
    <w:rsid w:val="43FD7280"/>
    <w:rsid w:val="441532B2"/>
    <w:rsid w:val="441C5686"/>
    <w:rsid w:val="441E55BD"/>
    <w:rsid w:val="442C59F4"/>
    <w:rsid w:val="442C5CE7"/>
    <w:rsid w:val="443F7EE3"/>
    <w:rsid w:val="44477A7A"/>
    <w:rsid w:val="445A5900"/>
    <w:rsid w:val="44775FA6"/>
    <w:rsid w:val="44831552"/>
    <w:rsid w:val="44A72CB4"/>
    <w:rsid w:val="44DC0CFE"/>
    <w:rsid w:val="44DC4FCA"/>
    <w:rsid w:val="44FC7513"/>
    <w:rsid w:val="44FD1C6D"/>
    <w:rsid w:val="45245377"/>
    <w:rsid w:val="453F207E"/>
    <w:rsid w:val="454276A8"/>
    <w:rsid w:val="45465AD9"/>
    <w:rsid w:val="457C4AF8"/>
    <w:rsid w:val="45A100BA"/>
    <w:rsid w:val="45A31600"/>
    <w:rsid w:val="45E526C2"/>
    <w:rsid w:val="45E81B6F"/>
    <w:rsid w:val="45EF5694"/>
    <w:rsid w:val="45F32D75"/>
    <w:rsid w:val="45FE4441"/>
    <w:rsid w:val="460934CE"/>
    <w:rsid w:val="461F685B"/>
    <w:rsid w:val="463A35BA"/>
    <w:rsid w:val="464478D6"/>
    <w:rsid w:val="46594972"/>
    <w:rsid w:val="46763AFA"/>
    <w:rsid w:val="468B4E27"/>
    <w:rsid w:val="46A86AC5"/>
    <w:rsid w:val="46AF0ACC"/>
    <w:rsid w:val="46BA7686"/>
    <w:rsid w:val="46C04C25"/>
    <w:rsid w:val="46CD2EA3"/>
    <w:rsid w:val="46E33C2A"/>
    <w:rsid w:val="46EB5C2E"/>
    <w:rsid w:val="470E5D4E"/>
    <w:rsid w:val="47191F43"/>
    <w:rsid w:val="471B210D"/>
    <w:rsid w:val="47330BB1"/>
    <w:rsid w:val="474340E1"/>
    <w:rsid w:val="4754737E"/>
    <w:rsid w:val="476E5DEA"/>
    <w:rsid w:val="478D50EB"/>
    <w:rsid w:val="47914A33"/>
    <w:rsid w:val="47947ED7"/>
    <w:rsid w:val="479B0044"/>
    <w:rsid w:val="479C10BC"/>
    <w:rsid w:val="47A4380D"/>
    <w:rsid w:val="47A6297A"/>
    <w:rsid w:val="47B35BF8"/>
    <w:rsid w:val="47C01A50"/>
    <w:rsid w:val="47C041C7"/>
    <w:rsid w:val="47CB4E60"/>
    <w:rsid w:val="47CD1E0C"/>
    <w:rsid w:val="47D964DB"/>
    <w:rsid w:val="47F72214"/>
    <w:rsid w:val="47FC33A5"/>
    <w:rsid w:val="48012A31"/>
    <w:rsid w:val="481D4366"/>
    <w:rsid w:val="484713ED"/>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E53510"/>
    <w:rsid w:val="4AE9678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DE00A28"/>
    <w:rsid w:val="4DE84AD8"/>
    <w:rsid w:val="4E0D09E3"/>
    <w:rsid w:val="4E135BFA"/>
    <w:rsid w:val="4E1B2DDB"/>
    <w:rsid w:val="4E250E8C"/>
    <w:rsid w:val="4E355E12"/>
    <w:rsid w:val="4E50159D"/>
    <w:rsid w:val="4E5D7C3A"/>
    <w:rsid w:val="4E8D762E"/>
    <w:rsid w:val="4E9B1112"/>
    <w:rsid w:val="4EA06365"/>
    <w:rsid w:val="4EA8347A"/>
    <w:rsid w:val="4EBD3915"/>
    <w:rsid w:val="4ECD54B1"/>
    <w:rsid w:val="4ECF5C98"/>
    <w:rsid w:val="4ED4046B"/>
    <w:rsid w:val="4EDF4B15"/>
    <w:rsid w:val="4EF43B16"/>
    <w:rsid w:val="4F0E1E8F"/>
    <w:rsid w:val="4F2B6C13"/>
    <w:rsid w:val="4F3153D3"/>
    <w:rsid w:val="4F5F3ED1"/>
    <w:rsid w:val="4F804E7C"/>
    <w:rsid w:val="4F85516A"/>
    <w:rsid w:val="4F8B6063"/>
    <w:rsid w:val="4F935CFC"/>
    <w:rsid w:val="4F944D8F"/>
    <w:rsid w:val="4FCA5221"/>
    <w:rsid w:val="4FED0FB9"/>
    <w:rsid w:val="4FF57A8C"/>
    <w:rsid w:val="50561719"/>
    <w:rsid w:val="507410D2"/>
    <w:rsid w:val="50A4392E"/>
    <w:rsid w:val="50A97681"/>
    <w:rsid w:val="50AE3B94"/>
    <w:rsid w:val="50AF7418"/>
    <w:rsid w:val="50CA4969"/>
    <w:rsid w:val="50D21A70"/>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44B18"/>
    <w:rsid w:val="518806E3"/>
    <w:rsid w:val="51A1217B"/>
    <w:rsid w:val="51A47CAD"/>
    <w:rsid w:val="51BC2004"/>
    <w:rsid w:val="51C462A1"/>
    <w:rsid w:val="51CB0C5C"/>
    <w:rsid w:val="51CB74F6"/>
    <w:rsid w:val="51D13948"/>
    <w:rsid w:val="51EB5979"/>
    <w:rsid w:val="521A0101"/>
    <w:rsid w:val="52241967"/>
    <w:rsid w:val="52263E21"/>
    <w:rsid w:val="522851B7"/>
    <w:rsid w:val="522D1CB6"/>
    <w:rsid w:val="52444C58"/>
    <w:rsid w:val="5263075C"/>
    <w:rsid w:val="52660A26"/>
    <w:rsid w:val="52717995"/>
    <w:rsid w:val="52815D19"/>
    <w:rsid w:val="528315FB"/>
    <w:rsid w:val="52846D9A"/>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85F18"/>
    <w:rsid w:val="535D3886"/>
    <w:rsid w:val="536C4A63"/>
    <w:rsid w:val="539B26A9"/>
    <w:rsid w:val="53A201DA"/>
    <w:rsid w:val="53B22D34"/>
    <w:rsid w:val="53B6236C"/>
    <w:rsid w:val="53BD6F30"/>
    <w:rsid w:val="540208BE"/>
    <w:rsid w:val="540540F5"/>
    <w:rsid w:val="540B32CF"/>
    <w:rsid w:val="540C7047"/>
    <w:rsid w:val="54231D7C"/>
    <w:rsid w:val="54256C07"/>
    <w:rsid w:val="542913B3"/>
    <w:rsid w:val="543A39C2"/>
    <w:rsid w:val="543F18BA"/>
    <w:rsid w:val="54883400"/>
    <w:rsid w:val="54932F58"/>
    <w:rsid w:val="54A81CB5"/>
    <w:rsid w:val="54C41B11"/>
    <w:rsid w:val="54D2203E"/>
    <w:rsid w:val="55094F55"/>
    <w:rsid w:val="550E49C6"/>
    <w:rsid w:val="55124B31"/>
    <w:rsid w:val="55A47D96"/>
    <w:rsid w:val="55C94049"/>
    <w:rsid w:val="55DA287E"/>
    <w:rsid w:val="55DD1819"/>
    <w:rsid w:val="55EE6DAD"/>
    <w:rsid w:val="56073162"/>
    <w:rsid w:val="5609127C"/>
    <w:rsid w:val="56243B92"/>
    <w:rsid w:val="56336B0D"/>
    <w:rsid w:val="563D619D"/>
    <w:rsid w:val="56413F2B"/>
    <w:rsid w:val="56537C47"/>
    <w:rsid w:val="56A010C0"/>
    <w:rsid w:val="56B96B8E"/>
    <w:rsid w:val="56C747B5"/>
    <w:rsid w:val="56D42684"/>
    <w:rsid w:val="56DD2471"/>
    <w:rsid w:val="56E01510"/>
    <w:rsid w:val="571974A0"/>
    <w:rsid w:val="57210A6D"/>
    <w:rsid w:val="5744214A"/>
    <w:rsid w:val="574B480A"/>
    <w:rsid w:val="57543081"/>
    <w:rsid w:val="57845189"/>
    <w:rsid w:val="5789649C"/>
    <w:rsid w:val="57A373F0"/>
    <w:rsid w:val="57C83C57"/>
    <w:rsid w:val="57F71F3D"/>
    <w:rsid w:val="57FB2FB4"/>
    <w:rsid w:val="582028C2"/>
    <w:rsid w:val="582908A2"/>
    <w:rsid w:val="5835059D"/>
    <w:rsid w:val="583D07DD"/>
    <w:rsid w:val="58490869"/>
    <w:rsid w:val="585F1862"/>
    <w:rsid w:val="58620D26"/>
    <w:rsid w:val="58706FB1"/>
    <w:rsid w:val="587A76E9"/>
    <w:rsid w:val="587C5983"/>
    <w:rsid w:val="58E8415E"/>
    <w:rsid w:val="58ED1995"/>
    <w:rsid w:val="58FF1A45"/>
    <w:rsid w:val="591578E8"/>
    <w:rsid w:val="591C580B"/>
    <w:rsid w:val="5926497A"/>
    <w:rsid w:val="592A1893"/>
    <w:rsid w:val="593F3A1A"/>
    <w:rsid w:val="595D3E12"/>
    <w:rsid w:val="59961EFB"/>
    <w:rsid w:val="59A11353"/>
    <w:rsid w:val="59B40569"/>
    <w:rsid w:val="59FD190B"/>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31C42"/>
    <w:rsid w:val="5B6C0ED6"/>
    <w:rsid w:val="5B6F4CBD"/>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60816"/>
    <w:rsid w:val="5CED3EB9"/>
    <w:rsid w:val="5CEE7B85"/>
    <w:rsid w:val="5CF07506"/>
    <w:rsid w:val="5CF73D69"/>
    <w:rsid w:val="5D202057"/>
    <w:rsid w:val="5D4700C2"/>
    <w:rsid w:val="5D577585"/>
    <w:rsid w:val="5D6C4615"/>
    <w:rsid w:val="5D7C5A81"/>
    <w:rsid w:val="5DD31E8F"/>
    <w:rsid w:val="5DDF2196"/>
    <w:rsid w:val="5DF704AE"/>
    <w:rsid w:val="5DF954B7"/>
    <w:rsid w:val="5DFF05CD"/>
    <w:rsid w:val="5E1672C2"/>
    <w:rsid w:val="5E1B6033"/>
    <w:rsid w:val="5E2612F9"/>
    <w:rsid w:val="5E534129"/>
    <w:rsid w:val="5E6E3C24"/>
    <w:rsid w:val="5E7255BD"/>
    <w:rsid w:val="5E8819C0"/>
    <w:rsid w:val="5E937CCC"/>
    <w:rsid w:val="5EBA601D"/>
    <w:rsid w:val="5EF83794"/>
    <w:rsid w:val="5F0173CC"/>
    <w:rsid w:val="5F1A1A93"/>
    <w:rsid w:val="5F287F7E"/>
    <w:rsid w:val="5F475677"/>
    <w:rsid w:val="5F484198"/>
    <w:rsid w:val="5F540FCF"/>
    <w:rsid w:val="5F567498"/>
    <w:rsid w:val="5F7D71F9"/>
    <w:rsid w:val="5F831162"/>
    <w:rsid w:val="5F8420E2"/>
    <w:rsid w:val="5F8623A3"/>
    <w:rsid w:val="5F887220"/>
    <w:rsid w:val="5F9022AB"/>
    <w:rsid w:val="5FB81E56"/>
    <w:rsid w:val="5FD85FDC"/>
    <w:rsid w:val="5FEA2CB5"/>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81297"/>
    <w:rsid w:val="60DB5486"/>
    <w:rsid w:val="60E82C1A"/>
    <w:rsid w:val="60EC0541"/>
    <w:rsid w:val="60FD245E"/>
    <w:rsid w:val="61033EA8"/>
    <w:rsid w:val="610A1613"/>
    <w:rsid w:val="610B7637"/>
    <w:rsid w:val="610E0DD2"/>
    <w:rsid w:val="61251167"/>
    <w:rsid w:val="613170F5"/>
    <w:rsid w:val="61432D9E"/>
    <w:rsid w:val="61490800"/>
    <w:rsid w:val="61683AEB"/>
    <w:rsid w:val="618A70BC"/>
    <w:rsid w:val="618D5E50"/>
    <w:rsid w:val="61963F6D"/>
    <w:rsid w:val="61BD1F9D"/>
    <w:rsid w:val="61EA093B"/>
    <w:rsid w:val="62024DB4"/>
    <w:rsid w:val="62051CA5"/>
    <w:rsid w:val="62117D72"/>
    <w:rsid w:val="62140656"/>
    <w:rsid w:val="621E68C3"/>
    <w:rsid w:val="62205FAA"/>
    <w:rsid w:val="62210A89"/>
    <w:rsid w:val="62285DB7"/>
    <w:rsid w:val="626857C6"/>
    <w:rsid w:val="626C17E1"/>
    <w:rsid w:val="62923991"/>
    <w:rsid w:val="62966DA1"/>
    <w:rsid w:val="62A3326C"/>
    <w:rsid w:val="62C622F5"/>
    <w:rsid w:val="62D11B87"/>
    <w:rsid w:val="62F20D03"/>
    <w:rsid w:val="62F26EC0"/>
    <w:rsid w:val="62F75B83"/>
    <w:rsid w:val="62FF4946"/>
    <w:rsid w:val="63095375"/>
    <w:rsid w:val="6312135F"/>
    <w:rsid w:val="632A3D0D"/>
    <w:rsid w:val="633443AB"/>
    <w:rsid w:val="63510A38"/>
    <w:rsid w:val="6353750E"/>
    <w:rsid w:val="636B3461"/>
    <w:rsid w:val="638857E1"/>
    <w:rsid w:val="63AB78F4"/>
    <w:rsid w:val="63C642C7"/>
    <w:rsid w:val="63C85688"/>
    <w:rsid w:val="63CD5666"/>
    <w:rsid w:val="63D01EF3"/>
    <w:rsid w:val="63D2038C"/>
    <w:rsid w:val="63E15DFA"/>
    <w:rsid w:val="63E631E1"/>
    <w:rsid w:val="63F66CE6"/>
    <w:rsid w:val="640E7E19"/>
    <w:rsid w:val="642503DD"/>
    <w:rsid w:val="647527CB"/>
    <w:rsid w:val="648A0F84"/>
    <w:rsid w:val="648E4974"/>
    <w:rsid w:val="648F4377"/>
    <w:rsid w:val="64994927"/>
    <w:rsid w:val="649E65A7"/>
    <w:rsid w:val="64B70C4D"/>
    <w:rsid w:val="64D14920"/>
    <w:rsid w:val="64DC3A26"/>
    <w:rsid w:val="64E114C3"/>
    <w:rsid w:val="64EA382F"/>
    <w:rsid w:val="64ED3306"/>
    <w:rsid w:val="65112EA3"/>
    <w:rsid w:val="6511603A"/>
    <w:rsid w:val="652763A9"/>
    <w:rsid w:val="653B0F51"/>
    <w:rsid w:val="65434194"/>
    <w:rsid w:val="65477730"/>
    <w:rsid w:val="65480625"/>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B75538"/>
    <w:rsid w:val="66C95898"/>
    <w:rsid w:val="66F8201A"/>
    <w:rsid w:val="671C5A04"/>
    <w:rsid w:val="6720245A"/>
    <w:rsid w:val="6739092B"/>
    <w:rsid w:val="673F01D2"/>
    <w:rsid w:val="676777C3"/>
    <w:rsid w:val="677D4B8A"/>
    <w:rsid w:val="67802ACE"/>
    <w:rsid w:val="67804B33"/>
    <w:rsid w:val="67963918"/>
    <w:rsid w:val="67C40A09"/>
    <w:rsid w:val="67D020A7"/>
    <w:rsid w:val="67D600B8"/>
    <w:rsid w:val="67E4087E"/>
    <w:rsid w:val="67EC2FBF"/>
    <w:rsid w:val="68106CAE"/>
    <w:rsid w:val="6821192D"/>
    <w:rsid w:val="68337E89"/>
    <w:rsid w:val="68337EE8"/>
    <w:rsid w:val="683A6C76"/>
    <w:rsid w:val="685C5B46"/>
    <w:rsid w:val="686F1486"/>
    <w:rsid w:val="6888718C"/>
    <w:rsid w:val="688C0656"/>
    <w:rsid w:val="68AE1735"/>
    <w:rsid w:val="68B72950"/>
    <w:rsid w:val="68D60630"/>
    <w:rsid w:val="68ED6FEF"/>
    <w:rsid w:val="68F00432"/>
    <w:rsid w:val="68F8555D"/>
    <w:rsid w:val="691D712E"/>
    <w:rsid w:val="697E7396"/>
    <w:rsid w:val="69A009FE"/>
    <w:rsid w:val="69A729C5"/>
    <w:rsid w:val="69BE2739"/>
    <w:rsid w:val="69BF206E"/>
    <w:rsid w:val="69E46DF1"/>
    <w:rsid w:val="69E8174D"/>
    <w:rsid w:val="69EB7655"/>
    <w:rsid w:val="69F66247"/>
    <w:rsid w:val="69F820EF"/>
    <w:rsid w:val="69F86AAF"/>
    <w:rsid w:val="6A0E546F"/>
    <w:rsid w:val="6A1F6154"/>
    <w:rsid w:val="6A2746CC"/>
    <w:rsid w:val="6A4F7CF0"/>
    <w:rsid w:val="6A5517EC"/>
    <w:rsid w:val="6A694BA1"/>
    <w:rsid w:val="6A734205"/>
    <w:rsid w:val="6A804B8C"/>
    <w:rsid w:val="6A995680"/>
    <w:rsid w:val="6ABC3292"/>
    <w:rsid w:val="6AC04F0B"/>
    <w:rsid w:val="6AD34458"/>
    <w:rsid w:val="6ADC4801"/>
    <w:rsid w:val="6ADF25FC"/>
    <w:rsid w:val="6AEF704E"/>
    <w:rsid w:val="6AF01018"/>
    <w:rsid w:val="6B020CD0"/>
    <w:rsid w:val="6B080110"/>
    <w:rsid w:val="6B1148AC"/>
    <w:rsid w:val="6B27444D"/>
    <w:rsid w:val="6B3E0351"/>
    <w:rsid w:val="6B42449D"/>
    <w:rsid w:val="6B4A5562"/>
    <w:rsid w:val="6B565807"/>
    <w:rsid w:val="6B7174EC"/>
    <w:rsid w:val="6B7A369F"/>
    <w:rsid w:val="6BAC2823"/>
    <w:rsid w:val="6BB75236"/>
    <w:rsid w:val="6BBD5024"/>
    <w:rsid w:val="6BF37DF1"/>
    <w:rsid w:val="6BF863D7"/>
    <w:rsid w:val="6C343972"/>
    <w:rsid w:val="6C630CE9"/>
    <w:rsid w:val="6C914CAA"/>
    <w:rsid w:val="6CB57E24"/>
    <w:rsid w:val="6CCC3665"/>
    <w:rsid w:val="6CEC0F34"/>
    <w:rsid w:val="6CF73CA4"/>
    <w:rsid w:val="6D005FF7"/>
    <w:rsid w:val="6D021C57"/>
    <w:rsid w:val="6D05105B"/>
    <w:rsid w:val="6D0E3FAE"/>
    <w:rsid w:val="6D207FCD"/>
    <w:rsid w:val="6D280C36"/>
    <w:rsid w:val="6D286C4C"/>
    <w:rsid w:val="6D2B5B01"/>
    <w:rsid w:val="6D36363D"/>
    <w:rsid w:val="6D374CDD"/>
    <w:rsid w:val="6D381497"/>
    <w:rsid w:val="6D632F47"/>
    <w:rsid w:val="6D6A2DB3"/>
    <w:rsid w:val="6D6A69AA"/>
    <w:rsid w:val="6D79127B"/>
    <w:rsid w:val="6D832281"/>
    <w:rsid w:val="6DBB76BC"/>
    <w:rsid w:val="6DC237AE"/>
    <w:rsid w:val="6DF91502"/>
    <w:rsid w:val="6E01482E"/>
    <w:rsid w:val="6E0D1941"/>
    <w:rsid w:val="6E18292B"/>
    <w:rsid w:val="6E192634"/>
    <w:rsid w:val="6E2E0238"/>
    <w:rsid w:val="6E402C35"/>
    <w:rsid w:val="6E403BCF"/>
    <w:rsid w:val="6E424CF7"/>
    <w:rsid w:val="6E5378F4"/>
    <w:rsid w:val="6E96703D"/>
    <w:rsid w:val="6E984122"/>
    <w:rsid w:val="6EC4761A"/>
    <w:rsid w:val="6ED26905"/>
    <w:rsid w:val="6ED924EF"/>
    <w:rsid w:val="6EE20566"/>
    <w:rsid w:val="6EEB6DD8"/>
    <w:rsid w:val="6EF513F6"/>
    <w:rsid w:val="6F084B83"/>
    <w:rsid w:val="6F1F0771"/>
    <w:rsid w:val="6F3669E2"/>
    <w:rsid w:val="6F3A0437"/>
    <w:rsid w:val="6F40631D"/>
    <w:rsid w:val="6F452492"/>
    <w:rsid w:val="6F4E1ABB"/>
    <w:rsid w:val="6F5C03A9"/>
    <w:rsid w:val="6F65489B"/>
    <w:rsid w:val="6F86274A"/>
    <w:rsid w:val="6F8A6B50"/>
    <w:rsid w:val="6F9E4E98"/>
    <w:rsid w:val="6FB536E7"/>
    <w:rsid w:val="6FC169C6"/>
    <w:rsid w:val="6FD20CED"/>
    <w:rsid w:val="700148B1"/>
    <w:rsid w:val="700708F2"/>
    <w:rsid w:val="70227A0B"/>
    <w:rsid w:val="70262445"/>
    <w:rsid w:val="70796EB7"/>
    <w:rsid w:val="70846EFD"/>
    <w:rsid w:val="70891E2B"/>
    <w:rsid w:val="709304FC"/>
    <w:rsid w:val="70AE27E3"/>
    <w:rsid w:val="70B21D55"/>
    <w:rsid w:val="70BA4068"/>
    <w:rsid w:val="70F06D61"/>
    <w:rsid w:val="70F36F46"/>
    <w:rsid w:val="71231B23"/>
    <w:rsid w:val="713B214A"/>
    <w:rsid w:val="714633CE"/>
    <w:rsid w:val="714A76D4"/>
    <w:rsid w:val="715C3ADF"/>
    <w:rsid w:val="718621EE"/>
    <w:rsid w:val="71894FD2"/>
    <w:rsid w:val="71926986"/>
    <w:rsid w:val="71A3311F"/>
    <w:rsid w:val="71AA4E1C"/>
    <w:rsid w:val="71E13469"/>
    <w:rsid w:val="71FD29A8"/>
    <w:rsid w:val="72005730"/>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3373DED"/>
    <w:rsid w:val="733817AF"/>
    <w:rsid w:val="73391B68"/>
    <w:rsid w:val="733F7A24"/>
    <w:rsid w:val="735C44F0"/>
    <w:rsid w:val="736A01CD"/>
    <w:rsid w:val="736B4D35"/>
    <w:rsid w:val="73741988"/>
    <w:rsid w:val="73814929"/>
    <w:rsid w:val="7393399F"/>
    <w:rsid w:val="73984022"/>
    <w:rsid w:val="73C11347"/>
    <w:rsid w:val="73E2421D"/>
    <w:rsid w:val="73FA4A43"/>
    <w:rsid w:val="74000D97"/>
    <w:rsid w:val="74185CCF"/>
    <w:rsid w:val="741D2E7E"/>
    <w:rsid w:val="741E1A0A"/>
    <w:rsid w:val="742A10F7"/>
    <w:rsid w:val="74694C3B"/>
    <w:rsid w:val="746A6AAD"/>
    <w:rsid w:val="747A4FBC"/>
    <w:rsid w:val="748B466B"/>
    <w:rsid w:val="749018A2"/>
    <w:rsid w:val="74D94903"/>
    <w:rsid w:val="74DC7834"/>
    <w:rsid w:val="74E271F1"/>
    <w:rsid w:val="75326EC3"/>
    <w:rsid w:val="75461F61"/>
    <w:rsid w:val="75474A77"/>
    <w:rsid w:val="754B57C9"/>
    <w:rsid w:val="7551327B"/>
    <w:rsid w:val="755F3E02"/>
    <w:rsid w:val="755F782E"/>
    <w:rsid w:val="75A16A9F"/>
    <w:rsid w:val="75A35605"/>
    <w:rsid w:val="75BC6CCF"/>
    <w:rsid w:val="75E27D49"/>
    <w:rsid w:val="761867BE"/>
    <w:rsid w:val="76365AD0"/>
    <w:rsid w:val="765D57EA"/>
    <w:rsid w:val="7688585F"/>
    <w:rsid w:val="769211D6"/>
    <w:rsid w:val="76CA761F"/>
    <w:rsid w:val="76E97048"/>
    <w:rsid w:val="76F54CF0"/>
    <w:rsid w:val="76FD5906"/>
    <w:rsid w:val="77072866"/>
    <w:rsid w:val="770B684E"/>
    <w:rsid w:val="770E6AAE"/>
    <w:rsid w:val="771D50F3"/>
    <w:rsid w:val="77204CB1"/>
    <w:rsid w:val="77356662"/>
    <w:rsid w:val="776668EA"/>
    <w:rsid w:val="777C1603"/>
    <w:rsid w:val="77A14CDE"/>
    <w:rsid w:val="77AA2F7D"/>
    <w:rsid w:val="77C96BD3"/>
    <w:rsid w:val="77D17C4B"/>
    <w:rsid w:val="77E616E5"/>
    <w:rsid w:val="77F263D0"/>
    <w:rsid w:val="78266CE5"/>
    <w:rsid w:val="7827421F"/>
    <w:rsid w:val="782B4A23"/>
    <w:rsid w:val="78302F8F"/>
    <w:rsid w:val="784117AB"/>
    <w:rsid w:val="78510397"/>
    <w:rsid w:val="78552936"/>
    <w:rsid w:val="78731F0E"/>
    <w:rsid w:val="78754CBA"/>
    <w:rsid w:val="78962FA5"/>
    <w:rsid w:val="78C148AC"/>
    <w:rsid w:val="78CA1FEE"/>
    <w:rsid w:val="78CB3FEB"/>
    <w:rsid w:val="78CE219D"/>
    <w:rsid w:val="793B5CE2"/>
    <w:rsid w:val="795C411F"/>
    <w:rsid w:val="796834B3"/>
    <w:rsid w:val="797B3C8A"/>
    <w:rsid w:val="797F45FC"/>
    <w:rsid w:val="79970647"/>
    <w:rsid w:val="79A81CC2"/>
    <w:rsid w:val="79D9682C"/>
    <w:rsid w:val="79DB75C0"/>
    <w:rsid w:val="79E37881"/>
    <w:rsid w:val="79E4486C"/>
    <w:rsid w:val="79EA2E0E"/>
    <w:rsid w:val="79ED08FA"/>
    <w:rsid w:val="7A067AFA"/>
    <w:rsid w:val="7A0C585A"/>
    <w:rsid w:val="7A2C7450"/>
    <w:rsid w:val="7A326B5A"/>
    <w:rsid w:val="7A553725"/>
    <w:rsid w:val="7A616D0A"/>
    <w:rsid w:val="7A715CD2"/>
    <w:rsid w:val="7A7F2C76"/>
    <w:rsid w:val="7AAC462A"/>
    <w:rsid w:val="7AF84FA0"/>
    <w:rsid w:val="7AF909C6"/>
    <w:rsid w:val="7B4C2104"/>
    <w:rsid w:val="7B6273C9"/>
    <w:rsid w:val="7B6F1BD0"/>
    <w:rsid w:val="7B732126"/>
    <w:rsid w:val="7B755C15"/>
    <w:rsid w:val="7B7B20CE"/>
    <w:rsid w:val="7B8E1216"/>
    <w:rsid w:val="7B9A1345"/>
    <w:rsid w:val="7BCA6C86"/>
    <w:rsid w:val="7C003703"/>
    <w:rsid w:val="7C044DA1"/>
    <w:rsid w:val="7C084243"/>
    <w:rsid w:val="7C365DE1"/>
    <w:rsid w:val="7CA33449"/>
    <w:rsid w:val="7CC876FF"/>
    <w:rsid w:val="7CCE4D69"/>
    <w:rsid w:val="7D050953"/>
    <w:rsid w:val="7D0A0BA4"/>
    <w:rsid w:val="7D107AF3"/>
    <w:rsid w:val="7D4253C7"/>
    <w:rsid w:val="7D4C5341"/>
    <w:rsid w:val="7D4E5EE6"/>
    <w:rsid w:val="7D8901AD"/>
    <w:rsid w:val="7D8E577D"/>
    <w:rsid w:val="7D9A426A"/>
    <w:rsid w:val="7DA22646"/>
    <w:rsid w:val="7DD216CE"/>
    <w:rsid w:val="7E006F08"/>
    <w:rsid w:val="7E01736D"/>
    <w:rsid w:val="7E333E03"/>
    <w:rsid w:val="7E391FE6"/>
    <w:rsid w:val="7E7E276B"/>
    <w:rsid w:val="7E8D5EDF"/>
    <w:rsid w:val="7E916762"/>
    <w:rsid w:val="7EA916FD"/>
    <w:rsid w:val="7EAB552B"/>
    <w:rsid w:val="7EE53C64"/>
    <w:rsid w:val="7F541580"/>
    <w:rsid w:val="7F590594"/>
    <w:rsid w:val="7F667225"/>
    <w:rsid w:val="7F7B2EF8"/>
    <w:rsid w:val="7F844A6E"/>
    <w:rsid w:val="7F9D4429"/>
    <w:rsid w:val="7FAA1C29"/>
    <w:rsid w:val="7FAC4830"/>
    <w:rsid w:val="7FB659E5"/>
    <w:rsid w:val="7FB7407D"/>
    <w:rsid w:val="7FE900B8"/>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Body Text Indent 2"/>
    <w:basedOn w:val="1"/>
    <w:qFormat/>
    <w:uiPriority w:val="0"/>
    <w:pPr>
      <w:tabs>
        <w:tab w:val="left" w:pos="2160"/>
      </w:tabs>
      <w:spacing w:line="360" w:lineRule="auto"/>
      <w:ind w:left="420" w:leftChars="200" w:firstLine="360" w:firstLineChars="150"/>
    </w:pPr>
    <w:rPr>
      <w:rFonts w:ascii="宋体" w:hAnsi="宋体"/>
      <w:bCs/>
      <w:sz w:val="24"/>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
    <w:qFormat/>
    <w:uiPriority w:val="0"/>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paragraph" w:customStyle="1" w:styleId="33">
    <w:name w:val="段落2"/>
    <w:autoRedefine/>
    <w:qFormat/>
    <w:uiPriority w:val="0"/>
    <w:pPr>
      <w:widowControl w:val="0"/>
      <w:spacing w:line="580" w:lineRule="exact"/>
      <w:jc w:val="both"/>
    </w:pPr>
    <w:rPr>
      <w:rFonts w:ascii="Times New Roman" w:hAnsi="Times New Roman" w:eastAsia="Arial Unicode MS" w:cs="Times New Roman"/>
      <w:kern w:val="2"/>
      <w:sz w:val="28"/>
      <w:szCs w:val="20"/>
      <w:lang w:val="en-US" w:eastAsia="zh-CN" w:bidi="ar-SA"/>
    </w:rPr>
  </w:style>
  <w:style w:type="paragraph" w:customStyle="1" w:styleId="34">
    <w:name w:val="列出段落4"/>
    <w:autoRedefine/>
    <w:unhideWhenUsed/>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1786</Words>
  <Characters>2367</Characters>
  <Lines>0</Lines>
  <Paragraphs>0</Paragraphs>
  <TotalTime>354</TotalTime>
  <ScaleCrop>false</ScaleCrop>
  <LinksUpToDate>false</LinksUpToDate>
  <CharactersWithSpaces>2462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2025-01-03T08:16:11Z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515001F230464B9FBA919534AA852E47_13</vt:lpwstr>
  </property>
  <property fmtid="{D5CDD505-2E9C-101B-9397-08002B2CF9AE}" pid="4" name="KSOTemplateDocerSaveRecord">
    <vt:lpwstr>eyJoZGlkIjoiODQ5NjkzN2ZlZjQxZjYzMzcyZDI3NmZhNzYzYWFlNDAiLCJ1c2VySWQiOiI0MjMyNDI2MzkifQ==</vt:lpwstr>
  </property>
</Properties>
</file>