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亳州市乡村振兴风电项目预审和规划选址技术咨询服务 </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52125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4F02E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5136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079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73496F8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亳州交控风力发电有限公司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2024 年 12</w:t>
      </w:r>
      <w:r>
        <w:rPr>
          <w:rFonts w:hint="eastAsia" w:ascii="Times New Roman" w:hAnsi="Times New Roman" w:eastAsia="楷体" w:cs="Times New Roman"/>
          <w:kern w:val="0"/>
          <w:sz w:val="32"/>
          <w:szCs w:val="32"/>
          <w:highlight w:val="none"/>
          <w:u w:val="none"/>
          <w:shd w:val="clear" w:color="auto" w:fill="auto"/>
          <w:lang w:val="en-US" w:eastAsia="zh-CN"/>
        </w:rPr>
        <w:t>月 18日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7EBC0D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44EA6B3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亳州市乡村振兴风电项目预审和规划选址技术咨询服务 </w:t>
      </w:r>
      <w:permEnd w:id="5"/>
      <w:r>
        <w:rPr>
          <w:rFonts w:hint="eastAsia" w:ascii="Times New Roman" w:hAnsi="Times New Roman" w:eastAsia="黑体" w:cs="Times New Roman"/>
          <w:sz w:val="28"/>
          <w:szCs w:val="28"/>
          <w:highlight w:val="none"/>
          <w:lang w:val="en-US" w:eastAsia="zh-CN"/>
        </w:rPr>
        <w:t>招标公告</w:t>
      </w: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79632536"/>
      <w:bookmarkStart w:id="2" w:name="_Toc247085680"/>
      <w:bookmarkStart w:id="3" w:name="_Toc152045519"/>
      <w:bookmarkStart w:id="4" w:name="_Toc144974487"/>
      <w:bookmarkStart w:id="5" w:name="_Toc152042295"/>
      <w:bookmarkStart w:id="6" w:name="_Toc246996166"/>
      <w:bookmarkStart w:id="7" w:name="_Toc246996909"/>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179632537"/>
      <w:bookmarkStart w:id="10" w:name="_Toc152045520"/>
      <w:bookmarkStart w:id="11" w:name="_Toc144974488"/>
      <w:bookmarkStart w:id="12" w:name="_Toc246996910"/>
      <w:bookmarkStart w:id="13" w:name="_Toc246996167"/>
      <w:bookmarkStart w:id="14" w:name="_Toc296602411"/>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亳州市乡村振兴风电项目预审和规划选址技术咨询服务</w:t>
      </w:r>
    </w:p>
    <w:permEnd w:id="6"/>
    <w:p w14:paraId="70266A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BZJK-2024-079号</w:t>
      </w:r>
      <w:r>
        <w:rPr>
          <w:rFonts w:hint="eastAsia" w:asciiTheme="minorEastAsia" w:hAnsiTheme="minorEastAsia" w:eastAsiaTheme="minorEastAsia" w:cstheme="minorEastAsia"/>
          <w:sz w:val="28"/>
          <w:szCs w:val="28"/>
          <w:highlight w:val="none"/>
          <w:lang w:val="en-US" w:eastAsia="zh-CN"/>
        </w:rPr>
        <w:t xml:space="preserve"> </w:t>
      </w:r>
      <w:permEnd w:id="7"/>
    </w:p>
    <w:p w14:paraId="3DB83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p>
    <w:permEnd w:id="8"/>
    <w:p w14:paraId="4A253E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kern w:val="2"/>
          <w:sz w:val="28"/>
          <w:szCs w:val="28"/>
          <w:highlight w:val="none"/>
          <w:shd w:val="clear" w:color="auto" w:fill="auto"/>
          <w:lang w:val="en-US" w:eastAsia="zh-CN"/>
        </w:rPr>
        <w:t>亳州交控风力发电有限公司</w:t>
      </w:r>
    </w:p>
    <w:permEnd w:id="9"/>
    <w:p w14:paraId="5DB080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5A6FB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3132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亳州市乡村振兴风电项目总装机容量为152.5MW的风力发电项目，分为三个子项目，分别涉及涡阳县、蒙城县、利辛县。利辛县乡村振兴风电项目装机容量51MW、涡阳县乡村振兴风电项目装机容量78.5MW、蒙城县乡村振兴风电项目装机容量23MW，三个子项目分县区建设、分别集中汇流并网，其中利辛、涡阳拟分别新建1座110kV升压站，通过1回110kV线路送至国网系统变电站，蒙城拟新建1座35kV开关站，通过1回35kV线路送至国网系统变电站，最终以接入系统批复方案为准。现已具备开展建设用地预审和规划选址前期工作的条件。</w:t>
      </w:r>
      <w:permEnd w:id="10"/>
    </w:p>
    <w:p w14:paraId="4E6238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涡阳县、蒙城县、利辛县三个乡村振兴风电项目的预审和规划选址阶段地类面积追溯、规划选址综合论证报告编制、用地预审申报材料编制等技术咨询服务，直至取得用地预审与规划选址批复文件。</w:t>
      </w:r>
      <w:permEnd w:id="11"/>
    </w:p>
    <w:p w14:paraId="72EF6F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w:t>
      </w:r>
      <w:permEnd w:id="13"/>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w:t>
      </w:r>
      <w:r>
        <w:rPr>
          <w:rFonts w:hint="eastAsia" w:asciiTheme="minorEastAsia" w:hAnsiTheme="minorEastAsia" w:cstheme="minorEastAsia"/>
          <w:color w:val="FF0000"/>
          <w:sz w:val="28"/>
          <w:szCs w:val="28"/>
          <w:highlight w:val="none"/>
          <w:u w:val="single"/>
          <w:lang w:val="en-US" w:eastAsia="zh-CN"/>
        </w:rPr>
        <w:t xml:space="preserve">6 </w:t>
      </w:r>
      <w:r>
        <w:rPr>
          <w:rFonts w:hint="eastAsia" w:asciiTheme="minorEastAsia" w:hAnsiTheme="minorEastAsia" w:cstheme="minorEastAsia"/>
          <w:color w:val="FF0000"/>
          <w:sz w:val="28"/>
          <w:szCs w:val="28"/>
          <w:highlight w:val="none"/>
          <w:lang w:val="en-US" w:eastAsia="zh-CN"/>
        </w:rPr>
        <w:t>%）</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80万元</w:t>
      </w:r>
      <w:r>
        <w:rPr>
          <w:rFonts w:hint="eastAsia" w:asciiTheme="minorEastAsia" w:hAnsiTheme="minorEastAsia" w:eastAsiaTheme="minorEastAsia" w:cstheme="minorEastAsia"/>
          <w:sz w:val="28"/>
          <w:szCs w:val="28"/>
          <w:highlight w:val="none"/>
          <w:u w:val="single"/>
          <w:lang w:val="en-US" w:eastAsia="zh-CN"/>
        </w:rPr>
        <w:t xml:space="preserve"> </w:t>
      </w:r>
      <w:permEnd w:id="15"/>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投标人按</w:t>
      </w:r>
      <w:permStart w:id="16"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6"/>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4380F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rPr>
        <w:t>自然资源主管部门核发</w:t>
      </w:r>
      <w:r>
        <w:rPr>
          <w:rFonts w:hint="eastAsia" w:asciiTheme="minorEastAsia" w:hAnsiTheme="minorEastAsia" w:cstheme="minorEastAsia"/>
          <w:sz w:val="28"/>
          <w:szCs w:val="28"/>
          <w:highlight w:val="none"/>
          <w:u w:val="single"/>
          <w:lang w:val="en-US" w:eastAsia="zh-CN"/>
        </w:rPr>
        <w:t>的有效期内的</w:t>
      </w:r>
      <w:r>
        <w:rPr>
          <w:rFonts w:hint="eastAsia" w:asciiTheme="minorEastAsia" w:hAnsiTheme="minorEastAsia" w:cstheme="minorEastAsia"/>
          <w:sz w:val="28"/>
          <w:szCs w:val="28"/>
          <w:highlight w:val="none"/>
          <w:u w:val="single"/>
        </w:rPr>
        <w:t>乙级及以上城乡规</w:t>
      </w:r>
      <w:r>
        <w:rPr>
          <w:rFonts w:hint="eastAsia" w:asciiTheme="minorEastAsia" w:hAnsiTheme="minorEastAsia" w:cstheme="minorEastAsia"/>
          <w:sz w:val="28"/>
          <w:szCs w:val="28"/>
          <w:highlight w:val="none"/>
          <w:u w:val="single"/>
          <w:lang w:val="en-US" w:eastAsia="zh-CN"/>
        </w:rPr>
        <w:t>划</w:t>
      </w:r>
      <w:r>
        <w:rPr>
          <w:rFonts w:hint="eastAsia" w:asciiTheme="minorEastAsia" w:hAnsiTheme="minorEastAsia" w:cstheme="minorEastAsia"/>
          <w:sz w:val="28"/>
          <w:szCs w:val="28"/>
          <w:highlight w:val="none"/>
          <w:u w:val="single"/>
        </w:rPr>
        <w:t>（国土空间规</w:t>
      </w:r>
      <w:r>
        <w:rPr>
          <w:rFonts w:hint="eastAsia" w:asciiTheme="minorEastAsia" w:hAnsiTheme="minorEastAsia" w:cstheme="minorEastAsia"/>
          <w:sz w:val="28"/>
          <w:szCs w:val="28"/>
          <w:highlight w:val="none"/>
          <w:u w:val="single"/>
          <w:lang w:val="en-US" w:eastAsia="zh-CN"/>
        </w:rPr>
        <w:t>划</w:t>
      </w:r>
      <w:r>
        <w:rPr>
          <w:rFonts w:hint="eastAsia" w:asciiTheme="minorEastAsia" w:hAnsiTheme="minorEastAsia" w:cstheme="minorEastAsia"/>
          <w:sz w:val="28"/>
          <w:szCs w:val="28"/>
          <w:highlight w:val="none"/>
          <w:u w:val="single"/>
        </w:rPr>
        <w:t>）编制单位资质证书</w:t>
      </w:r>
      <w:r>
        <w:rPr>
          <w:rFonts w:hint="eastAsia" w:asciiTheme="minorEastAsia" w:hAnsiTheme="minorEastAsia" w:cstheme="minorEastAsia"/>
          <w:sz w:val="28"/>
          <w:szCs w:val="28"/>
          <w:highlight w:val="none"/>
          <w:u w:val="single"/>
          <w:lang w:val="en-US" w:eastAsia="zh-CN"/>
        </w:rPr>
        <w:t>或乙级及以上</w:t>
      </w:r>
      <w:r>
        <w:rPr>
          <w:rFonts w:hint="eastAsia" w:asciiTheme="minorEastAsia" w:hAnsiTheme="minorEastAsia" w:cstheme="minorEastAsia"/>
          <w:sz w:val="28"/>
          <w:szCs w:val="28"/>
          <w:highlight w:val="none"/>
          <w:u w:val="single"/>
        </w:rPr>
        <w:t>城乡规划编制单位资质证书</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lang w:val="en-US" w:eastAsia="zh-CN"/>
        </w:rPr>
        <w:t>亦或是被省级及以上土地学会</w:t>
      </w:r>
      <w:r>
        <w:rPr>
          <w:rFonts w:hint="eastAsia" w:asciiTheme="minorEastAsia" w:hAnsiTheme="minorEastAsia" w:cstheme="minorEastAsia"/>
          <w:sz w:val="28"/>
          <w:szCs w:val="28"/>
          <w:highlight w:val="none"/>
          <w:u w:val="single"/>
        </w:rPr>
        <w:t>列入</w:t>
      </w:r>
      <w:r>
        <w:rPr>
          <w:rFonts w:hint="eastAsia" w:asciiTheme="minorEastAsia" w:hAnsiTheme="minorEastAsia" w:cstheme="minorEastAsia"/>
          <w:sz w:val="28"/>
          <w:szCs w:val="28"/>
          <w:highlight w:val="none"/>
          <w:u w:val="single"/>
          <w:lang w:val="en-US" w:eastAsia="zh-CN"/>
        </w:rPr>
        <w:t>乙级及以上</w:t>
      </w:r>
      <w:r>
        <w:rPr>
          <w:rFonts w:hint="eastAsia" w:asciiTheme="minorEastAsia" w:hAnsiTheme="minorEastAsia" w:cstheme="minorEastAsia"/>
          <w:sz w:val="28"/>
          <w:szCs w:val="28"/>
          <w:highlight w:val="none"/>
          <w:u w:val="single"/>
        </w:rPr>
        <w:t>土地规划机构推荐名录</w:t>
      </w:r>
      <w:r>
        <w:rPr>
          <w:rFonts w:hint="eastAsia" w:asciiTheme="minorEastAsia" w:hAnsiTheme="minorEastAsia" w:cstheme="minorEastAsia"/>
          <w:sz w:val="28"/>
          <w:szCs w:val="28"/>
          <w:highlight w:val="none"/>
          <w:u w:val="single"/>
          <w:lang w:val="en-US" w:eastAsia="zh-CN"/>
        </w:rPr>
        <w:t>的</w:t>
      </w:r>
      <w:r>
        <w:rPr>
          <w:rFonts w:hint="eastAsia" w:asciiTheme="minorEastAsia" w:hAnsiTheme="minorEastAsia" w:cstheme="minorEastAsia"/>
          <w:sz w:val="28"/>
          <w:szCs w:val="28"/>
          <w:highlight w:val="none"/>
          <w:u w:val="single"/>
        </w:rPr>
        <w:t>土地规划编制单位</w:t>
      </w:r>
      <w:r>
        <w:rPr>
          <w:rFonts w:hint="eastAsia" w:asciiTheme="minorEastAsia" w:hAnsiTheme="minorEastAsia" w:cstheme="minorEastAsia"/>
          <w:sz w:val="28"/>
          <w:szCs w:val="28"/>
          <w:highlight w:val="none"/>
          <w:u w:val="single"/>
          <w:lang w:eastAsia="zh-CN"/>
        </w:rPr>
        <w:t>；</w:t>
      </w:r>
      <w:permEnd w:id="18"/>
    </w:p>
    <w:p w14:paraId="08308D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9" w:edGrp="everyone"/>
      <w:r>
        <w:rPr>
          <w:rFonts w:hint="eastAsia" w:asciiTheme="minorEastAsia" w:hAnsiTheme="minorEastAsia" w:cstheme="minorEastAsia"/>
          <w:sz w:val="28"/>
          <w:szCs w:val="28"/>
          <w:highlight w:val="none"/>
          <w:u w:val="single"/>
          <w:lang w:val="en-US" w:eastAsia="zh-CN"/>
        </w:rPr>
        <w:t xml:space="preserve"> 土地规划或城乡规划中级及以上职称证书 </w:t>
      </w:r>
      <w:permEnd w:id="19"/>
      <w:r>
        <w:rPr>
          <w:rFonts w:hint="eastAsia" w:asciiTheme="minorEastAsia" w:hAnsi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2021 </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2"/>
      <w:r>
        <w:rPr>
          <w:rFonts w:hint="eastAsia" w:asciiTheme="minorEastAsia" w:hAnsiTheme="minorEastAsia" w:eastAsiaTheme="minorEastAsia" w:cstheme="minorEastAsia"/>
          <w:sz w:val="28"/>
          <w:szCs w:val="28"/>
          <w:highlight w:val="none"/>
          <w:lang w:val="en-US" w:eastAsia="zh-CN"/>
        </w:rPr>
        <w:t>为准。类似项目业绩指：</w:t>
      </w:r>
      <w:permStart w:id="23"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建设项目用地预审和规划选址项目业绩 </w:t>
      </w:r>
      <w:permEnd w:id="23"/>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4"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4"/>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25F851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4CA528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5" w:edGrp="everyone"/>
      <w:r>
        <w:rPr>
          <w:rFonts w:hint="eastAsia" w:asciiTheme="minorEastAsia" w:hAnsiTheme="minorEastAsia" w:eastAsiaTheme="minorEastAsia" w:cstheme="minorEastAsia"/>
          <w:color w:val="FF0000"/>
          <w:sz w:val="28"/>
          <w:szCs w:val="28"/>
          <w:highlight w:val="none"/>
          <w:lang w:val="en-US" w:eastAsia="zh-CN"/>
        </w:rPr>
        <w:t>不接受</w:t>
      </w:r>
      <w:permEnd w:id="2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26</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bookmarkStart w:id="370" w:name="_GoBack"/>
      <w:bookmarkEnd w:id="37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eastAsia" w:asciiTheme="minorEastAsia" w:hAnsiTheme="minorEastAsia" w:cstheme="minorEastAsia"/>
          <w:color w:val="FF0000"/>
          <w:sz w:val="28"/>
          <w:szCs w:val="28"/>
          <w:highlight w:val="none"/>
          <w:u w:val="single"/>
          <w:lang w:val="en-US" w:eastAsia="zh-CN"/>
        </w:rPr>
        <w:t>不允许</w:t>
      </w:r>
      <w:permEnd w:id="28"/>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kern w:val="2"/>
          <w:sz w:val="28"/>
          <w:szCs w:val="28"/>
          <w:highlight w:val="none"/>
          <w:shd w:val="clear"/>
          <w:lang w:val="en-US" w:eastAsia="zh-CN"/>
        </w:rPr>
        <w:t>亳州交控风力发电有限公司</w:t>
      </w:r>
    </w:p>
    <w:permEnd w:id="3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亳州市谯城区药都大道1289号</w:t>
      </w:r>
      <w:r>
        <w:rPr>
          <w:rFonts w:hint="eastAsia" w:asciiTheme="minorEastAsia" w:hAnsiTheme="minorEastAsia" w:cstheme="minorEastAsia"/>
          <w:sz w:val="28"/>
          <w:szCs w:val="28"/>
          <w:highlight w:val="none"/>
          <w:lang w:val="en-US" w:eastAsia="zh-CN"/>
        </w:rPr>
        <w:t xml:space="preserve"> </w:t>
      </w:r>
      <w:permEnd w:id="3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左先生  </w:t>
      </w:r>
      <w:permEnd w:id="32"/>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0558-5120938  </w:t>
      </w:r>
      <w:permEnd w:id="33"/>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9FF76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FF0000"/>
          <w:sz w:val="28"/>
          <w:szCs w:val="28"/>
          <w:highlight w:val="none"/>
          <w:lang w:val="en-US" w:eastAsia="zh-CN"/>
        </w:rPr>
        <w:t xml:space="preserve"> 亳州交控风力发电有限公司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 xml:space="preserve"> 月 </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 xml:space="preserve"> 日</w:t>
      </w:r>
      <w:permEnd w:id="34"/>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6D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C33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068C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460A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F8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453B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B99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5717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221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90C2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DE5A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0046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C4E8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0296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6D03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8687C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8F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184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A2B7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D4A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BC6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8761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A26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F79D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0879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4C3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FEB7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7E9A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4D0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245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6D7C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E951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E40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FB35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470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2F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6D23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74A2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E3E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F085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A62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43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0877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D3C1A7">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0CE18159">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14:paraId="0F92D73E">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30501C1C">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14:paraId="67B3878F">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8F4A623">
            <w:pPr>
              <w:pStyle w:val="7"/>
              <w:topLinePunct/>
              <w:spacing w:line="440" w:lineRule="exact"/>
              <w:ind w:firstLine="420" w:firstLineChars="200"/>
              <w:rPr>
                <w:rFonts w:hint="default" w:ascii="Times New Roman" w:hAnsi="Times New Roman" w:cs="Times New Roman"/>
                <w:szCs w:val="21"/>
                <w:highlight w:val="none"/>
              </w:rPr>
            </w:pPr>
            <w:permStart w:id="36" w:edGrp="everyone"/>
            <w:r>
              <w:rPr>
                <w:rFonts w:hint="eastAsia" w:hAnsi="宋体"/>
                <w:sz w:val="21"/>
                <w:szCs w:val="21"/>
                <w:lang w:val="en-US" w:eastAsia="zh-CN"/>
              </w:rPr>
              <w:t xml:space="preserve">               /                 </w:t>
            </w:r>
            <w:permEnd w:id="36"/>
          </w:p>
        </w:tc>
      </w:tr>
      <w:tr w14:paraId="2DAF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A6C1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3D6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1BC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7"/>
          </w:p>
        </w:tc>
      </w:tr>
      <w:tr w14:paraId="1FC5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8D5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26A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4003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8" w:edGrp="everyone"/>
            <w:r>
              <w:rPr>
                <w:rFonts w:hint="eastAsia" w:hAnsi="宋体"/>
                <w:sz w:val="21"/>
                <w:szCs w:val="21"/>
                <w:lang w:val="en-US" w:eastAsia="zh-CN"/>
              </w:rPr>
              <w:t xml:space="preserve">       /            </w:t>
            </w:r>
            <w:permEnd w:id="38"/>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9"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9"/>
      <w:tr w14:paraId="039F3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B9BA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0"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D8FE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37517E">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40"/>
      <w:tr w14:paraId="7D74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D86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48B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A8A307">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E228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5A75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FED0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C07436">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23A37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0A8B67B9">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6890B3FA">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1"/>
          </w:p>
        </w:tc>
      </w:tr>
      <w:tr w14:paraId="19E7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5F4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BF3B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2D63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2" w:edGrp="everyone"/>
            <w:r>
              <w:rPr>
                <w:rFonts w:hint="eastAsia" w:ascii="Times New Roman" w:hAnsi="Times New Roman" w:cs="Times New Roman"/>
                <w:color w:val="FF0000"/>
                <w:sz w:val="21"/>
                <w:szCs w:val="21"/>
                <w:highlight w:val="none"/>
                <w:lang w:val="en-US" w:eastAsia="zh-CN"/>
              </w:rPr>
              <w:t xml:space="preserve"> 详见第一章招标公告。 </w:t>
            </w:r>
            <w:permEnd w:id="4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43" w:edGrp="everyone"/>
            <w:r>
              <w:rPr>
                <w:rFonts w:hint="eastAsia" w:ascii="Times New Roman" w:hAnsi="Times New Roman" w:cs="Times New Roman"/>
                <w:szCs w:val="21"/>
                <w:highlight w:val="none"/>
                <w:u w:val="single"/>
                <w:lang w:val="en-US" w:eastAsia="zh-CN"/>
              </w:rPr>
              <w:t xml:space="preserve">  2024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12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23 </w:t>
            </w:r>
            <w:r>
              <w:rPr>
                <w:rFonts w:hint="eastAsia" w:ascii="Times New Roman" w:hAnsi="Times New Roman" w:cs="Times New Roman"/>
                <w:szCs w:val="21"/>
                <w:highlight w:val="none"/>
                <w:u w:val="none"/>
                <w:lang w:val="en-US" w:eastAsia="zh-CN"/>
              </w:rPr>
              <w:t>日前</w:t>
            </w:r>
            <w:permEnd w:id="43"/>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94F1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44"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4"/>
            <w:r>
              <w:rPr>
                <w:rFonts w:hint="default" w:ascii="Times New Roman" w:hAnsi="Times New Roman" w:cs="Times New Roman"/>
                <w:szCs w:val="21"/>
                <w:highlight w:val="none"/>
                <w:u w:val="none"/>
                <w:lang w:val="en-US" w:eastAsia="zh-CN"/>
              </w:rPr>
              <w:t>进行发布。</w:t>
            </w:r>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45"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5"/>
            <w:r>
              <w:rPr>
                <w:rFonts w:hint="default" w:ascii="Times New Roman" w:hAnsi="Times New Roman" w:cs="Times New Roman"/>
                <w:szCs w:val="21"/>
                <w:highlight w:val="none"/>
                <w:u w:val="none"/>
                <w:lang w:val="en-US" w:eastAsia="zh-CN"/>
              </w:rPr>
              <w:t>的发布时间，视为投标人确认收到招标文件澄清的时间。</w:t>
            </w:r>
          </w:p>
        </w:tc>
      </w:tr>
      <w:tr w14:paraId="35C4A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75F554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20C9DD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C87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6"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6"/>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D1CE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6CCE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BACE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CA8B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47"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7"/>
            <w:r>
              <w:rPr>
                <w:rFonts w:hint="default" w:ascii="Times New Roman" w:hAnsi="Times New Roman" w:cs="Times New Roman"/>
                <w:szCs w:val="21"/>
                <w:highlight w:val="none"/>
                <w:u w:val="none"/>
                <w:lang w:val="en-US" w:eastAsia="zh-CN"/>
              </w:rPr>
              <w:t>进行发布。</w:t>
            </w:r>
          </w:p>
        </w:tc>
      </w:tr>
      <w:tr w14:paraId="7643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1365A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C05D4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7DF71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48"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8"/>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752F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4393B5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88838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79B8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9"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9"/>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C57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0527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A3C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6EFE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50" w:edGrp="everyone"/>
            <w:r>
              <w:rPr>
                <w:rFonts w:hint="eastAsia" w:ascii="Times New Roman" w:hAnsi="Times New Roman" w:cs="Times New Roman"/>
                <w:kern w:val="2"/>
                <w:sz w:val="21"/>
                <w:szCs w:val="21"/>
                <w:highlight w:val="none"/>
                <w:u w:val="single"/>
                <w:lang w:val="en-US" w:eastAsia="zh-CN" w:bidi="ar-SA"/>
              </w:rPr>
              <w:t xml:space="preserve"> 详见第一章招标公告。 </w:t>
            </w:r>
            <w:permEnd w:id="50"/>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5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51"/>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52" w:edGrp="everyone"/>
            <w:r>
              <w:rPr>
                <w:rFonts w:hint="default" w:ascii="Times New Roman" w:hAnsi="Times New Roman" w:cs="Times New Roman"/>
                <w:color w:val="FF0000"/>
                <w:szCs w:val="21"/>
                <w:highlight w:val="none"/>
              </w:rPr>
              <w:t>银行汇款或转账</w:t>
            </w:r>
            <w:permEnd w:id="5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10000元</w:t>
            </w:r>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53" w:edGrp="everyone"/>
            <w:r>
              <w:rPr>
                <w:rFonts w:hint="eastAsia" w:ascii="Times New Roman" w:hAnsi="Times New Roman" w:cs="Times New Roman"/>
                <w:color w:val="FF0000"/>
                <w:szCs w:val="21"/>
                <w:highlight w:val="none"/>
                <w:lang w:val="en-US" w:eastAsia="zh-CN"/>
              </w:rPr>
              <w:t>BZJK-2024-079号保证金</w:t>
            </w:r>
            <w:permEnd w:id="5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4217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11C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C2BE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582A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9191B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36DD20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FE75F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DDA0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961425">
            <w:pPr>
              <w:spacing w:line="382" w:lineRule="auto"/>
              <w:jc w:val="center"/>
              <w:rPr>
                <w:rFonts w:ascii="Arial"/>
                <w:sz w:val="21"/>
              </w:rPr>
            </w:pPr>
          </w:p>
          <w:p w14:paraId="17B7BCC7">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A2CB68">
            <w:pPr>
              <w:pStyle w:val="31"/>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2FB28BF">
            <w:pPr>
              <w:pStyle w:val="31"/>
              <w:spacing w:before="152" w:line="227" w:lineRule="auto"/>
              <w:ind w:left="129"/>
            </w:pPr>
            <w:permStart w:id="54" w:edGrp="everyone"/>
            <w:r>
              <w:rPr>
                <w:rFonts w:hint="eastAsia" w:ascii="Times New Roman" w:hAnsi="Times New Roman" w:eastAsia="宋体" w:cs="Times New Roman"/>
                <w:spacing w:val="-9"/>
                <w:sz w:val="31"/>
                <w:szCs w:val="31"/>
                <w:lang w:eastAsia="zh-CN"/>
              </w:rPr>
              <w:t>☑</w:t>
            </w:r>
            <w:r>
              <w:rPr>
                <w:spacing w:val="-9"/>
              </w:rPr>
              <w:t>无</w:t>
            </w:r>
          </w:p>
          <w:p w14:paraId="2C31AC9D">
            <w:pPr>
              <w:pStyle w:val="31"/>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54"/>
          </w:p>
        </w:tc>
      </w:tr>
      <w:tr w14:paraId="63CEB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E8064">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A789AA">
            <w:pPr>
              <w:pStyle w:val="31"/>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85F0C78">
            <w:pPr>
              <w:spacing w:line="335" w:lineRule="auto"/>
              <w:rPr>
                <w:rFonts w:ascii="Arial"/>
                <w:sz w:val="21"/>
              </w:rPr>
            </w:pPr>
          </w:p>
          <w:p w14:paraId="1721C03F">
            <w:pPr>
              <w:pStyle w:val="31"/>
              <w:tabs>
                <w:tab w:val="left" w:pos="663"/>
              </w:tabs>
              <w:spacing w:before="69" w:line="221" w:lineRule="auto"/>
              <w:ind w:left="106" w:leftChars="0"/>
              <w:rPr>
                <w:rFonts w:hint="eastAsia" w:ascii="Times New Roman" w:hAnsi="Times New Roman" w:cs="Times New Roman"/>
                <w:szCs w:val="21"/>
                <w:highlight w:val="none"/>
                <w:lang w:val="en-US" w:eastAsia="zh-CN"/>
              </w:rPr>
            </w:pPr>
            <w:permStart w:id="55" w:edGrp="everyone"/>
            <w:r>
              <w:rPr>
                <w:u w:val="single" w:color="auto"/>
              </w:rPr>
              <w:tab/>
            </w:r>
            <w:r>
              <w:rPr>
                <w:rFonts w:hint="eastAsia"/>
                <w:u w:val="single" w:color="auto"/>
                <w:lang w:val="en-US" w:eastAsia="zh-CN"/>
              </w:rPr>
              <w:t>/</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55"/>
          </w:p>
        </w:tc>
      </w:tr>
      <w:tr w14:paraId="3306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05A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B49D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E346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4780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4B9E38">
            <w:pPr>
              <w:spacing w:before="60" w:line="187" w:lineRule="auto"/>
              <w:jc w:val="center"/>
              <w:rPr>
                <w:rFonts w:hint="eastAsia" w:ascii="Times New Roman" w:hAnsi="Times New Roman" w:eastAsia="宋体" w:cs="Times New Roman"/>
                <w:spacing w:val="-1"/>
                <w:sz w:val="21"/>
                <w:szCs w:val="21"/>
                <w:lang w:val="en-US" w:eastAsia="zh-CN"/>
              </w:rPr>
            </w:pPr>
            <w:r>
              <w:rPr>
                <w:rFonts w:ascii="Times New Roman" w:hAnsi="Times New Roman" w:eastAsia="Times New Roman" w:cs="Times New Roman"/>
                <w:spacing w:val="-1"/>
                <w:sz w:val="21"/>
                <w:szCs w:val="21"/>
              </w:rPr>
              <w:t>3.5.</w:t>
            </w:r>
            <w:r>
              <w:rPr>
                <w:rFonts w:hint="eastAsia" w:ascii="Times New Roman" w:hAnsi="Times New Roman" w:eastAsia="宋体" w:cs="Times New Roman"/>
                <w:spacing w:val="-1"/>
                <w:sz w:val="21"/>
                <w:szCs w:val="21"/>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B13929">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4D7A9F">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56"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56"/>
          </w:p>
        </w:tc>
      </w:tr>
      <w:tr w14:paraId="06FA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4F1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478C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AFA3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5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7"/>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565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8"/>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6247D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754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4CD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CA4C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692D3C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9"/>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60"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招标人：亳州交控风力发电有限公司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亳州市乡村振兴风电项目预审和规划选址技术咨询服务</w:t>
            </w:r>
            <w:r>
              <w:rPr>
                <w:rFonts w:hint="eastAsia" w:ascii="Times New Roman" w:hAnsi="Times New Roman" w:cs="Times New Roman"/>
                <w:color w:val="FF0000"/>
                <w:szCs w:val="21"/>
                <w:highlight w:val="none"/>
                <w:lang w:val="en-US" w:eastAsia="zh-CN"/>
              </w:rPr>
              <w:t>投标文件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60"/>
          </w:p>
        </w:tc>
      </w:tr>
      <w:tr w14:paraId="4427C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72F32">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4A0E30">
            <w:pPr>
              <w:pStyle w:val="31"/>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65204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8A9D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C67E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D7BD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69E0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21251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B708FF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rPr>
              <w:t>注：投标人代表应持授权委托书及有效身份证件递交投标文件，否则招标平台有权拒收，有效身份证件是指中华人民共和国第二代居民身份证，其他证明无效。</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632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4D44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154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A8E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2214B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6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61"/>
          </w:p>
        </w:tc>
      </w:tr>
      <w:tr w14:paraId="3E0A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CCD7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3D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BE529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1DFAE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45A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8B6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28EAD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permStart w:id="62" w:edGrp="everyone"/>
            <w:r>
              <w:rPr>
                <w:rFonts w:hint="eastAsia" w:ascii="Times New Roman" w:hAnsi="Times New Roman" w:cs="Times New Roman"/>
                <w:szCs w:val="21"/>
                <w:highlight w:val="none"/>
                <w:lang w:val="en-US" w:eastAsia="zh-CN"/>
              </w:rPr>
              <w:t xml:space="preserve">不补偿 </w:t>
            </w:r>
            <w:permEnd w:id="6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6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63"/>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6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64"/>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65" w:edGrp="everyone"/>
            <w:r>
              <w:rPr>
                <w:rFonts w:hint="eastAsia" w:ascii="Times New Roman" w:hAnsi="Times New Roman" w:cs="Times New Roman"/>
                <w:b/>
                <w:bCs/>
                <w:color w:val="FF0000"/>
                <w:szCs w:val="21"/>
                <w:highlight w:val="none"/>
                <w:lang w:val="en-US" w:eastAsia="zh-CN"/>
              </w:rPr>
              <w:t>同投标保证金</w:t>
            </w:r>
            <w:permEnd w:id="65"/>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6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服务期满且</w:t>
            </w:r>
            <w:r>
              <w:rPr>
                <w:rFonts w:hint="eastAsia" w:ascii="Times New Roman" w:hAnsi="Times New Roman" w:cs="Times New Roman"/>
                <w:color w:val="FF0000"/>
                <w:szCs w:val="21"/>
                <w:highlight w:val="none"/>
              </w:rPr>
              <w:t>取得用地预审与规划选址批复文件</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6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30662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60C0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C283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E2B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1D3F7F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369303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4AA17B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7A322A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17085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C783A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2BEC2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FB5118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115A3B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1D72842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48CB259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089FB1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FF590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09EEB10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1565AD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5"/>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3"/>
      <w:bookmarkStart w:id="17" w:name="_Toc247085692"/>
      <w:bookmarkStart w:id="18" w:name="_Toc144974500"/>
      <w:bookmarkStart w:id="19" w:name="_Toc246996178"/>
      <w:bookmarkStart w:id="20" w:name="_Toc246996921"/>
      <w:bookmarkStart w:id="21" w:name="_Toc152042308"/>
      <w:bookmarkStart w:id="22" w:name="_Toc152045532"/>
      <w:bookmarkStart w:id="23" w:name="_Toc179632549"/>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4"/>
      <w:bookmarkStart w:id="25" w:name="_Toc246996181"/>
      <w:bookmarkStart w:id="26" w:name="_Toc179632553"/>
      <w:bookmarkStart w:id="27" w:name="_Toc152045536"/>
      <w:bookmarkStart w:id="28" w:name="_Toc247085695"/>
      <w:bookmarkStart w:id="29" w:name="_Toc246996924"/>
      <w:bookmarkStart w:id="30" w:name="_Toc152042312"/>
      <w:bookmarkStart w:id="31" w:name="_Toc296602426"/>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152045537"/>
      <w:bookmarkStart w:id="35" w:name="_Toc247085696"/>
      <w:bookmarkStart w:id="36" w:name="_Toc246996925"/>
      <w:bookmarkStart w:id="37" w:name="_Toc179632554"/>
      <w:bookmarkStart w:id="38" w:name="_Toc296602427"/>
      <w:bookmarkStart w:id="39" w:name="_Toc246996182"/>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183"/>
      <w:bookmarkStart w:id="41" w:name="_Toc246996926"/>
      <w:bookmarkStart w:id="42" w:name="_Toc179632555"/>
      <w:bookmarkStart w:id="43" w:name="_Toc152045538"/>
      <w:bookmarkStart w:id="44" w:name="_Toc144974506"/>
      <w:bookmarkStart w:id="45" w:name="_Toc247085697"/>
      <w:bookmarkStart w:id="46" w:name="_Toc152042314"/>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52042318"/>
      <w:bookmarkStart w:id="49" w:name="_Toc246996187"/>
      <w:bookmarkStart w:id="50" w:name="_Toc179632560"/>
      <w:bookmarkStart w:id="51" w:name="_Toc296602432"/>
      <w:bookmarkStart w:id="52" w:name="_Toc152045542"/>
      <w:bookmarkStart w:id="53" w:name="_Toc247085701"/>
      <w:bookmarkStart w:id="54" w:name="_Toc144974510"/>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144974511"/>
      <w:bookmarkStart w:id="57" w:name="_Toc246996188"/>
      <w:bookmarkStart w:id="58" w:name="_Toc296602433"/>
      <w:bookmarkStart w:id="59" w:name="_Toc247085702"/>
      <w:bookmarkStart w:id="60" w:name="_Toc179632561"/>
      <w:bookmarkStart w:id="61" w:name="_Toc152045543"/>
      <w:bookmarkStart w:id="62" w:name="_Toc246996931"/>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79632562"/>
      <w:bookmarkStart w:id="65" w:name="_Toc152045544"/>
      <w:bookmarkStart w:id="66" w:name="_Toc144974512"/>
      <w:bookmarkStart w:id="67" w:name="_Toc246996189"/>
      <w:bookmarkStart w:id="68" w:name="_Toc246996932"/>
      <w:bookmarkStart w:id="69" w:name="_Toc152042320"/>
      <w:bookmarkStart w:id="70" w:name="_Toc247085703"/>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44974513"/>
      <w:bookmarkStart w:id="72" w:name="_Toc152045545"/>
      <w:bookmarkStart w:id="73" w:name="_Toc246996190"/>
      <w:bookmarkStart w:id="74" w:name="_Toc296602435"/>
      <w:bookmarkStart w:id="75" w:name="_Toc246996933"/>
      <w:bookmarkStart w:id="76" w:name="_Toc247085704"/>
      <w:bookmarkStart w:id="77" w:name="_Toc179632563"/>
      <w:bookmarkStart w:id="78" w:name="_Toc152042321"/>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152045546"/>
      <w:bookmarkStart w:id="80" w:name="_Toc144974514"/>
      <w:bookmarkStart w:id="81" w:name="_Toc152042322"/>
      <w:bookmarkStart w:id="82" w:name="_Toc246996934"/>
      <w:bookmarkStart w:id="83" w:name="_Toc247085705"/>
      <w:bookmarkStart w:id="84" w:name="_Toc246996191"/>
      <w:bookmarkStart w:id="85" w:name="_Toc179632564"/>
      <w:bookmarkStart w:id="86" w:name="_Toc296602436"/>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44974515"/>
      <w:bookmarkStart w:id="88" w:name="_Toc246996192"/>
      <w:bookmarkStart w:id="89" w:name="_Toc296602437"/>
      <w:bookmarkStart w:id="90" w:name="_Toc152042323"/>
      <w:bookmarkStart w:id="91" w:name="_Toc247085706"/>
      <w:bookmarkStart w:id="92" w:name="_Toc246996935"/>
      <w:bookmarkStart w:id="93" w:name="_Toc152045547"/>
      <w:bookmarkStart w:id="94" w:name="_Toc179632565"/>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144974516"/>
      <w:bookmarkStart w:id="97" w:name="_Toc246996193"/>
      <w:bookmarkStart w:id="98" w:name="_Toc152042324"/>
      <w:bookmarkStart w:id="99" w:name="_Toc246996936"/>
      <w:bookmarkStart w:id="100" w:name="_Toc152045548"/>
      <w:bookmarkStart w:id="101" w:name="_Toc179632566"/>
      <w:bookmarkStart w:id="102" w:name="_Toc296602438"/>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5549"/>
      <w:bookmarkStart w:id="105" w:name="_Toc152042325"/>
      <w:bookmarkStart w:id="106"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96602439"/>
      <w:bookmarkStart w:id="109" w:name="_Toc247085708"/>
      <w:bookmarkStart w:id="110" w:name="_Toc246996937"/>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152042326"/>
      <w:bookmarkStart w:id="112" w:name="_Toc144974518"/>
      <w:bookmarkStart w:id="113" w:name="_Toc246996938"/>
      <w:bookmarkStart w:id="114" w:name="_Toc296602440"/>
      <w:bookmarkStart w:id="115" w:name="_Toc246996195"/>
      <w:bookmarkStart w:id="116" w:name="_Toc179632568"/>
      <w:bookmarkStart w:id="117" w:name="_Toc152045550"/>
      <w:bookmarkStart w:id="118" w:name="_Toc247085709"/>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47085710"/>
      <w:bookmarkStart w:id="120" w:name="_Toc152042328"/>
      <w:bookmarkStart w:id="121" w:name="_Toc296602441"/>
      <w:bookmarkStart w:id="122" w:name="_Toc179632570"/>
      <w:bookmarkStart w:id="123" w:name="_Toc152045552"/>
      <w:bookmarkStart w:id="124" w:name="_Toc246996939"/>
      <w:bookmarkStart w:id="125" w:name="_Toc246996196"/>
      <w:bookmarkStart w:id="126" w:name="_Toc144974520"/>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43"/>
      <w:bookmarkStart w:id="128" w:name="_Toc152045555"/>
      <w:bookmarkStart w:id="129" w:name="_Toc144974523"/>
      <w:bookmarkStart w:id="130" w:name="_Toc246996199"/>
      <w:bookmarkStart w:id="131" w:name="_Toc247085713"/>
      <w:bookmarkStart w:id="132" w:name="_Toc179632573"/>
      <w:bookmarkStart w:id="133" w:name="_Toc246996942"/>
      <w:bookmarkStart w:id="134" w:name="_Toc152042331"/>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14"/>
      <w:bookmarkStart w:id="136" w:name="_Toc152045556"/>
      <w:bookmarkStart w:id="137" w:name="_Toc296602444"/>
      <w:bookmarkStart w:id="138" w:name="_Toc152042332"/>
      <w:bookmarkStart w:id="139" w:name="_Toc246996943"/>
      <w:bookmarkStart w:id="140" w:name="_Toc179632574"/>
      <w:bookmarkStart w:id="141" w:name="_Toc144974524"/>
      <w:bookmarkStart w:id="142" w:name="_Toc246996200"/>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52042333"/>
      <w:bookmarkStart w:id="144" w:name="_Toc144974525"/>
      <w:bookmarkStart w:id="145" w:name="_Toc179632575"/>
      <w:bookmarkStart w:id="146" w:name="_Toc247085715"/>
      <w:bookmarkStart w:id="147" w:name="_Toc246996944"/>
      <w:bookmarkStart w:id="148" w:name="_Toc246996201"/>
      <w:bookmarkStart w:id="149" w:name="_Toc152045557"/>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2"/>
      <w:bookmarkStart w:id="151" w:name="_Toc152042334"/>
      <w:bookmarkStart w:id="152" w:name="_Toc144974526"/>
      <w:bookmarkStart w:id="153" w:name="_Toc296602446"/>
      <w:bookmarkStart w:id="154" w:name="_Toc246996945"/>
      <w:bookmarkStart w:id="155" w:name="_Toc247085716"/>
      <w:bookmarkStart w:id="156" w:name="_Toc152045558"/>
      <w:bookmarkStart w:id="157" w:name="_Toc17963257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3"/>
      <w:bookmarkStart w:id="159" w:name="_Toc246996946"/>
      <w:bookmarkStart w:id="160" w:name="_Toc179632577"/>
      <w:bookmarkStart w:id="161" w:name="_Toc247085717"/>
      <w:bookmarkStart w:id="162" w:name="_Toc296602447"/>
      <w:bookmarkStart w:id="163" w:name="_Toc152042335"/>
      <w:bookmarkStart w:id="164" w:name="_Toc144974527"/>
      <w:bookmarkStart w:id="165" w:name="_Toc152045559"/>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28"/>
      <w:bookmarkStart w:id="167" w:name="_Toc152045560"/>
      <w:bookmarkStart w:id="168" w:name="_Toc247085718"/>
      <w:bookmarkStart w:id="169" w:name="_Toc296602448"/>
      <w:bookmarkStart w:id="170" w:name="_Toc179632578"/>
      <w:bookmarkStart w:id="171" w:name="_Toc246996204"/>
      <w:bookmarkStart w:id="172" w:name="_Toc246996947"/>
      <w:bookmarkStart w:id="173" w:name="_Toc152042336"/>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44974529"/>
      <w:bookmarkStart w:id="175" w:name="_Toc152042337"/>
      <w:bookmarkStart w:id="176" w:name="_Toc247085719"/>
      <w:bookmarkStart w:id="177" w:name="_Toc296602449"/>
      <w:bookmarkStart w:id="178" w:name="_Toc246996205"/>
      <w:bookmarkStart w:id="179" w:name="_Toc152045561"/>
      <w:bookmarkStart w:id="180" w:name="_Toc246996948"/>
      <w:bookmarkStart w:id="181" w:name="_Toc179632579"/>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5563"/>
      <w:bookmarkStart w:id="183" w:name="_Toc247085721"/>
      <w:bookmarkStart w:id="184" w:name="_Toc179632581"/>
      <w:bookmarkStart w:id="185" w:name="_Toc152042339"/>
      <w:bookmarkStart w:id="186" w:name="_Toc296602452"/>
      <w:bookmarkStart w:id="187" w:name="_Toc144974531"/>
      <w:bookmarkStart w:id="188" w:name="_Toc246996950"/>
      <w:bookmarkStart w:id="189" w:name="_Toc246996207"/>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44974534"/>
      <w:bookmarkStart w:id="191" w:name="_Toc246996953"/>
      <w:bookmarkStart w:id="192" w:name="_Toc246996210"/>
      <w:bookmarkStart w:id="193" w:name="_Toc152042342"/>
      <w:bookmarkStart w:id="194" w:name="_Toc247085724"/>
      <w:bookmarkStart w:id="195" w:name="_Toc296602455"/>
      <w:bookmarkStart w:id="196" w:name="_Toc152045566"/>
      <w:bookmarkStart w:id="197" w:name="_Toc179632584"/>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144974535"/>
      <w:bookmarkStart w:id="199" w:name="_Toc179632585"/>
      <w:bookmarkStart w:id="200" w:name="_Toc246996954"/>
      <w:bookmarkStart w:id="201" w:name="_Toc247085725"/>
      <w:bookmarkStart w:id="202" w:name="_Toc152045567"/>
      <w:bookmarkStart w:id="203" w:name="_Toc296602456"/>
      <w:bookmarkStart w:id="204" w:name="_Toc246996211"/>
      <w:bookmarkStart w:id="205" w:name="_Toc152042343"/>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46996212"/>
      <w:bookmarkStart w:id="208" w:name="_Toc246996955"/>
      <w:bookmarkStart w:id="209" w:name="_Toc179632586"/>
      <w:bookmarkStart w:id="210" w:name="_Toc247085726"/>
      <w:bookmarkStart w:id="211" w:name="_Toc296602458"/>
      <w:bookmarkStart w:id="212" w:name="_Toc144974536"/>
      <w:bookmarkStart w:id="213" w:name="_Toc152045568"/>
      <w:bookmarkStart w:id="214" w:name="_Toc152042344"/>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52045569"/>
      <w:bookmarkStart w:id="216" w:name="_Toc144974537"/>
      <w:bookmarkStart w:id="217" w:name="_Toc179632587"/>
      <w:bookmarkStart w:id="218" w:name="_Toc247085727"/>
      <w:bookmarkStart w:id="219" w:name="_Toc152042345"/>
      <w:bookmarkStart w:id="220" w:name="_Toc246996956"/>
      <w:bookmarkStart w:id="221" w:name="_Toc296602459"/>
      <w:bookmarkStart w:id="222" w:name="_Toc246996213"/>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296590983"/>
      <w:bookmarkStart w:id="225" w:name="_Toc247085733"/>
      <w:bookmarkStart w:id="226" w:name="_Toc296602462"/>
      <w:bookmarkStart w:id="227" w:name="_Toc152042351"/>
      <w:bookmarkStart w:id="228" w:name="_Toc246996962"/>
      <w:bookmarkStart w:id="229" w:name="_Toc179632593"/>
      <w:bookmarkStart w:id="230" w:name="_Toc144974543"/>
      <w:bookmarkStart w:id="231" w:name="_Toc152045575"/>
      <w:bookmarkStart w:id="232" w:name="_Toc246996219"/>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4"/>
        <w:bidi w:val="0"/>
        <w:rPr>
          <w:rFonts w:hint="eastAsia" w:eastAsia="黑体"/>
          <w:lang w:eastAsia="zh-CN"/>
        </w:rPr>
      </w:pPr>
      <w:bookmarkStart w:id="233" w:name="_Toc179632594"/>
      <w:bookmarkStart w:id="234" w:name="_Toc247085734"/>
      <w:bookmarkStart w:id="235" w:name="_Toc144974544"/>
      <w:bookmarkStart w:id="236" w:name="_Toc152042352"/>
      <w:bookmarkStart w:id="237" w:name="_Toc296602463"/>
      <w:bookmarkStart w:id="238" w:name="_Toc152045576"/>
      <w:bookmarkStart w:id="239" w:name="_Toc246996220"/>
      <w:bookmarkStart w:id="240" w:name="_Toc246996963"/>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52042353"/>
      <w:bookmarkStart w:id="242" w:name="_Toc247085735"/>
      <w:bookmarkStart w:id="243" w:name="_Toc246996964"/>
      <w:bookmarkStart w:id="244" w:name="_Toc144974545"/>
      <w:bookmarkStart w:id="245" w:name="_Toc296602464"/>
      <w:bookmarkStart w:id="246" w:name="_Toc152045577"/>
      <w:bookmarkStart w:id="247" w:name="_Toc246996221"/>
      <w:bookmarkStart w:id="248" w:name="_Toc179632595"/>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344B6E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2B799AD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0FC146F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850"/>
        <w:gridCol w:w="1984"/>
        <w:gridCol w:w="4836"/>
      </w:tblGrid>
      <w:tr w14:paraId="766D0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l2br w:val="nil"/>
              <w:tr2bl w:val="nil"/>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l2br w:val="nil"/>
              <w:tr2bl w:val="nil"/>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3D9D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restart"/>
            <w:tcBorders>
              <w:tl2br w:val="nil"/>
              <w:tr2bl w:val="nil"/>
            </w:tcBorders>
            <w:noWrap w:val="0"/>
            <w:vAlign w:val="center"/>
          </w:tcPr>
          <w:p w14:paraId="4492AE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l2br w:val="nil"/>
              <w:tr2bl w:val="nil"/>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l2br w:val="nil"/>
              <w:tr2bl w:val="nil"/>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l2br w:val="nil"/>
              <w:tr2bl w:val="nil"/>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2010C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7BB251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l2br w:val="nil"/>
              <w:tr2bl w:val="nil"/>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2ACCF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44BCF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l2br w:val="nil"/>
              <w:tr2bl w:val="nil"/>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524E5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62E35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l2br w:val="nil"/>
              <w:tr2bl w:val="nil"/>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223D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850" w:type="dxa"/>
            <w:vMerge w:val="restart"/>
            <w:tcBorders>
              <w:tl2br w:val="nil"/>
              <w:tr2bl w:val="nil"/>
            </w:tcBorders>
            <w:noWrap w:val="0"/>
            <w:vAlign w:val="center"/>
          </w:tcPr>
          <w:p w14:paraId="35FF42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7"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l2br w:val="nil"/>
              <w:tr2bl w:val="nil"/>
            </w:tcBorders>
            <w:noWrap w:val="0"/>
            <w:vAlign w:val="center"/>
          </w:tcPr>
          <w:p w14:paraId="0E4FEA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l2br w:val="nil"/>
              <w:tr2bl w:val="nil"/>
            </w:tcBorders>
            <w:noWrap w:val="0"/>
            <w:vAlign w:val="center"/>
          </w:tcPr>
          <w:p w14:paraId="27E8BF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l2br w:val="nil"/>
              <w:tr2bl w:val="nil"/>
            </w:tcBorders>
            <w:noWrap w:val="0"/>
            <w:vAlign w:val="center"/>
          </w:tcPr>
          <w:p w14:paraId="0F2689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14:paraId="65C29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14:paraId="0CC06B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tl2br w:val="nil"/>
              <w:tr2bl w:val="nil"/>
            </w:tcBorders>
            <w:noWrap w:val="0"/>
            <w:vAlign w:val="center"/>
          </w:tcPr>
          <w:p w14:paraId="0DF639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top"/>
          </w:tcPr>
          <w:p w14:paraId="271C15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l2br w:val="nil"/>
              <w:tr2bl w:val="nil"/>
            </w:tcBorders>
            <w:noWrap w:val="0"/>
            <w:vAlign w:val="center"/>
          </w:tcPr>
          <w:p w14:paraId="48587F2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14:paraId="515AE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14:paraId="05CC7D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tl2br w:val="nil"/>
              <w:tr2bl w:val="nil"/>
            </w:tcBorders>
            <w:noWrap w:val="0"/>
            <w:vAlign w:val="center"/>
          </w:tcPr>
          <w:p w14:paraId="715A03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top"/>
          </w:tcPr>
          <w:p w14:paraId="624A97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l2br w:val="nil"/>
              <w:tr2bl w:val="nil"/>
            </w:tcBorders>
            <w:noWrap w:val="0"/>
            <w:vAlign w:val="center"/>
          </w:tcPr>
          <w:p w14:paraId="095BB4D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9"/>
      <w:tr w14:paraId="4F501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14:paraId="7B2260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tl2br w:val="nil"/>
              <w:tr2bl w:val="nil"/>
            </w:tcBorders>
            <w:noWrap w:val="0"/>
            <w:vAlign w:val="center"/>
          </w:tcPr>
          <w:p w14:paraId="0B9C43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top"/>
          </w:tcPr>
          <w:p w14:paraId="5E2217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l2br w:val="nil"/>
              <w:tr2bl w:val="nil"/>
            </w:tcBorders>
            <w:noWrap w:val="0"/>
            <w:vAlign w:val="center"/>
          </w:tcPr>
          <w:p w14:paraId="0D4C5C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70"/>
      <w:tr w14:paraId="0219F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14:paraId="4C6D67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tl2br w:val="nil"/>
              <w:tr2bl w:val="nil"/>
            </w:tcBorders>
            <w:noWrap w:val="0"/>
            <w:vAlign w:val="center"/>
          </w:tcPr>
          <w:p w14:paraId="3B82C5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top"/>
          </w:tcPr>
          <w:p w14:paraId="3740B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l2br w:val="nil"/>
              <w:tr2bl w:val="nil"/>
            </w:tcBorders>
            <w:noWrap w:val="0"/>
            <w:vAlign w:val="center"/>
          </w:tcPr>
          <w:p w14:paraId="5D128A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71"/>
      <w:tr w14:paraId="7DF8C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0" w:type="dxa"/>
            <w:vMerge w:val="continue"/>
            <w:tcBorders>
              <w:tl2br w:val="nil"/>
              <w:tr2bl w:val="nil"/>
            </w:tcBorders>
            <w:noWrap w:val="0"/>
            <w:vAlign w:val="center"/>
          </w:tcPr>
          <w:p w14:paraId="4310EA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14:paraId="5282E3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top"/>
          </w:tcPr>
          <w:p w14:paraId="5EDCD0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l2br w:val="nil"/>
              <w:tr2bl w:val="nil"/>
            </w:tcBorders>
            <w:noWrap w:val="0"/>
            <w:vAlign w:val="center"/>
          </w:tcPr>
          <w:p w14:paraId="42F5285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72" w:edGrp="everyone"/>
            <w:r>
              <w:rPr>
                <w:rFonts w:hint="eastAsia" w:ascii="Times New Roman" w:hAnsi="Times New Roman" w:cs="Times New Roman"/>
                <w:kern w:val="0"/>
                <w:sz w:val="24"/>
                <w:szCs w:val="24"/>
                <w:highlight w:val="none"/>
                <w:lang w:val="en-US" w:eastAsia="zh-CN"/>
              </w:rPr>
              <w:t>符合第二章“投标人须知”第1.4.1项规定</w:t>
            </w:r>
            <w:permEnd w:id="72"/>
          </w:p>
        </w:tc>
      </w:tr>
      <w:tr w14:paraId="25D5C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0" w:type="dxa"/>
            <w:vMerge w:val="continue"/>
            <w:tcBorders>
              <w:tl2br w:val="nil"/>
              <w:tr2bl w:val="nil"/>
            </w:tcBorders>
            <w:noWrap w:val="0"/>
            <w:vAlign w:val="center"/>
          </w:tcPr>
          <w:p w14:paraId="35D65C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l2br w:val="nil"/>
              <w:tr2bl w:val="nil"/>
            </w:tcBorders>
            <w:noWrap w:val="0"/>
            <w:vAlign w:val="center"/>
          </w:tcPr>
          <w:p w14:paraId="6FB5FC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0682DC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l2br w:val="nil"/>
              <w:tr2bl w:val="nil"/>
            </w:tcBorders>
            <w:noWrap w:val="0"/>
            <w:vAlign w:val="center"/>
          </w:tcPr>
          <w:p w14:paraId="4B3CAF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highlight w:val="none"/>
              </w:rPr>
              <w:t>符合第二章“投标人须知”第1.4.1项规定</w:t>
            </w:r>
          </w:p>
        </w:tc>
      </w:tr>
      <w:tr w14:paraId="6AC7B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0" w:type="dxa"/>
            <w:vMerge w:val="continue"/>
            <w:tcBorders>
              <w:tl2br w:val="nil"/>
              <w:tr2bl w:val="nil"/>
            </w:tcBorders>
            <w:noWrap w:val="0"/>
            <w:vAlign w:val="center"/>
          </w:tcPr>
          <w:p w14:paraId="3B30A0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tl2br w:val="nil"/>
              <w:tr2bl w:val="nil"/>
            </w:tcBorders>
            <w:noWrap w:val="0"/>
            <w:vAlign w:val="center"/>
          </w:tcPr>
          <w:p w14:paraId="404EC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2EA8975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l2br w:val="nil"/>
              <w:tr2bl w:val="nil"/>
            </w:tcBorders>
            <w:noWrap w:val="0"/>
            <w:vAlign w:val="center"/>
          </w:tcPr>
          <w:p w14:paraId="09F1E2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73"/>
      <w:tr w14:paraId="7EBB8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0" w:type="dxa"/>
            <w:vMerge w:val="continue"/>
            <w:tcBorders>
              <w:tl2br w:val="nil"/>
              <w:tr2bl w:val="nil"/>
            </w:tcBorders>
            <w:noWrap w:val="0"/>
            <w:vAlign w:val="center"/>
          </w:tcPr>
          <w:p w14:paraId="74F766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tl2br w:val="nil"/>
              <w:tr2bl w:val="nil"/>
            </w:tcBorders>
            <w:noWrap w:val="0"/>
            <w:vAlign w:val="center"/>
          </w:tcPr>
          <w:p w14:paraId="7A355A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top"/>
          </w:tcPr>
          <w:p w14:paraId="4EC358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l2br w:val="nil"/>
              <w:tr2bl w:val="nil"/>
            </w:tcBorders>
            <w:noWrap w:val="0"/>
            <w:vAlign w:val="center"/>
          </w:tcPr>
          <w:p w14:paraId="558075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74"/>
      <w:tr w14:paraId="4CDB1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0" w:type="dxa"/>
            <w:vMerge w:val="continue"/>
            <w:tcBorders>
              <w:tl2br w:val="nil"/>
              <w:tr2bl w:val="nil"/>
            </w:tcBorders>
            <w:noWrap w:val="0"/>
            <w:vAlign w:val="center"/>
          </w:tcPr>
          <w:p w14:paraId="39F0F9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tl2br w:val="nil"/>
              <w:tr2bl w:val="nil"/>
            </w:tcBorders>
            <w:noWrap w:val="0"/>
            <w:vAlign w:val="center"/>
          </w:tcPr>
          <w:p w14:paraId="12C7B9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l2br w:val="nil"/>
              <w:tr2bl w:val="nil"/>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75"/>
      <w:tr w14:paraId="020CF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restart"/>
            <w:tcBorders>
              <w:tl2br w:val="nil"/>
              <w:tr2bl w:val="nil"/>
            </w:tcBorders>
            <w:noWrap w:val="0"/>
            <w:vAlign w:val="center"/>
          </w:tcPr>
          <w:p w14:paraId="310A0C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6"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l2br w:val="nil"/>
              <w:tr2bl w:val="nil"/>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l2br w:val="nil"/>
              <w:tr2bl w:val="nil"/>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l2br w:val="nil"/>
              <w:tr2bl w:val="nil"/>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76"/>
      <w:tr w14:paraId="7C07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758EC8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850" w:type="dxa"/>
            <w:vMerge w:val="continue"/>
            <w:tcBorders>
              <w:tl2br w:val="nil"/>
              <w:tr2bl w:val="nil"/>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l2br w:val="nil"/>
              <w:tr2bl w:val="nil"/>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7"/>
      <w:tr w14:paraId="0CC5B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10FB9B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8" w:edGrp="everyone" w:colFirst="3" w:colLast="3"/>
          </w:p>
        </w:tc>
        <w:tc>
          <w:tcPr>
            <w:tcW w:w="850" w:type="dxa"/>
            <w:vMerge w:val="continue"/>
            <w:tcBorders>
              <w:tl2br w:val="nil"/>
              <w:tr2bl w:val="nil"/>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l2br w:val="nil"/>
              <w:tr2bl w:val="nil"/>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8"/>
      <w:tr w14:paraId="5C547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72C809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9" w:edGrp="everyone" w:colFirst="3" w:colLast="3"/>
          </w:p>
        </w:tc>
        <w:tc>
          <w:tcPr>
            <w:tcW w:w="850" w:type="dxa"/>
            <w:vMerge w:val="continue"/>
            <w:tcBorders>
              <w:tl2br w:val="nil"/>
              <w:tr2bl w:val="nil"/>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l2br w:val="nil"/>
              <w:tr2bl w:val="nil"/>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9"/>
      <w:tr w14:paraId="24987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449B84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0" w:edGrp="everyone" w:colFirst="3" w:colLast="3"/>
          </w:p>
        </w:tc>
        <w:tc>
          <w:tcPr>
            <w:tcW w:w="850" w:type="dxa"/>
            <w:vMerge w:val="continue"/>
            <w:tcBorders>
              <w:tl2br w:val="nil"/>
              <w:tr2bl w:val="nil"/>
            </w:tcBorders>
            <w:noWrap w:val="0"/>
            <w:vAlign w:val="center"/>
          </w:tcPr>
          <w:p w14:paraId="5EE74A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79920C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l2br w:val="nil"/>
              <w:tr2bl w:val="nil"/>
            </w:tcBorders>
            <w:noWrap w:val="0"/>
            <w:vAlign w:val="center"/>
          </w:tcPr>
          <w:p w14:paraId="6423D43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80"/>
      <w:tr w14:paraId="53D74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0D957C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1" w:edGrp="everyone" w:colFirst="3" w:colLast="3"/>
          </w:p>
        </w:tc>
        <w:tc>
          <w:tcPr>
            <w:tcW w:w="850" w:type="dxa"/>
            <w:vMerge w:val="continue"/>
            <w:tcBorders>
              <w:tl2br w:val="nil"/>
              <w:tr2bl w:val="nil"/>
            </w:tcBorders>
            <w:noWrap w:val="0"/>
            <w:vAlign w:val="center"/>
          </w:tcPr>
          <w:p w14:paraId="781400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713A16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l2br w:val="nil"/>
              <w:tr2bl w:val="nil"/>
            </w:tcBorders>
            <w:noWrap w:val="0"/>
            <w:vAlign w:val="center"/>
          </w:tcPr>
          <w:p w14:paraId="7ED0D99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81"/>
      <w:tr w14:paraId="3EFF6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12FB37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2" w:edGrp="everyone" w:colFirst="3" w:colLast="3"/>
          </w:p>
        </w:tc>
        <w:tc>
          <w:tcPr>
            <w:tcW w:w="850" w:type="dxa"/>
            <w:vMerge w:val="continue"/>
            <w:tcBorders>
              <w:tl2br w:val="nil"/>
              <w:tr2bl w:val="nil"/>
            </w:tcBorders>
            <w:noWrap w:val="0"/>
            <w:vAlign w:val="center"/>
          </w:tcPr>
          <w:p w14:paraId="06CC44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4D0695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l2br w:val="nil"/>
              <w:tr2bl w:val="nil"/>
            </w:tcBorders>
            <w:noWrap w:val="0"/>
            <w:vAlign w:val="center"/>
          </w:tcPr>
          <w:p w14:paraId="65626F1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82"/>
      <w:tr w14:paraId="492C2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43421B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3" w:edGrp="everyone" w:colFirst="3" w:colLast="3"/>
          </w:p>
        </w:tc>
        <w:tc>
          <w:tcPr>
            <w:tcW w:w="850" w:type="dxa"/>
            <w:vMerge w:val="continue"/>
            <w:tcBorders>
              <w:tl2br w:val="nil"/>
              <w:tr2bl w:val="nil"/>
            </w:tcBorders>
            <w:noWrap w:val="0"/>
            <w:vAlign w:val="center"/>
          </w:tcPr>
          <w:p w14:paraId="68F84D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l2br w:val="nil"/>
              <w:tr2bl w:val="nil"/>
            </w:tcBorders>
            <w:noWrap w:val="0"/>
            <w:vAlign w:val="center"/>
          </w:tcPr>
          <w:p w14:paraId="12C67F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l2br w:val="nil"/>
              <w:tr2bl w:val="nil"/>
            </w:tcBorders>
            <w:noWrap w:val="0"/>
            <w:vAlign w:val="center"/>
          </w:tcPr>
          <w:p w14:paraId="4F94503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83"/>
      <w:tr w14:paraId="210FD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14:paraId="6861C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249" w:name="_Toc144974556"/>
            <w:bookmarkStart w:id="250" w:name="_Toc152042366"/>
            <w:bookmarkStart w:id="251" w:name="_Toc246996975"/>
            <w:bookmarkStart w:id="252" w:name="_Toc246996232"/>
            <w:bookmarkStart w:id="253" w:name="_Toc152045589"/>
            <w:bookmarkStart w:id="254" w:name="_Toc179632607"/>
            <w:bookmarkStart w:id="255" w:name="_Toc247085747"/>
            <w:bookmarkStart w:id="256" w:name="_Toc296602477"/>
            <w:r>
              <w:rPr>
                <w:rFonts w:hint="default" w:ascii="Times New Roman" w:hAnsi="Times New Roman" w:cs="Times New Roman"/>
                <w:b/>
                <w:bCs/>
                <w:kern w:val="0"/>
                <w:sz w:val="24"/>
                <w:szCs w:val="24"/>
                <w:highlight w:val="none"/>
                <w:lang w:val="en-US" w:eastAsia="zh-CN"/>
              </w:rPr>
              <w:t>条款号</w:t>
            </w:r>
          </w:p>
        </w:tc>
        <w:tc>
          <w:tcPr>
            <w:tcW w:w="1984" w:type="dxa"/>
            <w:tcBorders>
              <w:tl2br w:val="nil"/>
              <w:tr2bl w:val="nil"/>
            </w:tcBorders>
            <w:noWrap w:val="0"/>
            <w:vAlign w:val="center"/>
          </w:tcPr>
          <w:p w14:paraId="21452E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l2br w:val="nil"/>
              <w:tr2bl w:val="nil"/>
            </w:tcBorders>
            <w:noWrap w:val="0"/>
            <w:vAlign w:val="center"/>
          </w:tcPr>
          <w:p w14:paraId="619563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1DFFC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14:paraId="757780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84"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l2br w:val="nil"/>
              <w:tr2bl w:val="nil"/>
            </w:tcBorders>
            <w:noWrap w:val="0"/>
            <w:vAlign w:val="center"/>
          </w:tcPr>
          <w:p w14:paraId="54D0DA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0021C8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l2br w:val="nil"/>
              <w:tr2bl w:val="nil"/>
            </w:tcBorders>
            <w:noWrap w:val="0"/>
            <w:vAlign w:val="center"/>
          </w:tcPr>
          <w:p w14:paraId="17FE9B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14:paraId="3D07670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14:paraId="00A832A8">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14:paraId="18553F0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10 </w:t>
            </w:r>
            <w:r>
              <w:rPr>
                <w:rFonts w:hint="default" w:ascii="Times New Roman" w:hAnsi="Times New Roman" w:cs="Times New Roman" w:eastAsiaTheme="minorEastAsia"/>
                <w:color w:val="auto"/>
                <w:kern w:val="0"/>
                <w:sz w:val="24"/>
                <w:szCs w:val="24"/>
                <w:highlight w:val="none"/>
              </w:rPr>
              <w:t>分</w:t>
            </w:r>
          </w:p>
        </w:tc>
      </w:tr>
      <w:permEnd w:id="84"/>
      <w:tr w14:paraId="66CBF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14:paraId="37077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85"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l2br w:val="nil"/>
              <w:tr2bl w:val="nil"/>
            </w:tcBorders>
            <w:noWrap w:val="0"/>
            <w:vAlign w:val="center"/>
          </w:tcPr>
          <w:p w14:paraId="53FC55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l2br w:val="nil"/>
              <w:tr2bl w:val="nil"/>
            </w:tcBorders>
            <w:noWrap w:val="0"/>
            <w:vAlign w:val="center"/>
          </w:tcPr>
          <w:p w14:paraId="02621B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满足招标文件要求且通过初步评审的投标人投标报价的算术平均值作为评标基准价。</w:t>
            </w:r>
          </w:p>
        </w:tc>
      </w:tr>
      <w:permEnd w:id="85"/>
      <w:tr w14:paraId="3B123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14:paraId="69E78B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l2br w:val="nil"/>
              <w:tr2bl w:val="nil"/>
            </w:tcBorders>
            <w:noWrap w:val="0"/>
            <w:vAlign w:val="center"/>
          </w:tcPr>
          <w:p w14:paraId="79FA82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投标报价得分计算公式</w:t>
            </w:r>
          </w:p>
        </w:tc>
        <w:tc>
          <w:tcPr>
            <w:tcW w:w="4836" w:type="dxa"/>
            <w:tcBorders>
              <w:tl2br w:val="nil"/>
              <w:tr2bl w:val="nil"/>
            </w:tcBorders>
            <w:noWrap w:val="0"/>
            <w:vAlign w:val="center"/>
          </w:tcPr>
          <w:p w14:paraId="428A19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14:paraId="5BFEA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0" w:type="dxa"/>
            <w:gridSpan w:val="2"/>
            <w:tcBorders>
              <w:tl2br w:val="nil"/>
              <w:tr2bl w:val="nil"/>
            </w:tcBorders>
            <w:noWrap w:val="0"/>
            <w:vAlign w:val="center"/>
          </w:tcPr>
          <w:p w14:paraId="3BBF08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l2br w:val="nil"/>
              <w:tr2bl w:val="nil"/>
            </w:tcBorders>
            <w:noWrap w:val="0"/>
            <w:vAlign w:val="center"/>
          </w:tcPr>
          <w:p w14:paraId="739C48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l2br w:val="nil"/>
              <w:tr2bl w:val="nil"/>
            </w:tcBorders>
            <w:noWrap w:val="0"/>
            <w:vAlign w:val="center"/>
          </w:tcPr>
          <w:p w14:paraId="224677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2434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850" w:type="dxa"/>
            <w:vMerge w:val="restart"/>
            <w:tcBorders>
              <w:tl2br w:val="nil"/>
              <w:tr2bl w:val="nil"/>
            </w:tcBorders>
            <w:noWrap w:val="0"/>
            <w:vAlign w:val="center"/>
          </w:tcPr>
          <w:p w14:paraId="4BECCF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6" w:edGrp="everyone" w:colFirst="1" w:colLast="1"/>
            <w:permStart w:id="87" w:edGrp="everyone" w:colFirst="2" w:colLast="2"/>
            <w:permStart w:id="88" w:edGrp="everyone" w:colFirst="3" w:colLast="3"/>
            <w:r>
              <w:rPr>
                <w:rFonts w:hint="eastAsia" w:ascii="Times New Roman" w:hAnsi="Times New Roman" w:cs="Times New Roman"/>
                <w:kern w:val="0"/>
                <w:sz w:val="24"/>
                <w:szCs w:val="24"/>
                <w:highlight w:val="none"/>
                <w:lang w:val="en-US" w:eastAsia="zh-CN"/>
              </w:rPr>
              <w:t>2.2.4</w:t>
            </w:r>
          </w:p>
          <w:p w14:paraId="12257E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l2br w:val="nil"/>
              <w:tr2bl w:val="nil"/>
            </w:tcBorders>
            <w:noWrap w:val="0"/>
            <w:vAlign w:val="center"/>
          </w:tcPr>
          <w:p w14:paraId="03A477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14:paraId="051698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l2br w:val="nil"/>
              <w:tr2bl w:val="nil"/>
            </w:tcBorders>
            <w:noWrap w:val="0"/>
            <w:vAlign w:val="center"/>
          </w:tcPr>
          <w:p w14:paraId="667B9EC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14:paraId="265E73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11EF2F2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投标人获得过省级及以上主管部门颁发的优秀工程勘察设计奖的得5分，本项满分5分。注：投标时须提供获奖证书原件的彩色扫描件。</w:t>
            </w:r>
          </w:p>
        </w:tc>
      </w:tr>
      <w:permEnd w:id="86"/>
      <w:permEnd w:id="87"/>
      <w:permEnd w:id="88"/>
      <w:tr w14:paraId="6C903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trPr>
        <w:tc>
          <w:tcPr>
            <w:tcW w:w="850" w:type="dxa"/>
            <w:vMerge w:val="continue"/>
            <w:tcBorders>
              <w:tl2br w:val="nil"/>
              <w:tr2bl w:val="nil"/>
            </w:tcBorders>
            <w:noWrap w:val="0"/>
            <w:vAlign w:val="center"/>
          </w:tcPr>
          <w:p w14:paraId="731B1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p>
        </w:tc>
        <w:tc>
          <w:tcPr>
            <w:tcW w:w="850" w:type="dxa"/>
            <w:vMerge w:val="continue"/>
            <w:tcBorders>
              <w:tl2br w:val="nil"/>
              <w:tr2bl w:val="nil"/>
            </w:tcBorders>
            <w:noWrap w:val="0"/>
            <w:vAlign w:val="center"/>
          </w:tcPr>
          <w:p w14:paraId="7B86B0A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l2br w:val="nil"/>
              <w:tr2bl w:val="nil"/>
            </w:tcBorders>
            <w:noWrap w:val="0"/>
            <w:vAlign w:val="center"/>
          </w:tcPr>
          <w:p w14:paraId="598BA0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14:paraId="3C36E6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042AF0F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除投标人资格要求类似项目业绩外，投标人每额外提供一项2021年至今类似项目业绩得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分，满分</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分。类似项目业绩</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highlight w:val="none"/>
              </w:rPr>
              <w:t>建设项目用地预审和规划选址</w:t>
            </w:r>
            <w:r>
              <w:rPr>
                <w:rFonts w:hint="eastAsia" w:ascii="Times New Roman" w:hAnsi="Times New Roman" w:cs="Times New Roman"/>
                <w:kern w:val="0"/>
                <w:sz w:val="24"/>
                <w:highlight w:val="none"/>
                <w:lang w:val="en-US" w:eastAsia="zh-CN"/>
              </w:rPr>
              <w:t>项目</w:t>
            </w:r>
            <w:r>
              <w:rPr>
                <w:rFonts w:hint="default" w:ascii="Times New Roman" w:hAnsi="Times New Roman" w:cs="Times New Roman"/>
                <w:kern w:val="0"/>
                <w:sz w:val="24"/>
                <w:highlight w:val="none"/>
              </w:rPr>
              <w:t>业绩</w:t>
            </w:r>
            <w:r>
              <w:rPr>
                <w:rFonts w:hint="default" w:ascii="Times New Roman" w:hAnsi="Times New Roman" w:cs="Times New Roman"/>
                <w:kern w:val="0"/>
                <w:sz w:val="24"/>
                <w:szCs w:val="24"/>
                <w:highlight w:val="none"/>
                <w:lang w:val="en-US" w:eastAsia="zh-CN"/>
              </w:rPr>
              <w:t>。</w:t>
            </w:r>
          </w:p>
          <w:p w14:paraId="6D8F48F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注：以上业绩投标时须提供合同原件</w:t>
            </w:r>
            <w:r>
              <w:rPr>
                <w:rFonts w:hint="eastAsia" w:ascii="Times New Roman" w:hAnsi="Times New Roman" w:cs="Times New Roman"/>
                <w:kern w:val="0"/>
                <w:sz w:val="24"/>
                <w:szCs w:val="24"/>
                <w:highlight w:val="none"/>
                <w:lang w:val="en-US" w:eastAsia="zh-CN"/>
              </w:rPr>
              <w:t>和批复文件</w:t>
            </w:r>
            <w:r>
              <w:rPr>
                <w:rFonts w:hint="default" w:ascii="Times New Roman" w:hAnsi="Times New Roman" w:cs="Times New Roman"/>
                <w:kern w:val="0"/>
                <w:sz w:val="24"/>
                <w:szCs w:val="24"/>
                <w:highlight w:val="none"/>
                <w:lang w:val="en-US" w:eastAsia="zh-CN"/>
              </w:rPr>
              <w:t>的彩色扫描件。</w:t>
            </w:r>
          </w:p>
        </w:tc>
      </w:tr>
      <w:permEnd w:id="89"/>
      <w:permEnd w:id="90"/>
      <w:permEnd w:id="91"/>
      <w:tr w14:paraId="25ECD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3C530B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1" w:colLast="1"/>
            <w:permStart w:id="93" w:edGrp="everyone" w:colFirst="2" w:colLast="2"/>
            <w:permStart w:id="94" w:edGrp="everyone" w:colFirst="3" w:colLast="3"/>
          </w:p>
        </w:tc>
        <w:tc>
          <w:tcPr>
            <w:tcW w:w="850" w:type="dxa"/>
            <w:vMerge w:val="continue"/>
            <w:tcBorders>
              <w:tl2br w:val="nil"/>
              <w:tr2bl w:val="nil"/>
            </w:tcBorders>
            <w:noWrap w:val="0"/>
            <w:vAlign w:val="center"/>
          </w:tcPr>
          <w:p w14:paraId="6972FD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l2br w:val="nil"/>
              <w:tr2bl w:val="nil"/>
            </w:tcBorders>
            <w:noWrap w:val="0"/>
            <w:vAlign w:val="center"/>
          </w:tcPr>
          <w:p w14:paraId="17A979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项目负责人资历</w:t>
            </w:r>
          </w:p>
          <w:p w14:paraId="7EC8AD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6E33ABE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项目负责人具有土地规划类</w:t>
            </w:r>
            <w:r>
              <w:rPr>
                <w:rFonts w:hint="eastAsia" w:ascii="Times New Roman" w:hAnsi="Times New Roman" w:cs="Times New Roman"/>
                <w:kern w:val="0"/>
                <w:sz w:val="24"/>
                <w:szCs w:val="24"/>
                <w:highlight w:val="none"/>
                <w:lang w:val="en-US" w:eastAsia="zh-CN"/>
              </w:rPr>
              <w:t>或城乡规划</w:t>
            </w:r>
            <w:r>
              <w:rPr>
                <w:rFonts w:hint="default" w:ascii="Times New Roman" w:hAnsi="Times New Roman" w:cs="Times New Roman"/>
                <w:kern w:val="0"/>
                <w:sz w:val="24"/>
                <w:szCs w:val="24"/>
                <w:highlight w:val="none"/>
                <w:lang w:val="en-US" w:eastAsia="zh-CN"/>
              </w:rPr>
              <w:t>类高级及以上职称得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分，本项满分</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p>
          <w:p w14:paraId="3861C1E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备注：</w:t>
            </w:r>
            <w:r>
              <w:rPr>
                <w:rFonts w:hint="default" w:ascii="Times New Roman" w:hAnsi="Times New Roman" w:cs="Times New Roman"/>
                <w:kern w:val="0"/>
                <w:sz w:val="24"/>
                <w:szCs w:val="24"/>
                <w:highlight w:val="none"/>
                <w:lang w:val="en-US" w:eastAsia="zh-CN"/>
              </w:rPr>
              <w:t>投标时须提供证书原件的彩色扫描件和投标人为其缴纳</w:t>
            </w:r>
            <w:r>
              <w:rPr>
                <w:rFonts w:hint="eastAsia" w:ascii="Times New Roman" w:hAnsi="Times New Roman" w:cs="Times New Roman"/>
                <w:kern w:val="0"/>
                <w:sz w:val="24"/>
                <w:szCs w:val="24"/>
                <w:highlight w:val="none"/>
                <w:lang w:val="en-US" w:eastAsia="zh-CN"/>
              </w:rPr>
              <w:t>2024年6月至今任意连续3个月</w:t>
            </w:r>
            <w:r>
              <w:rPr>
                <w:rFonts w:hint="default" w:ascii="Times New Roman" w:hAnsi="Times New Roman" w:cs="Times New Roman"/>
                <w:kern w:val="0"/>
                <w:sz w:val="24"/>
                <w:szCs w:val="24"/>
                <w:highlight w:val="none"/>
                <w:lang w:val="en-US" w:eastAsia="zh-CN"/>
              </w:rPr>
              <w:t>社保证明，未提供不得分。</w:t>
            </w:r>
          </w:p>
        </w:tc>
      </w:tr>
      <w:permEnd w:id="92"/>
      <w:permEnd w:id="93"/>
      <w:permEnd w:id="94"/>
      <w:tr w14:paraId="19A9E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9" w:hRule="atLeast"/>
        </w:trPr>
        <w:tc>
          <w:tcPr>
            <w:tcW w:w="850" w:type="dxa"/>
            <w:vMerge w:val="continue"/>
            <w:tcBorders>
              <w:tl2br w:val="nil"/>
              <w:tr2bl w:val="nil"/>
            </w:tcBorders>
            <w:noWrap w:val="0"/>
            <w:vAlign w:val="center"/>
          </w:tcPr>
          <w:p w14:paraId="52A271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permStart w:id="96" w:edGrp="everyone" w:colFirst="2" w:colLast="2"/>
            <w:permStart w:id="97" w:edGrp="everyone" w:colFirst="3" w:colLast="3"/>
          </w:p>
        </w:tc>
        <w:tc>
          <w:tcPr>
            <w:tcW w:w="850" w:type="dxa"/>
            <w:vMerge w:val="continue"/>
            <w:tcBorders>
              <w:tl2br w:val="nil"/>
              <w:tr2bl w:val="nil"/>
            </w:tcBorders>
            <w:noWrap w:val="0"/>
            <w:vAlign w:val="center"/>
          </w:tcPr>
          <w:p w14:paraId="53099F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l2br w:val="nil"/>
              <w:tr2bl w:val="nil"/>
            </w:tcBorders>
            <w:noWrap w:val="0"/>
            <w:vAlign w:val="center"/>
          </w:tcPr>
          <w:p w14:paraId="2AC5C3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其他主要人员资历</w:t>
            </w:r>
          </w:p>
          <w:p w14:paraId="295940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530B32A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1.除项目负责人外，</w:t>
            </w:r>
            <w:r>
              <w:rPr>
                <w:rFonts w:hint="default" w:ascii="Times New Roman" w:hAnsi="Times New Roman" w:cs="Times New Roman"/>
                <w:kern w:val="0"/>
                <w:sz w:val="24"/>
                <w:szCs w:val="24"/>
                <w:highlight w:val="none"/>
                <w:lang w:val="en-US" w:eastAsia="zh-CN"/>
              </w:rPr>
              <w:t>项目组成员具有城乡规划、国土空间规划、</w:t>
            </w:r>
            <w:r>
              <w:rPr>
                <w:rFonts w:hint="eastAsia" w:ascii="Times New Roman" w:hAnsi="Times New Roman" w:cs="Times New Roman"/>
                <w:kern w:val="0"/>
                <w:sz w:val="24"/>
                <w:szCs w:val="24"/>
                <w:highlight w:val="none"/>
                <w:lang w:val="en-US" w:eastAsia="zh-CN"/>
              </w:rPr>
              <w:t>土地规划</w:t>
            </w:r>
            <w:r>
              <w:rPr>
                <w:rFonts w:hint="default" w:ascii="Times New Roman" w:hAnsi="Times New Roman" w:cs="Times New Roman"/>
                <w:kern w:val="0"/>
                <w:sz w:val="24"/>
                <w:szCs w:val="24"/>
                <w:highlight w:val="none"/>
                <w:lang w:val="en-US" w:eastAsia="zh-CN"/>
              </w:rPr>
              <w:t>、土地利用与保护、</w:t>
            </w:r>
            <w:r>
              <w:rPr>
                <w:rFonts w:hint="eastAsia" w:ascii="Times New Roman" w:hAnsi="Times New Roman" w:cs="Times New Roman"/>
                <w:kern w:val="0"/>
                <w:sz w:val="24"/>
                <w:szCs w:val="24"/>
                <w:highlight w:val="none"/>
                <w:lang w:val="en-US" w:eastAsia="zh-CN"/>
              </w:rPr>
              <w:t>测绘、地质工程</w:t>
            </w:r>
            <w:r>
              <w:rPr>
                <w:rFonts w:hint="default" w:ascii="Times New Roman" w:hAnsi="Times New Roman" w:cs="Times New Roman"/>
                <w:kern w:val="0"/>
                <w:sz w:val="24"/>
                <w:szCs w:val="24"/>
                <w:highlight w:val="none"/>
                <w:lang w:val="en-US" w:eastAsia="zh-CN"/>
              </w:rPr>
              <w:t>、林业工程专业中级及以上职称，每有一个专业得1分</w:t>
            </w:r>
            <w:r>
              <w:rPr>
                <w:rFonts w:hint="eastAsia" w:ascii="Times New Roman" w:hAnsi="Times New Roman" w:cs="Times New Roman"/>
                <w:kern w:val="0"/>
                <w:sz w:val="24"/>
                <w:szCs w:val="24"/>
                <w:highlight w:val="none"/>
                <w:lang w:val="en-US" w:eastAsia="zh-CN"/>
              </w:rPr>
              <w:t>（一人具备多种职称证书不重复计分）</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本项</w:t>
            </w:r>
            <w:r>
              <w:rPr>
                <w:rFonts w:hint="default" w:ascii="Times New Roman" w:hAnsi="Times New Roman" w:cs="Times New Roman"/>
                <w:kern w:val="0"/>
                <w:sz w:val="24"/>
                <w:szCs w:val="24"/>
                <w:highlight w:val="none"/>
                <w:lang w:val="en-US" w:eastAsia="zh-CN"/>
              </w:rPr>
              <w:t>满分</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分。</w:t>
            </w:r>
          </w:p>
          <w:p w14:paraId="4072B7F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2.除项目负责人外，</w:t>
            </w:r>
            <w:r>
              <w:rPr>
                <w:rFonts w:hint="default" w:ascii="Times New Roman" w:hAnsi="Times New Roman" w:cs="Times New Roman"/>
                <w:kern w:val="0"/>
                <w:sz w:val="24"/>
                <w:szCs w:val="24"/>
                <w:highlight w:val="none"/>
                <w:lang w:val="en-US" w:eastAsia="zh-CN"/>
              </w:rPr>
              <w:t>项目组成员获得过省级及以上主管部门颁发的</w:t>
            </w:r>
            <w:r>
              <w:rPr>
                <w:rFonts w:hint="default" w:ascii="Times New Roman" w:hAnsi="Times New Roman" w:cs="Times New Roman"/>
                <w:kern w:val="0"/>
                <w:sz w:val="24"/>
                <w:highlight w:val="none"/>
              </w:rPr>
              <w:t>国土资源科学技术奖或自然资源科学技术奖</w:t>
            </w:r>
            <w:r>
              <w:rPr>
                <w:rFonts w:hint="default" w:ascii="Times New Roman" w:hAnsi="Times New Roman" w:cs="Times New Roman"/>
                <w:kern w:val="0"/>
                <w:sz w:val="24"/>
                <w:szCs w:val="24"/>
                <w:highlight w:val="none"/>
                <w:lang w:val="en-US" w:eastAsia="zh-CN"/>
              </w:rPr>
              <w:t>的每个得 2 分，满分得 4分。</w:t>
            </w:r>
          </w:p>
          <w:p w14:paraId="20C7DF5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备注：</w:t>
            </w:r>
            <w:r>
              <w:rPr>
                <w:rFonts w:hint="default" w:ascii="Times New Roman" w:hAnsi="Times New Roman" w:cs="Times New Roman"/>
                <w:kern w:val="0"/>
                <w:sz w:val="24"/>
                <w:szCs w:val="24"/>
                <w:highlight w:val="none"/>
                <w:lang w:val="en-US" w:eastAsia="zh-CN"/>
              </w:rPr>
              <w:t>1、以上人员投标时须提供证书原件的彩色扫描件和投标人为其缴纳</w:t>
            </w:r>
            <w:r>
              <w:rPr>
                <w:rFonts w:hint="eastAsia" w:ascii="Times New Roman" w:hAnsi="Times New Roman" w:cs="Times New Roman"/>
                <w:kern w:val="0"/>
                <w:sz w:val="24"/>
                <w:szCs w:val="24"/>
                <w:highlight w:val="none"/>
                <w:lang w:val="en-US" w:eastAsia="zh-CN"/>
              </w:rPr>
              <w:t>2024年6月至今任意连续3个月</w:t>
            </w:r>
            <w:r>
              <w:rPr>
                <w:rFonts w:hint="default" w:ascii="Times New Roman" w:hAnsi="Times New Roman" w:cs="Times New Roman"/>
                <w:kern w:val="0"/>
                <w:sz w:val="24"/>
                <w:szCs w:val="24"/>
                <w:highlight w:val="none"/>
                <w:lang w:val="en-US" w:eastAsia="zh-CN"/>
              </w:rPr>
              <w:t xml:space="preserve">社保证明，未提供不得分。 </w:t>
            </w:r>
          </w:p>
          <w:p w14:paraId="735DE64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2、以上奖项投标时须提供获奖证书原件的彩色扫描件，获奖证书中需体现评审内容，未提供不得分。</w:t>
            </w:r>
          </w:p>
        </w:tc>
      </w:tr>
      <w:permEnd w:id="95"/>
      <w:permEnd w:id="96"/>
      <w:permEnd w:id="97"/>
      <w:tr w14:paraId="1CD62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2" w:hRule="atLeast"/>
        </w:trPr>
        <w:tc>
          <w:tcPr>
            <w:tcW w:w="850" w:type="dxa"/>
            <w:vMerge w:val="restart"/>
            <w:tcBorders>
              <w:tl2br w:val="nil"/>
              <w:tr2bl w:val="nil"/>
            </w:tcBorders>
            <w:noWrap w:val="0"/>
            <w:vAlign w:val="center"/>
          </w:tcPr>
          <w:p w14:paraId="30D389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1" w:colLast="1"/>
            <w:permStart w:id="99" w:edGrp="everyone" w:colFirst="2" w:colLast="2"/>
            <w:permStart w:id="100" w:edGrp="everyone" w:colFirst="3" w:colLast="3"/>
            <w:r>
              <w:rPr>
                <w:rFonts w:hint="eastAsia" w:ascii="Times New Roman" w:hAnsi="Times New Roman" w:cs="Times New Roman"/>
                <w:kern w:val="0"/>
                <w:sz w:val="24"/>
                <w:szCs w:val="24"/>
                <w:highlight w:val="none"/>
                <w:lang w:val="en-US" w:eastAsia="zh-CN"/>
              </w:rPr>
              <w:t>2.2.4</w:t>
            </w:r>
          </w:p>
          <w:p w14:paraId="5FCF73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l2br w:val="nil"/>
              <w:tr2bl w:val="nil"/>
            </w:tcBorders>
            <w:noWrap w:val="0"/>
            <w:vAlign w:val="center"/>
          </w:tcPr>
          <w:p w14:paraId="301F5F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14:paraId="5C1668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l2br w:val="nil"/>
              <w:tr2bl w:val="nil"/>
            </w:tcBorders>
            <w:noWrap w:val="0"/>
            <w:vAlign w:val="center"/>
          </w:tcPr>
          <w:p w14:paraId="228F100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服务范围、服务内容</w:t>
            </w:r>
          </w:p>
          <w:p w14:paraId="237523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7AC660D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根据</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文件要求及</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提供的服务范围、服务内容方案，进行综合评分：</w:t>
            </w:r>
          </w:p>
          <w:p w14:paraId="68C8ACA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1.方案优于本项目采购需求，完整详细，可行性、实用性、针对性强，得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5分；</w:t>
            </w:r>
          </w:p>
          <w:p w14:paraId="05533C1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2.方案适合本项目采购需求，完整详细，具有可行性、实用性和针对性，得 </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3分；</w:t>
            </w:r>
          </w:p>
          <w:p w14:paraId="449A7BD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3.方案基本适合本项目采购需求，可行性、实用性、针对性有待改善，得 </w:t>
            </w:r>
            <w:r>
              <w:rPr>
                <w:rFonts w:hint="eastAsia" w:ascii="Times New Roman" w:hAnsi="Times New Roman" w:cs="Times New Roman"/>
                <w:kern w:val="0"/>
                <w:sz w:val="24"/>
                <w:szCs w:val="24"/>
                <w:highlight w:val="none"/>
                <w:lang w:val="en-US" w:eastAsia="zh-CN"/>
              </w:rPr>
              <w:t>0-</w:t>
            </w:r>
            <w:r>
              <w:rPr>
                <w:rFonts w:hint="default" w:ascii="Times New Roman" w:hAnsi="Times New Roman" w:cs="Times New Roman"/>
                <w:kern w:val="0"/>
                <w:sz w:val="24"/>
                <w:szCs w:val="24"/>
                <w:highlight w:val="none"/>
                <w:lang w:val="en-US" w:eastAsia="zh-CN"/>
              </w:rPr>
              <w:t>1分；</w:t>
            </w:r>
          </w:p>
          <w:p w14:paraId="15B1FAB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4.方案不可行或未提供得 0分。</w:t>
            </w:r>
          </w:p>
        </w:tc>
      </w:tr>
      <w:permEnd w:id="98"/>
      <w:permEnd w:id="99"/>
      <w:permEnd w:id="100"/>
      <w:tr w14:paraId="075CB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0" w:hRule="atLeast"/>
        </w:trPr>
        <w:tc>
          <w:tcPr>
            <w:tcW w:w="850" w:type="dxa"/>
            <w:vMerge w:val="continue"/>
            <w:tcBorders>
              <w:tl2br w:val="nil"/>
              <w:tr2bl w:val="nil"/>
            </w:tcBorders>
            <w:noWrap w:val="0"/>
            <w:vAlign w:val="center"/>
          </w:tcPr>
          <w:p w14:paraId="61F754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tl2br w:val="nil"/>
              <w:tr2bl w:val="nil"/>
            </w:tcBorders>
            <w:noWrap w:val="0"/>
            <w:vAlign w:val="center"/>
          </w:tcPr>
          <w:p w14:paraId="5EEAAE6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l2br w:val="nil"/>
              <w:tr2bl w:val="nil"/>
            </w:tcBorders>
            <w:shd w:val="clear" w:color="auto" w:fill="auto"/>
            <w:noWrap w:val="0"/>
            <w:vAlign w:val="center"/>
          </w:tcPr>
          <w:p w14:paraId="6CE5E3B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工作依据、工作目标</w:t>
            </w:r>
          </w:p>
          <w:p w14:paraId="0EAAA6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iCs/>
                <w:color w:val="FF0000"/>
                <w:kern w:val="0"/>
                <w:sz w:val="24"/>
                <w:szCs w:val="24"/>
                <w:highlight w:val="none"/>
                <w:u w:val="single"/>
                <w:lang w:val="en-US" w:eastAsia="zh-CN" w:bidi="ar-SA"/>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shd w:val="clear" w:color="auto" w:fill="auto"/>
            <w:noWrap w:val="0"/>
            <w:vAlign w:val="center"/>
          </w:tcPr>
          <w:p w14:paraId="3AB1D82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根据</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文件要求及</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提供的</w:t>
            </w:r>
            <w:r>
              <w:rPr>
                <w:rFonts w:hint="eastAsia" w:ascii="Times New Roman" w:hAnsi="Times New Roman" w:cs="Times New Roman"/>
                <w:kern w:val="0"/>
                <w:sz w:val="24"/>
                <w:szCs w:val="24"/>
                <w:highlight w:val="none"/>
                <w:lang w:val="en-US" w:eastAsia="zh-CN"/>
              </w:rPr>
              <w:t>工作依据、工作目标分析</w:t>
            </w:r>
            <w:r>
              <w:rPr>
                <w:rFonts w:hint="default" w:ascii="Times New Roman" w:hAnsi="Times New Roman" w:cs="Times New Roman"/>
                <w:kern w:val="0"/>
                <w:sz w:val="24"/>
                <w:szCs w:val="24"/>
                <w:highlight w:val="none"/>
                <w:lang w:val="en-US" w:eastAsia="zh-CN"/>
              </w:rPr>
              <w:t>，进行综合评分：</w:t>
            </w:r>
          </w:p>
          <w:p w14:paraId="611360C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分析</w:t>
            </w:r>
            <w:r>
              <w:rPr>
                <w:rFonts w:hint="default" w:ascii="Times New Roman" w:hAnsi="Times New Roman" w:cs="Times New Roman"/>
                <w:kern w:val="0"/>
                <w:sz w:val="24"/>
                <w:szCs w:val="24"/>
                <w:highlight w:val="none"/>
                <w:lang w:val="en-US" w:eastAsia="zh-CN"/>
              </w:rPr>
              <w:t xml:space="preserve">优于本项目采购需求，完整详细，可行性、实用性、针对性强，得 </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5</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分；</w:t>
            </w:r>
          </w:p>
          <w:p w14:paraId="5735B6E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分析</w:t>
            </w:r>
            <w:r>
              <w:rPr>
                <w:rFonts w:hint="default" w:ascii="Times New Roman" w:hAnsi="Times New Roman" w:cs="Times New Roman"/>
                <w:kern w:val="0"/>
                <w:sz w:val="24"/>
                <w:szCs w:val="24"/>
                <w:highlight w:val="none"/>
                <w:lang w:val="en-US" w:eastAsia="zh-CN"/>
              </w:rPr>
              <w:t>适合本项目采购需求，完整详细，具有可行性、实用性和针对性，得</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分；</w:t>
            </w:r>
          </w:p>
          <w:p w14:paraId="7D27175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分析</w:t>
            </w:r>
            <w:r>
              <w:rPr>
                <w:rFonts w:hint="default" w:ascii="Times New Roman" w:hAnsi="Times New Roman" w:cs="Times New Roman"/>
                <w:kern w:val="0"/>
                <w:sz w:val="24"/>
                <w:szCs w:val="24"/>
                <w:highlight w:val="none"/>
                <w:lang w:val="en-US" w:eastAsia="zh-CN"/>
              </w:rPr>
              <w:t xml:space="preserve">基本适合本项目采购需求，可行性、实用性、针对性有待改善，得 </w:t>
            </w:r>
            <w:r>
              <w:rPr>
                <w:rFonts w:hint="eastAsia" w:ascii="Times New Roman" w:hAnsi="Times New Roman" w:cs="Times New Roman"/>
                <w:kern w:val="0"/>
                <w:sz w:val="24"/>
                <w:szCs w:val="24"/>
                <w:highlight w:val="none"/>
                <w:lang w:val="en-US" w:eastAsia="zh-CN"/>
              </w:rPr>
              <w:t>0-</w:t>
            </w:r>
            <w:r>
              <w:rPr>
                <w:rFonts w:hint="default" w:ascii="Times New Roman" w:hAnsi="Times New Roman" w:cs="Times New Roman"/>
                <w:kern w:val="0"/>
                <w:sz w:val="24"/>
                <w:szCs w:val="24"/>
                <w:highlight w:val="none"/>
                <w:lang w:val="en-US" w:eastAsia="zh-CN"/>
              </w:rPr>
              <w:t>1分；</w:t>
            </w:r>
          </w:p>
          <w:p w14:paraId="7F6A75E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i/>
                <w:iCs/>
                <w:color w:val="FF0000"/>
                <w:kern w:val="0"/>
                <w:sz w:val="24"/>
                <w:szCs w:val="24"/>
                <w:highlight w:val="none"/>
                <w:u w:val="single"/>
                <w:lang w:val="en-US" w:eastAsia="zh-CN" w:bidi="ar-SA"/>
              </w:rPr>
            </w:pP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分析</w:t>
            </w:r>
            <w:r>
              <w:rPr>
                <w:rFonts w:hint="default" w:ascii="Times New Roman" w:hAnsi="Times New Roman" w:cs="Times New Roman"/>
                <w:kern w:val="0"/>
                <w:sz w:val="24"/>
                <w:szCs w:val="24"/>
                <w:highlight w:val="none"/>
                <w:lang w:val="en-US" w:eastAsia="zh-CN"/>
              </w:rPr>
              <w:t>不可行或未提供得 0 分。</w:t>
            </w:r>
          </w:p>
        </w:tc>
      </w:tr>
      <w:tr w14:paraId="6733D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3" w:hRule="atLeast"/>
        </w:trPr>
        <w:tc>
          <w:tcPr>
            <w:tcW w:w="850" w:type="dxa"/>
            <w:vMerge w:val="continue"/>
            <w:tcBorders>
              <w:tl2br w:val="nil"/>
              <w:tr2bl w:val="nil"/>
            </w:tcBorders>
            <w:noWrap w:val="0"/>
            <w:vAlign w:val="center"/>
          </w:tcPr>
          <w:p w14:paraId="0AD286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1" w:edGrp="everyone" w:colFirst="2" w:colLast="2"/>
            <w:permStart w:id="102" w:edGrp="everyone" w:colFirst="3" w:colLast="3"/>
          </w:p>
        </w:tc>
        <w:tc>
          <w:tcPr>
            <w:tcW w:w="850" w:type="dxa"/>
            <w:vMerge w:val="continue"/>
            <w:tcBorders>
              <w:tl2br w:val="nil"/>
              <w:tr2bl w:val="nil"/>
            </w:tcBorders>
            <w:noWrap w:val="0"/>
            <w:vAlign w:val="center"/>
          </w:tcPr>
          <w:p w14:paraId="6DDC1E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l2br w:val="nil"/>
              <w:tr2bl w:val="nil"/>
            </w:tcBorders>
            <w:noWrap w:val="0"/>
            <w:vAlign w:val="center"/>
          </w:tcPr>
          <w:p w14:paraId="112809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服务说明和服务方案</w:t>
            </w:r>
          </w:p>
          <w:p w14:paraId="4E009D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6BF676EF">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根据</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文件要求及</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提供的服务说明和服务方案，进行综合评分：</w:t>
            </w:r>
          </w:p>
          <w:p w14:paraId="75945442">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1.方案优于本项目采购需求，完整详细，可行性、实用性、针对性强，得 </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5分；</w:t>
            </w:r>
          </w:p>
          <w:p w14:paraId="1B1230D3">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2.方案适合本项目采购需求，完整详细，具有可行性、实用性和针对性，得 </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3分；</w:t>
            </w:r>
          </w:p>
          <w:p w14:paraId="4ACF458C">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3.方案基本适合本项目采购需求，可行性、实用性、针对性有待改善，得 </w:t>
            </w:r>
            <w:r>
              <w:rPr>
                <w:rFonts w:hint="eastAsia" w:ascii="Times New Roman" w:hAnsi="Times New Roman" w:cs="Times New Roman"/>
                <w:kern w:val="0"/>
                <w:sz w:val="24"/>
                <w:szCs w:val="24"/>
                <w:highlight w:val="none"/>
                <w:lang w:val="en-US" w:eastAsia="zh-CN"/>
              </w:rPr>
              <w:t>0-</w:t>
            </w:r>
            <w:r>
              <w:rPr>
                <w:rFonts w:hint="default" w:ascii="Times New Roman" w:hAnsi="Times New Roman" w:cs="Times New Roman"/>
                <w:kern w:val="0"/>
                <w:sz w:val="24"/>
                <w:szCs w:val="24"/>
                <w:highlight w:val="none"/>
                <w:lang w:val="en-US" w:eastAsia="zh-CN"/>
              </w:rPr>
              <w:t>1分；</w:t>
            </w:r>
          </w:p>
          <w:p w14:paraId="0A09A238">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kern w:val="0"/>
                <w:sz w:val="24"/>
                <w:szCs w:val="24"/>
                <w:highlight w:val="none"/>
                <w:lang w:val="en-US" w:eastAsia="zh-CN"/>
              </w:rPr>
              <w:t>4.方案不可行或未提供得 0 分。</w:t>
            </w:r>
          </w:p>
        </w:tc>
      </w:tr>
      <w:permEnd w:id="101"/>
      <w:permEnd w:id="102"/>
      <w:tr w14:paraId="14FD4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0" w:hRule="atLeast"/>
        </w:trPr>
        <w:tc>
          <w:tcPr>
            <w:tcW w:w="850" w:type="dxa"/>
            <w:vMerge w:val="continue"/>
            <w:tcBorders>
              <w:tl2br w:val="nil"/>
              <w:tr2bl w:val="nil"/>
            </w:tcBorders>
            <w:noWrap w:val="0"/>
            <w:vAlign w:val="center"/>
          </w:tcPr>
          <w:p w14:paraId="0C6455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3" w:edGrp="everyone" w:colFirst="2" w:colLast="2"/>
            <w:permStart w:id="104" w:edGrp="everyone" w:colFirst="3" w:colLast="3"/>
          </w:p>
        </w:tc>
        <w:tc>
          <w:tcPr>
            <w:tcW w:w="850" w:type="dxa"/>
            <w:vMerge w:val="continue"/>
            <w:tcBorders>
              <w:tl2br w:val="nil"/>
              <w:tr2bl w:val="nil"/>
            </w:tcBorders>
            <w:noWrap w:val="0"/>
            <w:vAlign w:val="center"/>
          </w:tcPr>
          <w:p w14:paraId="69A9C6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l2br w:val="nil"/>
              <w:tr2bl w:val="nil"/>
            </w:tcBorders>
            <w:noWrap w:val="0"/>
            <w:vAlign w:val="center"/>
          </w:tcPr>
          <w:p w14:paraId="5E65940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质量、进度、保密、安全等保证措施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66257DC5">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根据</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文件要求及</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提供的质量、进度、保密、安全等保证措施，进行综合评分：</w:t>
            </w:r>
          </w:p>
          <w:p w14:paraId="0C61D5A3">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1.质量、进度、保密、安全等保证措施优于本项目采购需求，完整详细，可行性、实用性、针对性强，得 </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5分；</w:t>
            </w:r>
          </w:p>
          <w:p w14:paraId="3068DF18">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2.质量、进度、保密、安全等保证措施适合本项目采购需求，完整详细，具有可行性、实用性和针对性，得 </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3分；</w:t>
            </w:r>
          </w:p>
          <w:p w14:paraId="3F16A430">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质量、进度、保密、安全等保证措施</w:t>
            </w:r>
            <w:r>
              <w:rPr>
                <w:rFonts w:hint="default" w:ascii="Times New Roman" w:hAnsi="Times New Roman" w:cs="Times New Roman"/>
                <w:kern w:val="0"/>
                <w:sz w:val="24"/>
                <w:szCs w:val="24"/>
                <w:highlight w:val="none"/>
                <w:lang w:val="en-US" w:eastAsia="zh-CN"/>
              </w:rPr>
              <w:t xml:space="preserve">基本适合本项目采购需求，可行性、实用性、针对性有待改善，得 </w:t>
            </w:r>
            <w:r>
              <w:rPr>
                <w:rFonts w:hint="eastAsia" w:ascii="Times New Roman" w:hAnsi="Times New Roman" w:cs="Times New Roman"/>
                <w:kern w:val="0"/>
                <w:sz w:val="24"/>
                <w:szCs w:val="24"/>
                <w:highlight w:val="none"/>
                <w:lang w:val="en-US" w:eastAsia="zh-CN"/>
              </w:rPr>
              <w:t>0-</w:t>
            </w:r>
            <w:r>
              <w:rPr>
                <w:rFonts w:hint="default" w:ascii="Times New Roman" w:hAnsi="Times New Roman" w:cs="Times New Roman"/>
                <w:kern w:val="0"/>
                <w:sz w:val="24"/>
                <w:szCs w:val="24"/>
                <w:highlight w:val="none"/>
                <w:lang w:val="en-US" w:eastAsia="zh-CN"/>
              </w:rPr>
              <w:t>1分；</w:t>
            </w:r>
          </w:p>
          <w:p w14:paraId="3CD18F22">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措施</w:t>
            </w:r>
            <w:r>
              <w:rPr>
                <w:rFonts w:hint="default" w:ascii="Times New Roman" w:hAnsi="Times New Roman" w:cs="Times New Roman"/>
                <w:kern w:val="0"/>
                <w:sz w:val="24"/>
                <w:szCs w:val="24"/>
                <w:highlight w:val="none"/>
                <w:lang w:val="en-US" w:eastAsia="zh-CN"/>
              </w:rPr>
              <w:t>不可行或未提供得 0分。</w:t>
            </w:r>
          </w:p>
        </w:tc>
      </w:tr>
      <w:permEnd w:id="103"/>
      <w:permEnd w:id="104"/>
      <w:tr w14:paraId="109E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485497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5" w:edGrp="everyone" w:colFirst="2" w:colLast="2"/>
            <w:permStart w:id="106" w:edGrp="everyone" w:colFirst="3" w:colLast="3"/>
          </w:p>
        </w:tc>
        <w:tc>
          <w:tcPr>
            <w:tcW w:w="850" w:type="dxa"/>
            <w:vMerge w:val="continue"/>
            <w:tcBorders>
              <w:tl2br w:val="nil"/>
              <w:tr2bl w:val="nil"/>
            </w:tcBorders>
            <w:noWrap w:val="0"/>
            <w:vAlign w:val="center"/>
          </w:tcPr>
          <w:p w14:paraId="36CCD0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l2br w:val="nil"/>
              <w:tr2bl w:val="nil"/>
            </w:tcBorders>
            <w:noWrap w:val="0"/>
            <w:vAlign w:val="center"/>
          </w:tcPr>
          <w:p w14:paraId="0DA0FC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工作重点、难点分析</w:t>
            </w:r>
          </w:p>
          <w:p w14:paraId="5E3EB55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3CF83962">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1.对项目</w:t>
            </w:r>
            <w:r>
              <w:rPr>
                <w:rFonts w:hint="eastAsia" w:ascii="Times New Roman" w:hAnsi="Times New Roman" w:cs="Times New Roman"/>
                <w:kern w:val="0"/>
                <w:sz w:val="24"/>
                <w:szCs w:val="24"/>
                <w:highlight w:val="none"/>
                <w:lang w:val="en-US" w:eastAsia="zh-CN"/>
              </w:rPr>
              <w:t>重点</w:t>
            </w:r>
            <w:r>
              <w:rPr>
                <w:rFonts w:hint="default" w:ascii="Times New Roman" w:hAnsi="Times New Roman" w:cs="Times New Roman"/>
                <w:kern w:val="0"/>
                <w:sz w:val="24"/>
                <w:szCs w:val="24"/>
                <w:highlight w:val="none"/>
                <w:lang w:val="en-US" w:eastAsia="zh-CN"/>
              </w:rPr>
              <w:t>和难点</w:t>
            </w:r>
            <w:r>
              <w:rPr>
                <w:rFonts w:hint="eastAsia" w:ascii="Times New Roman" w:hAnsi="Times New Roman" w:cs="Times New Roman"/>
                <w:kern w:val="0"/>
                <w:sz w:val="24"/>
                <w:szCs w:val="24"/>
                <w:highlight w:val="none"/>
                <w:lang w:val="en-US" w:eastAsia="zh-CN"/>
              </w:rPr>
              <w:t>分析</w:t>
            </w:r>
            <w:r>
              <w:rPr>
                <w:rFonts w:hint="default" w:ascii="Times New Roman" w:hAnsi="Times New Roman" w:cs="Times New Roman"/>
                <w:kern w:val="0"/>
                <w:sz w:val="24"/>
                <w:szCs w:val="24"/>
                <w:highlight w:val="none"/>
                <w:lang w:val="en-US" w:eastAsia="zh-CN"/>
              </w:rPr>
              <w:t xml:space="preserve">准确，主要工作重点、难点分析与解决方案优于本项目采购需求，完整详细，可行性、实用性、针对性强，得 </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5 分；</w:t>
            </w:r>
          </w:p>
          <w:p w14:paraId="193537AF">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2.对项目</w:t>
            </w:r>
            <w:r>
              <w:rPr>
                <w:rFonts w:hint="eastAsia" w:ascii="Times New Roman" w:hAnsi="Times New Roman" w:cs="Times New Roman"/>
                <w:kern w:val="0"/>
                <w:sz w:val="24"/>
                <w:szCs w:val="24"/>
                <w:highlight w:val="none"/>
                <w:lang w:val="en-US" w:eastAsia="zh-CN"/>
              </w:rPr>
              <w:t>重</w:t>
            </w:r>
            <w:r>
              <w:rPr>
                <w:rFonts w:hint="default" w:ascii="Times New Roman" w:hAnsi="Times New Roman" w:cs="Times New Roman"/>
                <w:kern w:val="0"/>
                <w:sz w:val="24"/>
                <w:szCs w:val="24"/>
                <w:highlight w:val="none"/>
                <w:lang w:val="en-US" w:eastAsia="zh-CN"/>
              </w:rPr>
              <w:t xml:space="preserve">点和难点理解基本准确，主要工作重点、难点分析与解决方案适合本项目采购需求，完整详细，具有可行性、实用性和针对性，得 </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3分；</w:t>
            </w:r>
          </w:p>
          <w:p w14:paraId="1889EAC7">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3.对项目</w:t>
            </w:r>
            <w:r>
              <w:rPr>
                <w:rFonts w:hint="eastAsia" w:ascii="Times New Roman" w:hAnsi="Times New Roman" w:cs="Times New Roman"/>
                <w:kern w:val="0"/>
                <w:sz w:val="24"/>
                <w:szCs w:val="24"/>
                <w:highlight w:val="none"/>
                <w:lang w:val="en-US" w:eastAsia="zh-CN"/>
              </w:rPr>
              <w:t>重</w:t>
            </w:r>
            <w:r>
              <w:rPr>
                <w:rFonts w:hint="default" w:ascii="Times New Roman" w:hAnsi="Times New Roman" w:cs="Times New Roman"/>
                <w:kern w:val="0"/>
                <w:sz w:val="24"/>
                <w:szCs w:val="24"/>
                <w:highlight w:val="none"/>
                <w:lang w:val="en-US" w:eastAsia="zh-CN"/>
              </w:rPr>
              <w:t xml:space="preserve">点和难点理解有待提升，主要工作重点、难点分析与解决方案基本适合本项目采购需求，可行性、实用性、针对性有待改善，得 </w:t>
            </w:r>
            <w:r>
              <w:rPr>
                <w:rFonts w:hint="eastAsia" w:ascii="Times New Roman" w:hAnsi="Times New Roman" w:cs="Times New Roman"/>
                <w:kern w:val="0"/>
                <w:sz w:val="24"/>
                <w:szCs w:val="24"/>
                <w:highlight w:val="none"/>
                <w:lang w:val="en-US" w:eastAsia="zh-CN"/>
              </w:rPr>
              <w:t>0-</w:t>
            </w:r>
            <w:r>
              <w:rPr>
                <w:rFonts w:hint="default" w:ascii="Times New Roman" w:hAnsi="Times New Roman" w:cs="Times New Roman"/>
                <w:kern w:val="0"/>
                <w:sz w:val="24"/>
                <w:szCs w:val="24"/>
                <w:highlight w:val="none"/>
                <w:lang w:val="en-US" w:eastAsia="zh-CN"/>
              </w:rPr>
              <w:t>1分；</w:t>
            </w:r>
          </w:p>
          <w:p w14:paraId="7EC7270C">
            <w:pPr>
              <w:keepNext w:val="0"/>
              <w:keepLines w:val="0"/>
              <w:pageBreakBefore w:val="0"/>
              <w:widowControl w:val="0"/>
              <w:kinsoku/>
              <w:wordWrap w:val="0"/>
              <w:overflowPunct/>
              <w:topLinePunct w:val="0"/>
              <w:autoSpaceDE/>
              <w:autoSpaceDN/>
              <w:bidi w:val="0"/>
              <w:adjustRightInd/>
              <w:snapToGrid/>
              <w:spacing w:line="38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kern w:val="0"/>
                <w:sz w:val="24"/>
                <w:szCs w:val="24"/>
                <w:highlight w:val="none"/>
                <w:lang w:val="en-US" w:eastAsia="zh-CN"/>
              </w:rPr>
              <w:t>4.方案不可行或未提供得 0 分。</w:t>
            </w:r>
          </w:p>
        </w:tc>
      </w:tr>
      <w:permEnd w:id="105"/>
      <w:permEnd w:id="106"/>
      <w:tr w14:paraId="30550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Merge w:val="continue"/>
            <w:tcBorders>
              <w:tl2br w:val="nil"/>
              <w:tr2bl w:val="nil"/>
            </w:tcBorders>
            <w:noWrap w:val="0"/>
            <w:vAlign w:val="center"/>
          </w:tcPr>
          <w:p w14:paraId="61696F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7" w:edGrp="everyone" w:colFirst="1" w:colLast="1"/>
            <w:permStart w:id="108" w:edGrp="everyone" w:colFirst="2" w:colLast="2"/>
            <w:permStart w:id="109" w:edGrp="everyone" w:colFirst="3" w:colLast="3"/>
          </w:p>
        </w:tc>
        <w:tc>
          <w:tcPr>
            <w:tcW w:w="850" w:type="dxa"/>
            <w:vMerge w:val="continue"/>
            <w:tcBorders>
              <w:tl2br w:val="nil"/>
              <w:tr2bl w:val="nil"/>
            </w:tcBorders>
            <w:noWrap w:val="0"/>
            <w:vAlign w:val="center"/>
          </w:tcPr>
          <w:p w14:paraId="026B65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l2br w:val="nil"/>
              <w:tr2bl w:val="nil"/>
            </w:tcBorders>
            <w:noWrap w:val="0"/>
            <w:vAlign w:val="center"/>
          </w:tcPr>
          <w:p w14:paraId="462FD0F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合理化建议</w:t>
            </w:r>
          </w:p>
          <w:p w14:paraId="0E39BE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4520156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根据</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文件要求及</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提供的合理化建议，进行综合评分：</w:t>
            </w:r>
          </w:p>
          <w:p w14:paraId="44BCE58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1.合理化建议完整详细，可行性、实用性、针对性强，得 </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5</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分；</w:t>
            </w:r>
          </w:p>
          <w:p w14:paraId="6FA5B92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2.合理化建议完整详细，具有可行性、实用性和针对性，得 </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分；</w:t>
            </w:r>
          </w:p>
          <w:p w14:paraId="042013D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3.合理化建议可行性、实用性、针对性有待改善，得 </w:t>
            </w:r>
            <w:r>
              <w:rPr>
                <w:rFonts w:hint="eastAsia" w:ascii="Times New Roman" w:hAnsi="Times New Roman" w:cs="Times New Roman"/>
                <w:kern w:val="0"/>
                <w:sz w:val="24"/>
                <w:szCs w:val="24"/>
                <w:highlight w:val="none"/>
                <w:lang w:val="en-US" w:eastAsia="zh-CN"/>
              </w:rPr>
              <w:t>0-</w:t>
            </w:r>
            <w:r>
              <w:rPr>
                <w:rFonts w:hint="default" w:ascii="Times New Roman" w:hAnsi="Times New Roman" w:cs="Times New Roman"/>
                <w:kern w:val="0"/>
                <w:sz w:val="24"/>
                <w:szCs w:val="24"/>
                <w:highlight w:val="none"/>
                <w:lang w:val="en-US" w:eastAsia="zh-CN"/>
              </w:rPr>
              <w:t>1分；</w:t>
            </w:r>
          </w:p>
          <w:p w14:paraId="06FBD9A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4.合理化建议不可行或未提供得 0 分。</w:t>
            </w:r>
          </w:p>
        </w:tc>
      </w:tr>
      <w:permEnd w:id="107"/>
      <w:permEnd w:id="108"/>
      <w:permEnd w:id="109"/>
      <w:tr w14:paraId="74254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766B87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10" w:edGrp="everyone" w:colFirst="1" w:colLast="1"/>
            <w:permStart w:id="111" w:edGrp="everyone" w:colFirst="2" w:colLast="2"/>
            <w:permStart w:id="112" w:edGrp="everyone" w:colFirst="3" w:colLast="3"/>
            <w:r>
              <w:rPr>
                <w:rFonts w:hint="eastAsia" w:ascii="Times New Roman" w:hAnsi="Times New Roman" w:cs="Times New Roman"/>
                <w:kern w:val="0"/>
                <w:sz w:val="24"/>
                <w:szCs w:val="24"/>
                <w:highlight w:val="none"/>
                <w:lang w:val="en-US" w:eastAsia="zh-CN"/>
              </w:rPr>
              <w:t>2.2.4</w:t>
            </w:r>
          </w:p>
          <w:p w14:paraId="687E6B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l2br w:val="nil"/>
              <w:tr2bl w:val="nil"/>
            </w:tcBorders>
            <w:noWrap w:val="0"/>
            <w:vAlign w:val="center"/>
          </w:tcPr>
          <w:p w14:paraId="7567E6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3AD161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l2br w:val="nil"/>
              <w:tr2bl w:val="nil"/>
            </w:tcBorders>
            <w:noWrap w:val="0"/>
            <w:vAlign w:val="center"/>
          </w:tcPr>
          <w:p w14:paraId="02C7B5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报价得分</w:t>
            </w:r>
          </w:p>
          <w:p w14:paraId="732144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l2br w:val="nil"/>
              <w:tr2bl w:val="nil"/>
            </w:tcBorders>
            <w:noWrap w:val="0"/>
            <w:vAlign w:val="center"/>
          </w:tcPr>
          <w:p w14:paraId="6D0185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价格分采用算术平均值法，即满足</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文件要求通过初步评审的投标人</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kern w:val="0"/>
                <w:sz w:val="24"/>
                <w:szCs w:val="24"/>
                <w:highlight w:val="none"/>
                <w:lang w:val="en-US" w:eastAsia="zh-CN"/>
              </w:rPr>
              <w:t>的算术平均值作为评标基准价，价格分为满分</w:t>
            </w:r>
            <w:r>
              <w:rPr>
                <w:rFonts w:hint="eastAsia" w:ascii="Times New Roman" w:hAnsi="Times New Roman" w:cs="Times New Roman"/>
                <w:kern w:val="0"/>
                <w:sz w:val="24"/>
                <w:szCs w:val="24"/>
                <w:highlight w:val="none"/>
                <w:lang w:val="en-US" w:eastAsia="zh-CN"/>
              </w:rPr>
              <w:t>30</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的价格分统一按照下列公式计算：</w:t>
            </w:r>
          </w:p>
          <w:p w14:paraId="57A9A8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（1）投标人的投标报价等于评标基准价得30分；</w:t>
            </w:r>
          </w:p>
          <w:p w14:paraId="61B7D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（2）投标人的投标报价高于评标基准价：30-（投标人投标报价-评标基准价）/评标基准价*100*0.4；</w:t>
            </w:r>
          </w:p>
          <w:p w14:paraId="1F4934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（3）投标人的投标报价低于评标基准价：30+（投标人投标报价-评标基准价）/评标基准价*100*0.2；</w:t>
            </w:r>
          </w:p>
          <w:p w14:paraId="414B47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最终计算结果四舍五入保留两位小数，价格分最低为0分。</w:t>
            </w:r>
          </w:p>
        </w:tc>
      </w:tr>
      <w:permEnd w:id="110"/>
      <w:permEnd w:id="111"/>
      <w:permEnd w:id="112"/>
      <w:tr w14:paraId="31B1D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14:paraId="36435D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13" w:edGrp="everyone" w:colFirst="1" w:colLast="1"/>
            <w:permStart w:id="114" w:edGrp="everyone" w:colFirst="2" w:colLast="2"/>
            <w:permStart w:id="115" w:edGrp="everyone" w:colFirst="3" w:colLast="3"/>
            <w:r>
              <w:rPr>
                <w:rFonts w:hint="eastAsia" w:ascii="Times New Roman" w:hAnsi="Times New Roman" w:cs="Times New Roman"/>
                <w:kern w:val="0"/>
                <w:sz w:val="24"/>
                <w:szCs w:val="24"/>
                <w:highlight w:val="none"/>
                <w:lang w:val="en-US" w:eastAsia="zh-CN"/>
              </w:rPr>
              <w:t>2.2.4</w:t>
            </w:r>
          </w:p>
          <w:p w14:paraId="1A82A5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noWrap w:val="0"/>
            <w:vAlign w:val="center"/>
          </w:tcPr>
          <w:p w14:paraId="5057E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14:paraId="7F6E2B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noWrap w:val="0"/>
            <w:vAlign w:val="center"/>
          </w:tcPr>
          <w:p w14:paraId="385D9E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体系认证及软件著作权 </w:t>
            </w:r>
          </w:p>
        </w:tc>
        <w:tc>
          <w:tcPr>
            <w:tcW w:w="4836" w:type="dxa"/>
            <w:tcBorders>
              <w:tl2br w:val="nil"/>
              <w:tr2bl w:val="nil"/>
            </w:tcBorders>
            <w:noWrap w:val="0"/>
            <w:vAlign w:val="center"/>
          </w:tcPr>
          <w:p w14:paraId="2A1EC39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投标人具有有效的质量管理体系认证证书、职业健康安全管理体系认证证书、环境管理体系认证证书的，每提供一个得</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分，本项满分</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分。（证书认证范围须包含土地规划</w:t>
            </w:r>
            <w:r>
              <w:rPr>
                <w:rFonts w:hint="eastAsia" w:ascii="Times New Roman" w:hAnsi="Times New Roman" w:cs="Times New Roman"/>
                <w:kern w:val="0"/>
                <w:sz w:val="24"/>
                <w:szCs w:val="24"/>
                <w:highlight w:val="none"/>
                <w:lang w:val="en-US" w:eastAsia="zh-CN"/>
              </w:rPr>
              <w:t>、城乡规划和</w:t>
            </w:r>
            <w:r>
              <w:rPr>
                <w:rFonts w:hint="default" w:ascii="Times New Roman" w:hAnsi="Times New Roman" w:cs="Times New Roman"/>
                <w:kern w:val="0"/>
                <w:sz w:val="24"/>
                <w:szCs w:val="24"/>
                <w:highlight w:val="none"/>
                <w:lang w:val="en-US" w:eastAsia="zh-CN"/>
              </w:rPr>
              <w:t>测绘）。</w:t>
            </w:r>
          </w:p>
          <w:p w14:paraId="02C33A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认证证书需在全国认证认可信息公共服务平台（http://cx.cnca.cn/CertECloud/index/index/page）查询，投标时须提供网页查询截图。以上证书投标时须提供证书原件的彩色扫描件并加盖投标人单位公章，未提供或提供不全不得分</w:t>
            </w:r>
            <w:r>
              <w:rPr>
                <w:rFonts w:hint="eastAsia" w:ascii="Times New Roman" w:hAnsi="Times New Roman" w:cs="Times New Roman"/>
                <w:kern w:val="0"/>
                <w:sz w:val="24"/>
                <w:szCs w:val="24"/>
                <w:highlight w:val="none"/>
                <w:lang w:val="en-US" w:eastAsia="zh-CN"/>
              </w:rPr>
              <w:t>。</w:t>
            </w:r>
          </w:p>
          <w:p w14:paraId="70A947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供应商</w:t>
            </w:r>
            <w:r>
              <w:rPr>
                <w:rFonts w:hint="eastAsia" w:ascii="Times New Roman" w:hAnsi="Times New Roman" w:cs="Times New Roman"/>
                <w:kern w:val="0"/>
                <w:sz w:val="24"/>
                <w:szCs w:val="24"/>
                <w:highlight w:val="none"/>
                <w:lang w:val="en-US" w:eastAsia="zh-CN"/>
              </w:rPr>
              <w:t>具有规划选址类软件、用地预审类软件软件系统著作权的，每提供一类得2分，本项满分4分。注：投标文件中须提供软件著作权登记证书扫描件或软件界面截图作为证明材料。</w:t>
            </w:r>
          </w:p>
        </w:tc>
      </w:tr>
      <w:permEnd w:id="113"/>
      <w:permEnd w:id="114"/>
      <w:permEnd w:id="115"/>
    </w:tbl>
    <w:p w14:paraId="3CA67BE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45EA9D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7548B5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41F61AD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57" w:name="_Toc179632608"/>
      <w:bookmarkStart w:id="258" w:name="_Toc152045590"/>
      <w:bookmarkStart w:id="259" w:name="_Toc247085748"/>
      <w:bookmarkStart w:id="260" w:name="_Toc152042367"/>
      <w:bookmarkStart w:id="261" w:name="_Toc246996976"/>
      <w:bookmarkStart w:id="262" w:name="_Toc246996233"/>
      <w:bookmarkStart w:id="263" w:name="_Toc296602478"/>
      <w:bookmarkStart w:id="264" w:name="_Toc144974557"/>
      <w:r>
        <w:rPr>
          <w:rFonts w:hint="default" w:ascii="Times New Roman" w:hAnsi="Times New Roman" w:cs="Times New Roman" w:eastAsiaTheme="minorEastAsia"/>
          <w:b/>
          <w:bCs/>
          <w:kern w:val="0"/>
          <w:sz w:val="28"/>
          <w:szCs w:val="28"/>
          <w:highlight w:val="none"/>
        </w:rPr>
        <w:t>2. 评审标准</w:t>
      </w:r>
      <w:bookmarkEnd w:id="257"/>
      <w:bookmarkEnd w:id="258"/>
      <w:bookmarkEnd w:id="259"/>
      <w:bookmarkEnd w:id="260"/>
      <w:bookmarkEnd w:id="261"/>
      <w:bookmarkEnd w:id="262"/>
      <w:bookmarkEnd w:id="263"/>
      <w:bookmarkEnd w:id="264"/>
    </w:p>
    <w:p w14:paraId="56922F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65" w:name="_Toc144974558"/>
      <w:bookmarkStart w:id="266" w:name="_Toc296602479"/>
      <w:bookmarkStart w:id="267" w:name="_Toc246996234"/>
      <w:bookmarkStart w:id="268" w:name="_Toc246996977"/>
      <w:bookmarkStart w:id="269" w:name="_Toc152042368"/>
      <w:bookmarkStart w:id="270" w:name="_Toc247085749"/>
      <w:bookmarkStart w:id="271" w:name="_Toc152045591"/>
      <w:bookmarkStart w:id="272"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265"/>
      <w:bookmarkEnd w:id="266"/>
      <w:bookmarkEnd w:id="267"/>
      <w:bookmarkEnd w:id="268"/>
      <w:bookmarkEnd w:id="269"/>
      <w:bookmarkEnd w:id="270"/>
      <w:bookmarkEnd w:id="271"/>
      <w:bookmarkEnd w:id="272"/>
    </w:p>
    <w:p w14:paraId="23E65D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11EEC3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8932C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1B40F98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273" w:name="_Toc296602481"/>
      <w:bookmarkStart w:id="274" w:name="_Toc152045593"/>
      <w:bookmarkStart w:id="275" w:name="_Toc179632611"/>
      <w:bookmarkStart w:id="276" w:name="_Toc247085751"/>
      <w:bookmarkStart w:id="277" w:name="_Toc246996236"/>
      <w:bookmarkStart w:id="278" w:name="_Toc152042370"/>
      <w:bookmarkStart w:id="279" w:name="_Toc246996979"/>
      <w:bookmarkStart w:id="280"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0551F3A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56AFD3B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16" w:edGrp="everyone"/>
      <w:r>
        <w:rPr>
          <w:rFonts w:hint="eastAsia" w:ascii="Times New Roman" w:hAnsi="Times New Roman" w:cs="Times New Roman"/>
          <w:kern w:val="0"/>
          <w:sz w:val="24"/>
          <w:szCs w:val="24"/>
          <w:highlight w:val="none"/>
          <w:lang w:val="en-US" w:eastAsia="zh-CN"/>
        </w:rPr>
        <w:t>资信业绩</w:t>
      </w:r>
      <w:permEnd w:id="116"/>
      <w:r>
        <w:rPr>
          <w:rFonts w:hint="default" w:ascii="Times New Roman" w:hAnsi="Times New Roman" w:cs="Times New Roman" w:eastAsiaTheme="minorEastAsia"/>
          <w:kern w:val="0"/>
          <w:sz w:val="24"/>
          <w:szCs w:val="24"/>
          <w:highlight w:val="none"/>
        </w:rPr>
        <w:t>：见评标办法前附表；</w:t>
      </w:r>
    </w:p>
    <w:p w14:paraId="45E0333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17" w:edGrp="everyone"/>
      <w:r>
        <w:rPr>
          <w:rFonts w:hint="eastAsia" w:ascii="Times New Roman" w:hAnsi="Times New Roman" w:cs="Times New Roman"/>
          <w:kern w:val="0"/>
          <w:sz w:val="24"/>
          <w:szCs w:val="24"/>
          <w:highlight w:val="none"/>
          <w:lang w:val="en-US" w:eastAsia="zh-CN"/>
        </w:rPr>
        <w:t>服务方案</w:t>
      </w:r>
      <w:permEnd w:id="117"/>
      <w:r>
        <w:rPr>
          <w:rFonts w:hint="default" w:ascii="Times New Roman" w:hAnsi="Times New Roman" w:cs="Times New Roman" w:eastAsiaTheme="minorEastAsia"/>
          <w:kern w:val="0"/>
          <w:sz w:val="24"/>
          <w:szCs w:val="24"/>
          <w:highlight w:val="none"/>
        </w:rPr>
        <w:t>：见评标办法前附表；</w:t>
      </w:r>
    </w:p>
    <w:p w14:paraId="1FF3458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18" w:edGrp="everyone"/>
      <w:r>
        <w:rPr>
          <w:rFonts w:hint="eastAsia" w:ascii="Times New Roman" w:hAnsi="Times New Roman" w:cs="Times New Roman" w:eastAsiaTheme="minorEastAsia"/>
          <w:kern w:val="0"/>
          <w:sz w:val="24"/>
          <w:szCs w:val="24"/>
          <w:highlight w:val="none"/>
          <w:lang w:val="en-US" w:eastAsia="zh-CN"/>
        </w:rPr>
        <w:t>投标报价</w:t>
      </w:r>
      <w:permEnd w:id="118"/>
      <w:r>
        <w:rPr>
          <w:rFonts w:hint="default" w:ascii="Times New Roman" w:hAnsi="Times New Roman" w:cs="Times New Roman" w:eastAsiaTheme="minorEastAsia"/>
          <w:kern w:val="0"/>
          <w:sz w:val="24"/>
          <w:szCs w:val="24"/>
          <w:highlight w:val="none"/>
        </w:rPr>
        <w:t>：见评标办法前附表；</w:t>
      </w:r>
    </w:p>
    <w:p w14:paraId="63E60D8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19" w:edGrp="everyone"/>
      <w:r>
        <w:rPr>
          <w:rFonts w:hint="eastAsia" w:ascii="Times New Roman" w:hAnsi="Times New Roman" w:cs="Times New Roman" w:eastAsiaTheme="minorEastAsia"/>
          <w:kern w:val="0"/>
          <w:sz w:val="24"/>
          <w:szCs w:val="24"/>
          <w:highlight w:val="none"/>
          <w:lang w:val="en-US" w:eastAsia="zh-CN"/>
        </w:rPr>
        <w:t>其他评分因素</w:t>
      </w:r>
      <w:permEnd w:id="11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2D00A77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1E4D037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14E3E10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3AB7AF1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3E336AE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1F54307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2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2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37151F3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2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2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1178F6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2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2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5BAAE2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2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2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550EE22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273"/>
      <w:bookmarkEnd w:id="274"/>
      <w:bookmarkEnd w:id="275"/>
      <w:bookmarkEnd w:id="276"/>
      <w:bookmarkEnd w:id="277"/>
      <w:bookmarkEnd w:id="278"/>
      <w:bookmarkEnd w:id="279"/>
      <w:bookmarkEnd w:id="280"/>
    </w:p>
    <w:p w14:paraId="04F1251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1" w:name="_Toc144974561"/>
      <w:bookmarkStart w:id="282" w:name="_Toc247085752"/>
      <w:bookmarkStart w:id="283" w:name="_Toc179632612"/>
      <w:bookmarkStart w:id="284" w:name="_Toc152042371"/>
      <w:bookmarkStart w:id="285" w:name="_Toc246996237"/>
      <w:bookmarkStart w:id="286" w:name="_Toc152045594"/>
      <w:bookmarkStart w:id="287" w:name="_Toc296602482"/>
      <w:bookmarkStart w:id="288" w:name="_Toc246996980"/>
      <w:r>
        <w:rPr>
          <w:rFonts w:hint="default" w:ascii="Times New Roman" w:hAnsi="Times New Roman" w:cs="Times New Roman" w:eastAsiaTheme="minorEastAsia"/>
          <w:b/>
          <w:bCs/>
          <w:kern w:val="0"/>
          <w:sz w:val="28"/>
          <w:szCs w:val="28"/>
          <w:highlight w:val="none"/>
        </w:rPr>
        <w:t>3.1 初步评审</w:t>
      </w:r>
      <w:bookmarkEnd w:id="281"/>
      <w:bookmarkEnd w:id="282"/>
      <w:bookmarkEnd w:id="283"/>
      <w:bookmarkEnd w:id="284"/>
      <w:bookmarkEnd w:id="285"/>
      <w:bookmarkEnd w:id="286"/>
      <w:bookmarkEnd w:id="287"/>
      <w:bookmarkEnd w:id="288"/>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29CF7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9" w:name="_Toc296602483"/>
      <w:bookmarkStart w:id="290" w:name="_Toc246996981"/>
      <w:bookmarkStart w:id="291" w:name="_Toc246996238"/>
      <w:bookmarkStart w:id="292" w:name="_Toc152042372"/>
      <w:bookmarkStart w:id="293" w:name="_Toc247085753"/>
      <w:bookmarkStart w:id="294" w:name="_Toc179632613"/>
      <w:bookmarkStart w:id="295" w:name="_Toc152045595"/>
      <w:bookmarkStart w:id="296" w:name="_Toc144974562"/>
      <w:r>
        <w:rPr>
          <w:rFonts w:hint="default" w:ascii="Times New Roman" w:hAnsi="Times New Roman" w:cs="Times New Roman" w:eastAsiaTheme="minorEastAsia"/>
          <w:b/>
          <w:bCs/>
          <w:kern w:val="0"/>
          <w:sz w:val="28"/>
          <w:szCs w:val="28"/>
          <w:highlight w:val="none"/>
        </w:rPr>
        <w:t>3.2 详细评审</w:t>
      </w:r>
      <w:bookmarkEnd w:id="289"/>
      <w:bookmarkEnd w:id="290"/>
      <w:bookmarkEnd w:id="291"/>
      <w:bookmarkEnd w:id="292"/>
      <w:bookmarkEnd w:id="293"/>
      <w:bookmarkEnd w:id="294"/>
      <w:bookmarkEnd w:id="295"/>
      <w:bookmarkEnd w:id="296"/>
    </w:p>
    <w:p w14:paraId="4514561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97" w:name="_Toc144974563"/>
      <w:bookmarkStart w:id="298" w:name="_Toc246996239"/>
      <w:bookmarkStart w:id="299" w:name="_Toc179632614"/>
      <w:bookmarkStart w:id="300" w:name="_Toc152045596"/>
      <w:bookmarkStart w:id="301" w:name="_Toc152042373"/>
      <w:bookmarkStart w:id="302" w:name="_Toc247085754"/>
      <w:bookmarkStart w:id="303" w:name="_Toc296602484"/>
      <w:bookmarkStart w:id="304"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1C5713C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2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24"/>
      <w:r>
        <w:rPr>
          <w:rFonts w:hint="eastAsia" w:ascii="Times New Roman" w:hAnsi="Times New Roman" w:cs="Times New Roman"/>
          <w:kern w:val="0"/>
          <w:sz w:val="24"/>
          <w:szCs w:val="24"/>
          <w:highlight w:val="none"/>
          <w:lang w:val="en-US" w:eastAsia="zh-CN"/>
        </w:rPr>
        <w:t>计算出得分A；</w:t>
      </w:r>
    </w:p>
    <w:p w14:paraId="0E5A583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2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2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14:paraId="3ED9F4A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2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2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14:paraId="68203D6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2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27"/>
      <w:r>
        <w:rPr>
          <w:rFonts w:hint="eastAsia" w:ascii="Times New Roman" w:hAnsi="Times New Roman" w:cs="Times New Roman"/>
          <w:kern w:val="0"/>
          <w:sz w:val="24"/>
          <w:szCs w:val="24"/>
          <w:highlight w:val="none"/>
          <w:lang w:val="en-US" w:eastAsia="zh-CN"/>
        </w:rPr>
        <w:t>计算出得分D。</w:t>
      </w:r>
    </w:p>
    <w:p w14:paraId="460FE56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0863F86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6F21832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297"/>
      <w:r>
        <w:rPr>
          <w:rFonts w:hint="default" w:ascii="Times New Roman" w:hAnsi="Times New Roman" w:cs="Times New Roman" w:eastAsiaTheme="minorEastAsia"/>
          <w:b/>
          <w:bCs/>
          <w:kern w:val="0"/>
          <w:sz w:val="28"/>
          <w:szCs w:val="28"/>
          <w:highlight w:val="none"/>
        </w:rPr>
        <w:t>和补正</w:t>
      </w:r>
      <w:bookmarkEnd w:id="298"/>
      <w:bookmarkEnd w:id="299"/>
      <w:bookmarkEnd w:id="300"/>
      <w:bookmarkEnd w:id="301"/>
      <w:bookmarkEnd w:id="302"/>
      <w:bookmarkEnd w:id="303"/>
      <w:bookmarkEnd w:id="304"/>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9C6F7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762BE4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77BE2D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C0F483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3D09141">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28"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亳州交控风力发电有限公司</w:t>
            </w:r>
            <w:permEnd w:id="128"/>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71AF34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本项目分三次支付，规划综合选址论证报告通过专家评审后15日内支付至合同总价款的50%；</w:t>
            </w:r>
          </w:p>
          <w:p w14:paraId="7AFFAEA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项目取得用地预审和规划选址意见批复后15日内支付至合同总价款的90%；</w:t>
            </w:r>
          </w:p>
          <w:p w14:paraId="10C225E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项目获得省发改委核准后15日内支付至合同总价款的100%。</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29" w:edGrp="everyone"/>
            <w:r>
              <w:rPr>
                <w:rFonts w:hint="eastAsia" w:ascii="Times New Roman" w:hAnsi="Times New Roman" w:cs="Times New Roman"/>
                <w:color w:val="FF0000"/>
                <w:kern w:val="0"/>
                <w:sz w:val="24"/>
                <w:szCs w:val="24"/>
                <w:highlight w:val="none"/>
                <w:shd w:val="clear" w:color="auto" w:fill="auto"/>
                <w:vertAlign w:val="baseline"/>
                <w:lang w:val="en-US" w:eastAsia="zh-CN"/>
              </w:rPr>
              <w:t>/</w:t>
            </w:r>
            <w:permEnd w:id="129"/>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6D47E2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49"/>
      <w:bookmarkEnd w:id="250"/>
      <w:bookmarkEnd w:id="251"/>
      <w:bookmarkEnd w:id="252"/>
      <w:bookmarkEnd w:id="253"/>
      <w:bookmarkEnd w:id="254"/>
      <w:bookmarkEnd w:id="255"/>
      <w:bookmarkEnd w:id="256"/>
      <w:r>
        <w:rPr>
          <w:rFonts w:hint="eastAsia" w:asciiTheme="majorEastAsia" w:hAnsiTheme="majorEastAsia" w:eastAsiaTheme="majorEastAsia" w:cstheme="majorEastAsia"/>
          <w:b/>
          <w:bCs/>
          <w:sz w:val="32"/>
          <w:szCs w:val="32"/>
          <w:highlight w:val="none"/>
          <w:lang w:val="en-US" w:eastAsia="zh-CN"/>
        </w:rPr>
        <w:t>发包人要求</w:t>
      </w:r>
    </w:p>
    <w:p w14:paraId="0E3AFA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F7EABC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ermStart w:id="130" w:edGrp="everyone"/>
      <w:r>
        <w:rPr>
          <w:rFonts w:hint="eastAsia" w:ascii="Times New Roman" w:hAnsi="Times New Roman" w:cs="Times New Roman"/>
          <w:b/>
          <w:bCs/>
          <w:kern w:val="0"/>
          <w:sz w:val="28"/>
          <w:szCs w:val="28"/>
          <w:highlight w:val="none"/>
          <w:lang w:val="en-US" w:eastAsia="zh-CN"/>
        </w:rPr>
        <w:t>一、服务要求</w:t>
      </w:r>
    </w:p>
    <w:p w14:paraId="3EBEB9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招标人应当根据项目情况在本章中明确相应的设计要求，一般应包括以下内容：</w:t>
      </w:r>
    </w:p>
    <w:p w14:paraId="28804D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1.项目概况： 亳州市乡村振兴风电项目总装机容量为152.5MW的风力发电项目，分为三个子项目，分别涉及涡阳县、蒙城县、利辛县。利辛县乡村振兴风电项目装机容量51MW、涡阳县乡村振兴风电项目装机容量78.5MW、蒙城县乡村振兴风电项目装机容量23MW，三个子项目分县区建设、分别集中汇流并网，其中利辛、涡阳拟分别新建1座110kV升压站，通过1回110kV线路送至国网系统变电站，蒙城拟新建1座35kV开关站，通过1回35kV线路送至国网系统变电站，最终以接入系统批复方案为准。现已具备开展建设用地预审和规划选址前期工作的条件。</w:t>
      </w:r>
    </w:p>
    <w:p w14:paraId="5519A1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涡阳县、蒙城县、利辛县三个乡村振兴风电项目的预审和规划选址阶段地类面积追溯、规划选址综合论证报告编制、用地预审申报材料编制等技术咨询服务，直至取得用地预审与规划选址批复文件。</w:t>
      </w:r>
    </w:p>
    <w:p w14:paraId="0C7404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依据：《建设项目用地预审管理办法》（国土资源部令第68号）、《自然资源部关于进一步做好用地用海要素保障的通知》(自然资发〔2023〕89号）、《自然资源部办公厅关于印发&lt;自然资源部门参与建设项目选址选线工作指南（试行）&gt;的通知》（自然资办函〔2023〕30 号）、《中共中央办公厅 国务院办公厅关于加强耕地保护提升耕地质量完善占补平衡的意见》（中办发〔2024〕13 号）、《自然资源部印发关于以“多规合一”为基础推进规划用地“多审合一、多证合一”改革的通知》（自然资函〔2024〕709）、《安徽省自然资源厅关于推进规划用地“多审合一、多证合一”工作的通知》（皖自然资管函〔2020〕34号）、《安徽省自然资源厅关于推进建设项目用地预审阶段规划选址综合论证工作的通知》（皖自然资管〔2023〕2号）等相关政策文件。</w:t>
      </w:r>
    </w:p>
    <w:p w14:paraId="58D879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4.具体人员要求：项目组成员需具备测绘、城乡规划和土地规划专业技术人员。</w:t>
      </w:r>
    </w:p>
    <w:p w14:paraId="411813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5.其他要求：规划选址综合论证报告成果需通过自然资源主管部门的审查，项目取得用地预审与规划选址的批复文件。</w:t>
      </w:r>
    </w:p>
    <w:p w14:paraId="00BD868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二、适用规范标准</w:t>
      </w:r>
    </w:p>
    <w:p w14:paraId="651065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1.《建设项目用地预审管理办法》（国土资源部令第68号）</w:t>
      </w:r>
    </w:p>
    <w:p w14:paraId="16C4EB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2.《自然资源部印发关于以“多规合一”为基础推进规合用地“多审合一、多证合一”改革的通知》（自然资函〔2024〕709）</w:t>
      </w:r>
    </w:p>
    <w:p w14:paraId="31FC0B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3.《安徽省自然资源厅关于推进建设项目用地预审阶段规划选址综合论证工作的通知》（皖自然资管〔2023〕2号）</w:t>
      </w:r>
    </w:p>
    <w:p w14:paraId="73BE167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654E6B5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三、成果要求</w:t>
      </w:r>
    </w:p>
    <w:p w14:paraId="593473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发包人的成果要求。</w:t>
      </w:r>
    </w:p>
    <w:p w14:paraId="41ACE5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1.成果文件的组成：成果文件包含用地预审申报材料、规划选址综合论证报告及相关附件材料。</w:t>
      </w:r>
    </w:p>
    <w:p w14:paraId="3A6F5C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2.成果文件的深度：用地预审申报材料通过主管部门审查、规划选址综合论证报告通过专家评审和主管部门审查。</w:t>
      </w:r>
    </w:p>
    <w:p w14:paraId="27CAA7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3.成果文件的格式要求：PDF、WORD。</w:t>
      </w:r>
    </w:p>
    <w:p w14:paraId="288232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4.成果文件的份数要求：满足审批需要。</w:t>
      </w:r>
    </w:p>
    <w:p w14:paraId="65DAFB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5.成果文件的载体要求</w:t>
      </w:r>
    </w:p>
    <w:p w14:paraId="4E5955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（1）纸质版的要求：规划选址综合论证报告需加盖编制单位公章。</w:t>
      </w:r>
    </w:p>
    <w:p w14:paraId="11F06D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（2）电子版的要求：PDF格式扫描件。</w:t>
      </w:r>
    </w:p>
    <w:p w14:paraId="1872CE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（3）其他要求：最终成果电子版一份。</w:t>
      </w:r>
    </w:p>
    <w:p w14:paraId="15B697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6.成果文件的其他要求：按项目审批需要提供相关资料。</w:t>
      </w:r>
    </w:p>
    <w:p w14:paraId="7C2B6A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680B2BA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四、发包人财产清单</w:t>
      </w:r>
    </w:p>
    <w:p w14:paraId="77059E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（一）发包人提供的设备、设施：/</w:t>
      </w:r>
    </w:p>
    <w:p w14:paraId="503057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（二）发包人提供的资料：提供项目登记信息单、可研初步成果等资料，协助乙方现状调研和征求县级、市级相关部门意见。</w:t>
      </w:r>
    </w:p>
    <w:p w14:paraId="3A8A02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（三）发包人财产使用要求及退还要求：/</w:t>
      </w:r>
    </w:p>
    <w:p w14:paraId="27BFE5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622132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五、发包人提供的便利条件</w:t>
      </w:r>
    </w:p>
    <w:p w14:paraId="2519C6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1.发包人提供的生活条件：/</w:t>
      </w:r>
    </w:p>
    <w:p w14:paraId="309EB2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2.发包人提供的交通条件：/</w:t>
      </w:r>
    </w:p>
    <w:p w14:paraId="21EA11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3.发包人提供的网络、通讯条件：/</w:t>
      </w:r>
    </w:p>
    <w:p w14:paraId="0B424A4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4.发包人提供的协助人员：需协助乙方开展项目基础资料收集、现场调研，专题成果征求意见等部门协调相关工作。</w:t>
      </w:r>
    </w:p>
    <w:p w14:paraId="7B56A5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A09CA5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六、承包人需要自备的工作条件</w:t>
      </w:r>
    </w:p>
    <w:p w14:paraId="3A4C61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1.承包人自备的工作手册：承包人需按国家和安徽省最新的政策要求拟定工作思路。</w:t>
      </w:r>
    </w:p>
    <w:p w14:paraId="075875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2.承包人自备的办公设备：满足项目开展需要的笔记本电脑、台式电脑、打印设备等。</w:t>
      </w:r>
    </w:p>
    <w:p w14:paraId="2CE743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3.承包人自备的交通工具：满足项目踏勘需要的出行交通工具。</w:t>
      </w:r>
    </w:p>
    <w:p w14:paraId="38DA36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4.承包人自备的现场办公设施：满足项目开展需要的笔记本电脑、相机等设施。</w:t>
      </w:r>
    </w:p>
    <w:p w14:paraId="33D1CD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5.承包人自备的安全设施：满足项目需要的安全防范措施。</w:t>
      </w:r>
    </w:p>
    <w:p w14:paraId="4F383E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p w14:paraId="1133F8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2DAA26C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七、发包人的其他要求</w:t>
      </w:r>
    </w:p>
    <w:p w14:paraId="72C2D2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permEnd w:id="130"/>
    <w:p w14:paraId="06FA67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268846F6">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15CDD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305" w:name="_Toc300835209"/>
      <w:bookmarkStart w:id="306" w:name="_Toc144974856"/>
      <w:bookmarkStart w:id="307" w:name="_Toc247527827"/>
      <w:bookmarkStart w:id="308" w:name="_Toc152042576"/>
      <w:bookmarkStart w:id="309" w:name="_Toc247514246"/>
      <w:bookmarkStart w:id="310" w:name="_Toc152045787"/>
      <w:r>
        <w:rPr>
          <w:rFonts w:hint="default" w:ascii="Times New Roman" w:hAnsi="Times New Roman" w:cs="Times New Roman"/>
        </w:rPr>
        <w:t>目    录</w:t>
      </w:r>
      <w:bookmarkEnd w:id="305"/>
      <w:bookmarkEnd w:id="306"/>
      <w:bookmarkEnd w:id="307"/>
      <w:bookmarkEnd w:id="308"/>
      <w:bookmarkEnd w:id="309"/>
      <w:bookmarkEnd w:id="310"/>
    </w:p>
    <w:p w14:paraId="187E6D0F">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r>
              <w:rPr>
                <w:rFonts w:hint="eastAsia" w:ascii="Times New Roman" w:hAnsi="Times New Roman" w:cs="Times New Roman"/>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0967BDB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311" w:name="_Toc152045788"/>
      <w:bookmarkStart w:id="312" w:name="_Toc300835210"/>
      <w:bookmarkStart w:id="313" w:name="_Toc247527828"/>
      <w:bookmarkStart w:id="314" w:name="_Toc247514247"/>
      <w:bookmarkStart w:id="315" w:name="_Toc152042577"/>
      <w:bookmarkStart w:id="316" w:name="_Toc144974857"/>
      <w:r>
        <w:rPr>
          <w:rFonts w:hint="default" w:ascii="Times New Roman" w:hAnsi="Times New Roman" w:cs="Times New Roman"/>
        </w:rPr>
        <w:t>一、投标函及投标函附录</w:t>
      </w:r>
      <w:bookmarkEnd w:id="311"/>
      <w:bookmarkEnd w:id="312"/>
      <w:bookmarkEnd w:id="313"/>
      <w:bookmarkEnd w:id="314"/>
      <w:bookmarkEnd w:id="315"/>
      <w:bookmarkEnd w:id="316"/>
    </w:p>
    <w:p w14:paraId="4D2C35A7">
      <w:pPr>
        <w:spacing w:line="440" w:lineRule="exact"/>
        <w:rPr>
          <w:rFonts w:hint="default" w:ascii="Times New Roman" w:hAnsi="Times New Roman" w:cs="Times New Roman" w:eastAsiaTheme="minorEastAsia"/>
          <w:sz w:val="20"/>
          <w:szCs w:val="20"/>
          <w:lang w:val="en-US" w:eastAsia="zh-CN"/>
        </w:rPr>
      </w:pPr>
      <w:bookmarkStart w:id="317" w:name="_Toc144974859"/>
      <w:bookmarkStart w:id="318" w:name="_Toc247527830"/>
      <w:bookmarkStart w:id="319" w:name="_Toc152045790"/>
      <w:bookmarkStart w:id="320" w:name="_Toc247514249"/>
      <w:bookmarkStart w:id="321" w:name="_Toc300835212"/>
      <w:bookmarkStart w:id="322" w:name="_Toc15204257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5507282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13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31"/>
      <w:r>
        <w:rPr>
          <w:rFonts w:hint="eastAsia" w:ascii="Times New Roman" w:hAnsi="Times New Roman" w:cs="Times New Roman"/>
          <w:szCs w:val="21"/>
          <w:lang w:val="en-US" w:eastAsia="zh-CN"/>
        </w:rPr>
        <w:t>，服务期限：</w:t>
      </w:r>
      <w:permStart w:id="132" w:edGrp="everyone"/>
      <w:r>
        <w:rPr>
          <w:rFonts w:hint="default" w:ascii="Times New Roman" w:hAnsi="Times New Roman" w:cs="Times New Roman"/>
          <w:szCs w:val="21"/>
          <w:u w:val="single"/>
        </w:rPr>
        <w:t xml:space="preserve"> 自合同签订之日起 1 年</w:t>
      </w:r>
      <w:permEnd w:id="132"/>
      <w:r>
        <w:rPr>
          <w:rFonts w:hint="eastAsia" w:ascii="Times New Roman" w:hAnsi="Times New Roman" w:cs="Times New Roman"/>
          <w:szCs w:val="21"/>
          <w:u w:val="none"/>
          <w:lang w:val="en-US" w:eastAsia="zh-CN"/>
        </w:rPr>
        <w:t>，按合同约定完成本项全部工作。</w:t>
      </w:r>
    </w:p>
    <w:p w14:paraId="72AC649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37E8CE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（1）投标函及投标函附录；（2）法定代表人身份证明；（3）授权委托书；（4）投标保证金（如有）；（5）服务费用清单；（6）资格审查资料；（7）服务方案；（8）其他资料；.......</w:t>
      </w:r>
    </w:p>
    <w:p w14:paraId="415D171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4EE73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0B66BE1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365679B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7C34423">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34761F3">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3BC2107">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6A3E1B4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BDD4CB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17"/>
    <w:bookmarkEnd w:id="318"/>
    <w:bookmarkEnd w:id="319"/>
    <w:bookmarkEnd w:id="320"/>
    <w:bookmarkEnd w:id="321"/>
    <w:bookmarkEnd w:id="322"/>
    <w:p w14:paraId="48D15241">
      <w:pPr>
        <w:spacing w:line="240" w:lineRule="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p w14:paraId="56DF1D8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1A43B721">
      <w:pPr>
        <w:spacing w:line="440" w:lineRule="exact"/>
        <w:rPr>
          <w:rFonts w:hint="eastAsia" w:ascii="Times New Roman" w:hAnsi="Times New Roman" w:cs="Times New Roman" w:eastAsiaTheme="minorEastAsia"/>
          <w:sz w:val="20"/>
          <w:szCs w:val="20"/>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4097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340BE2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355EAB1B">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0B09B75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7BA7F0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482B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141647">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4E4887D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4BD2775F">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14:paraId="414CEBBA">
            <w:pPr>
              <w:spacing w:line="440" w:lineRule="exact"/>
              <w:jc w:val="center"/>
              <w:rPr>
                <w:rFonts w:hint="eastAsia" w:ascii="Times New Roman" w:hAnsi="Times New Roman" w:cs="Times New Roman" w:eastAsiaTheme="minorEastAsia"/>
                <w:sz w:val="20"/>
                <w:szCs w:val="20"/>
                <w:vertAlign w:val="baseline"/>
                <w:lang w:eastAsia="zh-CN"/>
              </w:rPr>
            </w:pPr>
          </w:p>
        </w:tc>
      </w:tr>
      <w:tr w14:paraId="7536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1D39AF">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20D5BC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56EF80D5">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14:paraId="11A814BB">
            <w:pPr>
              <w:spacing w:line="440" w:lineRule="exact"/>
              <w:jc w:val="center"/>
              <w:rPr>
                <w:rFonts w:hint="eastAsia" w:ascii="Times New Roman" w:hAnsi="Times New Roman" w:cs="Times New Roman" w:eastAsiaTheme="minorEastAsia"/>
                <w:sz w:val="20"/>
                <w:szCs w:val="20"/>
                <w:vertAlign w:val="baseline"/>
                <w:lang w:eastAsia="zh-CN"/>
              </w:rPr>
            </w:pPr>
          </w:p>
        </w:tc>
      </w:tr>
      <w:tr w14:paraId="06E7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26458A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14:paraId="13CEA6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14:paraId="78D98AFE">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14:paraId="0EBBF097">
            <w:pPr>
              <w:spacing w:line="440" w:lineRule="exact"/>
              <w:jc w:val="center"/>
              <w:rPr>
                <w:rFonts w:hint="eastAsia" w:ascii="Times New Roman" w:hAnsi="Times New Roman" w:cs="Times New Roman" w:eastAsiaTheme="minorEastAsia"/>
                <w:sz w:val="20"/>
                <w:szCs w:val="20"/>
                <w:vertAlign w:val="baseline"/>
                <w:lang w:eastAsia="zh-CN"/>
              </w:rPr>
            </w:pPr>
          </w:p>
        </w:tc>
      </w:tr>
      <w:tr w14:paraId="4241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855448">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64E2D5F6">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7393FBC0">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4EDEDEBC">
            <w:pPr>
              <w:spacing w:line="440" w:lineRule="exact"/>
              <w:jc w:val="center"/>
              <w:rPr>
                <w:rFonts w:hint="eastAsia" w:ascii="Times New Roman" w:hAnsi="Times New Roman" w:cs="Times New Roman" w:eastAsiaTheme="minorEastAsia"/>
                <w:sz w:val="20"/>
                <w:szCs w:val="20"/>
                <w:vertAlign w:val="baseline"/>
                <w:lang w:eastAsia="zh-CN"/>
              </w:rPr>
            </w:pPr>
          </w:p>
        </w:tc>
      </w:tr>
      <w:tr w14:paraId="040C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5F4C529">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599C8CA">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4E36276">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B01C43E">
            <w:pPr>
              <w:spacing w:line="440" w:lineRule="exact"/>
              <w:jc w:val="center"/>
              <w:rPr>
                <w:rFonts w:hint="eastAsia" w:ascii="Times New Roman" w:hAnsi="Times New Roman" w:cs="Times New Roman" w:eastAsiaTheme="minorEastAsia"/>
                <w:sz w:val="20"/>
                <w:szCs w:val="20"/>
                <w:vertAlign w:val="baseline"/>
                <w:lang w:eastAsia="zh-CN"/>
              </w:rPr>
            </w:pPr>
          </w:p>
        </w:tc>
      </w:tr>
    </w:tbl>
    <w:p w14:paraId="17CAF583">
      <w:pPr>
        <w:spacing w:line="440" w:lineRule="exact"/>
        <w:rPr>
          <w:rFonts w:hint="eastAsia" w:ascii="Times New Roman" w:hAnsi="Times New Roman" w:cs="Times New Roman" w:eastAsiaTheme="minorEastAsia"/>
          <w:sz w:val="20"/>
          <w:szCs w:val="20"/>
          <w:lang w:eastAsia="zh-CN"/>
        </w:rPr>
      </w:pPr>
    </w:p>
    <w:p w14:paraId="18937AE8">
      <w:pPr>
        <w:spacing w:line="440" w:lineRule="exact"/>
        <w:rPr>
          <w:rFonts w:hint="eastAsia" w:ascii="Times New Roman" w:hAnsi="Times New Roman" w:cs="Times New Roman" w:eastAsiaTheme="minorEastAsia"/>
          <w:sz w:val="20"/>
          <w:szCs w:val="20"/>
          <w:lang w:eastAsia="zh-CN"/>
        </w:rPr>
      </w:pPr>
    </w:p>
    <w:p w14:paraId="3AAE6934">
      <w:pPr>
        <w:spacing w:line="440" w:lineRule="exact"/>
        <w:ind w:firstLine="1470" w:firstLineChars="7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BB62F1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624981F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80A0BC2">
      <w:pPr>
        <w:spacing w:line="440" w:lineRule="exact"/>
        <w:rPr>
          <w:rFonts w:hint="eastAsia" w:ascii="Times New Roman" w:hAnsi="Times New Roman" w:cs="Times New Roman" w:eastAsiaTheme="minorEastAsia"/>
          <w:sz w:val="20"/>
          <w:szCs w:val="20"/>
          <w:lang w:eastAsia="zh-CN"/>
        </w:rPr>
      </w:pPr>
    </w:p>
    <w:p w14:paraId="7B52786F">
      <w:pPr>
        <w:spacing w:line="440" w:lineRule="exact"/>
        <w:rPr>
          <w:rFonts w:hint="default" w:ascii="Times New Roman" w:hAnsi="Times New Roman" w:cs="Times New Roman"/>
          <w:szCs w:val="21"/>
        </w:rPr>
      </w:pPr>
    </w:p>
    <w:p w14:paraId="231BDE03">
      <w:pPr>
        <w:rPr>
          <w:rFonts w:hint="default" w:ascii="Times New Roman" w:hAnsi="Times New Roman" w:cs="Times New Roman"/>
        </w:rPr>
      </w:pPr>
      <w:bookmarkStart w:id="323" w:name="_Toc152042580"/>
      <w:bookmarkStart w:id="324" w:name="_Toc144974860"/>
      <w:bookmarkStart w:id="325" w:name="_Toc247527831"/>
      <w:bookmarkStart w:id="326" w:name="_Toc300835213"/>
      <w:bookmarkStart w:id="327" w:name="_Toc247514283"/>
      <w:bookmarkStart w:id="328" w:name="_Toc152045791"/>
      <w:r>
        <w:rPr>
          <w:rFonts w:hint="default" w:ascii="Times New Roman" w:hAnsi="Times New Roman" w:cs="Times New Roman"/>
        </w:rPr>
        <w:br w:type="page"/>
      </w: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323"/>
      <w:bookmarkEnd w:id="324"/>
      <w:bookmarkEnd w:id="325"/>
      <w:bookmarkEnd w:id="326"/>
      <w:bookmarkEnd w:id="327"/>
      <w:bookmarkEnd w:id="328"/>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jc w:val="center"/>
        <w:rPr>
          <w:rFonts w:hint="default" w:ascii="Times New Roman" w:hAnsi="Times New Roman" w:cs="Times New Roman"/>
        </w:rPr>
      </w:pPr>
      <w:bookmarkStart w:id="329" w:name="_Toc152045792"/>
      <w:bookmarkStart w:id="330" w:name="_Toc247527832"/>
      <w:bookmarkStart w:id="331" w:name="_Toc152042581"/>
      <w:bookmarkStart w:id="332" w:name="_Toc247514284"/>
      <w:bookmarkStart w:id="333" w:name="_Toc144974861"/>
      <w:bookmarkStart w:id="334" w:name="_Toc300835214"/>
      <w:r>
        <w:rPr>
          <w:rFonts w:hint="eastAsia" w:ascii="Times New Roman" w:hAnsi="Times New Roman" w:cs="Times New Roman"/>
          <w:lang w:val="en-US" w:eastAsia="zh-CN"/>
        </w:rPr>
        <w:t>三</w:t>
      </w:r>
      <w:r>
        <w:rPr>
          <w:rFonts w:hint="default" w:ascii="Times New Roman" w:hAnsi="Times New Roman" w:cs="Times New Roman"/>
        </w:rPr>
        <w:t>、授权委托书</w:t>
      </w:r>
      <w:bookmarkEnd w:id="329"/>
      <w:bookmarkEnd w:id="330"/>
      <w:bookmarkEnd w:id="331"/>
      <w:bookmarkEnd w:id="332"/>
      <w:bookmarkEnd w:id="333"/>
      <w:bookmarkEnd w:id="334"/>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w:t>
      </w:r>
      <w:r>
        <w:rPr>
          <w:rFonts w:hint="eastAsia" w:ascii="Times New Roman" w:hAnsi="Times New Roman" w:cs="Times New Roman"/>
          <w:szCs w:val="21"/>
        </w:rPr>
        <w:t xml:space="preserve"> 2024年6月起任意连续3个月及以上养老保险证明</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FFE9B5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7CD075A">
      <w:pPr>
        <w:pStyle w:val="4"/>
        <w:jc w:val="center"/>
        <w:rPr>
          <w:rFonts w:hint="default" w:ascii="Times New Roman" w:hAnsi="Times New Roman" w:cs="Times New Roman"/>
          <w:highlight w:val="none"/>
        </w:rPr>
      </w:pPr>
      <w:bookmarkStart w:id="335" w:name="_Toc300835216"/>
      <w:bookmarkStart w:id="336" w:name="_Toc144974862"/>
      <w:bookmarkStart w:id="337" w:name="_Toc247527834"/>
      <w:bookmarkStart w:id="338" w:name="_Toc247514286"/>
      <w:bookmarkStart w:id="339" w:name="_Toc152045794"/>
      <w:bookmarkStart w:id="340" w:name="_Toc152042583"/>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335"/>
      <w:bookmarkEnd w:id="336"/>
      <w:bookmarkEnd w:id="337"/>
      <w:bookmarkEnd w:id="338"/>
      <w:bookmarkEnd w:id="339"/>
      <w:bookmarkEnd w:id="340"/>
    </w:p>
    <w:p w14:paraId="6BC6DC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41"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70A222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6953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74A6E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FEE45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3170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60A5C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EE96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C5FF6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5221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74BABB">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6958032">
      <w:pPr>
        <w:spacing w:line="440" w:lineRule="exact"/>
        <w:rPr>
          <w:rFonts w:hint="default" w:ascii="Times New Roman" w:hAnsi="Times New Roman" w:cs="Times New Roman"/>
          <w:b/>
          <w:bCs/>
        </w:rPr>
      </w:pPr>
    </w:p>
    <w:bookmarkEnd w:id="341"/>
    <w:p w14:paraId="4F2CC585">
      <w:pPr>
        <w:rPr>
          <w:rFonts w:hint="default" w:ascii="Times New Roman" w:hAnsi="Times New Roman" w:cs="Times New Roman"/>
        </w:rPr>
      </w:pPr>
      <w:bookmarkStart w:id="342" w:name="_Toc247514287"/>
      <w:bookmarkStart w:id="343" w:name="_Toc152042584"/>
      <w:bookmarkStart w:id="344" w:name="_Toc152045795"/>
      <w:bookmarkStart w:id="345" w:name="_Toc144974863"/>
      <w:bookmarkStart w:id="346" w:name="_Toc300835218"/>
      <w:bookmarkStart w:id="347" w:name="_Toc247527835"/>
      <w:r>
        <w:rPr>
          <w:rFonts w:hint="default" w:ascii="Times New Roman" w:hAnsi="Times New Roman" w:cs="Times New Roman"/>
        </w:rPr>
        <w:br w:type="page"/>
      </w:r>
    </w:p>
    <w:p w14:paraId="47CA8CDF">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342"/>
      <w:bookmarkEnd w:id="343"/>
      <w:bookmarkEnd w:id="344"/>
      <w:bookmarkEnd w:id="345"/>
      <w:bookmarkEnd w:id="346"/>
      <w:bookmarkEnd w:id="347"/>
      <w:r>
        <w:rPr>
          <w:rFonts w:hint="eastAsia" w:ascii="Times New Roman" w:hAnsi="Times New Roman" w:cs="Times New Roman"/>
          <w:lang w:val="en-US" w:eastAsia="zh-CN"/>
        </w:rPr>
        <w:t>服务费用清单</w:t>
      </w:r>
    </w:p>
    <w:p w14:paraId="27F0F8D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77CAA65F">
      <w:pPr>
        <w:rPr>
          <w:rFonts w:hint="eastAsia" w:ascii="Times New Roman" w:hAnsi="Times New Roman" w:cs="Times New Roman"/>
          <w:lang w:val="en-US" w:eastAsia="zh-CN"/>
        </w:rPr>
      </w:pPr>
    </w:p>
    <w:p w14:paraId="7290E239">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7BA74246">
      <w:pPr>
        <w:rPr>
          <w:rFonts w:hint="default" w:ascii="Times New Roman" w:hAnsi="Times New Roman" w:cs="Times New Roman"/>
          <w:lang w:val="en-US" w:eastAsia="zh-CN"/>
        </w:rPr>
      </w:pPr>
    </w:p>
    <w:p w14:paraId="2547E1A5">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3FDE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A098DDF">
            <w:pPr>
              <w:jc w:val="center"/>
              <w:rPr>
                <w:rFonts w:hint="eastAsia" w:ascii="Times New Roman" w:hAnsi="Times New Roman" w:cs="Times New Roman" w:eastAsiaTheme="minorEastAsia"/>
                <w:b/>
                <w:bCs/>
                <w:vertAlign w:val="baseline"/>
                <w:lang w:val="en-US" w:eastAsia="zh-CN"/>
              </w:rPr>
            </w:pPr>
            <w:bookmarkStart w:id="348" w:name="_Toc152042585"/>
            <w:bookmarkStart w:id="349" w:name="_Toc247514288"/>
            <w:bookmarkStart w:id="350" w:name="_Toc152045796"/>
            <w:bookmarkStart w:id="351" w:name="_Toc300835221"/>
            <w:bookmarkStart w:id="352" w:name="_Toc144974864"/>
            <w:bookmarkStart w:id="353" w:name="_Toc247527836"/>
            <w:r>
              <w:rPr>
                <w:rFonts w:hint="eastAsia" w:ascii="Times New Roman" w:hAnsi="Times New Roman" w:cs="Times New Roman"/>
                <w:b/>
                <w:bCs/>
                <w:vertAlign w:val="baseline"/>
                <w:lang w:val="en-US" w:eastAsia="zh-CN"/>
              </w:rPr>
              <w:t>序号</w:t>
            </w:r>
          </w:p>
        </w:tc>
        <w:tc>
          <w:tcPr>
            <w:tcW w:w="2268" w:type="dxa"/>
            <w:vAlign w:val="center"/>
          </w:tcPr>
          <w:p w14:paraId="2095DA42">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6C84F63C">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16BEA9E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0D422061">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34B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D3F24E">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3B502AF9">
            <w:pPr>
              <w:jc w:val="center"/>
              <w:rPr>
                <w:rFonts w:hint="default" w:ascii="Times New Roman" w:hAnsi="Times New Roman" w:cs="Times New Roman"/>
                <w:vertAlign w:val="baseline"/>
              </w:rPr>
            </w:pPr>
          </w:p>
        </w:tc>
        <w:tc>
          <w:tcPr>
            <w:tcW w:w="2268" w:type="dxa"/>
            <w:vAlign w:val="center"/>
          </w:tcPr>
          <w:p w14:paraId="75ACB2FA">
            <w:pPr>
              <w:jc w:val="center"/>
              <w:rPr>
                <w:rFonts w:hint="default" w:ascii="Times New Roman" w:hAnsi="Times New Roman" w:cs="Times New Roman"/>
                <w:vertAlign w:val="baseline"/>
              </w:rPr>
            </w:pPr>
          </w:p>
        </w:tc>
        <w:tc>
          <w:tcPr>
            <w:tcW w:w="1134" w:type="dxa"/>
            <w:vAlign w:val="center"/>
          </w:tcPr>
          <w:p w14:paraId="23D665D5">
            <w:pPr>
              <w:jc w:val="center"/>
              <w:rPr>
                <w:rFonts w:hint="default" w:ascii="Times New Roman" w:hAnsi="Times New Roman" w:cs="Times New Roman"/>
                <w:vertAlign w:val="baseline"/>
              </w:rPr>
            </w:pPr>
          </w:p>
        </w:tc>
        <w:tc>
          <w:tcPr>
            <w:tcW w:w="2001" w:type="dxa"/>
            <w:vAlign w:val="center"/>
          </w:tcPr>
          <w:p w14:paraId="00B59EA5">
            <w:pPr>
              <w:jc w:val="center"/>
              <w:rPr>
                <w:rFonts w:hint="default" w:ascii="Times New Roman" w:hAnsi="Times New Roman" w:cs="Times New Roman"/>
                <w:vertAlign w:val="baseline"/>
              </w:rPr>
            </w:pPr>
          </w:p>
        </w:tc>
      </w:tr>
      <w:tr w14:paraId="50D1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8694CAC">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15A6200B">
            <w:pPr>
              <w:jc w:val="center"/>
              <w:rPr>
                <w:rFonts w:hint="default" w:ascii="Times New Roman" w:hAnsi="Times New Roman" w:cs="Times New Roman"/>
                <w:vertAlign w:val="baseline"/>
              </w:rPr>
            </w:pPr>
          </w:p>
        </w:tc>
        <w:tc>
          <w:tcPr>
            <w:tcW w:w="2268" w:type="dxa"/>
            <w:vAlign w:val="center"/>
          </w:tcPr>
          <w:p w14:paraId="2306F553">
            <w:pPr>
              <w:jc w:val="center"/>
              <w:rPr>
                <w:rFonts w:hint="default" w:ascii="Times New Roman" w:hAnsi="Times New Roman" w:cs="Times New Roman"/>
                <w:vertAlign w:val="baseline"/>
              </w:rPr>
            </w:pPr>
          </w:p>
        </w:tc>
        <w:tc>
          <w:tcPr>
            <w:tcW w:w="1134" w:type="dxa"/>
            <w:vAlign w:val="center"/>
          </w:tcPr>
          <w:p w14:paraId="2D5BF974">
            <w:pPr>
              <w:jc w:val="center"/>
              <w:rPr>
                <w:rFonts w:hint="default" w:ascii="Times New Roman" w:hAnsi="Times New Roman" w:cs="Times New Roman"/>
                <w:vertAlign w:val="baseline"/>
              </w:rPr>
            </w:pPr>
          </w:p>
        </w:tc>
        <w:tc>
          <w:tcPr>
            <w:tcW w:w="2001" w:type="dxa"/>
            <w:vAlign w:val="center"/>
          </w:tcPr>
          <w:p w14:paraId="553FC5A5">
            <w:pPr>
              <w:jc w:val="center"/>
              <w:rPr>
                <w:rFonts w:hint="default" w:ascii="Times New Roman" w:hAnsi="Times New Roman" w:cs="Times New Roman"/>
                <w:vertAlign w:val="baseline"/>
              </w:rPr>
            </w:pPr>
          </w:p>
        </w:tc>
      </w:tr>
      <w:tr w14:paraId="0AF8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89B394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7CB0C63E">
            <w:pPr>
              <w:jc w:val="center"/>
              <w:rPr>
                <w:rFonts w:hint="default" w:ascii="Times New Roman" w:hAnsi="Times New Roman" w:cs="Times New Roman"/>
                <w:vertAlign w:val="baseline"/>
              </w:rPr>
            </w:pPr>
          </w:p>
        </w:tc>
        <w:tc>
          <w:tcPr>
            <w:tcW w:w="2268" w:type="dxa"/>
            <w:vAlign w:val="center"/>
          </w:tcPr>
          <w:p w14:paraId="78C6DC2D">
            <w:pPr>
              <w:jc w:val="center"/>
              <w:rPr>
                <w:rFonts w:hint="default" w:ascii="Times New Roman" w:hAnsi="Times New Roman" w:cs="Times New Roman"/>
                <w:vertAlign w:val="baseline"/>
              </w:rPr>
            </w:pPr>
          </w:p>
        </w:tc>
        <w:tc>
          <w:tcPr>
            <w:tcW w:w="1134" w:type="dxa"/>
            <w:vAlign w:val="center"/>
          </w:tcPr>
          <w:p w14:paraId="24A95020">
            <w:pPr>
              <w:jc w:val="center"/>
              <w:rPr>
                <w:rFonts w:hint="default" w:ascii="Times New Roman" w:hAnsi="Times New Roman" w:cs="Times New Roman"/>
                <w:vertAlign w:val="baseline"/>
              </w:rPr>
            </w:pPr>
          </w:p>
        </w:tc>
        <w:tc>
          <w:tcPr>
            <w:tcW w:w="2001" w:type="dxa"/>
            <w:vAlign w:val="center"/>
          </w:tcPr>
          <w:p w14:paraId="36D1B64E">
            <w:pPr>
              <w:jc w:val="center"/>
              <w:rPr>
                <w:rFonts w:hint="default" w:ascii="Times New Roman" w:hAnsi="Times New Roman" w:cs="Times New Roman"/>
                <w:vertAlign w:val="baseline"/>
              </w:rPr>
            </w:pPr>
          </w:p>
        </w:tc>
      </w:tr>
      <w:tr w14:paraId="6398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F81BBD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40E9712F">
            <w:pPr>
              <w:jc w:val="center"/>
              <w:rPr>
                <w:rFonts w:hint="default" w:ascii="Times New Roman" w:hAnsi="Times New Roman" w:cs="Times New Roman"/>
                <w:vertAlign w:val="baseline"/>
              </w:rPr>
            </w:pPr>
          </w:p>
        </w:tc>
        <w:tc>
          <w:tcPr>
            <w:tcW w:w="2268" w:type="dxa"/>
            <w:vAlign w:val="center"/>
          </w:tcPr>
          <w:p w14:paraId="3213C301">
            <w:pPr>
              <w:jc w:val="center"/>
              <w:rPr>
                <w:rFonts w:hint="default" w:ascii="Times New Roman" w:hAnsi="Times New Roman" w:cs="Times New Roman"/>
                <w:vertAlign w:val="baseline"/>
              </w:rPr>
            </w:pPr>
          </w:p>
        </w:tc>
        <w:tc>
          <w:tcPr>
            <w:tcW w:w="1134" w:type="dxa"/>
            <w:vAlign w:val="center"/>
          </w:tcPr>
          <w:p w14:paraId="0CEFEDF7">
            <w:pPr>
              <w:jc w:val="center"/>
              <w:rPr>
                <w:rFonts w:hint="default" w:ascii="Times New Roman" w:hAnsi="Times New Roman" w:cs="Times New Roman"/>
                <w:vertAlign w:val="baseline"/>
              </w:rPr>
            </w:pPr>
          </w:p>
        </w:tc>
        <w:tc>
          <w:tcPr>
            <w:tcW w:w="2001" w:type="dxa"/>
            <w:vAlign w:val="center"/>
          </w:tcPr>
          <w:p w14:paraId="2C3F5173">
            <w:pPr>
              <w:jc w:val="center"/>
              <w:rPr>
                <w:rFonts w:hint="default" w:ascii="Times New Roman" w:hAnsi="Times New Roman" w:cs="Times New Roman"/>
                <w:vertAlign w:val="baseline"/>
              </w:rPr>
            </w:pPr>
          </w:p>
        </w:tc>
      </w:tr>
      <w:tr w14:paraId="582A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2A2BA7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3EB80E49">
            <w:pPr>
              <w:jc w:val="center"/>
              <w:rPr>
                <w:rFonts w:hint="default" w:ascii="Times New Roman" w:hAnsi="Times New Roman" w:cs="Times New Roman"/>
                <w:vertAlign w:val="baseline"/>
              </w:rPr>
            </w:pPr>
          </w:p>
        </w:tc>
        <w:tc>
          <w:tcPr>
            <w:tcW w:w="2268" w:type="dxa"/>
            <w:vAlign w:val="center"/>
          </w:tcPr>
          <w:p w14:paraId="2910D946">
            <w:pPr>
              <w:jc w:val="center"/>
              <w:rPr>
                <w:rFonts w:hint="default" w:ascii="Times New Roman" w:hAnsi="Times New Roman" w:cs="Times New Roman"/>
                <w:vertAlign w:val="baseline"/>
              </w:rPr>
            </w:pPr>
          </w:p>
        </w:tc>
        <w:tc>
          <w:tcPr>
            <w:tcW w:w="1134" w:type="dxa"/>
            <w:vAlign w:val="center"/>
          </w:tcPr>
          <w:p w14:paraId="26D96CB2">
            <w:pPr>
              <w:jc w:val="center"/>
              <w:rPr>
                <w:rFonts w:hint="default" w:ascii="Times New Roman" w:hAnsi="Times New Roman" w:cs="Times New Roman"/>
                <w:vertAlign w:val="baseline"/>
              </w:rPr>
            </w:pPr>
          </w:p>
        </w:tc>
        <w:tc>
          <w:tcPr>
            <w:tcW w:w="2001" w:type="dxa"/>
            <w:vAlign w:val="center"/>
          </w:tcPr>
          <w:p w14:paraId="604FBE2A">
            <w:pPr>
              <w:jc w:val="center"/>
              <w:rPr>
                <w:rFonts w:hint="default" w:ascii="Times New Roman" w:hAnsi="Times New Roman" w:cs="Times New Roman"/>
                <w:vertAlign w:val="baseline"/>
              </w:rPr>
            </w:pPr>
          </w:p>
        </w:tc>
      </w:tr>
      <w:tr w14:paraId="4284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2CE9B32">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6E7068EC">
            <w:pPr>
              <w:jc w:val="center"/>
              <w:rPr>
                <w:rFonts w:hint="default" w:ascii="Times New Roman" w:hAnsi="Times New Roman" w:cs="Times New Roman"/>
                <w:vertAlign w:val="baseline"/>
              </w:rPr>
            </w:pPr>
          </w:p>
        </w:tc>
        <w:tc>
          <w:tcPr>
            <w:tcW w:w="2268" w:type="dxa"/>
            <w:vAlign w:val="center"/>
          </w:tcPr>
          <w:p w14:paraId="0DA0E17B">
            <w:pPr>
              <w:jc w:val="center"/>
              <w:rPr>
                <w:rFonts w:hint="default" w:ascii="Times New Roman" w:hAnsi="Times New Roman" w:cs="Times New Roman"/>
                <w:vertAlign w:val="baseline"/>
              </w:rPr>
            </w:pPr>
          </w:p>
        </w:tc>
        <w:tc>
          <w:tcPr>
            <w:tcW w:w="1134" w:type="dxa"/>
            <w:vAlign w:val="center"/>
          </w:tcPr>
          <w:p w14:paraId="62679BC2">
            <w:pPr>
              <w:jc w:val="center"/>
              <w:rPr>
                <w:rFonts w:hint="default" w:ascii="Times New Roman" w:hAnsi="Times New Roman" w:cs="Times New Roman"/>
                <w:vertAlign w:val="baseline"/>
              </w:rPr>
            </w:pPr>
          </w:p>
        </w:tc>
        <w:tc>
          <w:tcPr>
            <w:tcW w:w="2001" w:type="dxa"/>
            <w:vAlign w:val="center"/>
          </w:tcPr>
          <w:p w14:paraId="39EC441C">
            <w:pPr>
              <w:jc w:val="center"/>
              <w:rPr>
                <w:rFonts w:hint="default" w:ascii="Times New Roman" w:hAnsi="Times New Roman" w:cs="Times New Roman"/>
                <w:vertAlign w:val="baseline"/>
              </w:rPr>
            </w:pPr>
          </w:p>
        </w:tc>
      </w:tr>
      <w:tr w14:paraId="06D5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9E19265">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762B658">
            <w:pPr>
              <w:jc w:val="center"/>
              <w:rPr>
                <w:rFonts w:hint="default" w:ascii="Times New Roman" w:hAnsi="Times New Roman" w:cs="Times New Roman"/>
                <w:vertAlign w:val="baseline"/>
              </w:rPr>
            </w:pPr>
          </w:p>
        </w:tc>
        <w:tc>
          <w:tcPr>
            <w:tcW w:w="2001" w:type="dxa"/>
            <w:vAlign w:val="center"/>
          </w:tcPr>
          <w:p w14:paraId="1FEDC827">
            <w:pPr>
              <w:jc w:val="center"/>
              <w:rPr>
                <w:rFonts w:hint="default" w:ascii="Times New Roman" w:hAnsi="Times New Roman" w:cs="Times New Roman"/>
                <w:vertAlign w:val="baseline"/>
              </w:rPr>
            </w:pPr>
          </w:p>
        </w:tc>
      </w:tr>
    </w:tbl>
    <w:p w14:paraId="6A670C21">
      <w:pPr>
        <w:rPr>
          <w:rFonts w:hint="default" w:ascii="Times New Roman" w:hAnsi="Times New Roman" w:cs="Times New Roman"/>
        </w:rPr>
      </w:pPr>
    </w:p>
    <w:p w14:paraId="18CB8C78">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348"/>
    <w:bookmarkEnd w:id="349"/>
    <w:bookmarkEnd w:id="350"/>
    <w:bookmarkEnd w:id="351"/>
    <w:bookmarkEnd w:id="352"/>
    <w:bookmarkEnd w:id="353"/>
    <w:p w14:paraId="66EB7782">
      <w:pPr>
        <w:pStyle w:val="4"/>
        <w:jc w:val="center"/>
        <w:rPr>
          <w:rFonts w:hint="eastAsia"/>
          <w:highlight w:val="none"/>
        </w:rPr>
      </w:pPr>
      <w:bookmarkStart w:id="354" w:name="_Toc247514300"/>
      <w:bookmarkStart w:id="355" w:name="_Toc144974871"/>
      <w:bookmarkStart w:id="356" w:name="_Toc144974876"/>
      <w:bookmarkStart w:id="357" w:name="_Toc152042592"/>
      <w:bookmarkStart w:id="358" w:name="_Toc179632823"/>
      <w:bookmarkStart w:id="359" w:name="_Toc247527848"/>
      <w:bookmarkStart w:id="360" w:name="_Toc296602614"/>
      <w:bookmarkStart w:id="361" w:name="_Toc152042597"/>
      <w:bookmarkStart w:id="362" w:name="_Toc152045808"/>
      <w:bookmarkStart w:id="363" w:name="_Toc247085887"/>
      <w:bookmarkStart w:id="364" w:name="_Toc300835224"/>
      <w:bookmarkStart w:id="365" w:name="_Toc246997112"/>
      <w:bookmarkStart w:id="366" w:name="_Toc246996369"/>
      <w:bookmarkStart w:id="367" w:name="_Toc152045803"/>
      <w:r>
        <w:rPr>
          <w:rFonts w:hint="eastAsia"/>
          <w:highlight w:val="none"/>
          <w:lang w:val="en-US" w:eastAsia="zh-CN"/>
        </w:rPr>
        <w:t>六</w:t>
      </w:r>
      <w:r>
        <w:rPr>
          <w:highlight w:val="none"/>
        </w:rPr>
        <w:t>、资格审查资料</w:t>
      </w:r>
    </w:p>
    <w:p w14:paraId="09D406F3">
      <w:pPr>
        <w:pStyle w:val="5"/>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2D09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35E6A0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7A0BD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E3132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77E722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CF6EF5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4A5349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11E80D5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5E23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08E0D7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27F6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819C6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1E6958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97A32C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B868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6E44F95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6B40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65C2E0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8F87E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34567B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D03F2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72AF91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8FC1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4FD4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09ADF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C2941D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9856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FD70C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E80D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6D6584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FA81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EA9A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4963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0F3ED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DF2E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A9AE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1AA8E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A952C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EA888C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587CA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BFB2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B3CC445">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78A00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D7B40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A88292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5135F717">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383B0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1F723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B9EAC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364633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E1C1F1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3F8756E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56A4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926586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2161FA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73283C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C038CA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E26C0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33F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495A0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5AC416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DE373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188B690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CE7B0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3E36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95CBB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FAC647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E9AEC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78525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374AAEE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9E7D15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3F81B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1E22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CA177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8EA53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74D7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18F5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A824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818D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0D234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F454C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2A327D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7C8981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5FDC7730">
      <w:pPr>
        <w:rPr>
          <w:rFonts w:hint="eastAsia"/>
        </w:rPr>
      </w:pPr>
      <w:r>
        <w:rPr>
          <w:rFonts w:hint="eastAsia"/>
        </w:rPr>
        <w:br w:type="page"/>
      </w:r>
    </w:p>
    <w:p w14:paraId="32C4C7FD">
      <w:pPr>
        <w:pStyle w:val="5"/>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DF820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72B49D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0321C3D">
      <w:pPr>
        <w:rPr>
          <w:rFonts w:hint="eastAsia"/>
        </w:rPr>
      </w:pPr>
      <w:r>
        <w:rPr>
          <w:rFonts w:hint="eastAsia"/>
        </w:rPr>
        <w:br w:type="page"/>
      </w:r>
    </w:p>
    <w:p w14:paraId="5B8EBCBD">
      <w:pPr>
        <w:pStyle w:val="5"/>
        <w:rPr>
          <w:rFonts w:hint="default" w:ascii="Times New Roman" w:hAnsi="Times New Roman" w:cs="Times New Roman"/>
        </w:rPr>
      </w:pPr>
      <w:r>
        <w:rPr>
          <w:rFonts w:hint="default" w:ascii="Times New Roman" w:hAnsi="Times New Roman" w:cs="Times New Roman"/>
        </w:rPr>
        <w:t>（三）近年完成的类似项目情况表</w:t>
      </w:r>
    </w:p>
    <w:p w14:paraId="30E3483B">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AB9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BBB9C74">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7811893F">
            <w:pPr>
              <w:topLinePunct/>
              <w:spacing w:line="440" w:lineRule="exact"/>
              <w:rPr>
                <w:rFonts w:hint="default" w:ascii="Times New Roman" w:hAnsi="Times New Roman" w:cs="Times New Roman"/>
                <w:szCs w:val="21"/>
                <w:highlight w:val="black"/>
              </w:rPr>
            </w:pPr>
          </w:p>
        </w:tc>
      </w:tr>
      <w:tr w14:paraId="5B1B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B6BCBDE">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8E41977">
            <w:pPr>
              <w:topLinePunct/>
              <w:spacing w:line="440" w:lineRule="exact"/>
              <w:rPr>
                <w:rFonts w:hint="default" w:ascii="Times New Roman" w:hAnsi="Times New Roman" w:cs="Times New Roman"/>
                <w:szCs w:val="21"/>
                <w:highlight w:val="black"/>
              </w:rPr>
            </w:pPr>
          </w:p>
        </w:tc>
      </w:tr>
      <w:tr w14:paraId="5926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39A580">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50C57A7D">
            <w:pPr>
              <w:topLinePunct/>
              <w:spacing w:line="440" w:lineRule="exact"/>
              <w:rPr>
                <w:rFonts w:hint="default" w:ascii="Times New Roman" w:hAnsi="Times New Roman" w:cs="Times New Roman"/>
                <w:szCs w:val="21"/>
                <w:highlight w:val="black"/>
              </w:rPr>
            </w:pPr>
          </w:p>
        </w:tc>
      </w:tr>
      <w:tr w14:paraId="0BD3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9841255">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1646E14A">
            <w:pPr>
              <w:topLinePunct/>
              <w:spacing w:line="440" w:lineRule="exact"/>
              <w:rPr>
                <w:rFonts w:hint="default" w:ascii="Times New Roman" w:hAnsi="Times New Roman" w:cs="Times New Roman"/>
                <w:szCs w:val="21"/>
                <w:highlight w:val="black"/>
              </w:rPr>
            </w:pPr>
          </w:p>
        </w:tc>
      </w:tr>
      <w:tr w14:paraId="7A9D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EBD866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141B9C63">
            <w:pPr>
              <w:topLinePunct/>
              <w:spacing w:line="440" w:lineRule="exact"/>
              <w:rPr>
                <w:rFonts w:hint="default" w:ascii="Times New Roman" w:hAnsi="Times New Roman" w:cs="Times New Roman"/>
                <w:szCs w:val="21"/>
              </w:rPr>
            </w:pPr>
          </w:p>
        </w:tc>
      </w:tr>
      <w:tr w14:paraId="2C3E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BF070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DCB4024">
            <w:pPr>
              <w:topLinePunct/>
              <w:spacing w:line="440" w:lineRule="exact"/>
              <w:rPr>
                <w:rFonts w:hint="default" w:ascii="Times New Roman" w:hAnsi="Times New Roman" w:cs="Times New Roman"/>
                <w:szCs w:val="21"/>
              </w:rPr>
            </w:pPr>
          </w:p>
        </w:tc>
      </w:tr>
      <w:tr w14:paraId="44C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14:paraId="1C5CD20E">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0763C813">
            <w:pPr>
              <w:topLinePunct/>
              <w:spacing w:line="440" w:lineRule="exact"/>
              <w:rPr>
                <w:rFonts w:hint="default" w:ascii="Times New Roman" w:hAnsi="Times New Roman" w:cs="Times New Roman"/>
                <w:szCs w:val="21"/>
              </w:rPr>
            </w:pPr>
          </w:p>
        </w:tc>
      </w:tr>
      <w:tr w14:paraId="05F0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AA6418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37761599">
            <w:pPr>
              <w:topLinePunct/>
              <w:spacing w:line="440" w:lineRule="exact"/>
              <w:rPr>
                <w:rFonts w:hint="default" w:ascii="Times New Roman" w:hAnsi="Times New Roman" w:cs="Times New Roman"/>
                <w:szCs w:val="21"/>
              </w:rPr>
            </w:pPr>
          </w:p>
        </w:tc>
      </w:tr>
      <w:tr w14:paraId="5EE77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AB13EC">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72A3EAFF">
            <w:pPr>
              <w:topLinePunct/>
              <w:spacing w:line="440" w:lineRule="exact"/>
              <w:rPr>
                <w:rFonts w:hint="default" w:ascii="Times New Roman" w:hAnsi="Times New Roman" w:cs="Times New Roman"/>
                <w:szCs w:val="21"/>
              </w:rPr>
            </w:pPr>
          </w:p>
        </w:tc>
      </w:tr>
      <w:tr w14:paraId="21EB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37F58D">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43C9C3E8">
            <w:pPr>
              <w:topLinePunct/>
              <w:spacing w:line="440" w:lineRule="exact"/>
              <w:rPr>
                <w:rFonts w:hint="default" w:ascii="Times New Roman" w:hAnsi="Times New Roman" w:cs="Times New Roman"/>
                <w:szCs w:val="21"/>
              </w:rPr>
            </w:pPr>
          </w:p>
          <w:p w14:paraId="6DA96EC7">
            <w:pPr>
              <w:topLinePunct/>
              <w:spacing w:line="440" w:lineRule="exact"/>
              <w:rPr>
                <w:rFonts w:hint="default" w:ascii="Times New Roman" w:hAnsi="Times New Roman" w:cs="Times New Roman"/>
                <w:szCs w:val="21"/>
              </w:rPr>
            </w:pPr>
          </w:p>
          <w:p w14:paraId="69E398D7">
            <w:pPr>
              <w:topLinePunct/>
              <w:spacing w:line="440" w:lineRule="exact"/>
              <w:rPr>
                <w:rFonts w:hint="default" w:ascii="Times New Roman" w:hAnsi="Times New Roman" w:cs="Times New Roman"/>
                <w:szCs w:val="21"/>
              </w:rPr>
            </w:pPr>
          </w:p>
          <w:p w14:paraId="5D4C28FB">
            <w:pPr>
              <w:topLinePunct/>
              <w:spacing w:line="440" w:lineRule="exact"/>
              <w:rPr>
                <w:rFonts w:hint="default" w:ascii="Times New Roman" w:hAnsi="Times New Roman" w:cs="Times New Roman"/>
                <w:szCs w:val="21"/>
              </w:rPr>
            </w:pPr>
          </w:p>
          <w:p w14:paraId="7BD9AFAE">
            <w:pPr>
              <w:topLinePunct/>
              <w:spacing w:line="440" w:lineRule="exact"/>
              <w:rPr>
                <w:rFonts w:hint="default" w:ascii="Times New Roman" w:hAnsi="Times New Roman" w:cs="Times New Roman"/>
                <w:szCs w:val="21"/>
              </w:rPr>
            </w:pPr>
          </w:p>
          <w:p w14:paraId="79789407">
            <w:pPr>
              <w:topLinePunct/>
              <w:spacing w:line="440" w:lineRule="exact"/>
              <w:rPr>
                <w:rFonts w:hint="default" w:ascii="Times New Roman" w:hAnsi="Times New Roman" w:cs="Times New Roman"/>
                <w:szCs w:val="21"/>
              </w:rPr>
            </w:pPr>
          </w:p>
          <w:p w14:paraId="56B4137F">
            <w:pPr>
              <w:topLinePunct/>
              <w:spacing w:line="440" w:lineRule="exact"/>
              <w:rPr>
                <w:rFonts w:hint="default" w:ascii="Times New Roman" w:hAnsi="Times New Roman" w:cs="Times New Roman"/>
                <w:szCs w:val="21"/>
              </w:rPr>
            </w:pPr>
          </w:p>
        </w:tc>
      </w:tr>
      <w:tr w14:paraId="6B5F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A448B3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1C8DD3E">
            <w:pPr>
              <w:topLinePunct/>
              <w:spacing w:line="440" w:lineRule="exact"/>
              <w:rPr>
                <w:rFonts w:hint="default" w:ascii="Times New Roman" w:hAnsi="Times New Roman" w:cs="Times New Roman"/>
                <w:szCs w:val="21"/>
              </w:rPr>
            </w:pPr>
          </w:p>
        </w:tc>
      </w:tr>
    </w:tbl>
    <w:p w14:paraId="46B3BB3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11887C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“近年完成的类似项目情况表”应合同协议书；具体时间要求见投标人须知前附表，每张表格只填写一个项目，并标明序号。</w:t>
      </w:r>
    </w:p>
    <w:p w14:paraId="3B888FCA">
      <w:pPr>
        <w:rPr>
          <w:rFonts w:hint="eastAsia"/>
        </w:rPr>
      </w:pPr>
      <w:r>
        <w:rPr>
          <w:rFonts w:hint="eastAsia"/>
        </w:rPr>
        <w:br w:type="page"/>
      </w:r>
    </w:p>
    <w:p w14:paraId="315C2CBE">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799A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10F31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767B71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3D9225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7E5CF7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76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1FEF9D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7B999C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1D86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1395BA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6847D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64715A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414D08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5EBF24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48B13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5EC9EF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4DF68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5D2378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0007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120C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8CCA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D782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1E4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00EA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31FE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87CB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2D80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7D4E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757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9301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1008E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36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D84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5420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7CA75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FF01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FCA3C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CDF38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29F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12E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2237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C01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DBB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3748D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22F0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610B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206C5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668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2E3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EE83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5132A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FEC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722A3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C7DD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3FDD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8F4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A6E4E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BA0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35C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FE40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993F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CB8E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3518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C08F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9FC4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245C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48A5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BF1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760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A48CD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73F43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AE0F6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E3BA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E7EA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CCDC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25A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14371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4BAE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A6D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5C29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882AA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C243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3C4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B0CAC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04AC1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9E267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B9F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4088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25B5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175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CDB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470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F435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675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75805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87DC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BA344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0E52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8F5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74B8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54EB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64A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A18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83B4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411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19BE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DB54E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A391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EAA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6F079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377C6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879C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2F380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28158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980E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9BC9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97CF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03E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55A2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FB831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003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B576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0971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6E9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AC64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3CB99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8815B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3F8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4C03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72A6F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8AA30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92EA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9BE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09376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4780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97873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370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B795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43AF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3291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184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C839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7237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5F06D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3696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3155F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87E9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C863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DAA8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0245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AE7F5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F7F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3D04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160B5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F6E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1B183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3B8AD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FC3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5EFE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0A38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02651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0BD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404B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6851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B5CF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80BE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E04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0E6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6888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95A40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1A91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A9C4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97D3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4E5F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3545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8656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C5E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C05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7540D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7FE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56F2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91E2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29244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463D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C37C0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E1A1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A71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A1743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C000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E42D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3FA7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131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3D19F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3ACC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DB8A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4E41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3F8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D67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A9AD3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4E8B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2EA4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790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AA129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940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1C906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9E04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7C1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0B547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1E5F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2FA70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4F9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2CA0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7521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3EE9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E8301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73CD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D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32F8E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55FF0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29EC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5440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49AE7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03FD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EF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4D5AF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F55C4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A66EF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9EB17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80D7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34D20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CD82B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B38C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3E0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A4F78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BCCE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378006A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C923B0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757E74C">
      <w:pPr>
        <w:rPr>
          <w:rFonts w:hint="eastAsia"/>
          <w:i/>
          <w:iCs/>
          <w:color w:val="FF0000"/>
          <w:u w:val="single"/>
          <w:lang w:val="en-US" w:eastAsia="zh-CN"/>
        </w:rPr>
      </w:pPr>
    </w:p>
    <w:p w14:paraId="2A32C792">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71A9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FDDA9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0D4A0D0">
            <w:pPr>
              <w:jc w:val="center"/>
              <w:rPr>
                <w:rFonts w:hint="eastAsia"/>
                <w:i w:val="0"/>
                <w:iCs w:val="0"/>
                <w:color w:val="auto"/>
                <w:u w:val="none"/>
                <w:vertAlign w:val="baseline"/>
                <w:lang w:val="en-US" w:eastAsia="zh-CN"/>
              </w:rPr>
            </w:pPr>
          </w:p>
        </w:tc>
        <w:tc>
          <w:tcPr>
            <w:tcW w:w="1134" w:type="dxa"/>
            <w:vAlign w:val="center"/>
          </w:tcPr>
          <w:p w14:paraId="04412A0F">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59E62E54">
            <w:pPr>
              <w:jc w:val="center"/>
              <w:rPr>
                <w:rFonts w:hint="eastAsia"/>
                <w:i w:val="0"/>
                <w:iCs w:val="0"/>
                <w:color w:val="auto"/>
                <w:u w:val="none"/>
                <w:vertAlign w:val="baseline"/>
                <w:lang w:val="en-US" w:eastAsia="zh-CN"/>
              </w:rPr>
            </w:pPr>
          </w:p>
        </w:tc>
        <w:tc>
          <w:tcPr>
            <w:tcW w:w="1701" w:type="dxa"/>
            <w:vAlign w:val="center"/>
          </w:tcPr>
          <w:p w14:paraId="395395C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7070BB3A">
            <w:pPr>
              <w:jc w:val="center"/>
              <w:rPr>
                <w:rFonts w:hint="eastAsia"/>
                <w:i w:val="0"/>
                <w:iCs w:val="0"/>
                <w:color w:val="auto"/>
                <w:u w:val="none"/>
                <w:vertAlign w:val="baseline"/>
                <w:lang w:val="en-US" w:eastAsia="zh-CN"/>
              </w:rPr>
            </w:pPr>
          </w:p>
        </w:tc>
      </w:tr>
      <w:tr w14:paraId="0DC7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095F1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03D7EC6">
            <w:pPr>
              <w:jc w:val="center"/>
              <w:rPr>
                <w:rFonts w:hint="eastAsia"/>
                <w:i w:val="0"/>
                <w:iCs w:val="0"/>
                <w:color w:val="auto"/>
                <w:u w:val="none"/>
                <w:vertAlign w:val="baseline"/>
                <w:lang w:val="en-US" w:eastAsia="zh-CN"/>
              </w:rPr>
            </w:pPr>
          </w:p>
        </w:tc>
        <w:tc>
          <w:tcPr>
            <w:tcW w:w="1134" w:type="dxa"/>
            <w:vAlign w:val="center"/>
          </w:tcPr>
          <w:p w14:paraId="0403359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3FFEE8B4">
            <w:pPr>
              <w:jc w:val="center"/>
              <w:rPr>
                <w:rFonts w:hint="eastAsia"/>
                <w:i w:val="0"/>
                <w:iCs w:val="0"/>
                <w:color w:val="auto"/>
                <w:u w:val="none"/>
                <w:vertAlign w:val="baseline"/>
                <w:lang w:val="en-US" w:eastAsia="zh-CN"/>
              </w:rPr>
            </w:pPr>
          </w:p>
        </w:tc>
        <w:tc>
          <w:tcPr>
            <w:tcW w:w="1701" w:type="dxa"/>
            <w:vAlign w:val="center"/>
          </w:tcPr>
          <w:p w14:paraId="2F1A0DF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0A17E3E7">
            <w:pPr>
              <w:jc w:val="center"/>
              <w:rPr>
                <w:rFonts w:hint="eastAsia"/>
                <w:i w:val="0"/>
                <w:iCs w:val="0"/>
                <w:color w:val="auto"/>
                <w:u w:val="none"/>
                <w:vertAlign w:val="baseline"/>
                <w:lang w:val="en-US" w:eastAsia="zh-CN"/>
              </w:rPr>
            </w:pPr>
          </w:p>
        </w:tc>
      </w:tr>
      <w:tr w14:paraId="50B3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682870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030D12DE">
            <w:pPr>
              <w:jc w:val="center"/>
              <w:rPr>
                <w:rFonts w:hint="eastAsia"/>
                <w:i w:val="0"/>
                <w:iCs w:val="0"/>
                <w:color w:val="auto"/>
                <w:u w:val="none"/>
                <w:vertAlign w:val="baseline"/>
                <w:lang w:val="en-US" w:eastAsia="zh-CN"/>
              </w:rPr>
            </w:pPr>
          </w:p>
        </w:tc>
        <w:tc>
          <w:tcPr>
            <w:tcW w:w="1701" w:type="dxa"/>
            <w:vAlign w:val="center"/>
          </w:tcPr>
          <w:p w14:paraId="46CFE8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53E668C6">
            <w:pPr>
              <w:jc w:val="center"/>
              <w:rPr>
                <w:rFonts w:hint="eastAsia"/>
                <w:i w:val="0"/>
                <w:iCs w:val="0"/>
                <w:color w:val="auto"/>
                <w:u w:val="none"/>
                <w:vertAlign w:val="baseline"/>
                <w:lang w:val="en-US" w:eastAsia="zh-CN"/>
              </w:rPr>
            </w:pPr>
          </w:p>
        </w:tc>
      </w:tr>
      <w:tr w14:paraId="6756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FB09C3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2E5C14C3">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1FB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045D1F69">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72D8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D3A9BB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52A314B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19C354C2">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2FED89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2697B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4E6EF9C">
            <w:pPr>
              <w:jc w:val="center"/>
              <w:rPr>
                <w:rFonts w:hint="eastAsia"/>
                <w:i w:val="0"/>
                <w:iCs w:val="0"/>
                <w:color w:val="auto"/>
                <w:u w:val="none"/>
                <w:vertAlign w:val="baseline"/>
                <w:lang w:val="en-US" w:eastAsia="zh-CN"/>
              </w:rPr>
            </w:pPr>
          </w:p>
        </w:tc>
        <w:tc>
          <w:tcPr>
            <w:tcW w:w="3402" w:type="dxa"/>
            <w:gridSpan w:val="3"/>
            <w:vAlign w:val="center"/>
          </w:tcPr>
          <w:p w14:paraId="5284C2A5">
            <w:pPr>
              <w:jc w:val="center"/>
              <w:rPr>
                <w:rFonts w:hint="eastAsia"/>
                <w:i w:val="0"/>
                <w:iCs w:val="0"/>
                <w:color w:val="auto"/>
                <w:u w:val="none"/>
                <w:vertAlign w:val="baseline"/>
                <w:lang w:val="en-US" w:eastAsia="zh-CN"/>
              </w:rPr>
            </w:pPr>
          </w:p>
        </w:tc>
        <w:tc>
          <w:tcPr>
            <w:tcW w:w="1701" w:type="dxa"/>
            <w:vAlign w:val="center"/>
          </w:tcPr>
          <w:p w14:paraId="726447C8">
            <w:pPr>
              <w:jc w:val="center"/>
              <w:rPr>
                <w:rFonts w:hint="eastAsia"/>
                <w:i w:val="0"/>
                <w:iCs w:val="0"/>
                <w:color w:val="auto"/>
                <w:u w:val="none"/>
                <w:vertAlign w:val="baseline"/>
                <w:lang w:val="en-US" w:eastAsia="zh-CN"/>
              </w:rPr>
            </w:pPr>
          </w:p>
        </w:tc>
        <w:tc>
          <w:tcPr>
            <w:tcW w:w="2285" w:type="dxa"/>
            <w:vAlign w:val="center"/>
          </w:tcPr>
          <w:p w14:paraId="6FDAA577">
            <w:pPr>
              <w:jc w:val="center"/>
              <w:rPr>
                <w:rFonts w:hint="eastAsia"/>
                <w:i w:val="0"/>
                <w:iCs w:val="0"/>
                <w:color w:val="auto"/>
                <w:u w:val="none"/>
                <w:vertAlign w:val="baseline"/>
                <w:lang w:val="en-US" w:eastAsia="zh-CN"/>
              </w:rPr>
            </w:pPr>
          </w:p>
        </w:tc>
      </w:tr>
      <w:tr w14:paraId="4761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29770DD">
            <w:pPr>
              <w:jc w:val="center"/>
              <w:rPr>
                <w:rFonts w:hint="eastAsia"/>
                <w:i w:val="0"/>
                <w:iCs w:val="0"/>
                <w:color w:val="auto"/>
                <w:u w:val="none"/>
                <w:vertAlign w:val="baseline"/>
                <w:lang w:val="en-US" w:eastAsia="zh-CN"/>
              </w:rPr>
            </w:pPr>
          </w:p>
        </w:tc>
        <w:tc>
          <w:tcPr>
            <w:tcW w:w="3402" w:type="dxa"/>
            <w:gridSpan w:val="3"/>
            <w:vAlign w:val="center"/>
          </w:tcPr>
          <w:p w14:paraId="7F9CDC6F">
            <w:pPr>
              <w:jc w:val="center"/>
              <w:rPr>
                <w:rFonts w:hint="eastAsia"/>
                <w:i w:val="0"/>
                <w:iCs w:val="0"/>
                <w:color w:val="auto"/>
                <w:u w:val="none"/>
                <w:vertAlign w:val="baseline"/>
                <w:lang w:val="en-US" w:eastAsia="zh-CN"/>
              </w:rPr>
            </w:pPr>
          </w:p>
        </w:tc>
        <w:tc>
          <w:tcPr>
            <w:tcW w:w="1701" w:type="dxa"/>
            <w:vAlign w:val="center"/>
          </w:tcPr>
          <w:p w14:paraId="6417FA19">
            <w:pPr>
              <w:jc w:val="center"/>
              <w:rPr>
                <w:rFonts w:hint="eastAsia"/>
                <w:i w:val="0"/>
                <w:iCs w:val="0"/>
                <w:color w:val="auto"/>
                <w:u w:val="none"/>
                <w:vertAlign w:val="baseline"/>
                <w:lang w:val="en-US" w:eastAsia="zh-CN"/>
              </w:rPr>
            </w:pPr>
          </w:p>
        </w:tc>
        <w:tc>
          <w:tcPr>
            <w:tcW w:w="2285" w:type="dxa"/>
            <w:vAlign w:val="center"/>
          </w:tcPr>
          <w:p w14:paraId="3E9BC512">
            <w:pPr>
              <w:jc w:val="center"/>
              <w:rPr>
                <w:rFonts w:hint="eastAsia"/>
                <w:i w:val="0"/>
                <w:iCs w:val="0"/>
                <w:color w:val="auto"/>
                <w:u w:val="none"/>
                <w:vertAlign w:val="baseline"/>
                <w:lang w:val="en-US" w:eastAsia="zh-CN"/>
              </w:rPr>
            </w:pPr>
          </w:p>
        </w:tc>
      </w:tr>
      <w:tr w14:paraId="0FE8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4757AF6">
            <w:pPr>
              <w:jc w:val="center"/>
              <w:rPr>
                <w:rFonts w:hint="eastAsia"/>
                <w:i w:val="0"/>
                <w:iCs w:val="0"/>
                <w:color w:val="auto"/>
                <w:u w:val="none"/>
                <w:vertAlign w:val="baseline"/>
                <w:lang w:val="en-US" w:eastAsia="zh-CN"/>
              </w:rPr>
            </w:pPr>
          </w:p>
        </w:tc>
        <w:tc>
          <w:tcPr>
            <w:tcW w:w="3402" w:type="dxa"/>
            <w:gridSpan w:val="3"/>
            <w:vAlign w:val="center"/>
          </w:tcPr>
          <w:p w14:paraId="0BFD69CA">
            <w:pPr>
              <w:jc w:val="center"/>
              <w:rPr>
                <w:rFonts w:hint="eastAsia"/>
                <w:i w:val="0"/>
                <w:iCs w:val="0"/>
                <w:color w:val="auto"/>
                <w:u w:val="none"/>
                <w:vertAlign w:val="baseline"/>
                <w:lang w:val="en-US" w:eastAsia="zh-CN"/>
              </w:rPr>
            </w:pPr>
          </w:p>
        </w:tc>
        <w:tc>
          <w:tcPr>
            <w:tcW w:w="1701" w:type="dxa"/>
            <w:vAlign w:val="center"/>
          </w:tcPr>
          <w:p w14:paraId="23381A41">
            <w:pPr>
              <w:jc w:val="center"/>
              <w:rPr>
                <w:rFonts w:hint="eastAsia"/>
                <w:i w:val="0"/>
                <w:iCs w:val="0"/>
                <w:color w:val="auto"/>
                <w:u w:val="none"/>
                <w:vertAlign w:val="baseline"/>
                <w:lang w:val="en-US" w:eastAsia="zh-CN"/>
              </w:rPr>
            </w:pPr>
          </w:p>
        </w:tc>
        <w:tc>
          <w:tcPr>
            <w:tcW w:w="2285" w:type="dxa"/>
            <w:vAlign w:val="center"/>
          </w:tcPr>
          <w:p w14:paraId="4D3835F4">
            <w:pPr>
              <w:jc w:val="center"/>
              <w:rPr>
                <w:rFonts w:hint="eastAsia"/>
                <w:i w:val="0"/>
                <w:iCs w:val="0"/>
                <w:color w:val="auto"/>
                <w:u w:val="none"/>
                <w:vertAlign w:val="baseline"/>
                <w:lang w:val="en-US" w:eastAsia="zh-CN"/>
              </w:rPr>
            </w:pPr>
          </w:p>
        </w:tc>
      </w:tr>
      <w:tr w14:paraId="295F6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2F38B98">
            <w:pPr>
              <w:jc w:val="center"/>
              <w:rPr>
                <w:rFonts w:hint="eastAsia"/>
                <w:i w:val="0"/>
                <w:iCs w:val="0"/>
                <w:color w:val="auto"/>
                <w:u w:val="none"/>
                <w:vertAlign w:val="baseline"/>
                <w:lang w:val="en-US" w:eastAsia="zh-CN"/>
              </w:rPr>
            </w:pPr>
          </w:p>
        </w:tc>
        <w:tc>
          <w:tcPr>
            <w:tcW w:w="3402" w:type="dxa"/>
            <w:gridSpan w:val="3"/>
            <w:vAlign w:val="center"/>
          </w:tcPr>
          <w:p w14:paraId="1F093A38">
            <w:pPr>
              <w:jc w:val="center"/>
              <w:rPr>
                <w:rFonts w:hint="eastAsia"/>
                <w:i w:val="0"/>
                <w:iCs w:val="0"/>
                <w:color w:val="auto"/>
                <w:u w:val="none"/>
                <w:vertAlign w:val="baseline"/>
                <w:lang w:val="en-US" w:eastAsia="zh-CN"/>
              </w:rPr>
            </w:pPr>
          </w:p>
        </w:tc>
        <w:tc>
          <w:tcPr>
            <w:tcW w:w="1701" w:type="dxa"/>
            <w:vAlign w:val="center"/>
          </w:tcPr>
          <w:p w14:paraId="0563B554">
            <w:pPr>
              <w:jc w:val="center"/>
              <w:rPr>
                <w:rFonts w:hint="eastAsia"/>
                <w:i w:val="0"/>
                <w:iCs w:val="0"/>
                <w:color w:val="auto"/>
                <w:u w:val="none"/>
                <w:vertAlign w:val="baseline"/>
                <w:lang w:val="en-US" w:eastAsia="zh-CN"/>
              </w:rPr>
            </w:pPr>
          </w:p>
        </w:tc>
        <w:tc>
          <w:tcPr>
            <w:tcW w:w="2285" w:type="dxa"/>
            <w:vAlign w:val="center"/>
          </w:tcPr>
          <w:p w14:paraId="53A7D5ED">
            <w:pPr>
              <w:jc w:val="center"/>
              <w:rPr>
                <w:rFonts w:hint="eastAsia"/>
                <w:i w:val="0"/>
                <w:iCs w:val="0"/>
                <w:color w:val="auto"/>
                <w:u w:val="none"/>
                <w:vertAlign w:val="baseline"/>
                <w:lang w:val="en-US" w:eastAsia="zh-CN"/>
              </w:rPr>
            </w:pPr>
          </w:p>
        </w:tc>
      </w:tr>
      <w:tr w14:paraId="0013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272D0EF">
            <w:pPr>
              <w:jc w:val="center"/>
              <w:rPr>
                <w:rFonts w:hint="eastAsia"/>
                <w:i w:val="0"/>
                <w:iCs w:val="0"/>
                <w:color w:val="auto"/>
                <w:u w:val="none"/>
                <w:vertAlign w:val="baseline"/>
                <w:lang w:val="en-US" w:eastAsia="zh-CN"/>
              </w:rPr>
            </w:pPr>
          </w:p>
        </w:tc>
        <w:tc>
          <w:tcPr>
            <w:tcW w:w="3402" w:type="dxa"/>
            <w:gridSpan w:val="3"/>
            <w:vAlign w:val="center"/>
          </w:tcPr>
          <w:p w14:paraId="04A1722E">
            <w:pPr>
              <w:jc w:val="center"/>
              <w:rPr>
                <w:rFonts w:hint="eastAsia"/>
                <w:i w:val="0"/>
                <w:iCs w:val="0"/>
                <w:color w:val="auto"/>
                <w:u w:val="none"/>
                <w:vertAlign w:val="baseline"/>
                <w:lang w:val="en-US" w:eastAsia="zh-CN"/>
              </w:rPr>
            </w:pPr>
          </w:p>
        </w:tc>
        <w:tc>
          <w:tcPr>
            <w:tcW w:w="1701" w:type="dxa"/>
            <w:vAlign w:val="center"/>
          </w:tcPr>
          <w:p w14:paraId="1DD64376">
            <w:pPr>
              <w:jc w:val="center"/>
              <w:rPr>
                <w:rFonts w:hint="eastAsia"/>
                <w:i w:val="0"/>
                <w:iCs w:val="0"/>
                <w:color w:val="auto"/>
                <w:u w:val="none"/>
                <w:vertAlign w:val="baseline"/>
                <w:lang w:val="en-US" w:eastAsia="zh-CN"/>
              </w:rPr>
            </w:pPr>
          </w:p>
        </w:tc>
        <w:tc>
          <w:tcPr>
            <w:tcW w:w="2285" w:type="dxa"/>
            <w:vAlign w:val="center"/>
          </w:tcPr>
          <w:p w14:paraId="0A119A17">
            <w:pPr>
              <w:jc w:val="center"/>
              <w:rPr>
                <w:rFonts w:hint="eastAsia"/>
                <w:i w:val="0"/>
                <w:iCs w:val="0"/>
                <w:color w:val="auto"/>
                <w:u w:val="none"/>
                <w:vertAlign w:val="baseline"/>
                <w:lang w:val="en-US" w:eastAsia="zh-CN"/>
              </w:rPr>
            </w:pPr>
          </w:p>
        </w:tc>
      </w:tr>
      <w:tr w14:paraId="746C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9432682">
            <w:pPr>
              <w:jc w:val="center"/>
              <w:rPr>
                <w:rFonts w:hint="eastAsia"/>
                <w:i w:val="0"/>
                <w:iCs w:val="0"/>
                <w:color w:val="auto"/>
                <w:u w:val="none"/>
                <w:vertAlign w:val="baseline"/>
                <w:lang w:val="en-US" w:eastAsia="zh-CN"/>
              </w:rPr>
            </w:pPr>
          </w:p>
        </w:tc>
        <w:tc>
          <w:tcPr>
            <w:tcW w:w="3402" w:type="dxa"/>
            <w:gridSpan w:val="3"/>
            <w:vAlign w:val="center"/>
          </w:tcPr>
          <w:p w14:paraId="2DE7889C">
            <w:pPr>
              <w:jc w:val="center"/>
              <w:rPr>
                <w:rFonts w:hint="eastAsia"/>
                <w:i w:val="0"/>
                <w:iCs w:val="0"/>
                <w:color w:val="auto"/>
                <w:u w:val="none"/>
                <w:vertAlign w:val="baseline"/>
                <w:lang w:val="en-US" w:eastAsia="zh-CN"/>
              </w:rPr>
            </w:pPr>
          </w:p>
        </w:tc>
        <w:tc>
          <w:tcPr>
            <w:tcW w:w="1701" w:type="dxa"/>
            <w:vAlign w:val="center"/>
          </w:tcPr>
          <w:p w14:paraId="3D975C41">
            <w:pPr>
              <w:jc w:val="center"/>
              <w:rPr>
                <w:rFonts w:hint="eastAsia"/>
                <w:i w:val="0"/>
                <w:iCs w:val="0"/>
                <w:color w:val="auto"/>
                <w:u w:val="none"/>
                <w:vertAlign w:val="baseline"/>
                <w:lang w:val="en-US" w:eastAsia="zh-CN"/>
              </w:rPr>
            </w:pPr>
          </w:p>
        </w:tc>
        <w:tc>
          <w:tcPr>
            <w:tcW w:w="2285" w:type="dxa"/>
            <w:vAlign w:val="center"/>
          </w:tcPr>
          <w:p w14:paraId="45FFE8D0">
            <w:pPr>
              <w:jc w:val="center"/>
              <w:rPr>
                <w:rFonts w:hint="eastAsia"/>
                <w:i w:val="0"/>
                <w:iCs w:val="0"/>
                <w:color w:val="auto"/>
                <w:u w:val="none"/>
                <w:vertAlign w:val="baseline"/>
                <w:lang w:val="en-US" w:eastAsia="zh-CN"/>
              </w:rPr>
            </w:pPr>
          </w:p>
        </w:tc>
      </w:tr>
      <w:tr w14:paraId="1EDF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C3042CD">
            <w:pPr>
              <w:jc w:val="center"/>
              <w:rPr>
                <w:rFonts w:hint="eastAsia"/>
                <w:i w:val="0"/>
                <w:iCs w:val="0"/>
                <w:color w:val="auto"/>
                <w:u w:val="none"/>
                <w:vertAlign w:val="baseline"/>
                <w:lang w:val="en-US" w:eastAsia="zh-CN"/>
              </w:rPr>
            </w:pPr>
          </w:p>
        </w:tc>
        <w:tc>
          <w:tcPr>
            <w:tcW w:w="3402" w:type="dxa"/>
            <w:gridSpan w:val="3"/>
            <w:vAlign w:val="center"/>
          </w:tcPr>
          <w:p w14:paraId="5BEABFDD">
            <w:pPr>
              <w:jc w:val="center"/>
              <w:rPr>
                <w:rFonts w:hint="eastAsia"/>
                <w:i w:val="0"/>
                <w:iCs w:val="0"/>
                <w:color w:val="auto"/>
                <w:u w:val="none"/>
                <w:vertAlign w:val="baseline"/>
                <w:lang w:val="en-US" w:eastAsia="zh-CN"/>
              </w:rPr>
            </w:pPr>
          </w:p>
        </w:tc>
        <w:tc>
          <w:tcPr>
            <w:tcW w:w="1701" w:type="dxa"/>
            <w:vAlign w:val="center"/>
          </w:tcPr>
          <w:p w14:paraId="2E24F3D4">
            <w:pPr>
              <w:jc w:val="center"/>
              <w:rPr>
                <w:rFonts w:hint="eastAsia"/>
                <w:i w:val="0"/>
                <w:iCs w:val="0"/>
                <w:color w:val="auto"/>
                <w:u w:val="none"/>
                <w:vertAlign w:val="baseline"/>
                <w:lang w:val="en-US" w:eastAsia="zh-CN"/>
              </w:rPr>
            </w:pPr>
          </w:p>
        </w:tc>
        <w:tc>
          <w:tcPr>
            <w:tcW w:w="2285" w:type="dxa"/>
            <w:vAlign w:val="center"/>
          </w:tcPr>
          <w:p w14:paraId="45E837F9">
            <w:pPr>
              <w:jc w:val="center"/>
              <w:rPr>
                <w:rFonts w:hint="eastAsia"/>
                <w:i w:val="0"/>
                <w:iCs w:val="0"/>
                <w:color w:val="auto"/>
                <w:u w:val="none"/>
                <w:vertAlign w:val="baseline"/>
                <w:lang w:val="en-US" w:eastAsia="zh-CN"/>
              </w:rPr>
            </w:pPr>
          </w:p>
        </w:tc>
      </w:tr>
    </w:tbl>
    <w:p w14:paraId="0DCD8FA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5E17FF0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7345A5B">
      <w:pPr>
        <w:rPr>
          <w:rFonts w:hint="eastAsia"/>
          <w:i/>
          <w:iCs/>
          <w:color w:val="FF0000"/>
          <w:u w:val="single"/>
          <w:lang w:val="en-US" w:eastAsia="zh-CN"/>
        </w:rPr>
      </w:pPr>
      <w:r>
        <w:rPr>
          <w:rFonts w:hint="eastAsia"/>
          <w:i/>
          <w:iCs/>
          <w:color w:val="FF0000"/>
          <w:u w:val="single"/>
          <w:lang w:val="en-US" w:eastAsia="zh-CN"/>
        </w:rPr>
        <w:br w:type="page"/>
      </w:r>
    </w:p>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14:paraId="071A80E0">
      <w:pPr>
        <w:pStyle w:val="4"/>
        <w:jc w:val="center"/>
        <w:rPr>
          <w:rFonts w:hint="default" w:eastAsia="黑体"/>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服务方案</w:t>
      </w:r>
    </w:p>
    <w:p w14:paraId="3F725A6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40F00E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990E18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5BD388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42F0F3A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四、服务说明和服务方案；</w:t>
      </w:r>
    </w:p>
    <w:p w14:paraId="0269C4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五、拟投入的主要人员；</w:t>
      </w:r>
    </w:p>
    <w:p w14:paraId="57D59E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六、质量、进度、保密等保证措施；</w:t>
      </w:r>
    </w:p>
    <w:p w14:paraId="46043F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七、安全保证措施；</w:t>
      </w:r>
    </w:p>
    <w:p w14:paraId="1D361C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八、工作重点、难点分析</w:t>
      </w:r>
    </w:p>
    <w:p w14:paraId="1F4D2C9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九、对本项目的合理化建议。</w:t>
      </w:r>
    </w:p>
    <w:p w14:paraId="3B21F786">
      <w:pPr>
        <w:rPr>
          <w:rFonts w:hint="default" w:ascii="Times New Roman" w:hAnsi="Times New Roman" w:cs="Times New Roman"/>
        </w:rPr>
      </w:pPr>
      <w:r>
        <w:rPr>
          <w:rFonts w:hint="default" w:ascii="Times New Roman" w:hAnsi="Times New Roman" w:cs="Times New Roman"/>
        </w:rPr>
        <w:br w:type="page"/>
      </w:r>
    </w:p>
    <w:p w14:paraId="29A0D878">
      <w:pPr>
        <w:pStyle w:val="4"/>
        <w:jc w:val="center"/>
        <w:rPr>
          <w:rFonts w:hint="default" w:ascii="Times New Roman" w:hAnsi="Times New Roman" w:cs="Times New Roman"/>
        </w:rPr>
      </w:pPr>
      <w:bookmarkStart w:id="368" w:name="_Toc271821942"/>
      <w:bookmarkStart w:id="369"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368"/>
      <w:bookmarkEnd w:id="369"/>
    </w:p>
    <w:p w14:paraId="38CC7AC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07BDE4A">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E99108A-C737-41D0-94BB-51A8368FAA61}"/>
  </w:font>
  <w:font w:name="Arial">
    <w:panose1 w:val="020B0604020202020204"/>
    <w:charset w:val="01"/>
    <w:family w:val="swiss"/>
    <w:pitch w:val="default"/>
    <w:sig w:usb0="E0002EFF" w:usb1="C000785B" w:usb2="00000009" w:usb3="00000000" w:csb0="400001FF" w:csb1="FFFF0000"/>
    <w:embedRegular r:id="rId2" w:fontKey="{9F47F55C-31A5-4CC0-8552-576A2BEA0AD6}"/>
  </w:font>
  <w:font w:name="黑体">
    <w:panose1 w:val="02010609060101010101"/>
    <w:charset w:val="86"/>
    <w:family w:val="auto"/>
    <w:pitch w:val="default"/>
    <w:sig w:usb0="800002BF" w:usb1="38CF7CFA" w:usb2="00000016" w:usb3="00000000" w:csb0="00040001" w:csb1="00000000"/>
    <w:embedRegular r:id="rId3" w:fontKey="{DF33A0A5-E7A6-4E90-80CA-FB2751C6B06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89015464-E9E9-49C2-B869-E15891C0AEB5}"/>
  </w:font>
  <w:font w:name="仿宋_GB2312">
    <w:panose1 w:val="02010609030101010101"/>
    <w:charset w:val="86"/>
    <w:family w:val="modern"/>
    <w:pitch w:val="default"/>
    <w:sig w:usb0="00000001" w:usb1="080E0000" w:usb2="00000000" w:usb3="00000000" w:csb0="00040000" w:csb1="00000000"/>
    <w:embedRegular r:id="rId5" w:fontKey="{98696436-9838-48E3-A20E-943EA0B8ABBD}"/>
  </w:font>
  <w:font w:name="方正小标宋简体">
    <w:panose1 w:val="02000000000000000000"/>
    <w:charset w:val="86"/>
    <w:family w:val="auto"/>
    <w:pitch w:val="default"/>
    <w:sig w:usb0="00000001" w:usb1="08000000" w:usb2="00000000" w:usb3="00000000" w:csb0="00040000" w:csb1="00000000"/>
    <w:embedRegular r:id="rId6" w:fontKey="{0F6C073A-9EAF-4775-94EF-FD2F2342A1D4}"/>
  </w:font>
  <w:font w:name="楷体">
    <w:panose1 w:val="02010609060101010101"/>
    <w:charset w:val="86"/>
    <w:family w:val="auto"/>
    <w:pitch w:val="default"/>
    <w:sig w:usb0="800002BF" w:usb1="38CF7CFA" w:usb2="00000016" w:usb3="00000000" w:csb0="00040001" w:csb1="00000000"/>
    <w:embedRegular r:id="rId7" w:fontKey="{0F2EC273-4F75-4939-AF32-398024E33199}"/>
  </w:font>
  <w:font w:name="Wingdings 2">
    <w:panose1 w:val="05020102010507070707"/>
    <w:charset w:val="00"/>
    <w:family w:val="auto"/>
    <w:pitch w:val="default"/>
    <w:sig w:usb0="00000000" w:usb1="00000000" w:usb2="00000000" w:usb3="00000000" w:csb0="80000000" w:csb1="00000000"/>
    <w:embedRegular r:id="rId8" w:fontKey="{BF19BE42-3434-4E04-946B-E94C80A7983F}"/>
  </w:font>
  <w:font w:name="方正仿宋_GB2312">
    <w:panose1 w:val="02000000000000000000"/>
    <w:charset w:val="86"/>
    <w:family w:val="auto"/>
    <w:pitch w:val="default"/>
    <w:sig w:usb0="A00002BF" w:usb1="184F6CFA" w:usb2="00000012" w:usb3="00000000" w:csb0="00040001" w:csb1="00000000"/>
    <w:embedRegular r:id="rId9" w:fontKey="{E28B70D9-33B4-4E01-B247-B1207E53E083}"/>
  </w:font>
  <w:font w:name="方正楷体_GB2312">
    <w:panose1 w:val="02000000000000000000"/>
    <w:charset w:val="86"/>
    <w:family w:val="auto"/>
    <w:pitch w:val="default"/>
    <w:sig w:usb0="A00002BF" w:usb1="184F6CFA" w:usb2="00000012" w:usb3="00000000" w:csb0="00040001" w:csb1="00000000"/>
    <w:embedRegular r:id="rId10" w:fontKey="{0A90252C-C6CD-45E3-9EE5-118EB2795BE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39B"/>
    <w:rsid w:val="001D7D62"/>
    <w:rsid w:val="002609D3"/>
    <w:rsid w:val="002C069E"/>
    <w:rsid w:val="0040224D"/>
    <w:rsid w:val="006D4F1E"/>
    <w:rsid w:val="00733B0B"/>
    <w:rsid w:val="00764376"/>
    <w:rsid w:val="00796B76"/>
    <w:rsid w:val="00850CC0"/>
    <w:rsid w:val="00B00F2F"/>
    <w:rsid w:val="00FF308E"/>
    <w:rsid w:val="01180B1A"/>
    <w:rsid w:val="011959AD"/>
    <w:rsid w:val="011E6004"/>
    <w:rsid w:val="0145105E"/>
    <w:rsid w:val="014F03EF"/>
    <w:rsid w:val="018C519F"/>
    <w:rsid w:val="019846E3"/>
    <w:rsid w:val="01B6046E"/>
    <w:rsid w:val="01CB0CDF"/>
    <w:rsid w:val="01CD2334"/>
    <w:rsid w:val="01E140D3"/>
    <w:rsid w:val="01EE4D0C"/>
    <w:rsid w:val="01F16263"/>
    <w:rsid w:val="02016132"/>
    <w:rsid w:val="021138F7"/>
    <w:rsid w:val="0212370C"/>
    <w:rsid w:val="021D348F"/>
    <w:rsid w:val="023A4BFB"/>
    <w:rsid w:val="026E5FAB"/>
    <w:rsid w:val="02983D41"/>
    <w:rsid w:val="02994018"/>
    <w:rsid w:val="029F2BC9"/>
    <w:rsid w:val="02A31129"/>
    <w:rsid w:val="02A46690"/>
    <w:rsid w:val="02AC508C"/>
    <w:rsid w:val="02BE075F"/>
    <w:rsid w:val="02F4317E"/>
    <w:rsid w:val="03155752"/>
    <w:rsid w:val="0324584F"/>
    <w:rsid w:val="032652C7"/>
    <w:rsid w:val="033964DC"/>
    <w:rsid w:val="034877EC"/>
    <w:rsid w:val="035021B2"/>
    <w:rsid w:val="03633AA8"/>
    <w:rsid w:val="036839EA"/>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4FF2195"/>
    <w:rsid w:val="050252F6"/>
    <w:rsid w:val="05191440"/>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86A37"/>
    <w:rsid w:val="06BF2153"/>
    <w:rsid w:val="06D375E0"/>
    <w:rsid w:val="06D9502E"/>
    <w:rsid w:val="06E329B2"/>
    <w:rsid w:val="06EB4F76"/>
    <w:rsid w:val="06ED1728"/>
    <w:rsid w:val="06F81D74"/>
    <w:rsid w:val="074267A8"/>
    <w:rsid w:val="07462294"/>
    <w:rsid w:val="074A7C93"/>
    <w:rsid w:val="07666E00"/>
    <w:rsid w:val="07723470"/>
    <w:rsid w:val="077965A7"/>
    <w:rsid w:val="07832BA1"/>
    <w:rsid w:val="07972327"/>
    <w:rsid w:val="07A85930"/>
    <w:rsid w:val="07EE56D8"/>
    <w:rsid w:val="07F65A68"/>
    <w:rsid w:val="081608A9"/>
    <w:rsid w:val="083726B7"/>
    <w:rsid w:val="08554A0D"/>
    <w:rsid w:val="08563EE1"/>
    <w:rsid w:val="086D3DA1"/>
    <w:rsid w:val="08774BE1"/>
    <w:rsid w:val="088F5820"/>
    <w:rsid w:val="08903F11"/>
    <w:rsid w:val="08932D8F"/>
    <w:rsid w:val="08B056B6"/>
    <w:rsid w:val="08E13E13"/>
    <w:rsid w:val="08ED571D"/>
    <w:rsid w:val="08F53A28"/>
    <w:rsid w:val="0922447E"/>
    <w:rsid w:val="0926237D"/>
    <w:rsid w:val="092D0C4C"/>
    <w:rsid w:val="09304FAD"/>
    <w:rsid w:val="096213E6"/>
    <w:rsid w:val="09641BD1"/>
    <w:rsid w:val="0967298A"/>
    <w:rsid w:val="098F4C8F"/>
    <w:rsid w:val="099948FD"/>
    <w:rsid w:val="09A71C3D"/>
    <w:rsid w:val="09AF2C22"/>
    <w:rsid w:val="09B32D8C"/>
    <w:rsid w:val="09C37FE6"/>
    <w:rsid w:val="09D236A1"/>
    <w:rsid w:val="09DB25D9"/>
    <w:rsid w:val="09DF226A"/>
    <w:rsid w:val="09E87633"/>
    <w:rsid w:val="09EC69D2"/>
    <w:rsid w:val="09FD66D9"/>
    <w:rsid w:val="0A074254"/>
    <w:rsid w:val="0A0D7099"/>
    <w:rsid w:val="0A3B332D"/>
    <w:rsid w:val="0A3E36F7"/>
    <w:rsid w:val="0A466107"/>
    <w:rsid w:val="0A500304"/>
    <w:rsid w:val="0A5234C1"/>
    <w:rsid w:val="0A704DEE"/>
    <w:rsid w:val="0A801619"/>
    <w:rsid w:val="0A8B5261"/>
    <w:rsid w:val="0A8E5075"/>
    <w:rsid w:val="0AA913FB"/>
    <w:rsid w:val="0AAE6B76"/>
    <w:rsid w:val="0AB37F43"/>
    <w:rsid w:val="0AB930A2"/>
    <w:rsid w:val="0ADD0DF0"/>
    <w:rsid w:val="0AEB40E8"/>
    <w:rsid w:val="0B0A404A"/>
    <w:rsid w:val="0B0E131B"/>
    <w:rsid w:val="0B1E6D26"/>
    <w:rsid w:val="0B416906"/>
    <w:rsid w:val="0B5D1C2A"/>
    <w:rsid w:val="0B685C3C"/>
    <w:rsid w:val="0B7202E7"/>
    <w:rsid w:val="0B923CFA"/>
    <w:rsid w:val="0B991D46"/>
    <w:rsid w:val="0B9F686D"/>
    <w:rsid w:val="0BDE31B0"/>
    <w:rsid w:val="0C110CA2"/>
    <w:rsid w:val="0C312470"/>
    <w:rsid w:val="0C400913"/>
    <w:rsid w:val="0C773477"/>
    <w:rsid w:val="0C873133"/>
    <w:rsid w:val="0C9F113B"/>
    <w:rsid w:val="0CA17E5F"/>
    <w:rsid w:val="0CD3448B"/>
    <w:rsid w:val="0CF072F3"/>
    <w:rsid w:val="0D1336AF"/>
    <w:rsid w:val="0D2466BD"/>
    <w:rsid w:val="0D3A1668"/>
    <w:rsid w:val="0D570D57"/>
    <w:rsid w:val="0D5C2246"/>
    <w:rsid w:val="0D5E3DDF"/>
    <w:rsid w:val="0D6A3C45"/>
    <w:rsid w:val="0D7F3B4D"/>
    <w:rsid w:val="0D84383E"/>
    <w:rsid w:val="0DA13B17"/>
    <w:rsid w:val="0DA277FF"/>
    <w:rsid w:val="0DAF4501"/>
    <w:rsid w:val="0DB22432"/>
    <w:rsid w:val="0DB8057F"/>
    <w:rsid w:val="0DC57869"/>
    <w:rsid w:val="0DD331D8"/>
    <w:rsid w:val="0DDB677F"/>
    <w:rsid w:val="0E093A81"/>
    <w:rsid w:val="0E1201C4"/>
    <w:rsid w:val="0E35096D"/>
    <w:rsid w:val="0E3C08A3"/>
    <w:rsid w:val="0E626142"/>
    <w:rsid w:val="0E6D3EE4"/>
    <w:rsid w:val="0E8168AC"/>
    <w:rsid w:val="0E9601D9"/>
    <w:rsid w:val="0EAC50D3"/>
    <w:rsid w:val="0EBD2E3C"/>
    <w:rsid w:val="0EDF4D5E"/>
    <w:rsid w:val="0EF860F0"/>
    <w:rsid w:val="0F024085"/>
    <w:rsid w:val="0F1438EF"/>
    <w:rsid w:val="0F3E0510"/>
    <w:rsid w:val="0F463825"/>
    <w:rsid w:val="0F4B0F6A"/>
    <w:rsid w:val="0F575798"/>
    <w:rsid w:val="0F5F5CB1"/>
    <w:rsid w:val="0F6D192D"/>
    <w:rsid w:val="0F6E4AA0"/>
    <w:rsid w:val="0F88177D"/>
    <w:rsid w:val="0F886069"/>
    <w:rsid w:val="0FA819A2"/>
    <w:rsid w:val="0FCA08C0"/>
    <w:rsid w:val="0FCA14B6"/>
    <w:rsid w:val="0FD61379"/>
    <w:rsid w:val="0FE42DE8"/>
    <w:rsid w:val="0FFA6EBC"/>
    <w:rsid w:val="100E76C7"/>
    <w:rsid w:val="101038A7"/>
    <w:rsid w:val="101E2D38"/>
    <w:rsid w:val="10446D2F"/>
    <w:rsid w:val="104957CA"/>
    <w:rsid w:val="104D6EF3"/>
    <w:rsid w:val="105C0433"/>
    <w:rsid w:val="1069417C"/>
    <w:rsid w:val="106C1E4B"/>
    <w:rsid w:val="107F30C6"/>
    <w:rsid w:val="108A23D3"/>
    <w:rsid w:val="1095135B"/>
    <w:rsid w:val="10D35E97"/>
    <w:rsid w:val="10FB5E9E"/>
    <w:rsid w:val="110805BA"/>
    <w:rsid w:val="11114551"/>
    <w:rsid w:val="111B02EE"/>
    <w:rsid w:val="112269D1"/>
    <w:rsid w:val="11356135"/>
    <w:rsid w:val="11800917"/>
    <w:rsid w:val="118955AD"/>
    <w:rsid w:val="11970BCB"/>
    <w:rsid w:val="1197226B"/>
    <w:rsid w:val="11AA0839"/>
    <w:rsid w:val="11C42470"/>
    <w:rsid w:val="11C71895"/>
    <w:rsid w:val="11CD444A"/>
    <w:rsid w:val="11E2334D"/>
    <w:rsid w:val="11EE77B0"/>
    <w:rsid w:val="11F058CE"/>
    <w:rsid w:val="11FC3F3B"/>
    <w:rsid w:val="12445622"/>
    <w:rsid w:val="124D3BAD"/>
    <w:rsid w:val="125A52C4"/>
    <w:rsid w:val="125E66E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9D18BD"/>
    <w:rsid w:val="13D35238"/>
    <w:rsid w:val="13D81B1F"/>
    <w:rsid w:val="14061B66"/>
    <w:rsid w:val="14143273"/>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5A7AD3"/>
    <w:rsid w:val="158374C1"/>
    <w:rsid w:val="15A62ECC"/>
    <w:rsid w:val="15B14179"/>
    <w:rsid w:val="15C516BD"/>
    <w:rsid w:val="160475A2"/>
    <w:rsid w:val="160F71A0"/>
    <w:rsid w:val="162304BC"/>
    <w:rsid w:val="166266B1"/>
    <w:rsid w:val="16932BF5"/>
    <w:rsid w:val="169528F0"/>
    <w:rsid w:val="16C724D4"/>
    <w:rsid w:val="16D411E7"/>
    <w:rsid w:val="16ED0036"/>
    <w:rsid w:val="170756D4"/>
    <w:rsid w:val="170F4587"/>
    <w:rsid w:val="176115DC"/>
    <w:rsid w:val="176D7525"/>
    <w:rsid w:val="177C760C"/>
    <w:rsid w:val="17824660"/>
    <w:rsid w:val="178F2FF8"/>
    <w:rsid w:val="179121FE"/>
    <w:rsid w:val="17915931"/>
    <w:rsid w:val="17C41ABF"/>
    <w:rsid w:val="18057602"/>
    <w:rsid w:val="18175D56"/>
    <w:rsid w:val="18276B10"/>
    <w:rsid w:val="18695DE3"/>
    <w:rsid w:val="18930C59"/>
    <w:rsid w:val="189B5F22"/>
    <w:rsid w:val="18A70256"/>
    <w:rsid w:val="18A944F8"/>
    <w:rsid w:val="18B73074"/>
    <w:rsid w:val="18DA76F1"/>
    <w:rsid w:val="19034C2D"/>
    <w:rsid w:val="1916127C"/>
    <w:rsid w:val="193D465D"/>
    <w:rsid w:val="193D4E12"/>
    <w:rsid w:val="196C6238"/>
    <w:rsid w:val="19882298"/>
    <w:rsid w:val="198A59D6"/>
    <w:rsid w:val="19A73D74"/>
    <w:rsid w:val="19AA5416"/>
    <w:rsid w:val="19CE7FF6"/>
    <w:rsid w:val="19D70C6D"/>
    <w:rsid w:val="19E2271F"/>
    <w:rsid w:val="1A075570"/>
    <w:rsid w:val="1A1C623A"/>
    <w:rsid w:val="1A270D5F"/>
    <w:rsid w:val="1A4D4CED"/>
    <w:rsid w:val="1A6E148E"/>
    <w:rsid w:val="1A797469"/>
    <w:rsid w:val="1A8850B8"/>
    <w:rsid w:val="1A9B5FFB"/>
    <w:rsid w:val="1AA066C8"/>
    <w:rsid w:val="1ABF2F84"/>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A84E74"/>
    <w:rsid w:val="1BB12BB2"/>
    <w:rsid w:val="1BCE49E9"/>
    <w:rsid w:val="1BD12722"/>
    <w:rsid w:val="1BD15865"/>
    <w:rsid w:val="1BD17F27"/>
    <w:rsid w:val="1BFE7E24"/>
    <w:rsid w:val="1C100B6A"/>
    <w:rsid w:val="1C2075D6"/>
    <w:rsid w:val="1C2B6CB4"/>
    <w:rsid w:val="1C3774BA"/>
    <w:rsid w:val="1C4E114E"/>
    <w:rsid w:val="1C5D5F8B"/>
    <w:rsid w:val="1C630441"/>
    <w:rsid w:val="1C6E241C"/>
    <w:rsid w:val="1C970BC2"/>
    <w:rsid w:val="1C9C6D7D"/>
    <w:rsid w:val="1CB07DF9"/>
    <w:rsid w:val="1CC3681B"/>
    <w:rsid w:val="1CF251D3"/>
    <w:rsid w:val="1CFF3217"/>
    <w:rsid w:val="1D01483C"/>
    <w:rsid w:val="1D0C3E62"/>
    <w:rsid w:val="1D1D0D81"/>
    <w:rsid w:val="1D5835F0"/>
    <w:rsid w:val="1D594678"/>
    <w:rsid w:val="1D8C5045"/>
    <w:rsid w:val="1D9244F8"/>
    <w:rsid w:val="1D931CEA"/>
    <w:rsid w:val="1DC177D9"/>
    <w:rsid w:val="1DFD67E4"/>
    <w:rsid w:val="1E1A236E"/>
    <w:rsid w:val="1E225BB3"/>
    <w:rsid w:val="1E2A6113"/>
    <w:rsid w:val="1E2D212B"/>
    <w:rsid w:val="1E2E6E13"/>
    <w:rsid w:val="1E32182A"/>
    <w:rsid w:val="1E454BFC"/>
    <w:rsid w:val="1E5A61EE"/>
    <w:rsid w:val="1E6A55EE"/>
    <w:rsid w:val="1E713E2F"/>
    <w:rsid w:val="1E980FE4"/>
    <w:rsid w:val="1EA573D8"/>
    <w:rsid w:val="1EA77665"/>
    <w:rsid w:val="1EB0513B"/>
    <w:rsid w:val="1EB72F76"/>
    <w:rsid w:val="1EC10726"/>
    <w:rsid w:val="1EE36B2C"/>
    <w:rsid w:val="1EF342CB"/>
    <w:rsid w:val="1F020A44"/>
    <w:rsid w:val="1F041BC7"/>
    <w:rsid w:val="1F127B09"/>
    <w:rsid w:val="1F2354C8"/>
    <w:rsid w:val="1F2C3C4B"/>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B41BC5"/>
    <w:rsid w:val="20D658C9"/>
    <w:rsid w:val="20D95B5B"/>
    <w:rsid w:val="20DC2416"/>
    <w:rsid w:val="20DE6C42"/>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5163A"/>
    <w:rsid w:val="21A61686"/>
    <w:rsid w:val="21B56BEB"/>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851A0"/>
    <w:rsid w:val="24691193"/>
    <w:rsid w:val="246C3A46"/>
    <w:rsid w:val="247152E7"/>
    <w:rsid w:val="249E48F8"/>
    <w:rsid w:val="24FF7718"/>
    <w:rsid w:val="251A7612"/>
    <w:rsid w:val="25237A22"/>
    <w:rsid w:val="252E0774"/>
    <w:rsid w:val="25481BCE"/>
    <w:rsid w:val="256E1E26"/>
    <w:rsid w:val="25812F8D"/>
    <w:rsid w:val="25814DB7"/>
    <w:rsid w:val="25824959"/>
    <w:rsid w:val="25902676"/>
    <w:rsid w:val="25987A23"/>
    <w:rsid w:val="25BC160E"/>
    <w:rsid w:val="25BC46FF"/>
    <w:rsid w:val="25C517A2"/>
    <w:rsid w:val="25C93892"/>
    <w:rsid w:val="25EF41EA"/>
    <w:rsid w:val="25F5789E"/>
    <w:rsid w:val="25FD6A72"/>
    <w:rsid w:val="2608561B"/>
    <w:rsid w:val="26196938"/>
    <w:rsid w:val="26261861"/>
    <w:rsid w:val="26301CEE"/>
    <w:rsid w:val="26382AAC"/>
    <w:rsid w:val="26506FAD"/>
    <w:rsid w:val="26656277"/>
    <w:rsid w:val="26663117"/>
    <w:rsid w:val="267771CA"/>
    <w:rsid w:val="26807144"/>
    <w:rsid w:val="26851ABB"/>
    <w:rsid w:val="268A362E"/>
    <w:rsid w:val="269560EE"/>
    <w:rsid w:val="26A60202"/>
    <w:rsid w:val="26AF686C"/>
    <w:rsid w:val="26CA60FC"/>
    <w:rsid w:val="26D16018"/>
    <w:rsid w:val="26DB3228"/>
    <w:rsid w:val="26DF6074"/>
    <w:rsid w:val="26E05716"/>
    <w:rsid w:val="26FE679C"/>
    <w:rsid w:val="27301EDB"/>
    <w:rsid w:val="27453115"/>
    <w:rsid w:val="276C029F"/>
    <w:rsid w:val="27867E0A"/>
    <w:rsid w:val="27871DE1"/>
    <w:rsid w:val="27982DD4"/>
    <w:rsid w:val="27BD36EF"/>
    <w:rsid w:val="27DD09CE"/>
    <w:rsid w:val="27EC553C"/>
    <w:rsid w:val="27F6152E"/>
    <w:rsid w:val="280C4BFC"/>
    <w:rsid w:val="2813394B"/>
    <w:rsid w:val="281C1F63"/>
    <w:rsid w:val="281C54D8"/>
    <w:rsid w:val="283610D5"/>
    <w:rsid w:val="285F5293"/>
    <w:rsid w:val="28622D71"/>
    <w:rsid w:val="286E69FD"/>
    <w:rsid w:val="28890DBB"/>
    <w:rsid w:val="28A10C81"/>
    <w:rsid w:val="28C56178"/>
    <w:rsid w:val="28FA546B"/>
    <w:rsid w:val="28FE025E"/>
    <w:rsid w:val="29245F1A"/>
    <w:rsid w:val="29366359"/>
    <w:rsid w:val="294066EC"/>
    <w:rsid w:val="29586D7A"/>
    <w:rsid w:val="29772B51"/>
    <w:rsid w:val="29791894"/>
    <w:rsid w:val="2984235F"/>
    <w:rsid w:val="29967FD2"/>
    <w:rsid w:val="29A52D8F"/>
    <w:rsid w:val="29A96077"/>
    <w:rsid w:val="29C56C3A"/>
    <w:rsid w:val="29D85278"/>
    <w:rsid w:val="29E1380C"/>
    <w:rsid w:val="29E85046"/>
    <w:rsid w:val="2A017BFD"/>
    <w:rsid w:val="2A0A71F8"/>
    <w:rsid w:val="2A4913A2"/>
    <w:rsid w:val="2A9154D8"/>
    <w:rsid w:val="2AA04C57"/>
    <w:rsid w:val="2AAE32CA"/>
    <w:rsid w:val="2AD750C3"/>
    <w:rsid w:val="2AE77D08"/>
    <w:rsid w:val="2AEA3011"/>
    <w:rsid w:val="2AEC6B2B"/>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A174A1"/>
    <w:rsid w:val="2CB62598"/>
    <w:rsid w:val="2CBC136A"/>
    <w:rsid w:val="2CD23AFF"/>
    <w:rsid w:val="2CD47877"/>
    <w:rsid w:val="2CFE607B"/>
    <w:rsid w:val="2D095409"/>
    <w:rsid w:val="2D3A3199"/>
    <w:rsid w:val="2D4B38E7"/>
    <w:rsid w:val="2D5470D9"/>
    <w:rsid w:val="2D551303"/>
    <w:rsid w:val="2D772574"/>
    <w:rsid w:val="2D80355B"/>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109C3"/>
    <w:rsid w:val="2EA40069"/>
    <w:rsid w:val="2EA41312"/>
    <w:rsid w:val="2EAA3B87"/>
    <w:rsid w:val="2EB66E96"/>
    <w:rsid w:val="2EBC23A0"/>
    <w:rsid w:val="2EFA0191"/>
    <w:rsid w:val="2F436846"/>
    <w:rsid w:val="2F4556CE"/>
    <w:rsid w:val="2F6F3C93"/>
    <w:rsid w:val="2F754A27"/>
    <w:rsid w:val="2F9A21D2"/>
    <w:rsid w:val="2FB1448A"/>
    <w:rsid w:val="2FC802AE"/>
    <w:rsid w:val="30030473"/>
    <w:rsid w:val="301C41BF"/>
    <w:rsid w:val="302369A0"/>
    <w:rsid w:val="303474C0"/>
    <w:rsid w:val="305C41A9"/>
    <w:rsid w:val="307C26FF"/>
    <w:rsid w:val="30820205"/>
    <w:rsid w:val="308E41B5"/>
    <w:rsid w:val="30952C59"/>
    <w:rsid w:val="30C145B6"/>
    <w:rsid w:val="30FF4D69"/>
    <w:rsid w:val="310E5321"/>
    <w:rsid w:val="3113559B"/>
    <w:rsid w:val="311978DB"/>
    <w:rsid w:val="312421F6"/>
    <w:rsid w:val="3127420C"/>
    <w:rsid w:val="31477BEB"/>
    <w:rsid w:val="315523B1"/>
    <w:rsid w:val="3198056E"/>
    <w:rsid w:val="31A00DEF"/>
    <w:rsid w:val="31CD31BF"/>
    <w:rsid w:val="31D72AD0"/>
    <w:rsid w:val="31E00548"/>
    <w:rsid w:val="31E10F55"/>
    <w:rsid w:val="31F664E1"/>
    <w:rsid w:val="320B7F80"/>
    <w:rsid w:val="3219008D"/>
    <w:rsid w:val="32215B79"/>
    <w:rsid w:val="322241F2"/>
    <w:rsid w:val="3229379D"/>
    <w:rsid w:val="32294133"/>
    <w:rsid w:val="322D5AFA"/>
    <w:rsid w:val="32514C44"/>
    <w:rsid w:val="32786EF6"/>
    <w:rsid w:val="32867865"/>
    <w:rsid w:val="328916BE"/>
    <w:rsid w:val="32974C7A"/>
    <w:rsid w:val="32B23857"/>
    <w:rsid w:val="32BB4ABE"/>
    <w:rsid w:val="32C8549C"/>
    <w:rsid w:val="32CA16D9"/>
    <w:rsid w:val="32CF55BD"/>
    <w:rsid w:val="32E83928"/>
    <w:rsid w:val="32F45590"/>
    <w:rsid w:val="331C19F3"/>
    <w:rsid w:val="331F55C4"/>
    <w:rsid w:val="33380434"/>
    <w:rsid w:val="33577373"/>
    <w:rsid w:val="336A419B"/>
    <w:rsid w:val="336A59CC"/>
    <w:rsid w:val="33773188"/>
    <w:rsid w:val="337E77C9"/>
    <w:rsid w:val="338F53C2"/>
    <w:rsid w:val="33925662"/>
    <w:rsid w:val="339B7AA1"/>
    <w:rsid w:val="33B7637D"/>
    <w:rsid w:val="33D4661F"/>
    <w:rsid w:val="33ED39C2"/>
    <w:rsid w:val="33EF143A"/>
    <w:rsid w:val="340F56DE"/>
    <w:rsid w:val="342235BE"/>
    <w:rsid w:val="3425597D"/>
    <w:rsid w:val="342A5DF5"/>
    <w:rsid w:val="34303F55"/>
    <w:rsid w:val="344851FD"/>
    <w:rsid w:val="349B5E0E"/>
    <w:rsid w:val="34A432B6"/>
    <w:rsid w:val="34AA020B"/>
    <w:rsid w:val="34B7350F"/>
    <w:rsid w:val="34BC17DA"/>
    <w:rsid w:val="34C85D09"/>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2A49AB"/>
    <w:rsid w:val="362A5FE2"/>
    <w:rsid w:val="363277D2"/>
    <w:rsid w:val="366244D5"/>
    <w:rsid w:val="368045CB"/>
    <w:rsid w:val="36A82C1D"/>
    <w:rsid w:val="36AC7A9E"/>
    <w:rsid w:val="36B34449"/>
    <w:rsid w:val="36C20165"/>
    <w:rsid w:val="36C342D9"/>
    <w:rsid w:val="370F2E93"/>
    <w:rsid w:val="370F32ED"/>
    <w:rsid w:val="374E35E0"/>
    <w:rsid w:val="37560CC6"/>
    <w:rsid w:val="377C2FE5"/>
    <w:rsid w:val="378D0CEB"/>
    <w:rsid w:val="379A026D"/>
    <w:rsid w:val="37A2207E"/>
    <w:rsid w:val="37A2434F"/>
    <w:rsid w:val="37DC1CD5"/>
    <w:rsid w:val="37ED6D6E"/>
    <w:rsid w:val="37FB65FF"/>
    <w:rsid w:val="380C3B20"/>
    <w:rsid w:val="381039F4"/>
    <w:rsid w:val="381B27FE"/>
    <w:rsid w:val="38422CE2"/>
    <w:rsid w:val="38464281"/>
    <w:rsid w:val="385555E4"/>
    <w:rsid w:val="386E21B0"/>
    <w:rsid w:val="38871C41"/>
    <w:rsid w:val="388D4D7E"/>
    <w:rsid w:val="38AE496C"/>
    <w:rsid w:val="38B54D45"/>
    <w:rsid w:val="38C74734"/>
    <w:rsid w:val="38D242CD"/>
    <w:rsid w:val="392E6561"/>
    <w:rsid w:val="393E0C7A"/>
    <w:rsid w:val="39470BCD"/>
    <w:rsid w:val="39821F75"/>
    <w:rsid w:val="398B5520"/>
    <w:rsid w:val="398C3DB7"/>
    <w:rsid w:val="39AB6275"/>
    <w:rsid w:val="39E17621"/>
    <w:rsid w:val="39F227B1"/>
    <w:rsid w:val="3A002A5F"/>
    <w:rsid w:val="3A151290"/>
    <w:rsid w:val="3A201663"/>
    <w:rsid w:val="3A257964"/>
    <w:rsid w:val="3A292038"/>
    <w:rsid w:val="3A3A2CE3"/>
    <w:rsid w:val="3A4A1178"/>
    <w:rsid w:val="3A524E6B"/>
    <w:rsid w:val="3A762A49"/>
    <w:rsid w:val="3A7B3A28"/>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6744A"/>
    <w:rsid w:val="3C2E50FB"/>
    <w:rsid w:val="3C37637A"/>
    <w:rsid w:val="3C4A12AD"/>
    <w:rsid w:val="3C5125FC"/>
    <w:rsid w:val="3C690ECB"/>
    <w:rsid w:val="3C7F70D3"/>
    <w:rsid w:val="3C860AC6"/>
    <w:rsid w:val="3C8967A4"/>
    <w:rsid w:val="3C960BC8"/>
    <w:rsid w:val="3C9848A1"/>
    <w:rsid w:val="3CA509B7"/>
    <w:rsid w:val="3CA509D1"/>
    <w:rsid w:val="3CA54D8C"/>
    <w:rsid w:val="3CD537E6"/>
    <w:rsid w:val="3CD93879"/>
    <w:rsid w:val="3CE75508"/>
    <w:rsid w:val="3D2571D3"/>
    <w:rsid w:val="3D7A2818"/>
    <w:rsid w:val="3D8106EA"/>
    <w:rsid w:val="3D834DF8"/>
    <w:rsid w:val="3DA352B1"/>
    <w:rsid w:val="3DBA61E7"/>
    <w:rsid w:val="3DC14624"/>
    <w:rsid w:val="3DD55956"/>
    <w:rsid w:val="3E100FFC"/>
    <w:rsid w:val="3E1E0321"/>
    <w:rsid w:val="3E201534"/>
    <w:rsid w:val="3E3363C7"/>
    <w:rsid w:val="3E651EE9"/>
    <w:rsid w:val="3E784A78"/>
    <w:rsid w:val="3E8544EE"/>
    <w:rsid w:val="3E8554F5"/>
    <w:rsid w:val="3EB65E71"/>
    <w:rsid w:val="3EC314F9"/>
    <w:rsid w:val="3EC33032"/>
    <w:rsid w:val="3EC61DB3"/>
    <w:rsid w:val="3EE33056"/>
    <w:rsid w:val="3EF47905"/>
    <w:rsid w:val="3EF62661"/>
    <w:rsid w:val="3F3C595E"/>
    <w:rsid w:val="3F442952"/>
    <w:rsid w:val="3F59346C"/>
    <w:rsid w:val="3F657308"/>
    <w:rsid w:val="3F7856B5"/>
    <w:rsid w:val="3F7970EE"/>
    <w:rsid w:val="3F8003ED"/>
    <w:rsid w:val="3F8B5F41"/>
    <w:rsid w:val="3FB13A48"/>
    <w:rsid w:val="3FC519F7"/>
    <w:rsid w:val="3FD0326B"/>
    <w:rsid w:val="3FD34D1A"/>
    <w:rsid w:val="3FE03B95"/>
    <w:rsid w:val="3FED63B1"/>
    <w:rsid w:val="40031733"/>
    <w:rsid w:val="4004626D"/>
    <w:rsid w:val="40076D3D"/>
    <w:rsid w:val="401F65F0"/>
    <w:rsid w:val="403161B6"/>
    <w:rsid w:val="4033445D"/>
    <w:rsid w:val="404470DB"/>
    <w:rsid w:val="40464190"/>
    <w:rsid w:val="404C2292"/>
    <w:rsid w:val="405D572D"/>
    <w:rsid w:val="40860A30"/>
    <w:rsid w:val="408D1EA0"/>
    <w:rsid w:val="408E2DBF"/>
    <w:rsid w:val="409D2A1A"/>
    <w:rsid w:val="40A752D1"/>
    <w:rsid w:val="40B21FB5"/>
    <w:rsid w:val="40B95E2E"/>
    <w:rsid w:val="40C17F9E"/>
    <w:rsid w:val="40C43B66"/>
    <w:rsid w:val="40DE086C"/>
    <w:rsid w:val="40E247F7"/>
    <w:rsid w:val="40E327E8"/>
    <w:rsid w:val="40EE5966"/>
    <w:rsid w:val="410F1967"/>
    <w:rsid w:val="41182A7C"/>
    <w:rsid w:val="41335FC7"/>
    <w:rsid w:val="414971C2"/>
    <w:rsid w:val="414D59F2"/>
    <w:rsid w:val="415978C8"/>
    <w:rsid w:val="415C1B4D"/>
    <w:rsid w:val="417843F2"/>
    <w:rsid w:val="41807B75"/>
    <w:rsid w:val="418A1799"/>
    <w:rsid w:val="41A61C3F"/>
    <w:rsid w:val="41B17185"/>
    <w:rsid w:val="41DB6A6F"/>
    <w:rsid w:val="41F05895"/>
    <w:rsid w:val="420A5691"/>
    <w:rsid w:val="420C70DA"/>
    <w:rsid w:val="420F4A55"/>
    <w:rsid w:val="42191D09"/>
    <w:rsid w:val="4226611D"/>
    <w:rsid w:val="425402BB"/>
    <w:rsid w:val="42564ADA"/>
    <w:rsid w:val="425D6E2C"/>
    <w:rsid w:val="425D7EB7"/>
    <w:rsid w:val="42747A95"/>
    <w:rsid w:val="427E52C8"/>
    <w:rsid w:val="429D02B3"/>
    <w:rsid w:val="42FA6BD0"/>
    <w:rsid w:val="42FB4E01"/>
    <w:rsid w:val="4301585B"/>
    <w:rsid w:val="430345BA"/>
    <w:rsid w:val="431B31A4"/>
    <w:rsid w:val="432B7F85"/>
    <w:rsid w:val="43325808"/>
    <w:rsid w:val="433E1CAF"/>
    <w:rsid w:val="43412297"/>
    <w:rsid w:val="43413ED4"/>
    <w:rsid w:val="43594499"/>
    <w:rsid w:val="43636C3F"/>
    <w:rsid w:val="436E5353"/>
    <w:rsid w:val="438073DF"/>
    <w:rsid w:val="439D6340"/>
    <w:rsid w:val="43E371ED"/>
    <w:rsid w:val="43FD7280"/>
    <w:rsid w:val="441532B2"/>
    <w:rsid w:val="441C5686"/>
    <w:rsid w:val="441E55BD"/>
    <w:rsid w:val="442C59F4"/>
    <w:rsid w:val="442C5CE7"/>
    <w:rsid w:val="443F7EE3"/>
    <w:rsid w:val="44477A7A"/>
    <w:rsid w:val="445A5900"/>
    <w:rsid w:val="44831552"/>
    <w:rsid w:val="44A72CB4"/>
    <w:rsid w:val="44DC0CFE"/>
    <w:rsid w:val="44DC4FCA"/>
    <w:rsid w:val="44FC7513"/>
    <w:rsid w:val="44FD1C6D"/>
    <w:rsid w:val="45245377"/>
    <w:rsid w:val="453F043D"/>
    <w:rsid w:val="453F207E"/>
    <w:rsid w:val="454276A8"/>
    <w:rsid w:val="45465AD9"/>
    <w:rsid w:val="457C4AF8"/>
    <w:rsid w:val="45A100BA"/>
    <w:rsid w:val="45A31600"/>
    <w:rsid w:val="45E526C2"/>
    <w:rsid w:val="45E81B6F"/>
    <w:rsid w:val="45EF5694"/>
    <w:rsid w:val="45F32D75"/>
    <w:rsid w:val="45F60E6E"/>
    <w:rsid w:val="45FE4441"/>
    <w:rsid w:val="460934CE"/>
    <w:rsid w:val="461F685B"/>
    <w:rsid w:val="462E7BA0"/>
    <w:rsid w:val="463A35BA"/>
    <w:rsid w:val="464478D6"/>
    <w:rsid w:val="46594972"/>
    <w:rsid w:val="46763AFA"/>
    <w:rsid w:val="46A86AC5"/>
    <w:rsid w:val="46AF0ACC"/>
    <w:rsid w:val="46BA7686"/>
    <w:rsid w:val="46C04C25"/>
    <w:rsid w:val="46CD2EA3"/>
    <w:rsid w:val="46E33C2A"/>
    <w:rsid w:val="46EB5C2E"/>
    <w:rsid w:val="47191F43"/>
    <w:rsid w:val="471B210D"/>
    <w:rsid w:val="47330BB1"/>
    <w:rsid w:val="474340E1"/>
    <w:rsid w:val="4754737E"/>
    <w:rsid w:val="476E5DEA"/>
    <w:rsid w:val="47841A42"/>
    <w:rsid w:val="478D50EB"/>
    <w:rsid w:val="47914A33"/>
    <w:rsid w:val="47947ED7"/>
    <w:rsid w:val="479B0044"/>
    <w:rsid w:val="479C10BC"/>
    <w:rsid w:val="47A4380D"/>
    <w:rsid w:val="47A6297A"/>
    <w:rsid w:val="47B35BF8"/>
    <w:rsid w:val="47C01A50"/>
    <w:rsid w:val="47C041C7"/>
    <w:rsid w:val="47CB4E60"/>
    <w:rsid w:val="47CD1E0C"/>
    <w:rsid w:val="47D964DB"/>
    <w:rsid w:val="47F72214"/>
    <w:rsid w:val="47FC33A5"/>
    <w:rsid w:val="48012A31"/>
    <w:rsid w:val="481D4366"/>
    <w:rsid w:val="485803F1"/>
    <w:rsid w:val="485E2C28"/>
    <w:rsid w:val="4865215C"/>
    <w:rsid w:val="486942C4"/>
    <w:rsid w:val="487B552A"/>
    <w:rsid w:val="48842F37"/>
    <w:rsid w:val="4893018E"/>
    <w:rsid w:val="48A34F21"/>
    <w:rsid w:val="48B05292"/>
    <w:rsid w:val="48B971DC"/>
    <w:rsid w:val="48F556EA"/>
    <w:rsid w:val="491946D3"/>
    <w:rsid w:val="4924047E"/>
    <w:rsid w:val="49276380"/>
    <w:rsid w:val="49441489"/>
    <w:rsid w:val="4948117F"/>
    <w:rsid w:val="494B0B0D"/>
    <w:rsid w:val="496340BA"/>
    <w:rsid w:val="497E20AD"/>
    <w:rsid w:val="49820EB7"/>
    <w:rsid w:val="499416E9"/>
    <w:rsid w:val="49A63EAD"/>
    <w:rsid w:val="49B4166E"/>
    <w:rsid w:val="49BA2C9E"/>
    <w:rsid w:val="49BC3715"/>
    <w:rsid w:val="49C56A6D"/>
    <w:rsid w:val="49D26E8C"/>
    <w:rsid w:val="49F72310"/>
    <w:rsid w:val="49FD2EE4"/>
    <w:rsid w:val="4A0B4FDE"/>
    <w:rsid w:val="4A343D11"/>
    <w:rsid w:val="4A497D35"/>
    <w:rsid w:val="4A5D6CA6"/>
    <w:rsid w:val="4A8A37D8"/>
    <w:rsid w:val="4A8B4AB2"/>
    <w:rsid w:val="4AD9595B"/>
    <w:rsid w:val="4AE53510"/>
    <w:rsid w:val="4AE9678B"/>
    <w:rsid w:val="4AF93EAE"/>
    <w:rsid w:val="4AFC3A3A"/>
    <w:rsid w:val="4B311212"/>
    <w:rsid w:val="4B3E6720"/>
    <w:rsid w:val="4B43535A"/>
    <w:rsid w:val="4B476348"/>
    <w:rsid w:val="4B625BF7"/>
    <w:rsid w:val="4BB21AF4"/>
    <w:rsid w:val="4BB54107"/>
    <w:rsid w:val="4BB67EEE"/>
    <w:rsid w:val="4BCF5981"/>
    <w:rsid w:val="4BD17814"/>
    <w:rsid w:val="4BDC5109"/>
    <w:rsid w:val="4BE84FA7"/>
    <w:rsid w:val="4BF70C92"/>
    <w:rsid w:val="4BFD0513"/>
    <w:rsid w:val="4C005E77"/>
    <w:rsid w:val="4C1A02C6"/>
    <w:rsid w:val="4C2B76C1"/>
    <w:rsid w:val="4C5419A1"/>
    <w:rsid w:val="4C5429A3"/>
    <w:rsid w:val="4C5922FB"/>
    <w:rsid w:val="4C645A11"/>
    <w:rsid w:val="4C87254B"/>
    <w:rsid w:val="4C944531"/>
    <w:rsid w:val="4CDE4416"/>
    <w:rsid w:val="4D004DF6"/>
    <w:rsid w:val="4D1C2C8C"/>
    <w:rsid w:val="4D1E77BE"/>
    <w:rsid w:val="4D245FC5"/>
    <w:rsid w:val="4D2B3B2C"/>
    <w:rsid w:val="4D7B212F"/>
    <w:rsid w:val="4DA943B0"/>
    <w:rsid w:val="4DC515BB"/>
    <w:rsid w:val="4DCB5984"/>
    <w:rsid w:val="4DD64458"/>
    <w:rsid w:val="4DDD4E1A"/>
    <w:rsid w:val="4DE00A28"/>
    <w:rsid w:val="4DE84AD8"/>
    <w:rsid w:val="4E0D09E3"/>
    <w:rsid w:val="4E135BFA"/>
    <w:rsid w:val="4E1B2DDB"/>
    <w:rsid w:val="4E250E8C"/>
    <w:rsid w:val="4E355E12"/>
    <w:rsid w:val="4E50159D"/>
    <w:rsid w:val="4E5D7C3A"/>
    <w:rsid w:val="4E8D762E"/>
    <w:rsid w:val="4E92317B"/>
    <w:rsid w:val="4E9B1112"/>
    <w:rsid w:val="4EA06365"/>
    <w:rsid w:val="4EA8347A"/>
    <w:rsid w:val="4EBD3915"/>
    <w:rsid w:val="4ECD54B1"/>
    <w:rsid w:val="4ED4046B"/>
    <w:rsid w:val="4EDF4B15"/>
    <w:rsid w:val="4EF43B16"/>
    <w:rsid w:val="4F0E1E8F"/>
    <w:rsid w:val="4F2B6C13"/>
    <w:rsid w:val="4F3153D3"/>
    <w:rsid w:val="4F5F3ED1"/>
    <w:rsid w:val="4F804E7C"/>
    <w:rsid w:val="4F85516A"/>
    <w:rsid w:val="4F8B6063"/>
    <w:rsid w:val="4F944D8F"/>
    <w:rsid w:val="4FBA2FBC"/>
    <w:rsid w:val="4FCA5221"/>
    <w:rsid w:val="4FED0FB9"/>
    <w:rsid w:val="501706D8"/>
    <w:rsid w:val="502A1EA5"/>
    <w:rsid w:val="50561719"/>
    <w:rsid w:val="50615016"/>
    <w:rsid w:val="507410D2"/>
    <w:rsid w:val="509D67D0"/>
    <w:rsid w:val="50A4392E"/>
    <w:rsid w:val="50A97681"/>
    <w:rsid w:val="50AE3B94"/>
    <w:rsid w:val="50AF7418"/>
    <w:rsid w:val="50CA4969"/>
    <w:rsid w:val="50D21A70"/>
    <w:rsid w:val="50E611C1"/>
    <w:rsid w:val="50E93575"/>
    <w:rsid w:val="50EE4AFC"/>
    <w:rsid w:val="50F04D4E"/>
    <w:rsid w:val="50F57385"/>
    <w:rsid w:val="50F6016F"/>
    <w:rsid w:val="50FB1FB9"/>
    <w:rsid w:val="51132FF4"/>
    <w:rsid w:val="51151213"/>
    <w:rsid w:val="513225F9"/>
    <w:rsid w:val="513D15DF"/>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851B7"/>
    <w:rsid w:val="522D1CB6"/>
    <w:rsid w:val="52444C58"/>
    <w:rsid w:val="5263075C"/>
    <w:rsid w:val="52660A26"/>
    <w:rsid w:val="52717995"/>
    <w:rsid w:val="528315FB"/>
    <w:rsid w:val="52910142"/>
    <w:rsid w:val="52990759"/>
    <w:rsid w:val="529E42FF"/>
    <w:rsid w:val="529F32B5"/>
    <w:rsid w:val="52B87033"/>
    <w:rsid w:val="52BE5917"/>
    <w:rsid w:val="52ED3633"/>
    <w:rsid w:val="52F766E2"/>
    <w:rsid w:val="531B72EC"/>
    <w:rsid w:val="531E35FC"/>
    <w:rsid w:val="531E3DBA"/>
    <w:rsid w:val="532B1547"/>
    <w:rsid w:val="532C2C22"/>
    <w:rsid w:val="533E6E17"/>
    <w:rsid w:val="5343182D"/>
    <w:rsid w:val="53552E21"/>
    <w:rsid w:val="53585F18"/>
    <w:rsid w:val="535D3886"/>
    <w:rsid w:val="536C4A63"/>
    <w:rsid w:val="539B26A9"/>
    <w:rsid w:val="53A201DA"/>
    <w:rsid w:val="53B22D34"/>
    <w:rsid w:val="53B6236C"/>
    <w:rsid w:val="53BD6F30"/>
    <w:rsid w:val="540208BE"/>
    <w:rsid w:val="540540F5"/>
    <w:rsid w:val="540B32CF"/>
    <w:rsid w:val="540C7047"/>
    <w:rsid w:val="54231D7C"/>
    <w:rsid w:val="54256C07"/>
    <w:rsid w:val="542913B3"/>
    <w:rsid w:val="543A39C2"/>
    <w:rsid w:val="543F18BA"/>
    <w:rsid w:val="54883400"/>
    <w:rsid w:val="54932F58"/>
    <w:rsid w:val="54A81CB5"/>
    <w:rsid w:val="54AD371C"/>
    <w:rsid w:val="54C41B11"/>
    <w:rsid w:val="55094F55"/>
    <w:rsid w:val="550E49C6"/>
    <w:rsid w:val="55124B31"/>
    <w:rsid w:val="55A47D96"/>
    <w:rsid w:val="55C94049"/>
    <w:rsid w:val="55DA287E"/>
    <w:rsid w:val="55DD1819"/>
    <w:rsid w:val="55EE6DAD"/>
    <w:rsid w:val="56073162"/>
    <w:rsid w:val="5609127C"/>
    <w:rsid w:val="56243B92"/>
    <w:rsid w:val="56336B0D"/>
    <w:rsid w:val="563D619D"/>
    <w:rsid w:val="56413F2B"/>
    <w:rsid w:val="56537C47"/>
    <w:rsid w:val="56A010C0"/>
    <w:rsid w:val="56B96B8E"/>
    <w:rsid w:val="56C747B5"/>
    <w:rsid w:val="56D42684"/>
    <w:rsid w:val="56DD2471"/>
    <w:rsid w:val="56E01510"/>
    <w:rsid w:val="571974A0"/>
    <w:rsid w:val="57210A6D"/>
    <w:rsid w:val="5744214A"/>
    <w:rsid w:val="574B480A"/>
    <w:rsid w:val="57543081"/>
    <w:rsid w:val="5789649C"/>
    <w:rsid w:val="57A373F0"/>
    <w:rsid w:val="57A53A3A"/>
    <w:rsid w:val="57C83C57"/>
    <w:rsid w:val="57FB2FB4"/>
    <w:rsid w:val="582028C2"/>
    <w:rsid w:val="582908A2"/>
    <w:rsid w:val="583D07DD"/>
    <w:rsid w:val="58490869"/>
    <w:rsid w:val="585F1862"/>
    <w:rsid w:val="58620D26"/>
    <w:rsid w:val="58706FB1"/>
    <w:rsid w:val="587C5983"/>
    <w:rsid w:val="58DC16DE"/>
    <w:rsid w:val="58E8415E"/>
    <w:rsid w:val="58ED1995"/>
    <w:rsid w:val="58FF1A45"/>
    <w:rsid w:val="591578E8"/>
    <w:rsid w:val="591C580B"/>
    <w:rsid w:val="5926497A"/>
    <w:rsid w:val="592A1893"/>
    <w:rsid w:val="593F3A1A"/>
    <w:rsid w:val="595D3E12"/>
    <w:rsid w:val="59961EFB"/>
    <w:rsid w:val="59A11353"/>
    <w:rsid w:val="59B40569"/>
    <w:rsid w:val="5A0336C4"/>
    <w:rsid w:val="5A1D0D82"/>
    <w:rsid w:val="5A20315B"/>
    <w:rsid w:val="5A4C2893"/>
    <w:rsid w:val="5A5827FE"/>
    <w:rsid w:val="5A70211C"/>
    <w:rsid w:val="5AAB2A29"/>
    <w:rsid w:val="5AAB3211"/>
    <w:rsid w:val="5AAC7307"/>
    <w:rsid w:val="5AB32912"/>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6F4CBD"/>
    <w:rsid w:val="5B790B4E"/>
    <w:rsid w:val="5B7A2400"/>
    <w:rsid w:val="5B9B626D"/>
    <w:rsid w:val="5BA762EC"/>
    <w:rsid w:val="5BD32897"/>
    <w:rsid w:val="5BF50A44"/>
    <w:rsid w:val="5C295CCC"/>
    <w:rsid w:val="5C381A3A"/>
    <w:rsid w:val="5C385BE0"/>
    <w:rsid w:val="5C5C135C"/>
    <w:rsid w:val="5C872DAA"/>
    <w:rsid w:val="5C974816"/>
    <w:rsid w:val="5CA97228"/>
    <w:rsid w:val="5CB214C2"/>
    <w:rsid w:val="5CBA57BD"/>
    <w:rsid w:val="5CC5471C"/>
    <w:rsid w:val="5CDC5386"/>
    <w:rsid w:val="5CE60816"/>
    <w:rsid w:val="5CED3EB9"/>
    <w:rsid w:val="5CEE7B85"/>
    <w:rsid w:val="5CF07506"/>
    <w:rsid w:val="5CF73D69"/>
    <w:rsid w:val="5D202057"/>
    <w:rsid w:val="5D4700C2"/>
    <w:rsid w:val="5D577585"/>
    <w:rsid w:val="5D6C4615"/>
    <w:rsid w:val="5D7C5A81"/>
    <w:rsid w:val="5D931964"/>
    <w:rsid w:val="5DD31E8F"/>
    <w:rsid w:val="5DDF2196"/>
    <w:rsid w:val="5DF704AE"/>
    <w:rsid w:val="5DF954B7"/>
    <w:rsid w:val="5DFF05CD"/>
    <w:rsid w:val="5E1672C2"/>
    <w:rsid w:val="5E1B6033"/>
    <w:rsid w:val="5E2612F9"/>
    <w:rsid w:val="5E534129"/>
    <w:rsid w:val="5E6E3C24"/>
    <w:rsid w:val="5E7255BD"/>
    <w:rsid w:val="5E8819C0"/>
    <w:rsid w:val="5E937CCC"/>
    <w:rsid w:val="5E9B4F41"/>
    <w:rsid w:val="5EBA601D"/>
    <w:rsid w:val="5EC01983"/>
    <w:rsid w:val="5EF83794"/>
    <w:rsid w:val="5F0173CC"/>
    <w:rsid w:val="5F1A1A93"/>
    <w:rsid w:val="5F287F7E"/>
    <w:rsid w:val="5F475677"/>
    <w:rsid w:val="5F484198"/>
    <w:rsid w:val="5F567498"/>
    <w:rsid w:val="5F7D71F9"/>
    <w:rsid w:val="5F8420E2"/>
    <w:rsid w:val="5F8623A3"/>
    <w:rsid w:val="5F887220"/>
    <w:rsid w:val="5F9022AB"/>
    <w:rsid w:val="5FAD5B82"/>
    <w:rsid w:val="5FB81E56"/>
    <w:rsid w:val="5FD85FDC"/>
    <w:rsid w:val="5FEA2CB5"/>
    <w:rsid w:val="5FEB78D3"/>
    <w:rsid w:val="5FEC00EE"/>
    <w:rsid w:val="600951D4"/>
    <w:rsid w:val="6010358A"/>
    <w:rsid w:val="60156960"/>
    <w:rsid w:val="601A25EF"/>
    <w:rsid w:val="60250EC1"/>
    <w:rsid w:val="603E7832"/>
    <w:rsid w:val="6044067F"/>
    <w:rsid w:val="605424A1"/>
    <w:rsid w:val="605E50CE"/>
    <w:rsid w:val="60793AF7"/>
    <w:rsid w:val="607C4B3A"/>
    <w:rsid w:val="6099592B"/>
    <w:rsid w:val="60A13AB9"/>
    <w:rsid w:val="60A7744C"/>
    <w:rsid w:val="60CF04AB"/>
    <w:rsid w:val="60DB5486"/>
    <w:rsid w:val="60E82C1A"/>
    <w:rsid w:val="60EC0541"/>
    <w:rsid w:val="60FD245E"/>
    <w:rsid w:val="61033EA8"/>
    <w:rsid w:val="610A1613"/>
    <w:rsid w:val="610B7637"/>
    <w:rsid w:val="610E0DD2"/>
    <w:rsid w:val="61251167"/>
    <w:rsid w:val="613170F5"/>
    <w:rsid w:val="61432D9E"/>
    <w:rsid w:val="61683AEB"/>
    <w:rsid w:val="618A70BC"/>
    <w:rsid w:val="618D5E50"/>
    <w:rsid w:val="61963F6D"/>
    <w:rsid w:val="61BD1F9D"/>
    <w:rsid w:val="61E02F68"/>
    <w:rsid w:val="61EA093B"/>
    <w:rsid w:val="62024DB4"/>
    <w:rsid w:val="62051CA5"/>
    <w:rsid w:val="62117D72"/>
    <w:rsid w:val="62140656"/>
    <w:rsid w:val="621E68C3"/>
    <w:rsid w:val="62210A89"/>
    <w:rsid w:val="62285DB7"/>
    <w:rsid w:val="62375BD7"/>
    <w:rsid w:val="626857C6"/>
    <w:rsid w:val="626C17E1"/>
    <w:rsid w:val="62923991"/>
    <w:rsid w:val="62966DA1"/>
    <w:rsid w:val="62A3326C"/>
    <w:rsid w:val="62C622F5"/>
    <w:rsid w:val="62D11B87"/>
    <w:rsid w:val="62E21FE6"/>
    <w:rsid w:val="62F20D03"/>
    <w:rsid w:val="62F26EC0"/>
    <w:rsid w:val="62F75B83"/>
    <w:rsid w:val="62FF4946"/>
    <w:rsid w:val="63095375"/>
    <w:rsid w:val="6312135F"/>
    <w:rsid w:val="632A3D0D"/>
    <w:rsid w:val="633443AB"/>
    <w:rsid w:val="63510A38"/>
    <w:rsid w:val="6353750E"/>
    <w:rsid w:val="638857E1"/>
    <w:rsid w:val="63AB78F4"/>
    <w:rsid w:val="63C642C7"/>
    <w:rsid w:val="63C85688"/>
    <w:rsid w:val="63CD5666"/>
    <w:rsid w:val="63D01EF3"/>
    <w:rsid w:val="63D2038C"/>
    <w:rsid w:val="63E15DFA"/>
    <w:rsid w:val="63E631E1"/>
    <w:rsid w:val="63F66CE6"/>
    <w:rsid w:val="640E7E19"/>
    <w:rsid w:val="642503DD"/>
    <w:rsid w:val="647527CB"/>
    <w:rsid w:val="648A0F84"/>
    <w:rsid w:val="648E4974"/>
    <w:rsid w:val="648F4377"/>
    <w:rsid w:val="64994927"/>
    <w:rsid w:val="649E65A7"/>
    <w:rsid w:val="64B70C4D"/>
    <w:rsid w:val="64D14920"/>
    <w:rsid w:val="64DC3A26"/>
    <w:rsid w:val="64E114C3"/>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446C4"/>
    <w:rsid w:val="66280ABB"/>
    <w:rsid w:val="6655487D"/>
    <w:rsid w:val="666717B3"/>
    <w:rsid w:val="6668032B"/>
    <w:rsid w:val="667C4290"/>
    <w:rsid w:val="66AB481F"/>
    <w:rsid w:val="66B75538"/>
    <w:rsid w:val="66C95898"/>
    <w:rsid w:val="66F8201A"/>
    <w:rsid w:val="671C5A04"/>
    <w:rsid w:val="6720245A"/>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8718C"/>
    <w:rsid w:val="688C0656"/>
    <w:rsid w:val="68AE1735"/>
    <w:rsid w:val="68B72950"/>
    <w:rsid w:val="68D60630"/>
    <w:rsid w:val="68ED6FEF"/>
    <w:rsid w:val="68F00432"/>
    <w:rsid w:val="68F8555D"/>
    <w:rsid w:val="691D712E"/>
    <w:rsid w:val="697E7396"/>
    <w:rsid w:val="69A009FE"/>
    <w:rsid w:val="69A729C5"/>
    <w:rsid w:val="69BE2739"/>
    <w:rsid w:val="69BF206E"/>
    <w:rsid w:val="69E46DF1"/>
    <w:rsid w:val="69E8174D"/>
    <w:rsid w:val="69EB7655"/>
    <w:rsid w:val="69F66247"/>
    <w:rsid w:val="69F820EF"/>
    <w:rsid w:val="69F86AAF"/>
    <w:rsid w:val="6A0E546F"/>
    <w:rsid w:val="6A1F6154"/>
    <w:rsid w:val="6A2746CC"/>
    <w:rsid w:val="6A4F7CF0"/>
    <w:rsid w:val="6A5517EC"/>
    <w:rsid w:val="6A694BA1"/>
    <w:rsid w:val="6A734205"/>
    <w:rsid w:val="6A804B8C"/>
    <w:rsid w:val="6A995680"/>
    <w:rsid w:val="6ABC3292"/>
    <w:rsid w:val="6AC04F0B"/>
    <w:rsid w:val="6AD34458"/>
    <w:rsid w:val="6ADC4801"/>
    <w:rsid w:val="6ADF25FC"/>
    <w:rsid w:val="6AEF704E"/>
    <w:rsid w:val="6AF01018"/>
    <w:rsid w:val="6B020CD0"/>
    <w:rsid w:val="6B1148AC"/>
    <w:rsid w:val="6B27444D"/>
    <w:rsid w:val="6B3E0351"/>
    <w:rsid w:val="6B42449D"/>
    <w:rsid w:val="6B4A5562"/>
    <w:rsid w:val="6B565807"/>
    <w:rsid w:val="6B7174EC"/>
    <w:rsid w:val="6B7A369F"/>
    <w:rsid w:val="6BAC2823"/>
    <w:rsid w:val="6BBD5024"/>
    <w:rsid w:val="6BF37DF1"/>
    <w:rsid w:val="6BF863D7"/>
    <w:rsid w:val="6C343972"/>
    <w:rsid w:val="6C586A79"/>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32F47"/>
    <w:rsid w:val="6D6A2DB3"/>
    <w:rsid w:val="6D6A69AA"/>
    <w:rsid w:val="6D79127B"/>
    <w:rsid w:val="6D832281"/>
    <w:rsid w:val="6DC237AE"/>
    <w:rsid w:val="6DEA61F3"/>
    <w:rsid w:val="6DF91502"/>
    <w:rsid w:val="6E01482E"/>
    <w:rsid w:val="6E0D1941"/>
    <w:rsid w:val="6E18292B"/>
    <w:rsid w:val="6E2E0238"/>
    <w:rsid w:val="6E402C35"/>
    <w:rsid w:val="6E403BCF"/>
    <w:rsid w:val="6E424CF7"/>
    <w:rsid w:val="6E47298E"/>
    <w:rsid w:val="6E5378F4"/>
    <w:rsid w:val="6E96703D"/>
    <w:rsid w:val="6E984122"/>
    <w:rsid w:val="6EC4761A"/>
    <w:rsid w:val="6ED26905"/>
    <w:rsid w:val="6ED924EF"/>
    <w:rsid w:val="6EE20566"/>
    <w:rsid w:val="6EEB6DD8"/>
    <w:rsid w:val="6EF513F6"/>
    <w:rsid w:val="6F084B83"/>
    <w:rsid w:val="6F1F0771"/>
    <w:rsid w:val="6F2F0361"/>
    <w:rsid w:val="6F3118B5"/>
    <w:rsid w:val="6F3669E2"/>
    <w:rsid w:val="6F3A0437"/>
    <w:rsid w:val="6F40631D"/>
    <w:rsid w:val="6F452492"/>
    <w:rsid w:val="6F4D4C8B"/>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AE27E3"/>
    <w:rsid w:val="70B21D55"/>
    <w:rsid w:val="70BA4068"/>
    <w:rsid w:val="70F06D61"/>
    <w:rsid w:val="70F36F46"/>
    <w:rsid w:val="71231B23"/>
    <w:rsid w:val="713B214A"/>
    <w:rsid w:val="714633CE"/>
    <w:rsid w:val="714A76D4"/>
    <w:rsid w:val="715C3ADF"/>
    <w:rsid w:val="718621EE"/>
    <w:rsid w:val="71894FD2"/>
    <w:rsid w:val="71926986"/>
    <w:rsid w:val="71A3311F"/>
    <w:rsid w:val="71AA4E1C"/>
    <w:rsid w:val="71E13469"/>
    <w:rsid w:val="72005730"/>
    <w:rsid w:val="72255A4C"/>
    <w:rsid w:val="72280301"/>
    <w:rsid w:val="7231753D"/>
    <w:rsid w:val="72386C6E"/>
    <w:rsid w:val="723A3057"/>
    <w:rsid w:val="72400885"/>
    <w:rsid w:val="724B6026"/>
    <w:rsid w:val="725273EA"/>
    <w:rsid w:val="725B1897"/>
    <w:rsid w:val="72603689"/>
    <w:rsid w:val="726C47BC"/>
    <w:rsid w:val="726C5429"/>
    <w:rsid w:val="72710DD5"/>
    <w:rsid w:val="728E3488"/>
    <w:rsid w:val="728E7595"/>
    <w:rsid w:val="72CD2240"/>
    <w:rsid w:val="72DC19E2"/>
    <w:rsid w:val="72EC4E12"/>
    <w:rsid w:val="73373DED"/>
    <w:rsid w:val="733817AF"/>
    <w:rsid w:val="73391B68"/>
    <w:rsid w:val="733F7A24"/>
    <w:rsid w:val="735C44F0"/>
    <w:rsid w:val="736A01CD"/>
    <w:rsid w:val="736B4D35"/>
    <w:rsid w:val="73741988"/>
    <w:rsid w:val="73814929"/>
    <w:rsid w:val="7393399F"/>
    <w:rsid w:val="73984022"/>
    <w:rsid w:val="73C11347"/>
    <w:rsid w:val="73E2421D"/>
    <w:rsid w:val="73FA4A43"/>
    <w:rsid w:val="73FC725C"/>
    <w:rsid w:val="74000D97"/>
    <w:rsid w:val="74185CCF"/>
    <w:rsid w:val="741D2E7E"/>
    <w:rsid w:val="741E1A0A"/>
    <w:rsid w:val="745463B6"/>
    <w:rsid w:val="74694C3B"/>
    <w:rsid w:val="746A6AAD"/>
    <w:rsid w:val="747A4FBC"/>
    <w:rsid w:val="748B466B"/>
    <w:rsid w:val="749018A2"/>
    <w:rsid w:val="74D94903"/>
    <w:rsid w:val="74DC7834"/>
    <w:rsid w:val="74E271F1"/>
    <w:rsid w:val="75041948"/>
    <w:rsid w:val="75326EC3"/>
    <w:rsid w:val="75461F61"/>
    <w:rsid w:val="75474A77"/>
    <w:rsid w:val="754B57C9"/>
    <w:rsid w:val="7551327B"/>
    <w:rsid w:val="755B3806"/>
    <w:rsid w:val="755F3E02"/>
    <w:rsid w:val="755F782E"/>
    <w:rsid w:val="75A16A9F"/>
    <w:rsid w:val="75A35605"/>
    <w:rsid w:val="75BC6CCF"/>
    <w:rsid w:val="75E27D49"/>
    <w:rsid w:val="761867BE"/>
    <w:rsid w:val="76365AD0"/>
    <w:rsid w:val="76515061"/>
    <w:rsid w:val="765D57EA"/>
    <w:rsid w:val="7688585F"/>
    <w:rsid w:val="769211D6"/>
    <w:rsid w:val="76D1091E"/>
    <w:rsid w:val="76E97048"/>
    <w:rsid w:val="76F54CF0"/>
    <w:rsid w:val="76FD5906"/>
    <w:rsid w:val="77072866"/>
    <w:rsid w:val="770B684E"/>
    <w:rsid w:val="770E6AAE"/>
    <w:rsid w:val="771D50F3"/>
    <w:rsid w:val="77204CB1"/>
    <w:rsid w:val="77356662"/>
    <w:rsid w:val="77550B81"/>
    <w:rsid w:val="776668EA"/>
    <w:rsid w:val="777C1603"/>
    <w:rsid w:val="77A14CDE"/>
    <w:rsid w:val="77AA2F7D"/>
    <w:rsid w:val="77C96BD3"/>
    <w:rsid w:val="77D17C4B"/>
    <w:rsid w:val="77E616E5"/>
    <w:rsid w:val="77F263D0"/>
    <w:rsid w:val="78266CE5"/>
    <w:rsid w:val="7827421F"/>
    <w:rsid w:val="782B4A23"/>
    <w:rsid w:val="78302F8F"/>
    <w:rsid w:val="784117AB"/>
    <w:rsid w:val="78450BF6"/>
    <w:rsid w:val="784C5D9E"/>
    <w:rsid w:val="78510397"/>
    <w:rsid w:val="78552936"/>
    <w:rsid w:val="78731F0E"/>
    <w:rsid w:val="78754CBA"/>
    <w:rsid w:val="78962FA5"/>
    <w:rsid w:val="78C148AC"/>
    <w:rsid w:val="78CA1FEE"/>
    <w:rsid w:val="78CB3FEB"/>
    <w:rsid w:val="78CE219D"/>
    <w:rsid w:val="79077C59"/>
    <w:rsid w:val="793B5CE2"/>
    <w:rsid w:val="795C411F"/>
    <w:rsid w:val="796834B3"/>
    <w:rsid w:val="797B3C8A"/>
    <w:rsid w:val="797F45FC"/>
    <w:rsid w:val="79970647"/>
    <w:rsid w:val="79A25BD4"/>
    <w:rsid w:val="79A81CC2"/>
    <w:rsid w:val="79D9682C"/>
    <w:rsid w:val="79DB75C0"/>
    <w:rsid w:val="79E37881"/>
    <w:rsid w:val="79E4486C"/>
    <w:rsid w:val="79EA2E0E"/>
    <w:rsid w:val="79ED08FA"/>
    <w:rsid w:val="7A067AFA"/>
    <w:rsid w:val="7A0C585A"/>
    <w:rsid w:val="7A2C7450"/>
    <w:rsid w:val="7A326B5A"/>
    <w:rsid w:val="7A553725"/>
    <w:rsid w:val="7A616D0A"/>
    <w:rsid w:val="7A715CD2"/>
    <w:rsid w:val="7A7F2C76"/>
    <w:rsid w:val="7A7F309A"/>
    <w:rsid w:val="7AAC462A"/>
    <w:rsid w:val="7AF84FA0"/>
    <w:rsid w:val="7AF909C6"/>
    <w:rsid w:val="7B4056A4"/>
    <w:rsid w:val="7B4C2104"/>
    <w:rsid w:val="7B6273C9"/>
    <w:rsid w:val="7B6F1BD0"/>
    <w:rsid w:val="7B732126"/>
    <w:rsid w:val="7B755C15"/>
    <w:rsid w:val="7B7B20CE"/>
    <w:rsid w:val="7B8E1216"/>
    <w:rsid w:val="7B9A1345"/>
    <w:rsid w:val="7BCA6C86"/>
    <w:rsid w:val="7C003703"/>
    <w:rsid w:val="7C044DA1"/>
    <w:rsid w:val="7C084243"/>
    <w:rsid w:val="7C365DE1"/>
    <w:rsid w:val="7CA33449"/>
    <w:rsid w:val="7CC876FF"/>
    <w:rsid w:val="7CCE4D69"/>
    <w:rsid w:val="7D050953"/>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B02B41"/>
    <w:rsid w:val="7EB22415"/>
    <w:rsid w:val="7EB42631"/>
    <w:rsid w:val="7EE53C64"/>
    <w:rsid w:val="7F1C1F84"/>
    <w:rsid w:val="7F1D01D6"/>
    <w:rsid w:val="7F541580"/>
    <w:rsid w:val="7F590594"/>
    <w:rsid w:val="7F667225"/>
    <w:rsid w:val="7F7B2EF8"/>
    <w:rsid w:val="7F844A6E"/>
    <w:rsid w:val="7FA42B13"/>
    <w:rsid w:val="7FAA1C29"/>
    <w:rsid w:val="7FAC4830"/>
    <w:rsid w:val="7FB659E5"/>
    <w:rsid w:val="7FB7407D"/>
    <w:rsid w:val="7FE900B8"/>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99"/>
    <w:rPr>
      <w:rFonts w:ascii="Calibri" w:hAnsi="Calibri"/>
      <w:sz w:val="24"/>
      <w:szCs w:val="20"/>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19"/>
    <w:qFormat/>
    <w:uiPriority w:val="0"/>
    <w:rPr>
      <w:rFonts w:ascii="Calibri" w:hAnsi="Calibri" w:cs="Calibri"/>
      <w:color w:val="000000"/>
      <w:sz w:val="21"/>
      <w:szCs w:val="21"/>
      <w:u w:val="none"/>
    </w:rPr>
  </w:style>
  <w:style w:type="character" w:customStyle="1" w:styleId="27">
    <w:name w:val="font21"/>
    <w:basedOn w:val="19"/>
    <w:qFormat/>
    <w:uiPriority w:val="0"/>
    <w:rPr>
      <w:rFonts w:hint="eastAsia" w:ascii="宋体" w:hAnsi="宋体" w:eastAsia="宋体" w:cs="宋体"/>
      <w:color w:val="000000"/>
      <w:sz w:val="21"/>
      <w:szCs w:val="21"/>
      <w:u w:val="none"/>
    </w:rPr>
  </w:style>
  <w:style w:type="character" w:customStyle="1" w:styleId="28">
    <w:name w:val="font01"/>
    <w:basedOn w:val="19"/>
    <w:qFormat/>
    <w:uiPriority w:val="0"/>
    <w:rPr>
      <w:rFonts w:ascii="Calibri" w:hAnsi="Calibri" w:cs="Calibri"/>
      <w:color w:val="000000"/>
      <w:sz w:val="21"/>
      <w:szCs w:val="21"/>
      <w:u w:val="none"/>
    </w:rPr>
  </w:style>
  <w:style w:type="character" w:customStyle="1" w:styleId="29">
    <w:name w:val="font31"/>
    <w:basedOn w:val="19"/>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9811</Words>
  <Characters>11069</Characters>
  <Lines>0</Lines>
  <Paragraphs>0</Paragraphs>
  <TotalTime>94</TotalTime>
  <ScaleCrop>false</ScaleCrop>
  <LinksUpToDate>false</LinksUpToDate>
  <CharactersWithSpaces>11396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2024-12-18T07:09:15Z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A0FB26DE9E1A4FCDB22DF26FD5C63C4A_13</vt:lpwstr>
  </property>
</Properties>
</file>