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A4688E">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22FDAC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 xml:space="preserve"> </w:t>
      </w:r>
      <w:r>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t>亳州逸合府项目示范区29#楼201精装样板间软装</w:t>
      </w:r>
    </w:p>
    <w:permEnd w:id="0"/>
    <w:p w14:paraId="65A4F0C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2107C9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23DA6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7ACBA24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46417A6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806944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3A10F34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eastAsia" w:ascii="Times New Roman" w:hAnsi="Times New Roman" w:eastAsia="楷体" w:cs="Times New Roman"/>
          <w:kern w:val="0"/>
          <w:sz w:val="28"/>
          <w:szCs w:val="28"/>
          <w:highlight w:val="none"/>
          <w:lang w:val="en-US" w:eastAsia="zh-CN"/>
        </w:rPr>
        <w:t>（工程货物类）</w:t>
      </w:r>
    </w:p>
    <w:p w14:paraId="646DD03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A806EA4">
      <w:pPr>
        <w:keepNext w:val="0"/>
        <w:keepLines w:val="0"/>
        <w:pageBreakBefore w:val="0"/>
        <w:widowControl w:val="0"/>
        <w:kinsoku/>
        <w:wordWrap w:val="0"/>
        <w:overflowPunct/>
        <w:topLinePunct w:val="0"/>
        <w:autoSpaceDE/>
        <w:autoSpaceDN/>
        <w:bidi w:val="0"/>
        <w:adjustRightInd/>
        <w:snapToGrid/>
        <w:spacing w:line="240" w:lineRule="auto"/>
        <w:ind w:leftChars="600" w:firstLine="960" w:firstLineChars="3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项目编号：BZTH-2024-005</w:t>
      </w:r>
    </w:p>
    <w:p w14:paraId="3C46E96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0A60E4F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028D3CE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eastAsia" w:ascii="Times New Roman" w:hAnsi="Times New Roman" w:eastAsia="楷体" w:cs="Times New Roman"/>
          <w:kern w:val="0"/>
          <w:sz w:val="32"/>
          <w:szCs w:val="32"/>
          <w:highlight w:val="none"/>
          <w:shd w:val="clear" w:color="auto" w:fill="auto"/>
          <w:lang w:val="en-US" w:eastAsia="zh-CN"/>
        </w:rPr>
        <w:t xml:space="preserve"> 亳州通恒置业有限公司 </w:t>
      </w:r>
      <w:permEnd w:id="1"/>
    </w:p>
    <w:p w14:paraId="7C4579B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2024年11</w:t>
      </w:r>
      <w:r>
        <w:rPr>
          <w:rFonts w:hint="eastAsia" w:ascii="Times New Roman" w:hAnsi="Times New Roman" w:eastAsia="楷体" w:cs="Times New Roman"/>
          <w:kern w:val="0"/>
          <w:sz w:val="32"/>
          <w:szCs w:val="32"/>
          <w:highlight w:val="none"/>
          <w:u w:val="none"/>
          <w:shd w:val="clear" w:color="auto" w:fill="auto"/>
          <w:lang w:val="en-US" w:eastAsia="zh-CN"/>
        </w:rPr>
        <w:t>月29日</w:t>
      </w:r>
      <w:permEnd w:id="2"/>
    </w:p>
    <w:p w14:paraId="71255FAF">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417F291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669FDDF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71E086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14:paraId="6A71B2E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14:paraId="0EFDD38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（合理低价法）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14:paraId="5CF8976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14:paraId="6D2E53B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供货要求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14:paraId="4E64A6B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ermEnd w:id="3"/>
    <w:p w14:paraId="194A1882">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555DACB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739E44A">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0C4E91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A4CE3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883C42">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B1DAFD2">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8995756">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DFA3586">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4024C5A1">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831BE9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54DAF24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4AE4E44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permStart w:id="4" w:edGrp="everyone"/>
      <w:r>
        <w:rPr>
          <w:rFonts w:hint="eastAsia" w:ascii="Times New Roman" w:hAnsi="Times New Roman" w:eastAsia="黑体" w:cs="Times New Roman"/>
          <w:sz w:val="28"/>
          <w:szCs w:val="28"/>
          <w:highlight w:val="none"/>
          <w:u w:val="single"/>
          <w:lang w:val="en-US" w:eastAsia="zh-CN"/>
        </w:rPr>
        <w:t xml:space="preserve"> 亳州逸合府项目示范区29#楼201精装样板间软装</w:t>
      </w:r>
    </w:p>
    <w:permEnd w:id="4"/>
    <w:p w14:paraId="171D9DB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招标公告</w:t>
      </w:r>
    </w:p>
    <w:p w14:paraId="180BD3F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5519"/>
      <w:bookmarkStart w:id="1" w:name="_Toc246996166"/>
      <w:bookmarkStart w:id="2" w:name="_Toc246996909"/>
      <w:bookmarkStart w:id="3" w:name="_Toc296602410"/>
      <w:bookmarkStart w:id="4" w:name="_Toc247085680"/>
      <w:bookmarkStart w:id="5" w:name="_Toc179632536"/>
      <w:bookmarkStart w:id="6" w:name="_Toc144974487"/>
      <w:bookmarkStart w:id="7" w:name="_Toc152042295"/>
    </w:p>
    <w:p w14:paraId="40859C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14:paraId="6B66169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52042296"/>
      <w:bookmarkStart w:id="9" w:name="_Toc179632537"/>
      <w:bookmarkStart w:id="10" w:name="_Toc247085681"/>
      <w:bookmarkStart w:id="11" w:name="_Toc144974488"/>
      <w:bookmarkStart w:id="12" w:name="_Toc246996167"/>
      <w:bookmarkStart w:id="13" w:name="_Toc152045520"/>
      <w:bookmarkStart w:id="14" w:name="_Toc246996910"/>
      <w:bookmarkStart w:id="15" w:name="_Toc29660241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亳州逸合府项目示范区29#201精装样板间软装</w:t>
      </w:r>
    </w:p>
    <w:permEnd w:id="5"/>
    <w:p w14:paraId="6D129EE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BZTH-2024-005</w:t>
      </w:r>
      <w:r>
        <w:rPr>
          <w:rFonts w:hint="eastAsia" w:asciiTheme="minorEastAsia" w:hAnsiTheme="minorEastAsia" w:eastAsiaTheme="minorEastAsia" w:cstheme="minorEastAsia"/>
          <w:sz w:val="28"/>
          <w:szCs w:val="28"/>
          <w:highlight w:val="none"/>
          <w:lang w:val="en-US" w:eastAsia="zh-CN"/>
        </w:rPr>
        <w:t xml:space="preserve"> </w:t>
      </w:r>
      <w:permEnd w:id="6"/>
    </w:p>
    <w:p w14:paraId="499EF3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企业自筹</w:t>
      </w:r>
    </w:p>
    <w:permEnd w:id="7"/>
    <w:p w14:paraId="720131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亳州通恒置业有限公司</w:t>
      </w:r>
    </w:p>
    <w:permEnd w:id="8"/>
    <w:p w14:paraId="40B947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14:paraId="2E67A43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5826615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9" w:edGrp="everyone"/>
      <w:r>
        <w:rPr>
          <w:rFonts w:hint="eastAsia" w:asciiTheme="minorEastAsia" w:hAnsiTheme="minorEastAsia" w:eastAsiaTheme="minorEastAsia" w:cstheme="minorEastAsia"/>
          <w:sz w:val="28"/>
          <w:szCs w:val="28"/>
          <w:highlight w:val="none"/>
          <w:lang w:val="en-US" w:eastAsia="zh-CN"/>
        </w:rPr>
        <w:t>亳州逸合府项目位于亳州市谯城经济技术产业开发区华佗大道与利辛路交叉口，</w:t>
      </w:r>
      <w:r>
        <w:rPr>
          <w:rFonts w:hint="default" w:asciiTheme="minorEastAsia" w:hAnsiTheme="minorEastAsia" w:eastAsiaTheme="minorEastAsia" w:cstheme="minorEastAsia"/>
          <w:sz w:val="28"/>
          <w:szCs w:val="28"/>
          <w:highlight w:val="none"/>
          <w:lang w:val="en-US" w:eastAsia="zh-CN"/>
        </w:rPr>
        <w:t>本</w:t>
      </w:r>
      <w:r>
        <w:rPr>
          <w:rFonts w:hint="eastAsia" w:asciiTheme="minorEastAsia" w:hAnsiTheme="minorEastAsia" w:eastAsiaTheme="minorEastAsia" w:cstheme="minorEastAsia"/>
          <w:sz w:val="28"/>
          <w:szCs w:val="28"/>
          <w:highlight w:val="none"/>
          <w:lang w:val="en-US" w:eastAsia="zh-CN"/>
        </w:rPr>
        <w:t>项目总用地面积134680.30平方米，总建筑面积362853.30平方米。</w:t>
      </w:r>
      <w:permEnd w:id="9"/>
    </w:p>
    <w:p w14:paraId="524DE9D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（二）招标范围：软装家装物品制作、采买及运输、安装、现场布置、税费等（具体详见发包人要求里的清单表）</w:t>
      </w:r>
      <w:r>
        <w:rPr>
          <w:rFonts w:hint="eastAsia" w:asciiTheme="minorEastAsia" w:hAnsiTheme="minorEastAsia" w:cstheme="minorEastAsia"/>
          <w:sz w:val="28"/>
          <w:szCs w:val="28"/>
          <w:highlight w:val="none"/>
          <w:lang w:val="en-US" w:eastAsia="zh-CN"/>
        </w:rPr>
        <w:t>。</w:t>
      </w:r>
    </w:p>
    <w:p w14:paraId="1607A6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质量</w:t>
      </w:r>
      <w:r>
        <w:rPr>
          <w:rFonts w:hint="eastAsia" w:asciiTheme="minorEastAsia" w:hAnsiTheme="minorEastAsia" w:eastAsiaTheme="minorEastAsia" w:cstheme="minorEastAsia"/>
          <w:sz w:val="28"/>
          <w:szCs w:val="28"/>
          <w:highlight w:val="none"/>
          <w:lang w:val="en-US" w:eastAsia="zh-CN"/>
        </w:rPr>
        <w:t>标准：</w:t>
      </w:r>
      <w:permStart w:id="10"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0"/>
    </w:p>
    <w:p w14:paraId="5B6781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（四）交货地点：</w:t>
      </w:r>
      <w:permStart w:id="11" w:edGrp="everyone"/>
      <w:r>
        <w:rPr>
          <w:rFonts w:hint="eastAsia" w:asciiTheme="minorEastAsia" w:hAnsiTheme="minorEastAsia" w:eastAsiaTheme="minorEastAsia" w:cstheme="minorEastAsia"/>
          <w:sz w:val="28"/>
          <w:szCs w:val="28"/>
          <w:highlight w:val="none"/>
          <w:lang w:val="en-US" w:eastAsia="zh-CN"/>
        </w:rPr>
        <w:t>招标人指定地点或亳州市内。</w:t>
      </w:r>
    </w:p>
    <w:permEnd w:id="11"/>
    <w:p w14:paraId="76B2883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计划工期</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20</w:t>
      </w:r>
      <w:r>
        <w:rPr>
          <w:rFonts w:hint="eastAsia" w:asciiTheme="minorEastAsia" w:hAnsiTheme="minorEastAsia" w:cstheme="minorEastAsia"/>
          <w:sz w:val="28"/>
          <w:szCs w:val="28"/>
          <w:highlight w:val="none"/>
          <w:u w:val="none"/>
          <w:lang w:val="en-US" w:eastAsia="zh-CN"/>
        </w:rPr>
        <w:t>天内</w:t>
      </w:r>
      <w:r>
        <w:rPr>
          <w:rFonts w:hint="eastAsia" w:asciiTheme="minorEastAsia" w:hAnsiTheme="minorEastAsia" w:eastAsiaTheme="minorEastAsia" w:cstheme="minorEastAsia"/>
          <w:sz w:val="28"/>
          <w:szCs w:val="28"/>
          <w:highlight w:val="none"/>
          <w:u w:val="none"/>
          <w:lang w:val="en-US" w:eastAsia="zh-CN"/>
        </w:rPr>
        <w:t xml:space="preserve"> 。</w:t>
      </w:r>
      <w:permEnd w:id="12"/>
    </w:p>
    <w:p w14:paraId="4C26DC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3" w:edGrp="everyone"/>
      <w:r>
        <w:rPr>
          <w:rFonts w:hint="eastAsia" w:asciiTheme="minorEastAsia" w:hAnsiTheme="minorEastAsia" w:cstheme="minorEastAsia"/>
          <w:color w:val="FF0000"/>
          <w:sz w:val="28"/>
          <w:szCs w:val="28"/>
          <w:highlight w:val="none"/>
          <w:lang w:val="en-US" w:eastAsia="zh-CN"/>
        </w:rPr>
        <w:t>（含税）</w:t>
      </w:r>
      <w:permEnd w:id="13"/>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220800元</w:t>
      </w:r>
      <w:r>
        <w:rPr>
          <w:rFonts w:hint="eastAsia" w:asciiTheme="minorEastAsia" w:hAnsiTheme="minorEastAsia" w:eastAsiaTheme="minorEastAsia" w:cstheme="minorEastAsia"/>
          <w:sz w:val="28"/>
          <w:szCs w:val="28"/>
          <w:highlight w:val="none"/>
          <w:u w:val="single"/>
          <w:lang w:val="en-US" w:eastAsia="zh-CN"/>
        </w:rPr>
        <w:t xml:space="preserve">  </w:t>
      </w:r>
      <w:permEnd w:id="14"/>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5" w:edGrp="everyone"/>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总价</w:t>
      </w:r>
      <w:permEnd w:id="15"/>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及税金，中标后不予调整，其他未尽事宜应统一考虑在报价内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6B3E3B6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0CF8AF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6"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6"/>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14:paraId="0A3B0F3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r>
        <w:rPr>
          <w:rFonts w:hint="eastAsia" w:asciiTheme="minorEastAsia" w:hAnsiTheme="minorEastAsia" w:cstheme="minorEastAsia"/>
          <w:sz w:val="28"/>
          <w:szCs w:val="28"/>
          <w:highlight w:val="none"/>
          <w:lang w:val="en-US" w:eastAsia="zh-CN"/>
        </w:rPr>
        <w:t>。</w:t>
      </w:r>
    </w:p>
    <w:p w14:paraId="388F98F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）本次招标</w:t>
      </w:r>
      <w:permStart w:id="17" w:edGrp="everyone"/>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4828332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四</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8"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 xml:space="preserve"> 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permEnd w:id="18"/>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14:paraId="7FC0CCA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1EED16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凡有意参加投标者，请于投标文件递交截止时间前到亳州交通投资控股集团有限公司官网（www.bzjkjt.com）自行下载电子招标文件及其他附件。</w:t>
      </w:r>
    </w:p>
    <w:p w14:paraId="754F6C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099C037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9"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30</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9"/>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5794B0E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sz w:val="28"/>
          <w:szCs w:val="28"/>
          <w:highlight w:val="none"/>
          <w:u w:val="single"/>
          <w:lang w:val="en-US" w:eastAsia="zh-CN"/>
        </w:rPr>
        <w:t>亳州市交通资产管理有限责任公司3楼会议室（神农大道与百合路交叉口西南角汽车南站西侧办公区3楼）</w:t>
      </w:r>
      <w:r>
        <w:rPr>
          <w:rFonts w:hint="eastAsia" w:asciiTheme="minorEastAsia" w:hAnsiTheme="minorEastAsia" w:cstheme="minorEastAsia"/>
          <w:i w:val="0"/>
          <w:iCs w:val="0"/>
          <w:sz w:val="28"/>
          <w:szCs w:val="28"/>
          <w:highlight w:val="none"/>
          <w:lang w:val="en-US" w:eastAsia="zh-CN"/>
        </w:rPr>
        <w:t>；</w:t>
      </w:r>
    </w:p>
    <w:p w14:paraId="19F971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3E5128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0" w:edGrp="everyone"/>
      <w:r>
        <w:rPr>
          <w:rFonts w:hint="eastAsia" w:asciiTheme="minorEastAsia" w:hAnsiTheme="minorEastAsia" w:cstheme="minorEastAsia"/>
          <w:color w:val="FF0000"/>
          <w:sz w:val="28"/>
          <w:szCs w:val="28"/>
          <w:highlight w:val="none"/>
          <w:u w:val="single"/>
          <w:lang w:val="en-US" w:eastAsia="zh-CN"/>
        </w:rPr>
        <w:t>不</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default" w:asciiTheme="minorEastAsia" w:hAnsiTheme="minorEastAsia" w:eastAsiaTheme="minorEastAsia" w:cstheme="minorEastAsia"/>
          <w:sz w:val="28"/>
          <w:szCs w:val="28"/>
          <w:highlight w:val="none"/>
          <w:lang w:val="en-US" w:eastAsia="zh-CN"/>
        </w:rPr>
        <w:t>投标人以邮寄方式递交投标文件</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投标人采用邮寄方式递交投标文件的，投标文件送达时间以招标平台签收快递时间为准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r>
        <w:rPr>
          <w:rFonts w:hint="eastAsia" w:asciiTheme="minorEastAsia" w:hAnsiTheme="minorEastAsia" w:cstheme="minorEastAsia"/>
          <w:sz w:val="28"/>
          <w:szCs w:val="28"/>
          <w:highlight w:val="none"/>
          <w:lang w:val="en-US" w:eastAsia="zh-CN"/>
        </w:rPr>
        <w:t>。</w:t>
      </w:r>
      <w:permEnd w:id="20"/>
    </w:p>
    <w:p w14:paraId="1D22D7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75D9644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1"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4000 </w:t>
      </w:r>
      <w:r>
        <w:rPr>
          <w:rFonts w:hint="default" w:asciiTheme="minorEastAsia" w:hAnsiTheme="minorEastAsia" w:eastAsiaTheme="minorEastAsia" w:cstheme="minorEastAsia"/>
          <w:sz w:val="28"/>
          <w:szCs w:val="28"/>
          <w:highlight w:val="none"/>
          <w:lang w:val="en-US" w:eastAsia="zh-CN"/>
        </w:rPr>
        <w:t>（人民币）</w:t>
      </w:r>
      <w:permEnd w:id="21"/>
      <w:r>
        <w:rPr>
          <w:rFonts w:hint="default" w:asciiTheme="minorEastAsia" w:hAnsiTheme="minorEastAsia" w:eastAsiaTheme="minorEastAsia" w:cstheme="minorEastAsia"/>
          <w:sz w:val="28"/>
          <w:szCs w:val="28"/>
          <w:highlight w:val="none"/>
          <w:lang w:val="en-US" w:eastAsia="zh-CN"/>
        </w:rPr>
        <w:t>，缴纳方式详见招标文件。</w:t>
      </w:r>
    </w:p>
    <w:p w14:paraId="37AE08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14:paraId="2BAAB1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14:paraId="411A79C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14:paraId="75A5CFD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14:paraId="22425DA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7F59137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2" w:edGrp="everyone"/>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亳州通恒置业有限公司</w:t>
      </w:r>
    </w:p>
    <w:p w14:paraId="0D2B1C9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安徽省亳州市谯城区药都大道1289号</w:t>
      </w:r>
    </w:p>
    <w:p w14:paraId="7D7E1E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张工</w:t>
      </w:r>
    </w:p>
    <w:p w14:paraId="7DF35FC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15156783079</w:t>
      </w:r>
    </w:p>
    <w:permEnd w:id="22"/>
    <w:p w14:paraId="4757F681">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3B79E96D">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2312" w:cs="Times New Roman"/>
          <w:sz w:val="28"/>
          <w:szCs w:val="28"/>
          <w:highlight w:val="none"/>
          <w:lang w:val="en-US" w:eastAsia="zh-CN"/>
        </w:rPr>
      </w:pPr>
    </w:p>
    <w:p w14:paraId="6111A9B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ermStart w:id="23" w:edGrp="everyone"/>
      <w:r>
        <w:rPr>
          <w:rFonts w:hint="eastAsia" w:asciiTheme="minorEastAsia" w:hAnsiTheme="minorEastAsia" w:cstheme="minorEastAsia"/>
          <w:color w:val="FF0000"/>
          <w:sz w:val="28"/>
          <w:szCs w:val="28"/>
          <w:highlight w:val="none"/>
          <w:lang w:val="en-US" w:eastAsia="zh-CN"/>
        </w:rPr>
        <w:t>亳州通恒置业有限公司</w:t>
      </w:r>
    </w:p>
    <w:p w14:paraId="614F8B0A">
      <w:pPr>
        <w:keepNext w:val="0"/>
        <w:keepLines w:val="0"/>
        <w:pageBreakBefore w:val="0"/>
        <w:widowControl w:val="0"/>
        <w:kinsoku/>
        <w:wordWrap w:val="0"/>
        <w:overflowPunct/>
        <w:topLinePunct w:val="0"/>
        <w:autoSpaceDE/>
        <w:autoSpaceDN/>
        <w:bidi w:val="0"/>
        <w:adjustRightInd/>
        <w:snapToGrid/>
        <w:spacing w:line="480" w:lineRule="exact"/>
        <w:ind w:firstLine="5880" w:firstLineChars="21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29</w:t>
      </w:r>
      <w:r>
        <w:rPr>
          <w:rFonts w:hint="eastAsia" w:asciiTheme="minorEastAsia" w:hAnsiTheme="minorEastAsia" w:eastAsiaTheme="minorEastAsia" w:cstheme="minorEastAsia"/>
          <w:color w:val="FF0000"/>
          <w:sz w:val="28"/>
          <w:szCs w:val="28"/>
          <w:highlight w:val="none"/>
          <w:lang w:val="en-US" w:eastAsia="zh-CN"/>
        </w:rPr>
        <w:t>日</w:t>
      </w:r>
      <w:permEnd w:id="23"/>
    </w:p>
    <w:p w14:paraId="3CDDE42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5807BE1E">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br w:type="page"/>
      </w:r>
    </w:p>
    <w:p w14:paraId="15FCC72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443746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5482A0F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481"/>
        <w:gridCol w:w="5033"/>
      </w:tblGrid>
      <w:tr w14:paraId="468EAE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2C647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719EA7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185F6F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5D487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3D3250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42EB7B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7B3D4B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3B8FB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085283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4D6AC3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9B9840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DD74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DE3F34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5971B0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EC1AF2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0C4E7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9BAAE8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317B81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5D1D7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14:paraId="6F835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D9BAE6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F4973E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9B28B7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7A8D1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FE4F0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6DBA67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3CA1FA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7AA8C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B689D0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669A75D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交货期</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76E3C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签订合同后20日历天。</w:t>
            </w:r>
          </w:p>
        </w:tc>
      </w:tr>
      <w:tr w14:paraId="49038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9E9228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ACF99E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00DB1A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14:paraId="03D23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1860F1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A706DF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2E5A49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030DE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C1D1AD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1.4.1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2C65BF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投标人资质条件、能力</w:t>
            </w:r>
            <w:r>
              <w:rPr>
                <w:rFonts w:hint="eastAsia" w:ascii="Times New Roman" w:hAnsi="Times New Roman" w:cs="Times New Roman"/>
                <w:szCs w:val="21"/>
                <w:highlight w:val="none"/>
                <w:lang w:val="en-US" w:eastAsia="zh-CN"/>
              </w:rPr>
              <w:t>、信誉</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020BFA3">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14:paraId="49413CDD">
            <w:pPr>
              <w:autoSpaceDE w:val="0"/>
              <w:autoSpaceDN w:val="0"/>
              <w:adjustRightInd w:val="0"/>
              <w:snapToGrid w:val="0"/>
              <w:spacing w:line="440" w:lineRule="exact"/>
              <w:jc w:val="left"/>
              <w:rPr>
                <w:rFonts w:hint="eastAsia" w:hAnsi="宋体"/>
                <w:color w:val="FF0000"/>
                <w:szCs w:val="21"/>
              </w:rPr>
            </w:pPr>
            <w:permStart w:id="24" w:edGrp="everyone"/>
            <w:r>
              <w:rPr>
                <w:rFonts w:hint="eastAsia" w:hAnsi="宋体"/>
                <w:color w:val="FF0000"/>
                <w:szCs w:val="21"/>
                <w:lang w:val="en-US" w:eastAsia="zh-CN"/>
              </w:rPr>
              <w:t>2</w:t>
            </w:r>
            <w:r>
              <w:rPr>
                <w:rFonts w:hint="eastAsia" w:hAnsi="宋体"/>
                <w:color w:val="FF0000"/>
                <w:szCs w:val="21"/>
              </w:rPr>
              <w:t>、财务要求：</w:t>
            </w:r>
          </w:p>
          <w:p w14:paraId="67876277">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14:paraId="2A2364F6">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4"/>
          <w:p w14:paraId="5FF813E1">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14:paraId="5948B15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25" w:edGrp="everyone"/>
            <w:r>
              <w:rPr>
                <w:rFonts w:hint="eastAsia" w:hAnsi="宋体"/>
                <w:sz w:val="21"/>
                <w:szCs w:val="21"/>
                <w:lang w:val="en-US" w:eastAsia="zh-CN"/>
              </w:rPr>
              <w:t xml:space="preserve">                        </w:t>
            </w:r>
            <w:permEnd w:id="25"/>
          </w:p>
        </w:tc>
      </w:tr>
      <w:tr w14:paraId="67023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5E47E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2EABE48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2AF86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p>
          <w:p w14:paraId="4403A88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 xml:space="preserve">  </w:t>
            </w:r>
            <w:r>
              <w:rPr>
                <w:rFonts w:hint="eastAsia" w:ascii="Times New Roman" w:hAnsi="Times New Roman" w:cs="Times New Roman"/>
                <w:color w:val="FF0000"/>
                <w:sz w:val="21"/>
                <w:szCs w:val="21"/>
                <w:highlight w:val="none"/>
                <w:lang w:val="en-US" w:eastAsia="zh-CN"/>
              </w:rPr>
              <w:t xml:space="preserve">接受  </w:t>
            </w:r>
            <w:permEnd w:id="26"/>
          </w:p>
        </w:tc>
      </w:tr>
      <w:tr w14:paraId="44DAB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8DD9F2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78918C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5F4612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27" w:edGrp="everyone"/>
            <w:r>
              <w:rPr>
                <w:rFonts w:hint="eastAsia" w:hAnsi="宋体"/>
                <w:sz w:val="21"/>
                <w:szCs w:val="21"/>
                <w:lang w:val="en-US" w:eastAsia="zh-CN"/>
              </w:rPr>
              <w:t xml:space="preserve">                        </w:t>
            </w:r>
            <w:permEnd w:id="27"/>
          </w:p>
        </w:tc>
      </w:tr>
      <w:tr w14:paraId="7AF0E2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5383EC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1.5.1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6E3608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2A19B1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r>
              <w:rPr>
                <w:rFonts w:hint="eastAsia" w:ascii="Times New Roman" w:hAnsi="Times New Roman" w:cs="Times New Roman"/>
                <w:color w:val="FF0000"/>
                <w:sz w:val="21"/>
                <w:szCs w:val="21"/>
                <w:highlight w:val="none"/>
                <w:lang w:val="en-US" w:eastAsia="zh-CN"/>
              </w:rPr>
              <w:t xml:space="preserve"> </w:t>
            </w:r>
            <w:permEnd w:id="28"/>
          </w:p>
        </w:tc>
      </w:tr>
      <w:tr w14:paraId="4FF70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14:paraId="3528EC7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1.5.2</w:t>
            </w:r>
          </w:p>
        </w:tc>
        <w:tc>
          <w:tcPr>
            <w:tcW w:w="2481" w:type="dxa"/>
            <w:vMerge w:val="restart"/>
            <w:tcBorders>
              <w:top w:val="single" w:color="auto" w:sz="4" w:space="0"/>
              <w:left w:val="single" w:color="auto" w:sz="4" w:space="0"/>
              <w:right w:val="single" w:color="auto" w:sz="4" w:space="0"/>
            </w:tcBorders>
            <w:noWrap w:val="0"/>
            <w:vAlign w:val="center"/>
          </w:tcPr>
          <w:p w14:paraId="4FEACC7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475349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时间：</w:t>
            </w:r>
            <w:r>
              <w:rPr>
                <w:rFonts w:hint="eastAsia" w:ascii="Times New Roman" w:hAnsi="Times New Roman" w:cs="Times New Roman"/>
                <w:i/>
                <w:iCs/>
                <w:color w:val="FF0000"/>
                <w:szCs w:val="21"/>
                <w:highlight w:val="none"/>
                <w:u w:val="single"/>
                <w:lang w:val="en-US" w:eastAsia="zh-CN"/>
              </w:rPr>
              <w:t>不适用</w:t>
            </w:r>
          </w:p>
        </w:tc>
      </w:tr>
      <w:tr w14:paraId="52BB6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14:paraId="5FE9922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2481" w:type="dxa"/>
            <w:vMerge w:val="continue"/>
            <w:tcBorders>
              <w:left w:val="single" w:color="auto" w:sz="4" w:space="0"/>
              <w:bottom w:val="single" w:color="auto" w:sz="4" w:space="0"/>
              <w:right w:val="single" w:color="auto" w:sz="4" w:space="0"/>
            </w:tcBorders>
            <w:noWrap w:val="0"/>
            <w:vAlign w:val="center"/>
          </w:tcPr>
          <w:p w14:paraId="535951D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860248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形式：</w:t>
            </w:r>
            <w:r>
              <w:rPr>
                <w:rFonts w:hint="eastAsia" w:ascii="Times New Roman" w:hAnsi="Times New Roman" w:cs="Times New Roman"/>
                <w:i/>
                <w:iCs/>
                <w:color w:val="FF0000"/>
                <w:szCs w:val="21"/>
                <w:highlight w:val="none"/>
                <w:u w:val="single"/>
                <w:lang w:val="en-US" w:eastAsia="zh-CN"/>
              </w:rPr>
              <w:t>不适用</w:t>
            </w:r>
          </w:p>
        </w:tc>
      </w:tr>
      <w:tr w14:paraId="25F37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CFA63D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1.5.3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27451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68998E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i/>
                <w:iCs/>
                <w:color w:val="FF0000"/>
                <w:szCs w:val="21"/>
                <w:highlight w:val="none"/>
                <w:u w:val="single"/>
                <w:lang w:val="en-US" w:eastAsia="zh-CN"/>
              </w:rPr>
              <w:t>不适用</w:t>
            </w:r>
          </w:p>
        </w:tc>
      </w:tr>
      <w:tr w14:paraId="1FE71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605D4C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1.6</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E43E55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B69060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4038C8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14:paraId="4C193086">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14:paraId="14346882">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29"/>
          </w:p>
        </w:tc>
      </w:tr>
      <w:tr w14:paraId="514F9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3C412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7B78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4470AA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0" w:edGrp="everyone"/>
            <w:r>
              <w:rPr>
                <w:rFonts w:hint="eastAsia" w:hAnsi="宋体"/>
                <w:sz w:val="21"/>
                <w:szCs w:val="21"/>
                <w:lang w:val="en-US" w:eastAsia="zh-CN"/>
              </w:rPr>
              <w:t xml:space="preserve">  </w:t>
            </w:r>
            <w:r>
              <w:rPr>
                <w:rFonts w:hint="eastAsia" w:hAnsi="宋体"/>
                <w:color w:val="000000" w:themeColor="text1"/>
                <w:sz w:val="21"/>
                <w:szCs w:val="21"/>
                <w:lang w:val="en-US" w:eastAsia="zh-CN"/>
                <w14:textFill>
                  <w14:solidFill>
                    <w14:schemeClr w14:val="tx1"/>
                  </w14:solidFill>
                </w14:textFill>
              </w:rPr>
              <w:t>投标单位针对清单中有品牌要求的项目要标明品牌，如未标注品牌，则视为默认清单中推荐品牌，具体品牌要求详见发包方清单。</w:t>
            </w:r>
            <w:r>
              <w:rPr>
                <w:rFonts w:hint="eastAsia" w:hAnsi="宋体"/>
                <w:sz w:val="21"/>
                <w:szCs w:val="21"/>
                <w:lang w:val="en-US" w:eastAsia="zh-CN"/>
              </w:rPr>
              <w:t xml:space="preserve"> </w:t>
            </w:r>
            <w:permEnd w:id="30"/>
          </w:p>
        </w:tc>
      </w:tr>
      <w:tr w14:paraId="1B111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A22D0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968D3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152E5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1" w:edGrp="everyone"/>
            <w:r>
              <w:rPr>
                <w:rFonts w:hint="eastAsia" w:hAnsi="宋体"/>
                <w:sz w:val="21"/>
                <w:szCs w:val="21"/>
                <w:lang w:val="en-US" w:eastAsia="zh-CN"/>
              </w:rPr>
              <w:t xml:space="preserve">            /            </w:t>
            </w:r>
            <w:permEnd w:id="31"/>
          </w:p>
        </w:tc>
      </w:tr>
      <w:tr w14:paraId="6E7EE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32A891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E2FB31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6339319">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14:paraId="113D8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C7117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50004A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F3E19E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14:paraId="53CD67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1008" w:type="dxa"/>
            <w:tcBorders>
              <w:top w:val="single" w:color="auto" w:sz="4" w:space="0"/>
              <w:left w:val="single" w:color="auto" w:sz="4" w:space="0"/>
              <w:right w:val="single" w:color="auto" w:sz="4" w:space="0"/>
            </w:tcBorders>
            <w:noWrap w:val="0"/>
            <w:vAlign w:val="center"/>
          </w:tcPr>
          <w:p w14:paraId="5408E7C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481" w:type="dxa"/>
            <w:tcBorders>
              <w:top w:val="single" w:color="auto" w:sz="4" w:space="0"/>
              <w:left w:val="single" w:color="auto" w:sz="4" w:space="0"/>
              <w:right w:val="single" w:color="auto" w:sz="4" w:space="0"/>
            </w:tcBorders>
            <w:noWrap w:val="0"/>
            <w:vAlign w:val="center"/>
          </w:tcPr>
          <w:p w14:paraId="56D4AB3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1E2AA85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u w:val="none"/>
                <w:lang w:val="en-US" w:eastAsia="zh-CN" w:bidi="ar-SA"/>
              </w:rPr>
            </w:pPr>
            <w:permStart w:id="32" w:edGrp="everyone"/>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 xml:space="preserve"> 2024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12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3 </w:t>
            </w:r>
            <w:r>
              <w:rPr>
                <w:rFonts w:hint="eastAsia" w:ascii="Times New Roman" w:hAnsi="Times New Roman" w:cs="Times New Roman"/>
                <w:color w:val="FF0000"/>
                <w:szCs w:val="21"/>
                <w:highlight w:val="none"/>
                <w:u w:val="none"/>
                <w:lang w:val="en-US" w:eastAsia="zh-CN"/>
              </w:rPr>
              <w:t>日前</w:t>
            </w:r>
            <w:permEnd w:id="32"/>
            <w:r>
              <w:rPr>
                <w:rFonts w:hint="eastAsia" w:ascii="Times New Roman" w:hAnsi="Times New Roman" w:cs="Times New Roman"/>
                <w:color w:val="FF0000"/>
                <w:szCs w:val="21"/>
                <w:highlight w:val="none"/>
                <w:u w:val="none"/>
                <w:lang w:val="en-US" w:eastAsia="zh-CN"/>
              </w:rPr>
              <w:t>，</w:t>
            </w:r>
            <w:r>
              <w:rPr>
                <w:rFonts w:hint="eastAsia" w:ascii="Times New Roman" w:hAnsi="Times New Roman" w:cs="Times New Roman"/>
                <w:szCs w:val="21"/>
                <w:highlight w:val="none"/>
                <w:u w:val="none"/>
                <w:lang w:val="en-US" w:eastAsia="zh-CN"/>
              </w:rPr>
              <w:t>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14:paraId="07CA9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728130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3310BC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075495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投标截止时间前，招标文件的澄清将在</w:t>
            </w:r>
            <w:permStart w:id="33" w:edGrp="everyone"/>
            <w:r>
              <w:rPr>
                <w:rFonts w:hint="eastAsia" w:ascii="Times New Roman" w:hAnsi="Times New Roman" w:cs="Times New Roman"/>
                <w:szCs w:val="21"/>
                <w:highlight w:val="none"/>
                <w:u w:val="none"/>
                <w:lang w:val="en-US" w:eastAsia="zh-CN"/>
              </w:rPr>
              <w:t>亳州交通投资控股集团有限公司官网（www.bzjkjt.com）</w:t>
            </w:r>
            <w:permEnd w:id="33"/>
            <w:r>
              <w:rPr>
                <w:rFonts w:hint="default" w:ascii="Times New Roman" w:hAnsi="Times New Roman" w:cs="Times New Roman"/>
                <w:szCs w:val="21"/>
                <w:highlight w:val="none"/>
                <w:u w:val="none"/>
                <w:lang w:val="en-US" w:eastAsia="zh-CN"/>
              </w:rPr>
              <w:t>进行发布。</w:t>
            </w:r>
          </w:p>
        </w:tc>
      </w:tr>
      <w:tr w14:paraId="1D294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14:paraId="01FF5CA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481" w:type="dxa"/>
            <w:vMerge w:val="restart"/>
            <w:tcBorders>
              <w:top w:val="single" w:color="auto" w:sz="4" w:space="0"/>
              <w:left w:val="single" w:color="auto" w:sz="4" w:space="0"/>
              <w:bottom w:val="single" w:color="auto" w:sz="4" w:space="0"/>
              <w:right w:val="single" w:color="auto" w:sz="4" w:space="0"/>
            </w:tcBorders>
            <w:noWrap w:val="0"/>
            <w:vAlign w:val="center"/>
          </w:tcPr>
          <w:p w14:paraId="0DDC4AB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B10103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permStart w:id="34" w:edGrp="everyone"/>
            <w:r>
              <w:rPr>
                <w:rFonts w:hint="eastAsia" w:ascii="Times New Roman" w:hAnsi="Times New Roman" w:cs="Times New Roman"/>
                <w:szCs w:val="21"/>
                <w:highlight w:val="none"/>
                <w:u w:val="none"/>
                <w:lang w:val="en-US" w:eastAsia="zh-CN"/>
              </w:rPr>
              <w:t>亳州交通投资控股集团有限公司官网（www.bzjkjt.com）</w:t>
            </w:r>
            <w:permEnd w:id="34"/>
            <w:r>
              <w:rPr>
                <w:rFonts w:hint="default" w:ascii="Times New Roman" w:hAnsi="Times New Roman" w:cs="Times New Roman"/>
                <w:szCs w:val="21"/>
                <w:highlight w:val="none"/>
                <w:u w:val="none"/>
                <w:lang w:val="en-US" w:eastAsia="zh-CN"/>
              </w:rPr>
              <w:t>的发布时间，视为投标人确认收到招标文件澄清的时间。</w:t>
            </w:r>
          </w:p>
        </w:tc>
      </w:tr>
      <w:tr w14:paraId="65616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14:paraId="088BDA3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top w:val="single" w:color="auto" w:sz="4" w:space="0"/>
              <w:left w:val="single" w:color="auto" w:sz="4" w:space="0"/>
              <w:bottom w:val="single" w:color="auto" w:sz="4" w:space="0"/>
              <w:right w:val="single" w:color="auto" w:sz="4" w:space="0"/>
            </w:tcBorders>
            <w:noWrap w:val="0"/>
            <w:vAlign w:val="center"/>
          </w:tcPr>
          <w:p w14:paraId="40B0F3C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3BD69D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permStart w:id="35" w:edGrp="everyone"/>
            <w:r>
              <w:rPr>
                <w:rFonts w:hint="eastAsia" w:ascii="Times New Roman" w:hAnsi="Times New Roman" w:cs="Times New Roman"/>
                <w:szCs w:val="21"/>
                <w:highlight w:val="none"/>
                <w:u w:val="none"/>
                <w:lang w:val="en-US" w:eastAsia="zh-CN"/>
              </w:rPr>
              <w:t>亳州交通投资控股集团有限公司官网（www.bzjkjt.com）</w:t>
            </w:r>
            <w:permEnd w:id="35"/>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09EC2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9C32A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C6640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DF7318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permStart w:id="36" w:edGrp="everyone"/>
            <w:r>
              <w:rPr>
                <w:rFonts w:hint="eastAsia" w:ascii="Times New Roman" w:hAnsi="Times New Roman" w:cs="Times New Roman"/>
                <w:szCs w:val="21"/>
                <w:highlight w:val="none"/>
                <w:u w:val="none"/>
                <w:lang w:val="en-US" w:eastAsia="zh-CN"/>
              </w:rPr>
              <w:t>亳州交通投资控股集团有限公司官网（www.bzjkjt.com）</w:t>
            </w:r>
            <w:permEnd w:id="36"/>
            <w:r>
              <w:rPr>
                <w:rFonts w:hint="default" w:ascii="Times New Roman" w:hAnsi="Times New Roman" w:cs="Times New Roman"/>
                <w:szCs w:val="21"/>
                <w:highlight w:val="none"/>
                <w:u w:val="none"/>
                <w:lang w:val="en-US" w:eastAsia="zh-CN"/>
              </w:rPr>
              <w:t>进行发布。</w:t>
            </w:r>
          </w:p>
        </w:tc>
      </w:tr>
      <w:tr w14:paraId="32779F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14:paraId="391C52C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481" w:type="dxa"/>
            <w:vMerge w:val="restart"/>
            <w:tcBorders>
              <w:top w:val="single" w:color="auto" w:sz="4" w:space="0"/>
              <w:left w:val="single" w:color="auto" w:sz="4" w:space="0"/>
              <w:right w:val="single" w:color="auto" w:sz="4" w:space="0"/>
            </w:tcBorders>
            <w:noWrap w:val="0"/>
            <w:vAlign w:val="center"/>
          </w:tcPr>
          <w:p w14:paraId="3905EA7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22616B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permStart w:id="37" w:edGrp="everyone"/>
            <w:r>
              <w:rPr>
                <w:rFonts w:hint="eastAsia" w:ascii="Times New Roman" w:hAnsi="Times New Roman" w:cs="Times New Roman"/>
                <w:szCs w:val="21"/>
                <w:highlight w:val="none"/>
                <w:u w:val="none"/>
                <w:lang w:val="en-US" w:eastAsia="zh-CN"/>
              </w:rPr>
              <w:t>亳州交通投资控股集团有限公司官网（www.bzjkjt.com）</w:t>
            </w:r>
            <w:permEnd w:id="37"/>
            <w:r>
              <w:rPr>
                <w:rFonts w:hint="default" w:ascii="Times New Roman" w:hAnsi="Times New Roman" w:cs="Times New Roman"/>
                <w:szCs w:val="21"/>
                <w:highlight w:val="none"/>
                <w:u w:val="none"/>
                <w:lang w:val="en-US" w:eastAsia="zh-CN"/>
              </w:rPr>
              <w:t>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14:paraId="4FAFB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14:paraId="03A6B4D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14:paraId="70603C9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6F0F67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permStart w:id="38" w:edGrp="everyone"/>
            <w:r>
              <w:rPr>
                <w:rFonts w:hint="eastAsia" w:ascii="Times New Roman" w:hAnsi="Times New Roman" w:cs="Times New Roman"/>
                <w:szCs w:val="21"/>
                <w:highlight w:val="none"/>
                <w:u w:val="none"/>
                <w:lang w:val="en-US" w:eastAsia="zh-CN"/>
              </w:rPr>
              <w:t>亳州交通投资控股集团有限公司官网（www.bzjkjt.com）</w:t>
            </w:r>
            <w:permEnd w:id="38"/>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0F6A5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D1F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71EA69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8D9695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14:paraId="362A6C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3BF163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E7645E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0DD461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14:paraId="04E25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D38C6F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070823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D998C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14:paraId="62E3B0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BF264B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A0A9CD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03A077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permStart w:id="39" w:edGrp="everyone"/>
            <w:r>
              <w:rPr>
                <w:rFonts w:hint="eastAsia" w:ascii="Times New Roman" w:hAnsi="Times New Roman" w:cs="Times New Roman"/>
                <w:szCs w:val="21"/>
                <w:highlight w:val="none"/>
                <w:u w:val="single"/>
                <w:lang w:val="en-US" w:eastAsia="zh-CN"/>
              </w:rPr>
              <w:t xml:space="preserve">         详见发包人清单       </w:t>
            </w:r>
            <w:permEnd w:id="39"/>
          </w:p>
        </w:tc>
      </w:tr>
      <w:tr w14:paraId="3F81B9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9CFAC9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F9378D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C44BE2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120</w:t>
            </w:r>
            <w:r>
              <w:rPr>
                <w:rFonts w:hint="default" w:ascii="Times New Roman" w:hAnsi="Times New Roman" w:cs="Times New Roman"/>
                <w:szCs w:val="21"/>
                <w:highlight w:val="none"/>
              </w:rPr>
              <w:t>天</w:t>
            </w:r>
          </w:p>
        </w:tc>
      </w:tr>
      <w:tr w14:paraId="6325C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1F50EC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946484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CF8A36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14:paraId="435E2DD9">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40"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40"/>
          <w:p w14:paraId="7F4771B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14:paraId="6D809FC6">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1" w:edGrp="everyone"/>
            <w:r>
              <w:rPr>
                <w:rFonts w:hint="eastAsia" w:ascii="Times New Roman" w:hAnsi="Times New Roman" w:cs="Times New Roman"/>
                <w:color w:val="auto"/>
                <w:szCs w:val="21"/>
                <w:highlight w:val="none"/>
                <w:u w:val="single"/>
                <w:lang w:val="en-US" w:eastAsia="zh-CN"/>
              </w:rPr>
              <w:t xml:space="preserve">  4000元       </w:t>
            </w:r>
            <w:permEnd w:id="41"/>
          </w:p>
          <w:p w14:paraId="1995BE0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16CF5EB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w:t>
            </w:r>
            <w:r>
              <w:rPr>
                <w:rFonts w:hint="eastAsia" w:ascii="Times New Roman" w:hAnsi="Times New Roman" w:cs="Times New Roman"/>
                <w:szCs w:val="21"/>
                <w:highlight w:val="none"/>
                <w:lang w:val="en-US" w:eastAsia="zh-CN"/>
              </w:rPr>
              <w:t>亳州通恒置业有限公司</w:t>
            </w:r>
          </w:p>
          <w:p w14:paraId="68149E5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w:t>
            </w:r>
            <w:r>
              <w:rPr>
                <w:rFonts w:hint="eastAsia" w:ascii="Times New Roman" w:hAnsi="Times New Roman" w:cs="Times New Roman"/>
                <w:szCs w:val="21"/>
                <w:highlight w:val="none"/>
                <w:lang w:val="en-US" w:eastAsia="zh-CN"/>
              </w:rPr>
              <w:t>建行亳州市分行</w:t>
            </w:r>
          </w:p>
          <w:p w14:paraId="0F5B647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w:t>
            </w:r>
            <w:r>
              <w:rPr>
                <w:rFonts w:hint="eastAsia" w:ascii="Times New Roman" w:hAnsi="Times New Roman" w:cs="Times New Roman"/>
                <w:szCs w:val="21"/>
                <w:highlight w:val="none"/>
                <w:lang w:val="en-US" w:eastAsia="zh-CN"/>
              </w:rPr>
              <w:t>34050188860800002404</w:t>
            </w:r>
          </w:p>
          <w:p w14:paraId="61D4F2F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5B69960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2" w:edGrp="everyone"/>
            <w:r>
              <w:rPr>
                <w:rFonts w:hint="eastAsia" w:ascii="Times New Roman" w:hAnsi="Times New Roman" w:cs="Times New Roman"/>
                <w:color w:val="FF0000"/>
                <w:szCs w:val="21"/>
                <w:highlight w:val="none"/>
                <w:lang w:val="en-US" w:eastAsia="zh-CN"/>
              </w:rPr>
              <w:t>BZJK-2024-005 号保证金</w:t>
            </w:r>
            <w:permEnd w:id="4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0D82591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14:paraId="2DC1DD4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10FA88E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14:paraId="3D76F7F8">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14:paraId="0D188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A0D005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4A3854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CD934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5F41362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7A4311FC">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2CA7E2F7">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14:paraId="010908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53753E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65B179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75B3CD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3"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14:paraId="3B06CD4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43"/>
          </w:p>
        </w:tc>
      </w:tr>
      <w:tr w14:paraId="1578F7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B15F6E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44F7DE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961F54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4"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14:paraId="293663B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44"/>
          </w:p>
        </w:tc>
      </w:tr>
      <w:tr w14:paraId="78E0F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9492AE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E8E419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A382AA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14:paraId="7D88F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346365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D64F8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7695E1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5"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14:paraId="084AC36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45"/>
          </w:p>
        </w:tc>
      </w:tr>
      <w:tr w14:paraId="3815E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50FC3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D612F1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688EED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14:paraId="1125CCE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14:paraId="362FE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F17FBA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B58B71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4B7EE0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投标文件份数：正本1份、副本2份</w:t>
            </w:r>
          </w:p>
          <w:p w14:paraId="76C09DB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46"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607DC25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46"/>
          </w:p>
          <w:p w14:paraId="60FBB7B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2021203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14:paraId="6F13A80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14:paraId="51030F7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14:paraId="089F3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9B26EC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6CDDE7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5C1C5C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7"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14:paraId="08BE42F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47"/>
          </w:p>
        </w:tc>
      </w:tr>
      <w:tr w14:paraId="7F88B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805FD2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B687C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908B23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48"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color w:val="FF0000"/>
                <w:szCs w:val="21"/>
                <w:highlight w:val="none"/>
                <w:u w:val="single"/>
                <w:lang w:val="en-US" w:eastAsia="zh-CN"/>
              </w:rPr>
              <w:t>亳州市交通资产管理有限责任公司3楼会议室（神农大道与百合路交叉口汽车南站西侧办公区3楼）</w:t>
            </w:r>
          </w:p>
          <w:p w14:paraId="70BF6B9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招标人：亳州通恒置业有限公司</w:t>
            </w:r>
          </w:p>
          <w:p w14:paraId="1272FDE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亳州逸合府项目示范区29#楼201精装样板间软装工程</w:t>
            </w:r>
            <w:r>
              <w:rPr>
                <w:rFonts w:hint="eastAsia" w:ascii="Times New Roman" w:hAnsi="Times New Roman" w:cs="Times New Roman"/>
                <w:color w:val="FF0000"/>
                <w:szCs w:val="21"/>
                <w:highlight w:val="none"/>
                <w:lang w:val="en-US" w:eastAsia="zh-CN"/>
              </w:rPr>
              <w:t>投标文件</w:t>
            </w:r>
          </w:p>
          <w:p w14:paraId="2882661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lang w:val="en-US" w:eastAsia="zh-CN"/>
              </w:rPr>
              <w:t>项目编号：</w:t>
            </w:r>
            <w:r>
              <w:rPr>
                <w:rFonts w:hint="eastAsia" w:ascii="Times New Roman" w:hAnsi="Times New Roman" w:cs="Times New Roman"/>
                <w:color w:val="FF0000"/>
                <w:szCs w:val="21"/>
                <w:highlight w:val="none"/>
                <w:u w:val="single"/>
                <w:lang w:val="en-US" w:eastAsia="zh-CN"/>
              </w:rPr>
              <w:t xml:space="preserve"> BZJK-2024-005 号 </w:t>
            </w:r>
          </w:p>
          <w:p w14:paraId="096AF70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2024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10</w:t>
            </w:r>
            <w:bookmarkStart w:id="323" w:name="_GoBack"/>
            <w:bookmarkEnd w:id="323"/>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9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30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8"/>
          </w:p>
        </w:tc>
      </w:tr>
      <w:tr w14:paraId="793497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DFDE3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8D1564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F9C2AE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14:paraId="0F59D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59AE04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211673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06F8F9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14:paraId="393D4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5CF637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710CA4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B17A4D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3A1BC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E1A0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155429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01C3D8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14:paraId="54E1E83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14:paraId="0CC78869">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14:paraId="5A739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977D6B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2CAFCE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2E3965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permStart w:id="49" w:edGrp="everyone"/>
            <w:r>
              <w:rPr>
                <w:rFonts w:hint="eastAsia" w:ascii="Times New Roman" w:hAnsi="Times New Roman" w:cs="Times New Roman"/>
                <w:szCs w:val="21"/>
                <w:highlight w:val="none"/>
                <w:u w:val="single"/>
                <w:lang w:val="en-US" w:eastAsia="zh-CN"/>
              </w:rPr>
              <w:t>由投标人代表或招标平台工作人员检查确认。</w:t>
            </w:r>
            <w:permEnd w:id="49"/>
          </w:p>
          <w:p w14:paraId="1D7909E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14:paraId="25852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01B6F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CFB059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79222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评标委员会组建：按有关规定组建。</w:t>
            </w:r>
          </w:p>
        </w:tc>
      </w:tr>
      <w:tr w14:paraId="415E7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95D35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6.2</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70AD9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E1D37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3A6A0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9525C9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514817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9A7426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1-3人</w:t>
            </w:r>
          </w:p>
        </w:tc>
      </w:tr>
      <w:tr w14:paraId="0DDB2A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A36739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200CE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5D9E82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621393F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6524E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2EAC4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4934B4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auto"/>
                <w:szCs w:val="21"/>
                <w:highlight w:val="none"/>
                <w:lang w:val="en-US" w:eastAsia="zh-CN"/>
              </w:rPr>
              <w:t>中标结果异议提出时间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C098BDE">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中标结果公示期内提出</w:t>
            </w:r>
          </w:p>
        </w:tc>
      </w:tr>
      <w:tr w14:paraId="6FA9B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6B9964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auto"/>
                <w:szCs w:val="21"/>
                <w:highlight w:val="none"/>
                <w:lang w:val="en-US" w:eastAsia="zh-CN"/>
              </w:rPr>
              <w:t>7.3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9ACE2A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auto"/>
                <w:szCs w:val="21"/>
                <w:highlight w:val="none"/>
                <w:lang w:val="en-US" w:eastAsia="zh-CN"/>
              </w:rPr>
              <w:t>异议渠道</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1B61199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50"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亳州通恒置业有限公司  张工  </w:t>
            </w:r>
          </w:p>
          <w:p w14:paraId="0397172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15156783079  </w:t>
            </w:r>
          </w:p>
          <w:p w14:paraId="1D6E7A7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亳州市交通资产管理有限责任公司3楼（神农大道与百合路交叉口汽车南站西侧办公区3楼）</w:t>
            </w:r>
          </w:p>
          <w:p w14:paraId="10BE67E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投标人或其他利害关系人应按照招标文件规定的程序提出异议，否则视为无效异议，不予受理。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50"/>
          </w:p>
        </w:tc>
      </w:tr>
      <w:tr w14:paraId="481DE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57894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7.4</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83773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投诉不予受理情形</w:t>
            </w:r>
          </w:p>
        </w:tc>
        <w:tc>
          <w:tcPr>
            <w:tcW w:w="50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01BF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有下列情形之一的投诉，不予受理：</w:t>
            </w:r>
          </w:p>
          <w:p w14:paraId="3886835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（1）投诉人不是所投诉招标投标活动的参与者，或者与投诉项目无任何利害关系；</w:t>
            </w:r>
          </w:p>
          <w:p w14:paraId="14216D0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（2）投诉事项不具体，且未提供有效线索，难以查证的；</w:t>
            </w:r>
          </w:p>
          <w:p w14:paraId="71AEB5E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（3）投诉书未署具投诉人真实姓名、签字和有效联系方式的；以法人名义投诉的，投诉书未经法定代表人签字并加盖公章的；</w:t>
            </w:r>
          </w:p>
          <w:p w14:paraId="47215DD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（4）超过投诉时效的；</w:t>
            </w:r>
          </w:p>
          <w:p w14:paraId="3DBF393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（5）已经作出处理决定，并且投诉人没有提出新的证据的；</w:t>
            </w:r>
          </w:p>
          <w:p w14:paraId="49375D7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（6）投诉事项应先提出异议没有提出异议、已进入行政复议或行政诉讼程序的。</w:t>
            </w:r>
          </w:p>
        </w:tc>
      </w:tr>
      <w:tr w14:paraId="4F682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6DE75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6925D9E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413764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6790355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1"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4FF4F84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51"/>
          <w:p w14:paraId="302E840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2"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52"/>
          </w:p>
          <w:p w14:paraId="708C85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53" w:edGrp="everyone"/>
            <w:r>
              <w:rPr>
                <w:rFonts w:hint="eastAsia" w:ascii="Times New Roman" w:hAnsi="Times New Roman" w:cs="Times New Roman"/>
                <w:b/>
                <w:bCs/>
                <w:color w:val="FF0000"/>
                <w:szCs w:val="21"/>
                <w:highlight w:val="none"/>
                <w:lang w:val="en-US" w:eastAsia="zh-CN"/>
              </w:rPr>
              <w:t>中标价款的 10 %</w:t>
            </w:r>
            <w:permEnd w:id="53"/>
          </w:p>
          <w:p w14:paraId="13DA1EB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w:t>
            </w:r>
            <w:permStart w:id="54"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设备或材料</w:t>
            </w:r>
            <w:r>
              <w:rPr>
                <w:rFonts w:hint="eastAsia" w:ascii="Times New Roman" w:hAnsi="Times New Roman" w:cs="Times New Roman"/>
                <w:szCs w:val="21"/>
                <w:highlight w:val="none"/>
                <w:lang w:val="en-US" w:eastAsia="zh-CN"/>
              </w:rPr>
              <w:t>验收合格后返还全部履约保证金（本金无息）</w:t>
            </w:r>
            <w:r>
              <w:rPr>
                <w:rFonts w:hint="default" w:ascii="Times New Roman" w:hAnsi="Times New Roman" w:cs="Times New Roman"/>
                <w:szCs w:val="21"/>
                <w:highlight w:val="none"/>
              </w:rPr>
              <w:t>。</w:t>
            </w:r>
            <w:permEnd w:id="54"/>
          </w:p>
        </w:tc>
      </w:tr>
      <w:tr w14:paraId="4BA97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4961CD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641A25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EC0495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01775F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065148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7690F8F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07A6B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28C702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25961B4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184B412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4ED79C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03F63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647A8DA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02AC55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14:paraId="2052F8B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14:paraId="29A18CC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14:paraId="09516A2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14:paraId="54D2C4B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14:paraId="430BF16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14:paraId="012C604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184B624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6579AEB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14:paraId="5F18A84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2524EB9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0A330F6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4FE9E2F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1E9C051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1153DAC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4947D5F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14:paraId="32137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1E9CA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7F26D68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0FA39C5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rPr>
      </w:pPr>
      <w:r>
        <w:rPr>
          <w:rFonts w:hint="eastAsia" w:ascii="黑体" w:hAnsi="黑体" w:eastAsia="黑体" w:cs="黑体"/>
          <w:color w:val="000000"/>
          <w:highlight w:val="none"/>
        </w:rPr>
        <w:t>说明：</w:t>
      </w:r>
      <w:bookmarkStart w:id="16" w:name="_Toc246996175"/>
      <w:bookmarkStart w:id="17" w:name="_Toc152042305"/>
      <w:bookmarkStart w:id="18" w:name="_Toc144974497"/>
      <w:bookmarkStart w:id="19" w:name="_Toc152045529"/>
      <w:bookmarkStart w:id="20" w:name="_Toc179632546"/>
      <w:bookmarkStart w:id="21" w:name="_Toc246996918"/>
      <w:bookmarkStart w:id="22" w:name="_Toc296602420"/>
      <w:bookmarkStart w:id="23" w:name="_Toc247085689"/>
    </w:p>
    <w:bookmarkEnd w:id="16"/>
    <w:bookmarkEnd w:id="17"/>
    <w:bookmarkEnd w:id="18"/>
    <w:bookmarkEnd w:id="19"/>
    <w:bookmarkEnd w:id="20"/>
    <w:bookmarkEnd w:id="21"/>
    <w:bookmarkEnd w:id="22"/>
    <w:bookmarkEnd w:id="23"/>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6431DA3A">
      <w:pPr>
        <w:pStyle w:val="4"/>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1.项目描述</w:t>
      </w:r>
    </w:p>
    <w:p w14:paraId="24ED21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招标人计划将资金的一部分用于支付本次招标项目的合同款项</w:t>
      </w:r>
      <w:r>
        <w:rPr>
          <w:rFonts w:hint="eastAsia"/>
          <w:lang w:eastAsia="zh-CN"/>
        </w:rPr>
        <w:t>。</w:t>
      </w:r>
    </w:p>
    <w:p w14:paraId="711EF0AF">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r>
        <w:rPr>
          <w:rFonts w:hint="eastAsia"/>
          <w:lang w:val="en-US" w:eastAsia="zh-CN"/>
        </w:rPr>
        <w:t>2.招标方式</w:t>
      </w:r>
    </w:p>
    <w:p w14:paraId="0DEB17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招标将以国内公开招标方式进行</w:t>
      </w:r>
      <w:r>
        <w:rPr>
          <w:rFonts w:hint="eastAsia"/>
          <w:lang w:eastAsia="zh-CN"/>
        </w:rPr>
        <w:t>。</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5532"/>
      <w:bookmarkStart w:id="25" w:name="_Toc247085692"/>
      <w:bookmarkStart w:id="26" w:name="_Toc246996178"/>
      <w:bookmarkStart w:id="27" w:name="_Toc152042308"/>
      <w:bookmarkStart w:id="28" w:name="_Toc296602423"/>
      <w:bookmarkStart w:id="29" w:name="_Toc246996921"/>
      <w:bookmarkStart w:id="30" w:name="_Toc144974500"/>
      <w:bookmarkStart w:id="31" w:name="_Toc179632549"/>
      <w:r>
        <w:rPr>
          <w:rFonts w:hint="eastAsia"/>
          <w:lang w:val="en-US" w:eastAsia="zh-CN"/>
        </w:rPr>
        <w:t>3.</w:t>
      </w:r>
      <w:bookmarkEnd w:id="24"/>
      <w:bookmarkEnd w:id="25"/>
      <w:bookmarkEnd w:id="26"/>
      <w:bookmarkEnd w:id="27"/>
      <w:bookmarkEnd w:id="28"/>
      <w:bookmarkEnd w:id="29"/>
      <w:bookmarkEnd w:id="30"/>
      <w:bookmarkEnd w:id="31"/>
      <w:r>
        <w:rPr>
          <w:rFonts w:hint="eastAsia"/>
        </w:rPr>
        <w:t>合格投标人</w:t>
      </w:r>
    </w:p>
    <w:p w14:paraId="76E05D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3.1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区的获得一般纳税人的法人均为合格投标人</w:t>
      </w:r>
      <w:r>
        <w:rPr>
          <w:rFonts w:hint="eastAsia"/>
          <w:lang w:eastAsia="zh-CN"/>
        </w:rPr>
        <w:t>。</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3.2投标人不得与本次招标项下编制设计、技术规格和其他文件的公司或提咨询服务的公司包括其附属机构有任何关联</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3.3 投标人之间如果存在下列情形之一的</w:t>
      </w:r>
      <w:r>
        <w:rPr>
          <w:rFonts w:hint="eastAsia"/>
          <w:lang w:eastAsia="zh-CN"/>
        </w:rPr>
        <w:t>，</w:t>
      </w:r>
      <w:r>
        <w:rPr>
          <w:rFonts w:hint="eastAsia"/>
        </w:rPr>
        <w:t>不得同时参加本项目投标</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（1）与招标人存在利害关系且可能影响招标公正性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）与本招标项目的其他投标人为同一个法定代表人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）与本招标项目的其他投标人存在控股、管理关系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）为本招标项目的招标代理机构</w:t>
      </w:r>
      <w:r>
        <w:rPr>
          <w:rFonts w:hint="eastAsia"/>
          <w:lang w:eastAsia="zh-CN"/>
        </w:rPr>
        <w:t>；</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）法律法规或投标人须知前附表及招标公告规定的其他情形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4.</w:t>
      </w:r>
      <w:r>
        <w:rPr>
          <w:rFonts w:hint="eastAsia"/>
        </w:rPr>
        <w:t>投标费用</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投标人应承担所有与准备和参加投标有关的费用</w:t>
      </w:r>
      <w:r>
        <w:rPr>
          <w:rFonts w:hint="eastAsia"/>
          <w:lang w:eastAsia="zh-CN"/>
        </w:rPr>
        <w:t>。</w:t>
      </w:r>
      <w:r>
        <w:rPr>
          <w:rFonts w:hint="eastAsia"/>
        </w:rPr>
        <w:t>无论投标的结果如何</w:t>
      </w:r>
      <w:r>
        <w:rPr>
          <w:rFonts w:hint="eastAsia"/>
          <w:lang w:eastAsia="zh-CN"/>
        </w:rPr>
        <w:t>，</w:t>
      </w:r>
      <w:r>
        <w:rPr>
          <w:rFonts w:hint="eastAsia"/>
        </w:rPr>
        <w:t>或项目因故取消</w:t>
      </w:r>
      <w:r>
        <w:rPr>
          <w:rFonts w:hint="eastAsia"/>
          <w:lang w:eastAsia="zh-CN"/>
        </w:rPr>
        <w:t>，</w:t>
      </w:r>
      <w:r>
        <w:rPr>
          <w:rFonts w:hint="eastAsia"/>
        </w:rPr>
        <w:t>招标人和招标代理机构对上述费用不承担任何责任和义务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6996924"/>
      <w:bookmarkStart w:id="33" w:name="_Toc247085695"/>
      <w:bookmarkStart w:id="34" w:name="_Toc152042312"/>
      <w:bookmarkStart w:id="35" w:name="_Toc152045536"/>
      <w:bookmarkStart w:id="36" w:name="_Toc296602426"/>
      <w:bookmarkStart w:id="37" w:name="_Toc179632553"/>
      <w:bookmarkStart w:id="38" w:name="_Toc144974504"/>
      <w:bookmarkStart w:id="39" w:name="_Toc246996181"/>
      <w:r>
        <w:rPr>
          <w:rFonts w:hint="eastAsia"/>
          <w:lang w:val="en-US" w:eastAsia="zh-CN"/>
        </w:rPr>
        <w:t>5</w:t>
      </w:r>
      <w:r>
        <w:rPr>
          <w:rFonts w:hint="eastAsia"/>
        </w:rPr>
        <w:t>.保密</w:t>
      </w:r>
      <w:bookmarkEnd w:id="32"/>
      <w:bookmarkEnd w:id="33"/>
      <w:bookmarkEnd w:id="34"/>
      <w:bookmarkEnd w:id="35"/>
      <w:bookmarkEnd w:id="36"/>
      <w:bookmarkEnd w:id="37"/>
      <w:bookmarkEnd w:id="38"/>
      <w:bookmarkEnd w:id="39"/>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参与招标投标活动的各方应对招标文件和投标文件中的商业和技术等秘密保密，违者应对由此造成的后果承担法律责任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44974505"/>
      <w:bookmarkStart w:id="41" w:name="_Toc152042313"/>
      <w:bookmarkStart w:id="42" w:name="_Toc152045537"/>
      <w:bookmarkStart w:id="43" w:name="_Toc246996925"/>
      <w:bookmarkStart w:id="44" w:name="_Toc179632554"/>
      <w:bookmarkStart w:id="45" w:name="_Toc246996182"/>
      <w:bookmarkStart w:id="46" w:name="_Toc296602427"/>
      <w:bookmarkStart w:id="47" w:name="_Toc247085696"/>
      <w:r>
        <w:rPr>
          <w:rFonts w:hint="eastAsia"/>
          <w:lang w:val="en-US" w:eastAsia="zh-CN"/>
        </w:rPr>
        <w:t>6</w:t>
      </w:r>
      <w:r>
        <w:rPr>
          <w:rFonts w:hint="eastAsia"/>
        </w:rPr>
        <w:t>.语言</w:t>
      </w:r>
      <w:bookmarkEnd w:id="40"/>
      <w:r>
        <w:rPr>
          <w:rFonts w:hint="eastAsia"/>
        </w:rPr>
        <w:t>文字</w:t>
      </w:r>
      <w:bookmarkEnd w:id="41"/>
      <w:bookmarkEnd w:id="42"/>
      <w:bookmarkEnd w:id="43"/>
      <w:bookmarkEnd w:id="44"/>
      <w:bookmarkEnd w:id="45"/>
      <w:bookmarkEnd w:id="46"/>
      <w:bookmarkEnd w:id="47"/>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8" w:name="_Toc247085697"/>
      <w:bookmarkStart w:id="49" w:name="_Toc152045538"/>
      <w:bookmarkStart w:id="50" w:name="_Toc179632555"/>
      <w:bookmarkStart w:id="51" w:name="_Toc144974506"/>
      <w:bookmarkStart w:id="52" w:name="_Toc246996926"/>
      <w:bookmarkStart w:id="53" w:name="_Toc152042314"/>
      <w:bookmarkStart w:id="54" w:name="_Toc246996183"/>
      <w:r>
        <w:rPr>
          <w:rFonts w:hint="eastAsia"/>
        </w:rPr>
        <w:t>招标投标文件使用的语言文字为中文</w:t>
      </w:r>
      <w:r>
        <w:rPr>
          <w:rFonts w:hint="eastAsia"/>
          <w:lang w:eastAsia="zh-CN"/>
        </w:rPr>
        <w:t>。</w:t>
      </w:r>
      <w:r>
        <w:rPr>
          <w:rFonts w:hint="eastAsia"/>
        </w:rPr>
        <w:t>专用术语使用外文的，应附有中文注释</w:t>
      </w:r>
      <w:r>
        <w:rPr>
          <w:rFonts w:hint="eastAsia"/>
          <w:lang w:eastAsia="zh-CN"/>
        </w:rPr>
        <w:t>。</w:t>
      </w:r>
    </w:p>
    <w:bookmarkEnd w:id="48"/>
    <w:bookmarkEnd w:id="49"/>
    <w:bookmarkEnd w:id="50"/>
    <w:bookmarkEnd w:id="51"/>
    <w:bookmarkEnd w:id="52"/>
    <w:bookmarkEnd w:id="53"/>
    <w:bookmarkEnd w:id="54"/>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6996930"/>
      <w:bookmarkStart w:id="56" w:name="_Toc152045542"/>
      <w:bookmarkStart w:id="57" w:name="_Toc152042318"/>
      <w:bookmarkStart w:id="58" w:name="_Toc144974510"/>
      <w:bookmarkStart w:id="59" w:name="_Toc179632560"/>
      <w:bookmarkStart w:id="60" w:name="_Toc246996187"/>
      <w:bookmarkStart w:id="61" w:name="_Toc247085701"/>
      <w:bookmarkStart w:id="62" w:name="_Toc296602432"/>
      <w:r>
        <w:rPr>
          <w:rFonts w:hint="eastAsia"/>
          <w:lang w:val="en-US" w:eastAsia="zh-CN"/>
        </w:rPr>
        <w:t>二</w:t>
      </w:r>
      <w:r>
        <w:rPr>
          <w:rFonts w:hint="eastAsia"/>
          <w:lang w:eastAsia="zh-CN"/>
        </w:rPr>
        <w:t>、</w:t>
      </w:r>
      <w:r>
        <w:rPr>
          <w:rFonts w:hint="eastAsia"/>
        </w:rPr>
        <w:t>招标文件</w:t>
      </w:r>
      <w:bookmarkEnd w:id="55"/>
      <w:bookmarkEnd w:id="56"/>
      <w:bookmarkEnd w:id="57"/>
      <w:bookmarkEnd w:id="58"/>
      <w:bookmarkEnd w:id="59"/>
      <w:bookmarkEnd w:id="60"/>
      <w:bookmarkEnd w:id="61"/>
      <w:bookmarkEnd w:id="62"/>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63" w:name="_Toc179632561"/>
      <w:bookmarkStart w:id="64" w:name="_Toc152045543"/>
      <w:bookmarkStart w:id="65" w:name="_Toc246996931"/>
      <w:bookmarkStart w:id="66" w:name="_Toc247085702"/>
      <w:bookmarkStart w:id="67" w:name="_Toc144974511"/>
      <w:bookmarkStart w:id="68" w:name="_Toc246996188"/>
      <w:bookmarkStart w:id="69" w:name="_Toc296602433"/>
      <w:bookmarkStart w:id="70" w:name="_Toc152042319"/>
      <w:r>
        <w:rPr>
          <w:rFonts w:hint="eastAsia"/>
          <w:lang w:val="en-US" w:eastAsia="zh-CN"/>
        </w:rPr>
        <w:t>7.</w:t>
      </w:r>
      <w:r>
        <w:rPr>
          <w:rFonts w:hint="eastAsia"/>
        </w:rPr>
        <w:t>招标文件的组成</w:t>
      </w:r>
      <w:bookmarkEnd w:id="63"/>
      <w:bookmarkEnd w:id="64"/>
      <w:bookmarkEnd w:id="65"/>
      <w:bookmarkEnd w:id="66"/>
      <w:bookmarkEnd w:id="67"/>
      <w:bookmarkEnd w:id="68"/>
      <w:bookmarkEnd w:id="69"/>
      <w:bookmarkEnd w:id="70"/>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投标人应检查招标文件中所有的须知、格式、条款、技术规格和其他资料</w:t>
      </w:r>
      <w:r>
        <w:rPr>
          <w:rFonts w:hint="eastAsia"/>
          <w:lang w:eastAsia="zh-CN"/>
        </w:rPr>
        <w:t>。</w:t>
      </w:r>
      <w:r>
        <w:rPr>
          <w:rFonts w:hint="eastAsia"/>
        </w:rPr>
        <w:t>如果投标人没有按照招标文件的要求提交全部资料，或者提交的资料没有对招标文件在各方面作出实质性响应</w:t>
      </w:r>
      <w:r>
        <w:rPr>
          <w:rFonts w:hint="eastAsia"/>
          <w:lang w:eastAsia="zh-CN"/>
        </w:rPr>
        <w:t>，</w:t>
      </w:r>
      <w:r>
        <w:rPr>
          <w:rFonts w:hint="eastAsia"/>
        </w:rPr>
        <w:t>可能导致其投标被拒绝</w:t>
      </w:r>
      <w:r>
        <w:rPr>
          <w:rFonts w:hint="eastAsia"/>
          <w:lang w:eastAsia="zh-CN"/>
        </w:rPr>
        <w:t>，</w:t>
      </w:r>
      <w:r>
        <w:rPr>
          <w:rFonts w:hint="eastAsia"/>
        </w:rPr>
        <w:t>该风险由投标人承担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52042320"/>
      <w:bookmarkStart w:id="72" w:name="_Toc144974512"/>
      <w:bookmarkStart w:id="73" w:name="_Toc247085703"/>
      <w:bookmarkStart w:id="74" w:name="_Toc246996189"/>
      <w:bookmarkStart w:id="75" w:name="_Toc179632562"/>
      <w:bookmarkStart w:id="76" w:name="_Toc246996932"/>
      <w:bookmarkStart w:id="77" w:name="_Toc296602434"/>
      <w:bookmarkStart w:id="78" w:name="_Toc152045544"/>
      <w:r>
        <w:rPr>
          <w:rFonts w:hint="eastAsia"/>
          <w:lang w:val="en-US" w:eastAsia="zh-CN"/>
        </w:rPr>
        <w:t>8.</w:t>
      </w:r>
      <w:r>
        <w:rPr>
          <w:rFonts w:hint="eastAsia"/>
        </w:rPr>
        <w:t>招标文件的澄清</w:t>
      </w:r>
      <w:bookmarkEnd w:id="71"/>
      <w:bookmarkEnd w:id="72"/>
      <w:bookmarkEnd w:id="73"/>
      <w:bookmarkEnd w:id="74"/>
      <w:bookmarkEnd w:id="75"/>
      <w:bookmarkEnd w:id="76"/>
      <w:bookmarkEnd w:id="77"/>
      <w:bookmarkEnd w:id="78"/>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8.1</w:t>
      </w:r>
      <w:r>
        <w:rPr>
          <w:rFonts w:hint="eastAsia"/>
        </w:rPr>
        <w:t>投标人要求对招标文件进行澄清的</w:t>
      </w:r>
      <w:r>
        <w:rPr>
          <w:rFonts w:hint="eastAsia"/>
          <w:lang w:eastAsia="zh-CN"/>
        </w:rPr>
        <w:t>，</w:t>
      </w:r>
      <w:r>
        <w:rPr>
          <w:rFonts w:hint="eastAsia"/>
        </w:rPr>
        <w:t>应以书面或扫描电邮方式通知招标人/招标代理机构</w:t>
      </w:r>
      <w:r>
        <w:rPr>
          <w:rFonts w:hint="eastAsia"/>
          <w:lang w:eastAsia="zh-CN"/>
        </w:rPr>
        <w:t>。</w:t>
      </w:r>
      <w:r>
        <w:rPr>
          <w:rFonts w:hint="eastAsia"/>
        </w:rPr>
        <w:t>对前附表规定的时间以前收到的对招标文件的澄清要求</w:t>
      </w:r>
      <w:r>
        <w:rPr>
          <w:rFonts w:hint="eastAsia"/>
          <w:lang w:eastAsia="zh-CN"/>
        </w:rPr>
        <w:t>，</w:t>
      </w:r>
      <w:r>
        <w:rPr>
          <w:rFonts w:hint="eastAsia"/>
        </w:rPr>
        <w:t>招标人/招标代理机构予以答复</w:t>
      </w:r>
      <w:r>
        <w:rPr>
          <w:rFonts w:hint="eastAsia"/>
          <w:lang w:eastAsia="zh-CN"/>
        </w:rPr>
        <w:t>。</w:t>
      </w:r>
      <w:r>
        <w:rPr>
          <w:rFonts w:hint="eastAsia"/>
        </w:rPr>
        <w:t>投标人应当在投标截止时间之前自行查看</w:t>
      </w:r>
      <w:r>
        <w:rPr>
          <w:rFonts w:hint="eastAsia"/>
          <w:lang w:eastAsia="zh-CN"/>
        </w:rPr>
        <w:t>，</w:t>
      </w:r>
      <w:r>
        <w:rPr>
          <w:rFonts w:hint="eastAsia"/>
        </w:rPr>
        <w:t>如有遗漏</w:t>
      </w:r>
      <w:r>
        <w:rPr>
          <w:rFonts w:hint="eastAsia"/>
          <w:lang w:eastAsia="zh-CN"/>
        </w:rPr>
        <w:t>，</w:t>
      </w:r>
      <w:r>
        <w:rPr>
          <w:rFonts w:hint="eastAsia"/>
        </w:rPr>
        <w:t>投标人自行承担责任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8</w:t>
      </w:r>
      <w:r>
        <w:rPr>
          <w:rFonts w:hint="eastAsia"/>
        </w:rPr>
        <w:t>.2投标人要求对招标文件的澄清必须在投标人须知前附表规定的时间内提出</w:t>
      </w:r>
      <w:r>
        <w:rPr>
          <w:rFonts w:hint="eastAsia"/>
          <w:lang w:eastAsia="zh-CN"/>
        </w:rPr>
        <w:t>。</w:t>
      </w:r>
      <w:r>
        <w:rPr>
          <w:rFonts w:hint="eastAsia"/>
        </w:rPr>
        <w:t>招标人/招标代理机构有权不接收逾期提出的异议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9" w:name="_Toc179632563"/>
      <w:bookmarkStart w:id="80" w:name="_Toc152042321"/>
      <w:bookmarkStart w:id="81" w:name="_Toc246996190"/>
      <w:bookmarkStart w:id="82" w:name="_Toc246996933"/>
      <w:bookmarkStart w:id="83" w:name="_Toc144974513"/>
      <w:bookmarkStart w:id="84" w:name="_Toc247085704"/>
      <w:bookmarkStart w:id="85" w:name="_Toc296602435"/>
      <w:bookmarkStart w:id="86" w:name="_Toc152045545"/>
      <w:r>
        <w:rPr>
          <w:rFonts w:hint="eastAsia"/>
          <w:lang w:val="en-US" w:eastAsia="zh-CN"/>
        </w:rPr>
        <w:t>9.</w:t>
      </w:r>
      <w:r>
        <w:rPr>
          <w:rFonts w:hint="eastAsia"/>
        </w:rPr>
        <w:t>招标文件的修改</w:t>
      </w:r>
      <w:bookmarkEnd w:id="79"/>
      <w:bookmarkEnd w:id="80"/>
      <w:bookmarkEnd w:id="81"/>
      <w:bookmarkEnd w:id="82"/>
      <w:bookmarkEnd w:id="83"/>
      <w:bookmarkEnd w:id="84"/>
      <w:bookmarkEnd w:id="85"/>
      <w:bookmarkEnd w:id="86"/>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9.1招标人或招标代理机构可以因任何原因</w:t>
      </w:r>
      <w:r>
        <w:rPr>
          <w:rFonts w:hint="eastAsia"/>
          <w:lang w:eastAsia="zh-CN"/>
        </w:rPr>
        <w:t>，</w:t>
      </w:r>
      <w:r>
        <w:rPr>
          <w:rFonts w:hint="eastAsia"/>
        </w:rPr>
        <w:t>在投标截止期前对招标文件进行修改</w:t>
      </w:r>
      <w:r>
        <w:rPr>
          <w:rFonts w:hint="eastAsia"/>
          <w:lang w:eastAsia="zh-CN"/>
        </w:rPr>
        <w:t>，</w:t>
      </w:r>
      <w:r>
        <w:rPr>
          <w:rFonts w:hint="eastAsia"/>
        </w:rPr>
        <w:t>并通知所有获取招标文件的投标人</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9.2招标文件的修改内容将作为招标文件的组成部分</w:t>
      </w:r>
      <w:r>
        <w:rPr>
          <w:rFonts w:hint="eastAsia"/>
          <w:lang w:eastAsia="zh-CN"/>
        </w:rPr>
        <w:t>，</w:t>
      </w:r>
      <w:r>
        <w:rPr>
          <w:rFonts w:hint="eastAsia"/>
        </w:rPr>
        <w:t>对投标人具有同样约束力</w:t>
      </w:r>
      <w:r>
        <w:rPr>
          <w:rFonts w:hint="eastAsia"/>
          <w:lang w:eastAsia="zh-CN"/>
        </w:rPr>
        <w:t>。</w:t>
      </w:r>
      <w:r>
        <w:rPr>
          <w:rFonts w:hint="eastAsia"/>
        </w:rPr>
        <w:t>当招标文件的答疑、澄清、变更、通知或补充等在同一内容的表述上不一致时以最后发出的书面文件为准</w:t>
      </w:r>
      <w:r>
        <w:rPr>
          <w:rFonts w:hint="eastAsia"/>
          <w:lang w:eastAsia="zh-CN"/>
        </w:rPr>
        <w:t>。</w:t>
      </w:r>
      <w:r>
        <w:rPr>
          <w:rFonts w:hint="eastAsia"/>
        </w:rPr>
        <w:t>投标人应主动查询</w:t>
      </w:r>
      <w:r>
        <w:rPr>
          <w:rFonts w:hint="eastAsia"/>
          <w:lang w:eastAsia="zh-CN"/>
        </w:rPr>
        <w:t>。</w:t>
      </w:r>
      <w:r>
        <w:rPr>
          <w:rFonts w:hint="eastAsia"/>
        </w:rPr>
        <w:t>招标人/招标代理机构不承担投标人未及时关注相关信息引发的相关责任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9.3招标文件的修改应考虑给予投标人合理的时间制作相应的投标文件</w:t>
      </w:r>
      <w:r>
        <w:rPr>
          <w:rFonts w:hint="eastAsia"/>
          <w:lang w:eastAsia="zh-CN"/>
        </w:rPr>
        <w:t>。</w:t>
      </w:r>
      <w:r>
        <w:rPr>
          <w:rFonts w:hint="eastAsia"/>
        </w:rPr>
        <w:t>招标人/招标代理机构可酌情延长投标截止日期</w:t>
      </w:r>
      <w:r>
        <w:rPr>
          <w:rFonts w:hint="eastAsia"/>
          <w:lang w:eastAsia="zh-CN"/>
        </w:rPr>
        <w:t>，</w:t>
      </w:r>
      <w:r>
        <w:rPr>
          <w:rFonts w:hint="eastAsia"/>
        </w:rPr>
        <w:t>并通知招标文件</w:t>
      </w:r>
      <w:r>
        <w:rPr>
          <w:rFonts w:hint="eastAsia"/>
          <w:lang w:val="en-US" w:eastAsia="zh-CN"/>
        </w:rPr>
        <w:t>获取</w:t>
      </w:r>
      <w:r>
        <w:rPr>
          <w:rFonts w:hint="eastAsia"/>
        </w:rPr>
        <w:t>人</w:t>
      </w:r>
      <w:bookmarkStart w:id="87" w:name="_Toc246996934"/>
      <w:bookmarkStart w:id="88" w:name="_Toc179632564"/>
      <w:bookmarkStart w:id="89" w:name="_Toc246996191"/>
      <w:bookmarkStart w:id="90" w:name="_Toc296602436"/>
      <w:bookmarkStart w:id="91" w:name="_Toc152045546"/>
      <w:bookmarkStart w:id="92" w:name="_Toc152042322"/>
      <w:bookmarkStart w:id="93" w:name="_Toc144974514"/>
      <w:bookmarkStart w:id="94" w:name="_Toc247085705"/>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三、</w:t>
      </w:r>
      <w:r>
        <w:rPr>
          <w:rFonts w:hint="eastAsia"/>
        </w:rPr>
        <w:t>投标文件</w:t>
      </w:r>
      <w:bookmarkEnd w:id="87"/>
      <w:bookmarkEnd w:id="88"/>
      <w:bookmarkEnd w:id="89"/>
      <w:bookmarkEnd w:id="90"/>
      <w:bookmarkEnd w:id="91"/>
      <w:bookmarkEnd w:id="92"/>
      <w:bookmarkEnd w:id="93"/>
      <w:bookmarkEnd w:id="94"/>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95" w:name="_Toc246996935"/>
      <w:bookmarkStart w:id="96" w:name="_Toc246996192"/>
      <w:bookmarkStart w:id="97" w:name="_Toc152045547"/>
      <w:bookmarkStart w:id="98" w:name="_Toc179632565"/>
      <w:bookmarkStart w:id="99" w:name="_Toc144974515"/>
      <w:bookmarkStart w:id="100" w:name="_Toc247085706"/>
      <w:bookmarkStart w:id="101" w:name="_Toc152042323"/>
      <w:bookmarkStart w:id="102" w:name="_Toc296602437"/>
      <w:r>
        <w:rPr>
          <w:rFonts w:hint="eastAsia"/>
          <w:lang w:val="en-US" w:eastAsia="zh-CN"/>
        </w:rPr>
        <w:t>10.</w:t>
      </w:r>
      <w:r>
        <w:rPr>
          <w:rFonts w:hint="eastAsia"/>
        </w:rPr>
        <w:t>投标文件的</w:t>
      </w:r>
      <w:r>
        <w:rPr>
          <w:rFonts w:hint="eastAsia"/>
          <w:lang w:val="en-US" w:eastAsia="zh-CN"/>
        </w:rPr>
        <w:t>构</w:t>
      </w:r>
      <w:r>
        <w:rPr>
          <w:rFonts w:hint="eastAsia"/>
        </w:rPr>
        <w:t>成</w:t>
      </w:r>
      <w:bookmarkEnd w:id="95"/>
      <w:bookmarkEnd w:id="96"/>
      <w:bookmarkEnd w:id="97"/>
      <w:bookmarkEnd w:id="98"/>
      <w:bookmarkEnd w:id="99"/>
      <w:bookmarkEnd w:id="100"/>
      <w:bookmarkEnd w:id="101"/>
      <w:bookmarkEnd w:id="102"/>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1</w:t>
      </w:r>
      <w:r>
        <w:rPr>
          <w:rFonts w:hint="eastAsia"/>
        </w:rPr>
        <w:t>投标文件的构成</w:t>
      </w:r>
      <w:r>
        <w:rPr>
          <w:rFonts w:hint="eastAsia"/>
          <w:lang w:eastAsia="zh-CN"/>
        </w:rPr>
        <w:t>：</w:t>
      </w:r>
      <w:r>
        <w:rPr>
          <w:rFonts w:hint="eastAsia"/>
        </w:rPr>
        <w:t>投标方应按照</w:t>
      </w:r>
      <w:r>
        <w:rPr>
          <w:rFonts w:hint="eastAsia"/>
          <w:lang w:val="en-US" w:eastAsia="zh-CN"/>
        </w:rPr>
        <w:t>第八</w:t>
      </w:r>
      <w:r>
        <w:rPr>
          <w:rFonts w:hint="eastAsia"/>
        </w:rPr>
        <w:t>章所述投标文件格式的要求装订并连续编写页码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w:t>
      </w:r>
      <w:r>
        <w:rPr>
          <w:rFonts w:hint="eastAsia"/>
        </w:rPr>
        <w:t>投标文件如未按照本条要求提供相应材料可能导致其投标被否决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w:t>
      </w:r>
      <w:r>
        <w:rPr>
          <w:rFonts w:hint="eastAsia"/>
        </w:rPr>
        <w:t>2如投标人无详细说明对招标文件的商务和技术不响应或者没有填写商务技术偏离表</w:t>
      </w:r>
      <w:r>
        <w:rPr>
          <w:rFonts w:hint="eastAsia"/>
          <w:lang w:eastAsia="zh-CN"/>
        </w:rPr>
        <w:t>，</w:t>
      </w:r>
      <w:r>
        <w:rPr>
          <w:rFonts w:hint="eastAsia"/>
        </w:rPr>
        <w:t>则视为投标人默认响应招标文件的商务和技术全部要求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视其投标无效并不予退还投标担保</w:t>
      </w:r>
      <w:r>
        <w:rPr>
          <w:rFonts w:hint="eastAsia"/>
          <w:lang w:eastAsia="zh-CN"/>
        </w:rPr>
        <w:t>。</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10.4不接受电话、传真等形式的投标</w:t>
      </w:r>
      <w:r>
        <w:rPr>
          <w:rFonts w:hint="eastAsia"/>
          <w:lang w:eastAsia="zh-CN"/>
        </w:rPr>
        <w:t>，</w:t>
      </w:r>
      <w:r>
        <w:rPr>
          <w:rFonts w:hint="eastAsia"/>
        </w:rPr>
        <w:t>投标文件不退回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103" w:name="_Toc144974516"/>
      <w:bookmarkStart w:id="104" w:name="_Toc296602438"/>
      <w:bookmarkStart w:id="105" w:name="_Toc152042324"/>
      <w:bookmarkStart w:id="106" w:name="_Toc179632566"/>
      <w:bookmarkStart w:id="107" w:name="_Toc246996193"/>
      <w:bookmarkStart w:id="108" w:name="_Toc152045548"/>
      <w:bookmarkStart w:id="109" w:name="_Toc247085707"/>
      <w:bookmarkStart w:id="110" w:name="_Toc246996936"/>
      <w:r>
        <w:rPr>
          <w:rFonts w:hint="eastAsia"/>
          <w:lang w:val="en-US" w:eastAsia="zh-CN"/>
        </w:rPr>
        <w:t>11.</w:t>
      </w:r>
      <w:r>
        <w:rPr>
          <w:rFonts w:hint="eastAsia"/>
        </w:rPr>
        <w:t>投标</w:t>
      </w:r>
      <w:bookmarkEnd w:id="103"/>
      <w:bookmarkEnd w:id="104"/>
      <w:bookmarkEnd w:id="105"/>
      <w:bookmarkEnd w:id="106"/>
      <w:bookmarkEnd w:id="107"/>
      <w:bookmarkEnd w:id="108"/>
      <w:bookmarkEnd w:id="109"/>
      <w:bookmarkEnd w:id="110"/>
      <w:r>
        <w:rPr>
          <w:rFonts w:hint="eastAsia"/>
          <w:lang w:val="en-US" w:eastAsia="zh-CN"/>
        </w:rPr>
        <w:t>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79632567"/>
      <w:bookmarkStart w:id="112" w:name="_Toc152045549"/>
      <w:bookmarkStart w:id="113" w:name="_Toc144974517"/>
      <w:bookmarkStart w:id="114" w:name="_Toc152042325"/>
      <w:r>
        <w:rPr>
          <w:rFonts w:hint="eastAsia"/>
        </w:rPr>
        <w:t>11.1根据招标文件规定的供货和责任范围</w:t>
      </w:r>
      <w:r>
        <w:rPr>
          <w:rFonts w:hint="eastAsia"/>
          <w:lang w:eastAsia="zh-CN"/>
        </w:rPr>
        <w:t>，</w:t>
      </w:r>
      <w:r>
        <w:rPr>
          <w:rFonts w:hint="eastAsia"/>
        </w:rPr>
        <w:t>投标人的报价应包含所投服务、</w:t>
      </w:r>
      <w:r>
        <w:rPr>
          <w:rFonts w:hint="eastAsia"/>
          <w:lang w:val="en-US" w:eastAsia="zh-CN"/>
        </w:rPr>
        <w:t>保</w:t>
      </w:r>
      <w:r>
        <w:rPr>
          <w:rFonts w:hint="eastAsia"/>
        </w:rPr>
        <w:t>险、税费、免费后续服务等工作所发生的一切应有费用</w:t>
      </w:r>
      <w:r>
        <w:rPr>
          <w:rFonts w:hint="eastAsia"/>
          <w:lang w:eastAsia="zh-CN"/>
        </w:rPr>
        <w:t>。</w:t>
      </w:r>
      <w:r>
        <w:rPr>
          <w:rFonts w:hint="eastAsia"/>
        </w:rPr>
        <w:t>投标报价为签订合同的依据投标人应按开标一览表和分项价格表指定的格式报出现场交货的人民币分项价格总价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w:t>
      </w:r>
      <w:r>
        <w:rPr>
          <w:rFonts w:hint="eastAsia"/>
        </w:rPr>
        <w:t>投标人不接受此种修正</w:t>
      </w:r>
      <w:r>
        <w:rPr>
          <w:rFonts w:hint="eastAsia"/>
          <w:lang w:eastAsia="zh-CN"/>
        </w:rPr>
        <w:t>，</w:t>
      </w:r>
      <w:r>
        <w:rPr>
          <w:rFonts w:hint="eastAsia"/>
        </w:rPr>
        <w:t>评标委员会有权否决其投标</w:t>
      </w:r>
      <w:r>
        <w:rPr>
          <w:rFonts w:hint="eastAsia"/>
          <w:lang w:eastAsia="zh-CN"/>
        </w:rPr>
        <w:t>（</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11.2投标人应按照招标文件规定的商务、合同和技术责任进行报价</w:t>
      </w:r>
      <w:r>
        <w:rPr>
          <w:rFonts w:hint="eastAsia"/>
          <w:lang w:eastAsia="zh-CN"/>
        </w:rPr>
        <w:t>。</w:t>
      </w:r>
      <w:r>
        <w:rPr>
          <w:rFonts w:hint="eastAsia"/>
        </w:rPr>
        <w:t>如投标作出商务和技术的偏离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视为全部满足本招标文件的要求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11.3投标人所报的价格在合同执行过程中是固定的</w:t>
      </w:r>
      <w:r>
        <w:rPr>
          <w:rFonts w:hint="eastAsia"/>
          <w:lang w:eastAsia="zh-CN"/>
        </w:rPr>
        <w:t>，</w:t>
      </w:r>
      <w:r>
        <w:rPr>
          <w:rFonts w:hint="eastAsia"/>
        </w:rPr>
        <w:t>不得以任何理由予以变更</w:t>
      </w:r>
      <w:r>
        <w:rPr>
          <w:rFonts w:hint="eastAsia"/>
          <w:lang w:eastAsia="zh-CN"/>
        </w:rPr>
        <w:t>。</w:t>
      </w:r>
    </w:p>
    <w:p w14:paraId="222B8A6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11.4除投标人须知前附表有特殊规定外</w:t>
      </w:r>
      <w:r>
        <w:rPr>
          <w:rFonts w:hint="eastAsia"/>
          <w:lang w:eastAsia="zh-CN"/>
        </w:rPr>
        <w:t>，</w:t>
      </w:r>
      <w:r>
        <w:rPr>
          <w:rFonts w:hint="eastAsia"/>
        </w:rPr>
        <w:t>不接受备选方案或者2个及以上报方案</w:t>
      </w:r>
      <w:r>
        <w:rPr>
          <w:rFonts w:hint="eastAsia"/>
          <w:lang w:eastAsia="zh-CN"/>
        </w:rPr>
        <w:t>。</w:t>
      </w:r>
    </w:p>
    <w:p w14:paraId="6ABA944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11.5本项目为交钥匙工程</w:t>
      </w:r>
      <w:r>
        <w:rPr>
          <w:rFonts w:hint="eastAsia"/>
          <w:lang w:eastAsia="zh-CN"/>
        </w:rPr>
        <w:t>，</w:t>
      </w:r>
      <w:r>
        <w:rPr>
          <w:rFonts w:hint="eastAsia"/>
        </w:rPr>
        <w:t>报价应包括外购、外协、配套件</w:t>
      </w:r>
      <w:r>
        <w:rPr>
          <w:rFonts w:hint="eastAsia"/>
          <w:lang w:eastAsia="zh-CN"/>
        </w:rPr>
        <w:t>，</w:t>
      </w:r>
      <w:r>
        <w:rPr>
          <w:rFonts w:hint="eastAsia"/>
        </w:rPr>
        <w:t>原材料及生产制造检验、出成品、包装</w:t>
      </w:r>
      <w:r>
        <w:rPr>
          <w:rFonts w:hint="eastAsia"/>
          <w:lang w:eastAsia="zh-CN"/>
        </w:rPr>
        <w:t>，</w:t>
      </w:r>
      <w:r>
        <w:rPr>
          <w:rFonts w:hint="eastAsia"/>
        </w:rPr>
        <w:t>保险、利税、关税、管理、运费、装卸、安装、调试、检测</w:t>
      </w:r>
      <w:r>
        <w:rPr>
          <w:rFonts w:hint="eastAsia"/>
          <w:lang w:eastAsia="zh-CN"/>
        </w:rPr>
        <w:t>，</w:t>
      </w:r>
      <w:r>
        <w:rPr>
          <w:rFonts w:hint="eastAsia"/>
        </w:rPr>
        <w:t>软件、硬件质量技术监督部门检测费</w:t>
      </w:r>
      <w:r>
        <w:rPr>
          <w:rFonts w:hint="eastAsia"/>
          <w:lang w:eastAsia="zh-CN"/>
        </w:rPr>
        <w:t>，</w:t>
      </w:r>
      <w:r>
        <w:rPr>
          <w:rFonts w:hint="eastAsia"/>
        </w:rPr>
        <w:t>取证</w:t>
      </w:r>
      <w:r>
        <w:rPr>
          <w:rFonts w:hint="eastAsia"/>
          <w:lang w:eastAsia="zh-CN"/>
        </w:rPr>
        <w:t>（</w:t>
      </w:r>
      <w:r>
        <w:rPr>
          <w:rFonts w:hint="eastAsia"/>
        </w:rPr>
        <w:t>如有</w:t>
      </w:r>
      <w:r>
        <w:rPr>
          <w:rFonts w:hint="eastAsia"/>
          <w:lang w:eastAsia="zh-CN"/>
        </w:rPr>
        <w:t>）</w:t>
      </w:r>
      <w:r>
        <w:rPr>
          <w:rFonts w:hint="eastAsia"/>
        </w:rPr>
        <w:t>以及所有项目下装修施工等直至交钥匙工所发生的全部费用</w:t>
      </w:r>
      <w:r>
        <w:rPr>
          <w:rFonts w:hint="eastAsia"/>
          <w:lang w:eastAsia="zh-CN"/>
        </w:rPr>
        <w:t>。</w:t>
      </w:r>
    </w:p>
    <w:p w14:paraId="15D061B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11.6最低报价不能作为中标的保证</w:t>
      </w:r>
      <w:r>
        <w:rPr>
          <w:rFonts w:hint="eastAsia"/>
          <w:lang w:eastAsia="zh-CN"/>
        </w:rPr>
        <w:t>。</w:t>
      </w:r>
    </w:p>
    <w:p w14:paraId="55EF55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11.7安装和/或装饰工程费用的计价</w:t>
      </w:r>
      <w:r>
        <w:rPr>
          <w:rFonts w:hint="eastAsia"/>
          <w:lang w:eastAsia="zh-CN"/>
        </w:rPr>
        <w:t>（</w:t>
      </w:r>
      <w:r>
        <w:rPr>
          <w:rFonts w:hint="eastAsia"/>
        </w:rPr>
        <w:t>如有</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投标人应依据《安徽省建设工程工程量清单计价规范》</w:t>
      </w:r>
      <w:r>
        <w:rPr>
          <w:rFonts w:hint="eastAsia"/>
          <w:lang w:eastAsia="zh-CN"/>
        </w:rPr>
        <w:t>（</w:t>
      </w:r>
      <w:r>
        <w:rPr>
          <w:rFonts w:hint="eastAsia"/>
        </w:rPr>
        <w:t>DBJ34/T-206-2018</w:t>
      </w:r>
      <w:r>
        <w:rPr>
          <w:rFonts w:hint="eastAsia"/>
          <w:lang w:eastAsia="zh-CN"/>
        </w:rPr>
        <w:t>）</w:t>
      </w:r>
      <w:r>
        <w:rPr>
          <w:rFonts w:hint="eastAsia"/>
        </w:rPr>
        <w:t>及其配套定额规定</w:t>
      </w:r>
      <w:r>
        <w:rPr>
          <w:rFonts w:hint="eastAsia"/>
          <w:lang w:eastAsia="zh-CN"/>
        </w:rPr>
        <w:t>，</w:t>
      </w:r>
      <w:r>
        <w:rPr>
          <w:rFonts w:hint="eastAsia"/>
        </w:rPr>
        <w:t>并结合省市最新的计价规范性文件</w:t>
      </w:r>
      <w:r>
        <w:rPr>
          <w:rFonts w:hint="eastAsia"/>
          <w:lang w:eastAsia="zh-CN"/>
        </w:rPr>
        <w:t>，</w:t>
      </w:r>
      <w:r>
        <w:rPr>
          <w:rFonts w:hint="eastAsia"/>
        </w:rPr>
        <w:t>足额计取最新规定的各类规费和不可竞争费</w:t>
      </w:r>
      <w:r>
        <w:rPr>
          <w:rFonts w:hint="eastAsia"/>
          <w:lang w:eastAsia="zh-CN"/>
        </w:rPr>
        <w:t>，</w:t>
      </w:r>
      <w:r>
        <w:rPr>
          <w:rFonts w:hint="eastAsia"/>
        </w:rPr>
        <w:t>并考虑专项工程的各种报建报审报验等费用</w:t>
      </w:r>
      <w:r>
        <w:rPr>
          <w:rFonts w:hint="eastAsia"/>
          <w:lang w:eastAsia="zh-CN"/>
        </w:rPr>
        <w:t>。</w:t>
      </w:r>
      <w:r>
        <w:rPr>
          <w:rFonts w:hint="eastAsia"/>
        </w:rPr>
        <w:t>投标人若获得中标资格</w:t>
      </w:r>
      <w:r>
        <w:rPr>
          <w:rFonts w:hint="eastAsia"/>
          <w:lang w:eastAsia="zh-CN"/>
        </w:rPr>
        <w:t>，</w:t>
      </w:r>
      <w:r>
        <w:rPr>
          <w:rFonts w:hint="eastAsia"/>
        </w:rPr>
        <w:t>不得就上述因素向招标人提出任何补偿费用</w:t>
      </w:r>
      <w:r>
        <w:rPr>
          <w:rFonts w:hint="eastAsia"/>
          <w:lang w:eastAsia="zh-CN"/>
        </w:rPr>
        <w:t>。</w:t>
      </w:r>
    </w:p>
    <w:p w14:paraId="67B32F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11.8现场踏勘</w:t>
      </w:r>
      <w:r>
        <w:rPr>
          <w:rFonts w:hint="eastAsia"/>
          <w:lang w:eastAsia="zh-CN"/>
        </w:rPr>
        <w:t>：</w:t>
      </w:r>
      <w:r>
        <w:rPr>
          <w:rFonts w:hint="eastAsia"/>
        </w:rPr>
        <w:t>除投标人须知前附表有规定外</w:t>
      </w:r>
      <w:r>
        <w:rPr>
          <w:rFonts w:hint="eastAsia"/>
          <w:lang w:eastAsia="zh-CN"/>
        </w:rPr>
        <w:t>，</w:t>
      </w:r>
      <w:r>
        <w:rPr>
          <w:rFonts w:hint="eastAsia"/>
        </w:rPr>
        <w:t>招标人不组织现场踏勘，</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5" w:name="_Toc296602439"/>
      <w:bookmarkStart w:id="116" w:name="_Toc247085708"/>
      <w:bookmarkStart w:id="117" w:name="_Toc246996194"/>
      <w:bookmarkStart w:id="118" w:name="_Toc246996937"/>
      <w:r>
        <w:rPr>
          <w:rFonts w:hint="eastAsia"/>
          <w:lang w:val="en-US" w:eastAsia="zh-CN"/>
        </w:rPr>
        <w:t>12.</w:t>
      </w:r>
      <w:r>
        <w:rPr>
          <w:rFonts w:hint="eastAsia"/>
        </w:rPr>
        <w:t>投标</w:t>
      </w:r>
      <w:bookmarkEnd w:id="111"/>
      <w:bookmarkEnd w:id="112"/>
      <w:bookmarkEnd w:id="113"/>
      <w:bookmarkEnd w:id="114"/>
      <w:bookmarkEnd w:id="115"/>
      <w:bookmarkEnd w:id="116"/>
      <w:bookmarkEnd w:id="117"/>
      <w:bookmarkEnd w:id="118"/>
      <w:r>
        <w:rPr>
          <w:rFonts w:hint="eastAsia"/>
          <w:lang w:val="en-US" w:eastAsia="zh-CN"/>
        </w:rPr>
        <w:t>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12.1 投标人应按照招标文件的相关规定提交投标担保</w:t>
      </w:r>
      <w:r>
        <w:rPr>
          <w:rFonts w:hint="eastAsia"/>
          <w:lang w:eastAsia="zh-CN"/>
        </w:rPr>
        <w:t>，</w:t>
      </w:r>
      <w:r>
        <w:rPr>
          <w:rFonts w:hint="eastAsia"/>
        </w:rPr>
        <w:t>并作为其投标文件的组成部分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12.2 投标人以现金方式提交投标担保的</w:t>
      </w:r>
      <w:r>
        <w:rPr>
          <w:rFonts w:hint="eastAsia"/>
          <w:lang w:eastAsia="zh-CN"/>
        </w:rPr>
        <w:t>，</w:t>
      </w:r>
      <w:r>
        <w:rPr>
          <w:rFonts w:hint="eastAsia"/>
        </w:rPr>
        <w:t>须从投标人本单位账户汇出，不接受其他单位或个人代缴的投标担保</w:t>
      </w:r>
      <w:r>
        <w:rPr>
          <w:rFonts w:hint="eastAsia"/>
          <w:lang w:eastAsia="zh-CN"/>
        </w:rPr>
        <w:t>。</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12.3 未按照招标文件的规定提交投标担保的</w:t>
      </w:r>
      <w:r>
        <w:rPr>
          <w:rFonts w:hint="eastAsia"/>
          <w:lang w:eastAsia="zh-CN"/>
        </w:rPr>
        <w:t>，</w:t>
      </w:r>
      <w:r>
        <w:rPr>
          <w:rFonts w:hint="eastAsia"/>
        </w:rPr>
        <w:t>其投标将被否决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12.4投标人以现金方式提交的投标担保将一律按电汇或转账方式退还至投标人单位账户，不退至个人，不退纸币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12.5下列任何情况发生时</w:t>
      </w:r>
      <w:r>
        <w:rPr>
          <w:rFonts w:hint="eastAsia"/>
          <w:lang w:eastAsia="zh-CN"/>
        </w:rPr>
        <w:t>，</w:t>
      </w:r>
      <w:r>
        <w:rPr>
          <w:rFonts w:hint="eastAsia"/>
        </w:rPr>
        <w:t>投标担保将不予退还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投标人在投标有效期内撤销其投标</w:t>
      </w:r>
      <w:r>
        <w:rPr>
          <w:rFonts w:hint="eastAsia"/>
          <w:lang w:eastAsia="zh-CN"/>
        </w:rPr>
        <w:t>；</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中标人未能在规定的时间内签署合同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28B9032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投标人未按规定缴纳中标服务费</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5</w:t>
      </w:r>
      <w:r>
        <w:rPr>
          <w:rFonts w:hint="eastAsia"/>
          <w:lang w:eastAsia="zh-CN"/>
        </w:rPr>
        <w:t>）</w:t>
      </w:r>
      <w:r>
        <w:rPr>
          <w:rFonts w:hint="eastAsia"/>
        </w:rPr>
        <w:t>投标人在投标文件中提供虚假材料或有串标、围标等恶意行为的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6</w:t>
      </w:r>
      <w:r>
        <w:rPr>
          <w:rFonts w:hint="eastAsia"/>
          <w:lang w:eastAsia="zh-CN"/>
        </w:rPr>
        <w:t>）</w:t>
      </w:r>
      <w:r>
        <w:rPr>
          <w:rFonts w:hint="eastAsia"/>
        </w:rPr>
        <w:t>法律法规规定的其他不予退还的情形</w:t>
      </w:r>
      <w:r>
        <w:rPr>
          <w:rFonts w:hint="eastAsia"/>
          <w:lang w:eastAsia="zh-CN"/>
        </w:rPr>
        <w:t>。</w:t>
      </w:r>
    </w:p>
    <w:p w14:paraId="2F152B2F">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9" w:name="_Toc246996195"/>
      <w:bookmarkStart w:id="120" w:name="_Toc246996938"/>
      <w:bookmarkStart w:id="121" w:name="_Toc152042326"/>
      <w:bookmarkStart w:id="122" w:name="_Toc247085709"/>
      <w:bookmarkStart w:id="123" w:name="_Toc144974518"/>
      <w:bookmarkStart w:id="124" w:name="_Toc152045550"/>
      <w:bookmarkStart w:id="125" w:name="_Toc179632568"/>
      <w:bookmarkStart w:id="126" w:name="_Toc296602440"/>
      <w:r>
        <w:rPr>
          <w:rFonts w:hint="eastAsia"/>
          <w:lang w:val="en-US" w:eastAsia="zh-CN"/>
        </w:rPr>
        <w:t>13.</w:t>
      </w:r>
      <w:r>
        <w:rPr>
          <w:rFonts w:hint="eastAsia"/>
        </w:rPr>
        <w:t>投标</w:t>
      </w:r>
      <w:bookmarkEnd w:id="119"/>
      <w:bookmarkEnd w:id="120"/>
      <w:bookmarkEnd w:id="121"/>
      <w:bookmarkEnd w:id="122"/>
      <w:bookmarkEnd w:id="123"/>
      <w:bookmarkEnd w:id="124"/>
      <w:bookmarkEnd w:id="125"/>
      <w:bookmarkEnd w:id="126"/>
      <w:r>
        <w:rPr>
          <w:rFonts w:hint="eastAsia"/>
          <w:lang w:val="en-US" w:eastAsia="zh-CN"/>
        </w:rPr>
        <w:t>文件的有效期</w:t>
      </w:r>
    </w:p>
    <w:p w14:paraId="3C7B25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296602441"/>
      <w:bookmarkStart w:id="128" w:name="_Toc144974520"/>
      <w:bookmarkStart w:id="129" w:name="_Toc246996939"/>
      <w:bookmarkStart w:id="130" w:name="_Toc179632570"/>
      <w:bookmarkStart w:id="131" w:name="_Toc152042328"/>
      <w:bookmarkStart w:id="132" w:name="_Toc246996196"/>
      <w:bookmarkStart w:id="133" w:name="_Toc152045552"/>
      <w:bookmarkStart w:id="134" w:name="_Toc247085710"/>
      <w:r>
        <w:rPr>
          <w:rFonts w:hint="eastAsia"/>
        </w:rPr>
        <w:t>13.1投标文件应在投标文件有效期内有效</w:t>
      </w:r>
      <w:r>
        <w:rPr>
          <w:rFonts w:hint="eastAsia"/>
          <w:lang w:eastAsia="zh-CN"/>
        </w:rPr>
        <w:t>。</w:t>
      </w:r>
      <w:r>
        <w:rPr>
          <w:rFonts w:hint="eastAsia"/>
        </w:rPr>
        <w:t>投标文件有效期短于招标文件规定的投标有效期的</w:t>
      </w:r>
      <w:r>
        <w:rPr>
          <w:rFonts w:hint="eastAsia"/>
          <w:lang w:eastAsia="zh-CN"/>
        </w:rPr>
        <w:t>，</w:t>
      </w:r>
      <w:r>
        <w:rPr>
          <w:rFonts w:hint="eastAsia"/>
        </w:rPr>
        <w:t>其投标将被否决</w:t>
      </w:r>
      <w:r>
        <w:rPr>
          <w:rFonts w:hint="eastAsia"/>
          <w:lang w:eastAsia="zh-CN"/>
        </w:rPr>
        <w:t>。</w:t>
      </w:r>
    </w:p>
    <w:p w14:paraId="551D26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楷体_GB2312" w:hAnsi="宋体" w:eastAsiaTheme="minorEastAsia"/>
          <w:szCs w:val="21"/>
          <w:lang w:eastAsia="zh-CN"/>
        </w:rPr>
      </w:pPr>
      <w:r>
        <w:rPr>
          <w:rFonts w:hint="eastAsia"/>
        </w:rPr>
        <w:t>13.2特殊情况下</w:t>
      </w:r>
      <w:r>
        <w:rPr>
          <w:rFonts w:hint="eastAsia"/>
          <w:lang w:eastAsia="zh-CN"/>
        </w:rPr>
        <w:t>，</w:t>
      </w:r>
      <w:r>
        <w:rPr>
          <w:rFonts w:hint="eastAsia"/>
        </w:rPr>
        <w:t>在投标有效期截止之前</w:t>
      </w:r>
      <w:r>
        <w:rPr>
          <w:rFonts w:hint="eastAsia"/>
          <w:lang w:eastAsia="zh-CN"/>
        </w:rPr>
        <w:t>，</w:t>
      </w:r>
      <w:r>
        <w:rPr>
          <w:rFonts w:hint="eastAsia"/>
        </w:rPr>
        <w:t>招标人或招标代理机构可要求投标人同意延长投标有效期</w:t>
      </w:r>
      <w:r>
        <w:rPr>
          <w:rFonts w:hint="eastAsia"/>
          <w:lang w:eastAsia="zh-CN"/>
        </w:rPr>
        <w:t>，</w:t>
      </w:r>
      <w:r>
        <w:rPr>
          <w:rFonts w:hint="eastAsia"/>
        </w:rPr>
        <w:t>这种要求与答复均应以书面形式提交</w:t>
      </w:r>
      <w:r>
        <w:rPr>
          <w:rFonts w:hint="eastAsia"/>
          <w:lang w:eastAsia="zh-CN"/>
        </w:rPr>
        <w:t>，</w:t>
      </w:r>
      <w:r>
        <w:rPr>
          <w:rFonts w:hint="eastAsia"/>
        </w:rPr>
        <w:t>投标人可拒绝</w:t>
      </w:r>
      <w:r>
        <w:rPr>
          <w:rFonts w:hint="eastAsia"/>
          <w:lang w:eastAsia="zh-CN"/>
        </w:rPr>
        <w:t>，</w:t>
      </w:r>
      <w:r>
        <w:rPr>
          <w:rFonts w:hint="eastAsia"/>
        </w:rPr>
        <w:t>但应当退还其投标担保</w:t>
      </w:r>
      <w:r>
        <w:rPr>
          <w:rFonts w:hint="eastAsia"/>
          <w:lang w:eastAsia="zh-CN"/>
        </w:rPr>
        <w:t>。</w:t>
      </w:r>
      <w:r>
        <w:rPr>
          <w:rFonts w:hint="eastAsia"/>
        </w:rPr>
        <w:t>同意延长投标有效期的投标人将相应地延长其投标担保的有效期</w:t>
      </w:r>
      <w:r>
        <w:rPr>
          <w:rFonts w:hint="eastAsia"/>
          <w:lang w:eastAsia="zh-CN"/>
        </w:rPr>
        <w:t>，</w:t>
      </w:r>
      <w:r>
        <w:rPr>
          <w:rFonts w:hint="eastAsia"/>
        </w:rPr>
        <w:t>但不得修正投标文件的其他内容</w:t>
      </w:r>
      <w:r>
        <w:rPr>
          <w:rFonts w:hint="eastAsia"/>
          <w:lang w:eastAsia="zh-CN"/>
        </w:rPr>
        <w:t>。</w:t>
      </w:r>
    </w:p>
    <w:p w14:paraId="4FB9A498">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14.</w:t>
      </w:r>
      <w:bookmarkEnd w:id="127"/>
      <w:bookmarkEnd w:id="128"/>
      <w:bookmarkEnd w:id="129"/>
      <w:bookmarkEnd w:id="130"/>
      <w:bookmarkEnd w:id="131"/>
      <w:bookmarkEnd w:id="132"/>
      <w:bookmarkEnd w:id="133"/>
      <w:bookmarkEnd w:id="134"/>
      <w:r>
        <w:rPr>
          <w:rFonts w:hint="eastAsia"/>
        </w:rPr>
        <w:t>投标文件的制作和签署</w:t>
      </w:r>
    </w:p>
    <w:p w14:paraId="2C71E5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1</w:t>
      </w:r>
      <w:r>
        <w:rPr>
          <w:rFonts w:hint="eastAsia"/>
        </w:rPr>
        <w:t>投标人应按照投标人须知前附表的要求准备投标文件</w:t>
      </w:r>
      <w:r>
        <w:rPr>
          <w:rFonts w:hint="eastAsia"/>
          <w:lang w:eastAsia="zh-CN"/>
        </w:rPr>
        <w:t>（</w:t>
      </w:r>
      <w:r>
        <w:rPr>
          <w:rFonts w:hint="eastAsia"/>
        </w:rPr>
        <w:t>包含电子版</w:t>
      </w:r>
      <w:r>
        <w:rPr>
          <w:rFonts w:hint="eastAsia"/>
          <w:lang w:val="en-US" w:eastAsia="zh-CN"/>
        </w:rPr>
        <w:t>投标文件</w:t>
      </w:r>
      <w:r>
        <w:rPr>
          <w:rFonts w:hint="eastAsia"/>
          <w:lang w:eastAsia="zh-CN"/>
        </w:rPr>
        <w:t>），</w:t>
      </w:r>
      <w:r>
        <w:rPr>
          <w:rFonts w:hint="eastAsia"/>
        </w:rPr>
        <w:t>并在封而上注明“正本”和“副本”字样</w:t>
      </w:r>
      <w:r>
        <w:rPr>
          <w:rFonts w:hint="eastAsia"/>
          <w:lang w:eastAsia="zh-CN"/>
        </w:rPr>
        <w:t>。</w:t>
      </w:r>
      <w:r>
        <w:rPr>
          <w:rFonts w:hint="eastAsia"/>
        </w:rPr>
        <w:t>投标文件的副本可采用正本的</w:t>
      </w:r>
      <w:r>
        <w:rPr>
          <w:rFonts w:hint="eastAsia"/>
          <w:lang w:val="en-US" w:eastAsia="zh-CN"/>
        </w:rPr>
        <w:t>复印件。为</w:t>
      </w:r>
      <w:r>
        <w:rPr>
          <w:rFonts w:hint="eastAsia"/>
        </w:rPr>
        <w:t>节约</w:t>
      </w:r>
      <w:r>
        <w:rPr>
          <w:rFonts w:hint="eastAsia"/>
          <w:lang w:val="en-US" w:eastAsia="zh-CN"/>
        </w:rPr>
        <w:t>纸张</w:t>
      </w:r>
      <w:r>
        <w:rPr>
          <w:rFonts w:hint="eastAsia"/>
          <w:lang w:eastAsia="zh-CN"/>
        </w:rPr>
        <w:t>，</w:t>
      </w:r>
      <w:r>
        <w:rPr>
          <w:rFonts w:hint="eastAsia"/>
        </w:rPr>
        <w:t>建议双面打印并简装投标文件</w:t>
      </w:r>
      <w:r>
        <w:rPr>
          <w:rFonts w:hint="eastAsia"/>
          <w:lang w:eastAsia="zh-CN"/>
        </w:rPr>
        <w:t>。</w:t>
      </w:r>
      <w:r>
        <w:rPr>
          <w:rFonts w:hint="eastAsia"/>
        </w:rPr>
        <w:t>投标文件的正本与副本如有不</w:t>
      </w:r>
      <w:r>
        <w:rPr>
          <w:rFonts w:hint="eastAsia"/>
          <w:lang w:val="en-US" w:eastAsia="zh-CN"/>
        </w:rPr>
        <w:t>一</w:t>
      </w:r>
      <w:r>
        <w:rPr>
          <w:rFonts w:hint="eastAsia"/>
        </w:rPr>
        <w:t>致</w:t>
      </w:r>
      <w:r>
        <w:rPr>
          <w:rFonts w:hint="eastAsia"/>
          <w:lang w:val="en-US" w:eastAsia="zh-CN"/>
        </w:rPr>
        <w:t>之</w:t>
      </w:r>
      <w:r>
        <w:rPr>
          <w:rFonts w:hint="eastAsia"/>
        </w:rPr>
        <w:t>处</w:t>
      </w:r>
      <w:r>
        <w:rPr>
          <w:rFonts w:hint="eastAsia"/>
          <w:lang w:eastAsia="zh-CN"/>
        </w:rPr>
        <w:t>。</w:t>
      </w:r>
      <w:r>
        <w:rPr>
          <w:rFonts w:hint="eastAsia"/>
        </w:rPr>
        <w:t>以正本为准</w:t>
      </w:r>
      <w:r>
        <w:rPr>
          <w:rFonts w:hint="eastAsia"/>
          <w:lang w:eastAsia="zh-CN"/>
        </w:rPr>
        <w:t>。</w:t>
      </w:r>
    </w:p>
    <w:p w14:paraId="244A3A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w:t>
      </w:r>
      <w:r>
        <w:rPr>
          <w:rFonts w:hint="eastAsia"/>
        </w:rPr>
        <w:t>2</w:t>
      </w:r>
      <w:r>
        <w:rPr>
          <w:rFonts w:hint="eastAsia"/>
          <w:lang w:val="en-US" w:eastAsia="zh-CN"/>
        </w:rPr>
        <w:t>若项目</w:t>
      </w:r>
      <w:r>
        <w:rPr>
          <w:rFonts w:hint="eastAsia"/>
        </w:rPr>
        <w:t>分包</w:t>
      </w:r>
      <w:r>
        <w:rPr>
          <w:rFonts w:hint="eastAsia"/>
          <w:lang w:eastAsia="zh-CN"/>
        </w:rPr>
        <w:t>，</w:t>
      </w:r>
      <w:r>
        <w:rPr>
          <w:rFonts w:hint="eastAsia"/>
        </w:rPr>
        <w:t>投标文件按包分别制作</w:t>
      </w:r>
      <w:r>
        <w:rPr>
          <w:rFonts w:hint="eastAsia"/>
          <w:lang w:eastAsia="zh-CN"/>
        </w:rPr>
        <w:t>，</w:t>
      </w:r>
      <w:r>
        <w:rPr>
          <w:rFonts w:hint="eastAsia"/>
        </w:rPr>
        <w:t>采用非活页方式装订</w:t>
      </w:r>
      <w:r>
        <w:rPr>
          <w:rFonts w:hint="eastAsia"/>
          <w:lang w:eastAsia="zh-CN"/>
        </w:rPr>
        <w:t>。</w:t>
      </w:r>
      <w:r>
        <w:rPr>
          <w:rFonts w:hint="eastAsia"/>
        </w:rPr>
        <w:t>若投标人为需要附产品样本等资料的</w:t>
      </w:r>
      <w:r>
        <w:rPr>
          <w:rFonts w:hint="eastAsia"/>
          <w:lang w:eastAsia="zh-CN"/>
        </w:rPr>
        <w:t>，</w:t>
      </w:r>
      <w:r>
        <w:rPr>
          <w:rFonts w:hint="eastAsia"/>
        </w:rPr>
        <w:t>相关资料不得散装</w:t>
      </w:r>
      <w:r>
        <w:rPr>
          <w:rFonts w:hint="eastAsia"/>
          <w:lang w:eastAsia="zh-CN"/>
        </w:rPr>
        <w:t>，</w:t>
      </w:r>
      <w:r>
        <w:rPr>
          <w:rFonts w:hint="eastAsia"/>
        </w:rPr>
        <w:t>可装订在投标文件的最后部分</w:t>
      </w:r>
      <w:r>
        <w:rPr>
          <w:rFonts w:hint="eastAsia"/>
          <w:lang w:eastAsia="zh-CN"/>
        </w:rPr>
        <w:t>（</w:t>
      </w:r>
      <w:r>
        <w:rPr>
          <w:rFonts w:hint="eastAsia"/>
        </w:rPr>
        <w:t>殊规格的图纸、方案、图片、资料除外</w:t>
      </w:r>
      <w:r>
        <w:rPr>
          <w:rFonts w:hint="eastAsia"/>
          <w:lang w:eastAsia="zh-CN"/>
        </w:rPr>
        <w:t>）。</w:t>
      </w:r>
      <w:r>
        <w:rPr>
          <w:rFonts w:hint="eastAsia"/>
        </w:rPr>
        <w:t>投标文件如采用不牢固装订，不牢固装</w:t>
      </w:r>
      <w:r>
        <w:rPr>
          <w:rFonts w:hint="eastAsia"/>
          <w:lang w:val="en-US" w:eastAsia="zh-CN"/>
        </w:rPr>
        <w:t>订包</w:t>
      </w:r>
      <w:r>
        <w:rPr>
          <w:rFonts w:hint="eastAsia"/>
        </w:rPr>
        <w:t>括但不限于各种活页夹、文件夹、塑料方便式书籍</w:t>
      </w:r>
      <w:r>
        <w:rPr>
          <w:rFonts w:hint="eastAsia"/>
          <w:lang w:eastAsia="zh-CN"/>
        </w:rPr>
        <w:t>（</w:t>
      </w:r>
      <w:r>
        <w:rPr>
          <w:rFonts w:hint="eastAsia"/>
        </w:rPr>
        <w:t>插人式或穿孔式</w:t>
      </w:r>
      <w:r>
        <w:rPr>
          <w:rFonts w:hint="eastAsia"/>
          <w:lang w:eastAsia="zh-CN"/>
        </w:rPr>
        <w:t>）</w:t>
      </w:r>
      <w:r>
        <w:rPr>
          <w:rFonts w:hint="eastAsia"/>
        </w:rPr>
        <w:t>等</w:t>
      </w:r>
      <w:r>
        <w:rPr>
          <w:rFonts w:hint="eastAsia"/>
          <w:lang w:eastAsia="zh-CN"/>
        </w:rPr>
        <w:t>，</w:t>
      </w:r>
      <w:r>
        <w:rPr>
          <w:rFonts w:hint="eastAsia"/>
        </w:rPr>
        <w:t>导致</w:t>
      </w:r>
      <w:r>
        <w:rPr>
          <w:rFonts w:hint="eastAsia"/>
          <w:lang w:val="en-US" w:eastAsia="zh-CN"/>
        </w:rPr>
        <w:t>投标</w:t>
      </w:r>
      <w:r>
        <w:rPr>
          <w:rFonts w:hint="eastAsia"/>
        </w:rPr>
        <w:t>文件不完整、影响评审的，一切后果由投标人自行承担</w:t>
      </w:r>
      <w:r>
        <w:rPr>
          <w:rFonts w:hint="eastAsia"/>
          <w:lang w:eastAsia="zh-CN"/>
        </w:rPr>
        <w:t>。</w:t>
      </w:r>
    </w:p>
    <w:p w14:paraId="26C6CE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14.3每份投标文件正本和所有副本均需打印</w:t>
      </w:r>
      <w:r>
        <w:rPr>
          <w:rFonts w:hint="eastAsia"/>
          <w:lang w:eastAsia="zh-CN"/>
        </w:rPr>
        <w:t>，</w:t>
      </w:r>
      <w:r>
        <w:rPr>
          <w:rFonts w:hint="eastAsia"/>
        </w:rPr>
        <w:t>且用不褪色墨水书写</w:t>
      </w:r>
      <w:r>
        <w:rPr>
          <w:rFonts w:hint="eastAsia"/>
          <w:lang w:eastAsia="zh-CN"/>
        </w:rPr>
        <w:t>，</w:t>
      </w:r>
      <w:r>
        <w:rPr>
          <w:rFonts w:hint="eastAsia"/>
        </w:rPr>
        <w:t>并由投人法定代表人</w:t>
      </w:r>
      <w:r>
        <w:rPr>
          <w:rFonts w:hint="eastAsia"/>
          <w:lang w:eastAsia="zh-CN"/>
        </w:rPr>
        <w:t>（</w:t>
      </w:r>
      <w:r>
        <w:rPr>
          <w:rFonts w:hint="eastAsia"/>
        </w:rPr>
        <w:t>单位负责人</w:t>
      </w:r>
      <w:r>
        <w:rPr>
          <w:rFonts w:hint="eastAsia"/>
          <w:lang w:eastAsia="zh-CN"/>
        </w:rPr>
        <w:t>）</w:t>
      </w:r>
      <w:r>
        <w:rPr>
          <w:rFonts w:hint="eastAsia"/>
        </w:rPr>
        <w:t>或经其授权的授权代表签字或盖单位章</w:t>
      </w:r>
      <w:r>
        <w:rPr>
          <w:rFonts w:hint="eastAsia"/>
          <w:lang w:eastAsia="zh-CN"/>
        </w:rPr>
        <w:t>。</w:t>
      </w:r>
      <w:r>
        <w:rPr>
          <w:rFonts w:hint="eastAsia"/>
        </w:rPr>
        <w:t>投标人须按投标文件格式的规定出具《法定代表人</w:t>
      </w:r>
      <w:r>
        <w:rPr>
          <w:rFonts w:hint="eastAsia"/>
          <w:lang w:eastAsia="zh-CN"/>
        </w:rPr>
        <w:t>（</w:t>
      </w:r>
      <w:r>
        <w:rPr>
          <w:rFonts w:hint="eastAsia"/>
        </w:rPr>
        <w:t>单位负责人</w:t>
      </w:r>
      <w:r>
        <w:rPr>
          <w:rFonts w:hint="eastAsia"/>
          <w:lang w:eastAsia="zh-CN"/>
        </w:rPr>
        <w:t>）</w:t>
      </w:r>
      <w:r>
        <w:rPr>
          <w:rFonts w:hint="eastAsia"/>
        </w:rPr>
        <w:t>授权书》</w:t>
      </w:r>
      <w:r>
        <w:rPr>
          <w:rFonts w:hint="eastAsia"/>
          <w:lang w:eastAsia="zh-CN"/>
        </w:rPr>
        <w:t>，</w:t>
      </w:r>
      <w:r>
        <w:rPr>
          <w:rFonts w:hint="eastAsia"/>
        </w:rPr>
        <w:t>并附在投标文件中</w:t>
      </w:r>
      <w:r>
        <w:rPr>
          <w:rFonts w:hint="eastAsia"/>
          <w:lang w:eastAsia="zh-CN"/>
        </w:rPr>
        <w:t>。</w:t>
      </w:r>
    </w:p>
    <w:p w14:paraId="5B6EDB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rPr>
        <w:t>14.4投标文件中尽量避免行间插字、涂改和增删</w:t>
      </w:r>
      <w:r>
        <w:rPr>
          <w:rFonts w:hint="eastAsia"/>
          <w:lang w:eastAsia="zh-CN"/>
        </w:rPr>
        <w:t>。</w:t>
      </w:r>
      <w:r>
        <w:rPr>
          <w:rFonts w:hint="eastAsia"/>
        </w:rPr>
        <w:t>如果出现上述情况</w:t>
      </w:r>
      <w:r>
        <w:rPr>
          <w:rFonts w:hint="eastAsia"/>
          <w:lang w:eastAsia="zh-CN"/>
        </w:rPr>
        <w:t>，</w:t>
      </w:r>
      <w:r>
        <w:rPr>
          <w:rFonts w:hint="eastAsia"/>
        </w:rPr>
        <w:t>必须投标人的法定代表人</w:t>
      </w:r>
      <w:r>
        <w:rPr>
          <w:rFonts w:hint="eastAsia"/>
          <w:lang w:eastAsia="zh-CN"/>
        </w:rPr>
        <w:t>（</w:t>
      </w:r>
      <w:r>
        <w:rPr>
          <w:rFonts w:hint="eastAsia"/>
        </w:rPr>
        <w:t>单位负责人</w:t>
      </w:r>
      <w:r>
        <w:rPr>
          <w:rFonts w:hint="eastAsia"/>
          <w:lang w:eastAsia="zh-CN"/>
        </w:rPr>
        <w:t>）</w:t>
      </w:r>
      <w:r>
        <w:rPr>
          <w:rFonts w:hint="eastAsia"/>
        </w:rPr>
        <w:t>或其授权的授权代表签字或盖单位</w:t>
      </w:r>
      <w:r>
        <w:rPr>
          <w:rFonts w:hint="eastAsia"/>
          <w:lang w:val="en-US" w:eastAsia="zh-CN"/>
        </w:rPr>
        <w:t>章。</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52045555"/>
      <w:bookmarkStart w:id="136" w:name="_Toc296602443"/>
      <w:bookmarkStart w:id="137" w:name="_Toc247085713"/>
      <w:bookmarkStart w:id="138" w:name="_Toc144974523"/>
      <w:bookmarkStart w:id="139" w:name="_Toc152042331"/>
      <w:bookmarkStart w:id="140" w:name="_Toc179632573"/>
      <w:bookmarkStart w:id="141" w:name="_Toc246996199"/>
      <w:bookmarkStart w:id="142" w:name="_Toc246996942"/>
      <w:r>
        <w:rPr>
          <w:rFonts w:hint="eastAsia"/>
          <w:lang w:val="en-US" w:eastAsia="zh-CN"/>
        </w:rPr>
        <w:t>四</w:t>
      </w:r>
      <w:bookmarkEnd w:id="135"/>
      <w:bookmarkEnd w:id="136"/>
      <w:bookmarkEnd w:id="137"/>
      <w:bookmarkEnd w:id="138"/>
      <w:bookmarkEnd w:id="139"/>
      <w:bookmarkEnd w:id="140"/>
      <w:bookmarkEnd w:id="141"/>
      <w:bookmarkEnd w:id="142"/>
      <w:r>
        <w:rPr>
          <w:rFonts w:hint="eastAsia"/>
          <w:lang w:eastAsia="zh-CN"/>
        </w:rPr>
        <w:t>、</w:t>
      </w:r>
      <w:r>
        <w:rPr>
          <w:rFonts w:hint="eastAsia"/>
        </w:rPr>
        <w:t>投标文件的提交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79632574"/>
      <w:bookmarkStart w:id="144" w:name="_Toc247085714"/>
      <w:bookmarkStart w:id="145" w:name="_Toc152042332"/>
      <w:bookmarkStart w:id="146" w:name="_Toc246996943"/>
      <w:bookmarkStart w:id="147" w:name="_Toc246996200"/>
      <w:bookmarkStart w:id="148" w:name="_Toc296602444"/>
      <w:bookmarkStart w:id="149" w:name="_Toc144974524"/>
      <w:bookmarkStart w:id="150" w:name="_Toc152045556"/>
      <w:r>
        <w:rPr>
          <w:rFonts w:hint="eastAsia"/>
          <w:lang w:val="en-US" w:eastAsia="zh-CN"/>
        </w:rPr>
        <w:t>15.</w:t>
      </w:r>
      <w:bookmarkEnd w:id="143"/>
      <w:bookmarkEnd w:id="144"/>
      <w:bookmarkEnd w:id="145"/>
      <w:bookmarkEnd w:id="146"/>
      <w:bookmarkEnd w:id="147"/>
      <w:bookmarkEnd w:id="148"/>
      <w:bookmarkEnd w:id="149"/>
      <w:bookmarkEnd w:id="150"/>
      <w:r>
        <w:rPr>
          <w:rFonts w:hint="eastAsia"/>
        </w:rPr>
        <w:t>投标文件的密封和标识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51" w:name="_Toc152045557"/>
      <w:bookmarkStart w:id="152" w:name="_Toc144974525"/>
      <w:bookmarkStart w:id="153" w:name="_Toc246996944"/>
      <w:bookmarkStart w:id="154" w:name="_Toc179632575"/>
      <w:bookmarkStart w:id="155" w:name="_Toc246996201"/>
      <w:bookmarkStart w:id="156" w:name="_Toc152042333"/>
      <w:bookmarkStart w:id="157" w:name="_Toc247085715"/>
      <w:r>
        <w:rPr>
          <w:rFonts w:hint="eastAsia"/>
        </w:rPr>
        <w:t>15.1投标文件正本和所有的副本须密封装在单独的包装中</w:t>
      </w:r>
      <w:r>
        <w:rPr>
          <w:rFonts w:hint="eastAsia"/>
          <w:lang w:eastAsia="zh-CN"/>
        </w:rPr>
        <w:t>，</w:t>
      </w:r>
      <w:r>
        <w:rPr>
          <w:rFonts w:hint="eastAsia"/>
        </w:rPr>
        <w:t>包装上正确标明“正本”“副本”字样</w:t>
      </w:r>
      <w:r>
        <w:rPr>
          <w:rFonts w:hint="eastAsia"/>
          <w:lang w:eastAsia="zh-CN"/>
        </w:rPr>
        <w:t>。</w:t>
      </w:r>
      <w:r>
        <w:rPr>
          <w:rFonts w:hint="eastAsia"/>
        </w:rPr>
        <w:t>若项目分包</w:t>
      </w:r>
      <w:r>
        <w:rPr>
          <w:rFonts w:hint="eastAsia"/>
          <w:lang w:eastAsia="zh-CN"/>
        </w:rPr>
        <w:t>，</w:t>
      </w:r>
      <w:r>
        <w:rPr>
          <w:rFonts w:hint="eastAsia"/>
        </w:rPr>
        <w:t>投标人参加多个包号投标的</w:t>
      </w:r>
      <w:r>
        <w:rPr>
          <w:rFonts w:hint="eastAsia"/>
          <w:lang w:eastAsia="zh-CN"/>
        </w:rPr>
        <w:t>，</w:t>
      </w:r>
      <w:r>
        <w:rPr>
          <w:rFonts w:hint="eastAsia"/>
        </w:rPr>
        <w:t>投标文件按包号分别密封和标示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15.2</w:t>
      </w:r>
      <w:r>
        <w:rPr>
          <w:rFonts w:hint="eastAsia"/>
        </w:rPr>
        <w:t>如果包装未按规定标记并密封</w:t>
      </w:r>
      <w:r>
        <w:rPr>
          <w:rFonts w:hint="eastAsia"/>
          <w:lang w:eastAsia="zh-CN"/>
        </w:rPr>
        <w:t>，</w:t>
      </w:r>
      <w:r>
        <w:rPr>
          <w:rFonts w:hint="eastAsia"/>
        </w:rPr>
        <w:t>招标人或招标代理机构将不承担错放或</w:t>
      </w:r>
      <w:r>
        <w:rPr>
          <w:rFonts w:hint="eastAsia"/>
          <w:lang w:val="en-US" w:eastAsia="zh-CN"/>
        </w:rPr>
        <w:t>提前启封的责任。</w:t>
      </w:r>
    </w:p>
    <w:bookmarkEnd w:id="151"/>
    <w:bookmarkEnd w:id="152"/>
    <w:bookmarkEnd w:id="153"/>
    <w:bookmarkEnd w:id="154"/>
    <w:bookmarkEnd w:id="155"/>
    <w:bookmarkEnd w:id="156"/>
    <w:bookmarkEnd w:id="15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rPr>
        <w:t>提交投标文件的截止日期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16.1投标文件应于规定的投标截止日期之前送达规定的地点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16.2招标人和招标代理机构可以依照法律规定延长投标截止期</w:t>
      </w:r>
      <w:r>
        <w:rPr>
          <w:rFonts w:hint="eastAsia"/>
          <w:lang w:eastAsia="zh-CN"/>
        </w:rPr>
        <w:t>。</w:t>
      </w:r>
      <w:r>
        <w:rPr>
          <w:rFonts w:hint="eastAsia"/>
        </w:rPr>
        <w:t>在此情况下招标代理机构和投标人受投标截止期制约的所有权利和义务均应延长至新的截止日期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16.3招标人和招标代理机构将拒绝并退回在投标截止期后收到的任何投标文件</w:t>
      </w:r>
      <w:r>
        <w:rPr>
          <w:rFonts w:hint="eastAsia" w:asciiTheme="minorHAnsi" w:hAnsiTheme="minorHAnsi" w:cstheme="minorBidi"/>
          <w:kern w:val="2"/>
          <w:sz w:val="21"/>
          <w:szCs w:val="24"/>
          <w:lang w:val="en-US" w:eastAsia="zh-CN" w:bidi="ar-SA"/>
        </w:rPr>
        <w:t>。</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6996945"/>
      <w:bookmarkStart w:id="159" w:name="_Toc296602446"/>
      <w:bookmarkStart w:id="160" w:name="_Toc247085716"/>
      <w:bookmarkStart w:id="161" w:name="_Toc152045558"/>
      <w:bookmarkStart w:id="162" w:name="_Toc179632576"/>
      <w:bookmarkStart w:id="163" w:name="_Toc144974526"/>
      <w:bookmarkStart w:id="164" w:name="_Toc152042334"/>
      <w:bookmarkStart w:id="165" w:name="_Toc246996202"/>
      <w:r>
        <w:rPr>
          <w:rFonts w:hint="eastAsia"/>
          <w:lang w:val="en-US" w:eastAsia="zh-CN"/>
        </w:rPr>
        <w:t>17.</w:t>
      </w:r>
      <w:r>
        <w:rPr>
          <w:rFonts w:hint="eastAsia"/>
        </w:rPr>
        <w:t>投标文件的修改与撤回</w:t>
      </w:r>
      <w:bookmarkEnd w:id="158"/>
      <w:bookmarkEnd w:id="159"/>
      <w:bookmarkEnd w:id="160"/>
      <w:bookmarkEnd w:id="161"/>
      <w:bookmarkEnd w:id="162"/>
      <w:bookmarkEnd w:id="163"/>
      <w:bookmarkEnd w:id="164"/>
      <w:bookmarkEnd w:id="165"/>
    </w:p>
    <w:p w14:paraId="05BF97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17.1投标人在提交投标文件后</w:t>
      </w:r>
      <w:r>
        <w:rPr>
          <w:rFonts w:hint="eastAsia"/>
          <w:lang w:eastAsia="zh-CN"/>
        </w:rPr>
        <w:t>，</w:t>
      </w:r>
      <w:r>
        <w:rPr>
          <w:rFonts w:hint="eastAsia"/>
        </w:rPr>
        <w:t>可以修改或撤回其投标</w:t>
      </w:r>
      <w:r>
        <w:rPr>
          <w:rFonts w:hint="eastAsia"/>
          <w:lang w:eastAsia="zh-CN"/>
        </w:rPr>
        <w:t>，</w:t>
      </w:r>
      <w:r>
        <w:rPr>
          <w:rFonts w:hint="eastAsia"/>
        </w:rPr>
        <w:t>但这种修改和撤回，必须在规定的投标截止时间前</w:t>
      </w:r>
      <w:r>
        <w:rPr>
          <w:rFonts w:hint="eastAsia"/>
          <w:lang w:eastAsia="zh-CN"/>
        </w:rPr>
        <w:t>，</w:t>
      </w:r>
      <w:r>
        <w:rPr>
          <w:rFonts w:hint="eastAsia"/>
        </w:rPr>
        <w:t>并以书面形式通知招标代理机构</w:t>
      </w:r>
      <w:r>
        <w:rPr>
          <w:rFonts w:hint="eastAsia"/>
          <w:lang w:eastAsia="zh-CN"/>
        </w:rPr>
        <w:t>。</w:t>
      </w:r>
      <w:r>
        <w:rPr>
          <w:rFonts w:hint="eastAsia"/>
        </w:rPr>
        <w:t>在投标截止时间后</w:t>
      </w:r>
      <w:r>
        <w:rPr>
          <w:rFonts w:hint="eastAsia"/>
          <w:lang w:eastAsia="zh-CN"/>
        </w:rPr>
        <w:t>，</w:t>
      </w:r>
      <w:r>
        <w:rPr>
          <w:rFonts w:hint="eastAsia"/>
        </w:rPr>
        <w:t>投标人不得再要求修改或撤销其投标文件</w:t>
      </w:r>
      <w:r>
        <w:rPr>
          <w:rFonts w:hint="eastAsia"/>
          <w:lang w:eastAsia="zh-CN"/>
        </w:rPr>
        <w:t>。</w:t>
      </w:r>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17.2投标人的修改或撤回通知应按照投标人须知相关的规定</w:t>
      </w:r>
      <w:r>
        <w:rPr>
          <w:rFonts w:hint="eastAsia"/>
          <w:lang w:eastAsia="zh-CN"/>
        </w:rPr>
        <w:t>，</w:t>
      </w:r>
      <w:r>
        <w:rPr>
          <w:rFonts w:hint="eastAsia"/>
        </w:rPr>
        <w:t>进行编制、签章、密封、标记和提交</w:t>
      </w:r>
      <w:r>
        <w:rPr>
          <w:rFonts w:hint="eastAsia"/>
          <w:lang w:eastAsia="zh-CN"/>
        </w:rPr>
        <w:t>，</w:t>
      </w:r>
      <w:r>
        <w:rPr>
          <w:rFonts w:hint="eastAsia"/>
        </w:rPr>
        <w:t>并在外装信封上明显标明“投标文件修改书’或“投标文件撤回通知”字样</w:t>
      </w:r>
      <w:r>
        <w:rPr>
          <w:rFonts w:hint="eastAsia"/>
          <w:lang w:eastAsia="zh-CN"/>
        </w:rPr>
        <w:t>。</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17.3从投标截止期至投标文件有效期结束为止</w:t>
      </w:r>
      <w:r>
        <w:rPr>
          <w:rFonts w:hint="eastAsia"/>
          <w:lang w:eastAsia="zh-CN"/>
        </w:rPr>
        <w:t>，</w:t>
      </w:r>
      <w:r>
        <w:rPr>
          <w:rFonts w:hint="eastAsia"/>
        </w:rPr>
        <w:t>投标人不得撤销其投标，否则将不予退还其投标担保</w:t>
      </w:r>
      <w:r>
        <w:rPr>
          <w:rFonts w:hint="eastAsia"/>
          <w:lang w:eastAsia="zh-CN"/>
        </w:rPr>
        <w:t>。</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7085717"/>
      <w:bookmarkStart w:id="167" w:name="_Toc296602447"/>
      <w:bookmarkStart w:id="168" w:name="_Toc144974527"/>
      <w:bookmarkStart w:id="169" w:name="_Toc246996203"/>
      <w:bookmarkStart w:id="170" w:name="_Toc246996946"/>
      <w:bookmarkStart w:id="171" w:name="_Toc152045559"/>
      <w:bookmarkStart w:id="172" w:name="_Toc179632577"/>
      <w:bookmarkStart w:id="173" w:name="_Toc152042335"/>
      <w:r>
        <w:rPr>
          <w:rFonts w:hint="eastAsia"/>
          <w:lang w:val="en-US" w:eastAsia="zh-CN"/>
        </w:rPr>
        <w:t>五</w:t>
      </w:r>
      <w:r>
        <w:rPr>
          <w:rFonts w:hint="eastAsia"/>
          <w:lang w:eastAsia="zh-CN"/>
        </w:rPr>
        <w:t>、</w:t>
      </w:r>
      <w:r>
        <w:rPr>
          <w:rFonts w:hint="eastAsia"/>
        </w:rPr>
        <w:t>开标</w:t>
      </w:r>
      <w:bookmarkEnd w:id="166"/>
      <w:bookmarkEnd w:id="167"/>
      <w:bookmarkEnd w:id="168"/>
      <w:bookmarkEnd w:id="169"/>
      <w:bookmarkEnd w:id="170"/>
      <w:bookmarkEnd w:id="171"/>
      <w:bookmarkEnd w:id="172"/>
      <w:bookmarkEnd w:id="173"/>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152045560"/>
      <w:bookmarkStart w:id="175" w:name="_Toc246996947"/>
      <w:bookmarkStart w:id="176" w:name="_Toc179632578"/>
      <w:bookmarkStart w:id="177" w:name="_Toc152042336"/>
      <w:bookmarkStart w:id="178" w:name="_Toc246996204"/>
      <w:bookmarkStart w:id="179" w:name="_Toc144974528"/>
      <w:bookmarkStart w:id="180" w:name="_Toc247085718"/>
      <w:bookmarkStart w:id="181" w:name="_Toc296602448"/>
      <w:r>
        <w:rPr>
          <w:rFonts w:hint="eastAsia"/>
          <w:lang w:val="en-US" w:eastAsia="zh-CN"/>
        </w:rPr>
        <w:t>18.</w:t>
      </w:r>
      <w:r>
        <w:rPr>
          <w:rFonts w:hint="eastAsia"/>
        </w:rPr>
        <w:t>开标时间和地点</w:t>
      </w:r>
      <w:bookmarkEnd w:id="174"/>
      <w:bookmarkEnd w:id="175"/>
      <w:bookmarkEnd w:id="176"/>
      <w:bookmarkEnd w:id="177"/>
      <w:bookmarkEnd w:id="178"/>
      <w:bookmarkEnd w:id="179"/>
      <w:bookmarkEnd w:id="180"/>
      <w:bookmarkEnd w:id="18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18.1招标代理机构在投标人须知前附表规定的时间和地点公开开标</w:t>
      </w:r>
      <w:r>
        <w:rPr>
          <w:rFonts w:hint="eastAsia"/>
          <w:lang w:eastAsia="zh-CN"/>
        </w:rPr>
        <w:t>。</w:t>
      </w:r>
      <w:r>
        <w:rPr>
          <w:rFonts w:hint="eastAsia"/>
        </w:rPr>
        <w:t>出席开标仪式的投标人的授权代表携带身份证明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在评审结束前，未得到招标人或招标代理机构的允许</w:t>
      </w:r>
      <w:r>
        <w:rPr>
          <w:rFonts w:hint="eastAsia"/>
          <w:lang w:eastAsia="zh-CN"/>
        </w:rPr>
        <w:t>，</w:t>
      </w:r>
      <w:r>
        <w:rPr>
          <w:rFonts w:hint="eastAsia"/>
        </w:rPr>
        <w:t>投标人授权代表不得离开开标现场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18.2在开标时</w:t>
      </w:r>
      <w:r>
        <w:rPr>
          <w:rFonts w:hint="eastAsia"/>
          <w:lang w:eastAsia="zh-CN"/>
        </w:rPr>
        <w:t>，</w:t>
      </w:r>
      <w:r>
        <w:rPr>
          <w:rFonts w:hint="eastAsia"/>
        </w:rPr>
        <w:t>招标代理机构宣读投标人名称、投标价格</w:t>
      </w:r>
      <w:r>
        <w:rPr>
          <w:rFonts w:hint="eastAsia"/>
          <w:lang w:eastAsia="zh-CN"/>
        </w:rPr>
        <w:t>，</w:t>
      </w:r>
      <w:r>
        <w:rPr>
          <w:rFonts w:hint="eastAsia"/>
        </w:rPr>
        <w:t>以及招标代理机构认为合适的其他内容</w:t>
      </w:r>
      <w:r>
        <w:rPr>
          <w:rFonts w:hint="eastAsia"/>
          <w:lang w:eastAsia="zh-CN"/>
        </w:rPr>
        <w:t>。</w:t>
      </w:r>
      <w:r>
        <w:rPr>
          <w:rFonts w:hint="eastAsia"/>
        </w:rPr>
        <w:t>开标结束后</w:t>
      </w:r>
      <w:r>
        <w:rPr>
          <w:rFonts w:hint="eastAsia"/>
          <w:lang w:eastAsia="zh-CN"/>
        </w:rPr>
        <w:t>，</w:t>
      </w:r>
      <w:r>
        <w:rPr>
          <w:rFonts w:hint="eastAsia"/>
        </w:rPr>
        <w:t>所有被开封唱标的投标文件</w:t>
      </w:r>
      <w:r>
        <w:rPr>
          <w:rFonts w:hint="eastAsia"/>
          <w:lang w:eastAsia="zh-CN"/>
        </w:rPr>
        <w:t>，</w:t>
      </w:r>
      <w:r>
        <w:rPr>
          <w:rFonts w:hint="eastAsia"/>
        </w:rPr>
        <w:t>均提交评标委员会评审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6996205"/>
      <w:bookmarkStart w:id="183" w:name="_Toc246996948"/>
      <w:bookmarkStart w:id="184" w:name="_Toc152045561"/>
      <w:bookmarkStart w:id="185" w:name="_Toc179632579"/>
      <w:bookmarkStart w:id="186" w:name="_Toc152042337"/>
      <w:bookmarkStart w:id="187" w:name="_Toc296602449"/>
      <w:bookmarkStart w:id="188" w:name="_Toc247085719"/>
      <w:bookmarkStart w:id="189" w:name="_Toc144974529"/>
      <w:r>
        <w:rPr>
          <w:rFonts w:hint="eastAsia"/>
          <w:lang w:val="en-US" w:eastAsia="zh-CN"/>
        </w:rPr>
        <w:t>19.</w:t>
      </w:r>
      <w:r>
        <w:rPr>
          <w:rFonts w:hint="eastAsia"/>
        </w:rPr>
        <w:t>开标程序</w:t>
      </w:r>
      <w:bookmarkEnd w:id="182"/>
      <w:bookmarkEnd w:id="183"/>
      <w:bookmarkEnd w:id="184"/>
      <w:bookmarkEnd w:id="185"/>
      <w:bookmarkEnd w:id="186"/>
      <w:bookmarkEnd w:id="187"/>
      <w:bookmarkEnd w:id="188"/>
      <w:bookmarkEnd w:id="18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19.1评标由依照有关规定组建的评标委员会负责。评标委员会将按照招标文件确定的方法进行评审。在详细评审之前，评标委员会将判定每个投标文件是否完以及是否实质性响应了招标文件的要求。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19.2评标委员会成员有下列情形之一的，应当回避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w:t>
      </w:r>
      <w:r>
        <w:rPr>
          <w:rFonts w:hint="default" w:eastAsiaTheme="minorEastAsia"/>
          <w:lang w:val="en-US" w:eastAsia="zh-CN"/>
        </w:rPr>
        <w:t>投标人或投标人主要负责人的近亲属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与投标人有经济利益关系</w:t>
      </w:r>
      <w:r>
        <w:rPr>
          <w:rFonts w:hint="eastAsia"/>
          <w:lang w:val="en-US" w:eastAsia="zh-CN"/>
        </w:rPr>
        <w:t>，</w:t>
      </w:r>
      <w:r>
        <w:rPr>
          <w:rFonts w:hint="default" w:eastAsiaTheme="minorEastAsia"/>
          <w:lang w:val="en-US" w:eastAsia="zh-CN"/>
        </w:rPr>
        <w:t>可能影响对投标公正评审的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曾因在招标、评标以及其他与招标投标有关活动中从事违法行为而受过谷政处罚或刑事处罚的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与投标人有其他利害关系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19.3评标过程中</w:t>
      </w:r>
      <w:r>
        <w:rPr>
          <w:rFonts w:hint="eastAsia"/>
          <w:lang w:val="en-US" w:eastAsia="zh-CN"/>
        </w:rPr>
        <w:t>，</w:t>
      </w:r>
      <w:r>
        <w:rPr>
          <w:rFonts w:hint="default" w:eastAsiaTheme="minorEastAsia"/>
          <w:lang w:val="en-US" w:eastAsia="zh-CN"/>
        </w:rPr>
        <w:t>评标委员会成员有回避事由、擅离职守或者因健康等原因不能继续评标的</w:t>
      </w:r>
      <w:r>
        <w:rPr>
          <w:rFonts w:hint="eastAsia"/>
          <w:lang w:val="en-US" w:eastAsia="zh-CN"/>
        </w:rPr>
        <w:t>，</w:t>
      </w:r>
      <w:r>
        <w:rPr>
          <w:rFonts w:hint="default" w:eastAsiaTheme="minorEastAsia"/>
          <w:lang w:val="en-US" w:eastAsia="zh-CN"/>
        </w:rPr>
        <w:t>招标人有权更换</w:t>
      </w:r>
      <w:r>
        <w:rPr>
          <w:rFonts w:hint="eastAsia"/>
          <w:lang w:val="en-US" w:eastAsia="zh-CN"/>
        </w:rPr>
        <w:t>。</w:t>
      </w:r>
      <w:r>
        <w:rPr>
          <w:rFonts w:hint="default" w:eastAsiaTheme="minorEastAsia"/>
          <w:lang w:val="en-US" w:eastAsia="zh-CN"/>
        </w:rPr>
        <w:t>被更换的评标委员会成员作出的评审结论无效</w:t>
      </w:r>
      <w:r>
        <w:rPr>
          <w:rFonts w:hint="eastAsia"/>
          <w:lang w:val="en-US" w:eastAsia="zh-CN"/>
        </w:rPr>
        <w:t>，</w:t>
      </w:r>
      <w:r>
        <w:rPr>
          <w:rFonts w:hint="default" w:eastAsiaTheme="minorEastAsia"/>
          <w:lang w:val="en-US" w:eastAsia="zh-CN"/>
        </w:rPr>
        <w:t>更换后的评标委员会成员重新进行评审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19.4评标委员会对投标文件响应性的判定基于投标文件本身的内容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即使投标人开标时携带了材料的原件</w:t>
      </w:r>
      <w:r>
        <w:rPr>
          <w:rFonts w:hint="eastAsia"/>
          <w:lang w:val="en-US" w:eastAsia="zh-CN"/>
        </w:rPr>
        <w:t>，</w:t>
      </w:r>
      <w:r>
        <w:rPr>
          <w:rFonts w:hint="default" w:eastAsiaTheme="minorEastAsia"/>
          <w:lang w:val="en-US" w:eastAsia="zh-CN"/>
        </w:rPr>
        <w:t>但在投标文件</w:t>
      </w:r>
      <w:r>
        <w:rPr>
          <w:rFonts w:hint="eastAsia"/>
          <w:lang w:val="en-US" w:eastAsia="zh-CN"/>
        </w:rPr>
        <w:t>中</w:t>
      </w:r>
      <w:r>
        <w:rPr>
          <w:rFonts w:hint="default" w:eastAsiaTheme="minorEastAsia"/>
          <w:lang w:val="en-US" w:eastAsia="zh-CN"/>
        </w:rPr>
        <w:t>未提供与之内容完全一致的复制件的</w:t>
      </w:r>
      <w:r>
        <w:rPr>
          <w:rFonts w:hint="eastAsia"/>
          <w:lang w:val="en-US" w:eastAsia="zh-CN"/>
        </w:rPr>
        <w:t>，</w:t>
      </w:r>
      <w:r>
        <w:rPr>
          <w:rFonts w:hint="default" w:eastAsiaTheme="minorEastAsia"/>
          <w:lang w:val="en-US" w:eastAsia="zh-CN"/>
        </w:rPr>
        <w:t>评标委员会可视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19.5如果投标没有实质性响应招标文件的要求</w:t>
      </w:r>
      <w:r>
        <w:rPr>
          <w:rFonts w:hint="eastAsia"/>
          <w:lang w:val="en-US" w:eastAsia="zh-CN"/>
        </w:rPr>
        <w:t>，</w:t>
      </w:r>
      <w:r>
        <w:rPr>
          <w:rFonts w:hint="default" w:eastAsiaTheme="minorEastAsia"/>
          <w:lang w:val="en-US" w:eastAsia="zh-CN"/>
        </w:rPr>
        <w:t>其投标将被否决</w:t>
      </w:r>
      <w:r>
        <w:rPr>
          <w:rFonts w:hint="eastAsia"/>
          <w:lang w:val="en-US" w:eastAsia="zh-CN"/>
        </w:rPr>
        <w:t>。</w:t>
      </w:r>
      <w:r>
        <w:rPr>
          <w:rFonts w:hint="default" w:eastAsiaTheme="minorEastAsia"/>
          <w:lang w:val="en-US" w:eastAsia="zh-CN"/>
        </w:rPr>
        <w:t>投标人不</w:t>
      </w:r>
      <w:r>
        <w:rPr>
          <w:rFonts w:hint="eastAsia"/>
          <w:lang w:val="en-US" w:eastAsia="zh-CN"/>
        </w:rPr>
        <w:t>得</w:t>
      </w:r>
      <w:r>
        <w:rPr>
          <w:rFonts w:hint="default" w:eastAsiaTheme="minorEastAsia"/>
          <w:lang w:val="en-US" w:eastAsia="zh-CN"/>
        </w:rPr>
        <w:t>通过修正或撤销不合要求的偏离或保留从而使其投标成为实质性响应的投标</w:t>
      </w:r>
      <w:r>
        <w:rPr>
          <w:rFonts w:hint="eastAsia"/>
          <w:lang w:val="en-US" w:eastAsia="zh-CN"/>
        </w:rPr>
        <w:t>。</w:t>
      </w:r>
      <w:r>
        <w:rPr>
          <w:rFonts w:hint="default" w:eastAsiaTheme="minorEastAsia"/>
          <w:lang w:val="en-US" w:eastAsia="zh-CN"/>
        </w:rPr>
        <w:t>如现有下列情形之一的，其投标将被否决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（1）投标人未提交投标担保或提交的担保不符合招标文件要求的：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（2）资格和资质证明文件不全的或不满足招标文件的资格要求的：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（4）投标文件商务和技术条款有重大偏离的；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（5）未提供招标文件要求的相关评审材料或格式文件造成重大影响无法审的；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（6）投标文件提供虚假材料的；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（7）投标文件附有招标人不能接受的条件的；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（8）评标委员会发现投标人的报价明显低于其他投标报价，而投标人不能合说明或者不能提供相关证明材料，由评标委员会认定该投标人以影响履约的异常价进行报价竞标的；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（9）不符合招标文件中规定的其他实质性要求的；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（10）在评标过程中，评标委员会发现投标人以他人的名义投标、串通投标、以行贿手段谋取中标或者以其他弄虚作假方式投标的；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（11）法律法规规定的其他否决投标的情形。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19.6评标委员会只对在初审中确定为实质性响应的投标文件进行进一步的详细评审。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19.7出现下列情况之一时，评标委员会有权宣布废标：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（1）有效投标人数量不足，导致本次招标缺乏竞争的；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（3）投标人的报价均超过了采购预算，招标人不能支付的；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20.</w:t>
      </w:r>
      <w:r>
        <w:rPr>
          <w:rFonts w:hint="eastAsia"/>
        </w:rPr>
        <w:t>投标文件的澄清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20.1对于投标文件中含义不明确、同类问题表述不一致或者有明显文字和计算错误的内容</w:t>
      </w:r>
      <w:r>
        <w:rPr>
          <w:rFonts w:hint="eastAsia"/>
          <w:lang w:eastAsia="zh-CN"/>
        </w:rPr>
        <w:t>，</w:t>
      </w:r>
      <w:r>
        <w:rPr>
          <w:rFonts w:hint="eastAsia"/>
        </w:rPr>
        <w:t>评标委员会应当以书面形式要求投标人作出必要的澄清、说明或者补正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20.2投标人的澄清、说明或者补正应当采用书面形式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w:t>
      </w:r>
      <w:r>
        <w:rPr>
          <w:rFonts w:hint="eastAsia"/>
        </w:rPr>
        <w:t>投标人的澄清、说明或者补正不得超出投标文件的范围或者改变投标文件的实质性内容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152042339"/>
      <w:bookmarkStart w:id="191" w:name="_Toc152045563"/>
      <w:bookmarkStart w:id="192" w:name="_Toc246996950"/>
      <w:bookmarkStart w:id="193" w:name="_Toc144974531"/>
      <w:bookmarkStart w:id="194" w:name="_Toc247085721"/>
      <w:bookmarkStart w:id="195" w:name="_Toc179632581"/>
      <w:bookmarkStart w:id="196" w:name="_Toc246996207"/>
      <w:bookmarkStart w:id="197" w:name="_Toc296602452"/>
      <w:r>
        <w:rPr>
          <w:rFonts w:hint="eastAsia"/>
          <w:lang w:val="en-US" w:eastAsia="zh-CN"/>
        </w:rPr>
        <w:t>21.</w:t>
      </w:r>
      <w:bookmarkEnd w:id="190"/>
      <w:bookmarkEnd w:id="191"/>
      <w:bookmarkEnd w:id="192"/>
      <w:bookmarkEnd w:id="193"/>
      <w:bookmarkEnd w:id="194"/>
      <w:bookmarkEnd w:id="195"/>
      <w:bookmarkEnd w:id="196"/>
      <w:bookmarkEnd w:id="197"/>
      <w:r>
        <w:rPr>
          <w:rFonts w:hint="eastAsia"/>
        </w:rPr>
        <w:t>投标文件的详细评审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21.1在初步评审中</w:t>
      </w:r>
      <w:r>
        <w:rPr>
          <w:rFonts w:hint="eastAsia"/>
          <w:lang w:eastAsia="zh-CN"/>
        </w:rPr>
        <w:t>，</w:t>
      </w:r>
      <w:r>
        <w:rPr>
          <w:rFonts w:hint="eastAsia"/>
        </w:rPr>
        <w:t>若评标委员会成员对同一投标人的评审结论不一致的</w:t>
      </w:r>
      <w:r>
        <w:rPr>
          <w:rFonts w:hint="eastAsia"/>
          <w:lang w:eastAsia="zh-CN"/>
        </w:rPr>
        <w:t>，</w:t>
      </w:r>
      <w:r>
        <w:rPr>
          <w:rFonts w:hint="eastAsia"/>
        </w:rPr>
        <w:t>按照少数服从多数原则确定最终初步评审结论</w:t>
      </w:r>
      <w:r>
        <w:rPr>
          <w:rFonts w:hint="eastAsia"/>
          <w:lang w:eastAsia="zh-CN"/>
        </w:rPr>
        <w:t>。</w:t>
      </w:r>
      <w:r>
        <w:rPr>
          <w:rFonts w:hint="eastAsia"/>
        </w:rPr>
        <w:t>评标委员会只对通过初步评审的投标文件进行详细评审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21.2投标人投标报价修正</w:t>
      </w:r>
      <w:r>
        <w:rPr>
          <w:rFonts w:hint="eastAsia"/>
          <w:lang w:eastAsia="zh-CN"/>
        </w:rPr>
        <w:t>。</w:t>
      </w:r>
      <w:r>
        <w:rPr>
          <w:rFonts w:hint="eastAsia"/>
        </w:rPr>
        <w:t>由评标委员会根据招标文件的要求，以招标文件规定的</w:t>
      </w:r>
      <w:r>
        <w:rPr>
          <w:rFonts w:hint="eastAsia"/>
          <w:lang w:val="en-US" w:eastAsia="zh-CN"/>
        </w:rPr>
        <w:t>招标</w:t>
      </w:r>
      <w:r>
        <w:rPr>
          <w:rFonts w:hint="eastAsia"/>
        </w:rPr>
        <w:t>范围为基准</w:t>
      </w:r>
      <w:r>
        <w:rPr>
          <w:rFonts w:hint="eastAsia"/>
          <w:lang w:eastAsia="zh-CN"/>
        </w:rPr>
        <w:t>，</w:t>
      </w:r>
      <w:r>
        <w:rPr>
          <w:rFonts w:hint="eastAsia"/>
        </w:rPr>
        <w:t>对各投标人的报价内容和范围进行核定</w:t>
      </w:r>
      <w:r>
        <w:rPr>
          <w:rFonts w:hint="eastAsia"/>
          <w:lang w:eastAsia="zh-CN"/>
        </w:rPr>
        <w:t>，</w:t>
      </w:r>
      <w:r>
        <w:rPr>
          <w:rFonts w:hint="eastAsia"/>
        </w:rPr>
        <w:t>以确定其投标报价总价的合理性和有效性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投标人缺报、漏报项的，</w:t>
      </w:r>
      <w:r>
        <w:rPr>
          <w:rFonts w:hint="eastAsia"/>
        </w:rPr>
        <w:t>将以其他投标人所报该项目的最高价增加该投标人的</w:t>
      </w:r>
      <w:r>
        <w:rPr>
          <w:rFonts w:hint="eastAsia"/>
          <w:lang w:val="en-US" w:eastAsia="zh-CN"/>
        </w:rPr>
        <w:t>评标价。该评标</w:t>
      </w:r>
      <w:r>
        <w:rPr>
          <w:rFonts w:hint="eastAsia"/>
        </w:rPr>
        <w:t>价</w:t>
      </w:r>
      <w:r>
        <w:rPr>
          <w:rFonts w:hint="eastAsia"/>
          <w:lang w:val="en-US" w:eastAsia="zh-CN"/>
        </w:rPr>
        <w:t>仅</w:t>
      </w:r>
      <w:r>
        <w:rPr>
          <w:rFonts w:hint="eastAsia"/>
        </w:rPr>
        <w:t>为</w:t>
      </w:r>
      <w:r>
        <w:rPr>
          <w:rFonts w:hint="eastAsia"/>
          <w:lang w:val="en-US" w:eastAsia="zh-CN"/>
        </w:rPr>
        <w:t>评标</w:t>
      </w:r>
      <w:r>
        <w:rPr>
          <w:rFonts w:hint="eastAsia"/>
        </w:rPr>
        <w:t>比较之用，投标人的投标价仍然不变</w:t>
      </w:r>
      <w:r>
        <w:rPr>
          <w:rFonts w:hint="eastAsia"/>
          <w:lang w:eastAsia="zh-CN"/>
        </w:rPr>
        <w:t>。</w:t>
      </w:r>
      <w:r>
        <w:rPr>
          <w:rFonts w:hint="eastAsia"/>
        </w:rPr>
        <w:t>若投标人提供了</w:t>
      </w:r>
      <w:r>
        <w:rPr>
          <w:rFonts w:hint="eastAsia"/>
          <w:lang w:val="en-US" w:eastAsia="zh-CN"/>
        </w:rPr>
        <w:t>超过招标文件要求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评审后的投标报价总价作为价格评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w:t>
      </w:r>
      <w:r>
        <w:rPr>
          <w:rFonts w:hint="eastAsia"/>
          <w:lang w:eastAsia="zh-CN"/>
        </w:rPr>
        <w:t>.</w:t>
      </w:r>
      <w:r>
        <w:rPr>
          <w:rFonts w:hint="eastAsia"/>
        </w:rPr>
        <w:t>3投标文件报价出现前后不一致的</w:t>
      </w:r>
      <w:r>
        <w:rPr>
          <w:rFonts w:hint="eastAsia"/>
          <w:lang w:eastAsia="zh-CN"/>
        </w:rPr>
        <w:t>，</w:t>
      </w:r>
      <w:r>
        <w:rPr>
          <w:rFonts w:hint="eastAsia"/>
        </w:rPr>
        <w:t>除投标人须知前附表另有规定外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投标文件中开标一览表</w:t>
      </w:r>
      <w:r>
        <w:rPr>
          <w:rFonts w:hint="eastAsia"/>
          <w:lang w:eastAsia="zh-CN"/>
        </w:rPr>
        <w:t>（</w:t>
      </w:r>
      <w:r>
        <w:rPr>
          <w:rFonts w:hint="eastAsia"/>
        </w:rPr>
        <w:t>报价表</w:t>
      </w:r>
      <w:r>
        <w:rPr>
          <w:rFonts w:hint="eastAsia"/>
          <w:lang w:eastAsia="zh-CN"/>
        </w:rPr>
        <w:t>）</w:t>
      </w:r>
      <w:r>
        <w:rPr>
          <w:rFonts w:hint="eastAsia"/>
        </w:rPr>
        <w:t>内容与投标文件中相应内容不一致的</w:t>
      </w:r>
      <w:r>
        <w:rPr>
          <w:rFonts w:hint="eastAsia"/>
          <w:lang w:eastAsia="zh-CN"/>
        </w:rPr>
        <w:t>，</w:t>
      </w:r>
      <w:r>
        <w:rPr>
          <w:rFonts w:hint="eastAsia"/>
        </w:rPr>
        <w:t>下列规定修正</w:t>
      </w:r>
      <w:r>
        <w:rPr>
          <w:rFonts w:hint="eastAsia"/>
          <w:lang w:eastAsia="zh-CN"/>
        </w:rPr>
        <w:t>：</w:t>
      </w:r>
      <w:r>
        <w:rPr>
          <w:rFonts w:hint="eastAsia"/>
        </w:rPr>
        <w:t>开标一览表</w:t>
      </w:r>
      <w:r>
        <w:rPr>
          <w:rFonts w:hint="eastAsia"/>
          <w:lang w:eastAsia="zh-CN"/>
        </w:rPr>
        <w:t>（</w:t>
      </w:r>
      <w:r>
        <w:rPr>
          <w:rFonts w:hint="eastAsia"/>
        </w:rPr>
        <w:t>报价表</w:t>
      </w:r>
      <w:r>
        <w:rPr>
          <w:rFonts w:hint="eastAsia"/>
          <w:lang w:eastAsia="zh-CN"/>
        </w:rPr>
        <w:t>）</w:t>
      </w:r>
      <w:r>
        <w:rPr>
          <w:rFonts w:hint="eastAsia"/>
        </w:rPr>
        <w:t>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以开标一览表的总价为准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修正后的报价经投标人确认后产生约束力</w:t>
      </w:r>
      <w:r>
        <w:rPr>
          <w:rFonts w:hint="eastAsia"/>
          <w:lang w:eastAsia="zh-CN"/>
        </w:rPr>
        <w:t>，</w:t>
      </w:r>
      <w:r>
        <w:rPr>
          <w:rFonts w:hint="eastAsia"/>
        </w:rPr>
        <w:t>投标人不确认的</w:t>
      </w:r>
      <w:r>
        <w:rPr>
          <w:rFonts w:hint="eastAsia"/>
          <w:lang w:eastAsia="zh-CN"/>
        </w:rPr>
        <w:t>，</w:t>
      </w:r>
      <w:r>
        <w:rPr>
          <w:rFonts w:hint="eastAsia"/>
        </w:rPr>
        <w:t>其投标将被否决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21.4投标人不足3家处理预案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投标文件提交截止时间后投标人不足3家的</w:t>
      </w:r>
      <w:r>
        <w:rPr>
          <w:rFonts w:hint="eastAsia"/>
          <w:lang w:eastAsia="zh-CN"/>
        </w:rPr>
        <w:t>，</w:t>
      </w:r>
      <w:r>
        <w:rPr>
          <w:rFonts w:hint="eastAsia"/>
        </w:rPr>
        <w:t>招标人可以因</w:t>
      </w:r>
      <w:r>
        <w:rPr>
          <w:rFonts w:hint="eastAsia"/>
          <w:lang w:val="en-US" w:eastAsia="zh-CN"/>
        </w:rPr>
        <w:t>竞</w:t>
      </w:r>
      <w:r>
        <w:rPr>
          <w:rFonts w:hint="eastAsia"/>
        </w:rPr>
        <w:t>争性不足宣布流标</w:t>
      </w:r>
      <w:r>
        <w:rPr>
          <w:rFonts w:hint="eastAsia"/>
          <w:lang w:eastAsia="zh-CN"/>
        </w:rPr>
        <w:t>，</w:t>
      </w:r>
      <w:r>
        <w:rPr>
          <w:rFonts w:hint="eastAsia"/>
        </w:rPr>
        <w:t>或在征得现场投标人同意下转为其他采购方式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22.</w:t>
      </w:r>
      <w:r>
        <w:rPr>
          <w:rFonts w:hint="eastAsia"/>
        </w:rPr>
        <w:t>与招标人和招标代理机构的接触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22.1除按评标委员会要求的澄清外</w:t>
      </w:r>
      <w:r>
        <w:rPr>
          <w:rFonts w:hint="eastAsia"/>
          <w:lang w:eastAsia="zh-CN"/>
        </w:rPr>
        <w:t>，</w:t>
      </w:r>
      <w:r>
        <w:rPr>
          <w:rFonts w:hint="eastAsia"/>
        </w:rPr>
        <w:t>从开标到签署合同期间</w:t>
      </w:r>
      <w:r>
        <w:rPr>
          <w:rFonts w:hint="eastAsia"/>
          <w:lang w:eastAsia="zh-CN"/>
        </w:rPr>
        <w:t>，</w:t>
      </w:r>
      <w:r>
        <w:rPr>
          <w:rFonts w:hint="eastAsia"/>
        </w:rPr>
        <w:t>投标人不得就与其投标有关的任何事项与招标代理机构、招标人和评标委员会联系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22.2投标人试图对招标代理机构、招标人和评标委员会的评标、确定中标人或签署合同的决定进行影响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22.3.1如对招标文件内容有异议</w:t>
      </w:r>
      <w:r>
        <w:rPr>
          <w:rFonts w:hint="eastAsia"/>
          <w:lang w:eastAsia="zh-CN"/>
        </w:rPr>
        <w:t>，</w:t>
      </w:r>
      <w:r>
        <w:rPr>
          <w:rFonts w:hint="eastAsia"/>
        </w:rPr>
        <w:t>请在《投标人须知》前附表规定的时间前提出</w:t>
      </w:r>
      <w:r>
        <w:rPr>
          <w:rFonts w:hint="eastAsia"/>
          <w:lang w:eastAsia="zh-CN"/>
        </w:rPr>
        <w:t>。</w:t>
      </w:r>
      <w:r>
        <w:rPr>
          <w:rFonts w:hint="eastAsia"/>
        </w:rPr>
        <w:t>招标人及代理机构有权不接受逾期提出的异议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rPr>
        <w:t>22.3.2对开标环节有异议的</w:t>
      </w:r>
      <w:r>
        <w:rPr>
          <w:rFonts w:hint="eastAsia"/>
          <w:lang w:eastAsia="zh-CN"/>
        </w:rPr>
        <w:t>，</w:t>
      </w:r>
      <w:r>
        <w:rPr>
          <w:rFonts w:hint="eastAsia"/>
        </w:rPr>
        <w:t>投标人须在开评标现场提出</w:t>
      </w:r>
      <w:r>
        <w:rPr>
          <w:rFonts w:hint="eastAsia"/>
          <w:lang w:eastAsia="zh-CN"/>
        </w:rPr>
        <w:t>。</w:t>
      </w:r>
      <w:r>
        <w:rPr>
          <w:rFonts w:hint="eastAsia"/>
        </w:rPr>
        <w:t>相关环节结束后</w:t>
      </w:r>
      <w:r>
        <w:rPr>
          <w:rFonts w:hint="eastAsia"/>
          <w:lang w:eastAsia="zh-CN"/>
        </w:rPr>
        <w:t>，</w:t>
      </w:r>
      <w:r>
        <w:rPr>
          <w:rFonts w:hint="eastAsia"/>
          <w:lang w:val="en-US" w:eastAsia="zh-CN"/>
        </w:rPr>
        <w:t>招标人及招标代理机构将不接收对该环节提出的异议。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22.3.3各投标人的各细项评审内容、分项得分和总分均属于需保密的评标过程内容，招标人和招标代理机构无义务向各投标人公布。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22.3.7异议人有下列情形之一的，属于虚假、恶意异议，招标人和招标代理机构将驳回异议，将其列人不良行为记录名单，限制或拒绝其参加招标人和招标代理机构组织的采购活动，并视情况上报招标人采购主管部门或单位（包括招标人内部主管采购的部门、招标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8" w:name="_Toc247085724"/>
      <w:bookmarkStart w:id="199" w:name="_Toc152045566"/>
      <w:bookmarkStart w:id="200" w:name="_Toc296602455"/>
      <w:bookmarkStart w:id="201" w:name="_Toc246996210"/>
      <w:bookmarkStart w:id="202" w:name="_Toc152042342"/>
      <w:bookmarkStart w:id="203" w:name="_Toc144974534"/>
      <w:bookmarkStart w:id="204" w:name="_Toc246996953"/>
      <w:bookmarkStart w:id="205" w:name="_Toc179632584"/>
      <w:r>
        <w:rPr>
          <w:rFonts w:hint="eastAsia"/>
          <w:lang w:val="en-US" w:eastAsia="zh-CN"/>
        </w:rPr>
        <w:t>六</w:t>
      </w:r>
      <w:r>
        <w:rPr>
          <w:rFonts w:hint="eastAsia"/>
          <w:lang w:eastAsia="zh-CN"/>
        </w:rPr>
        <w:t>、</w:t>
      </w:r>
      <w:bookmarkEnd w:id="198"/>
      <w:bookmarkEnd w:id="199"/>
      <w:bookmarkEnd w:id="200"/>
      <w:bookmarkEnd w:id="201"/>
      <w:bookmarkEnd w:id="202"/>
      <w:bookmarkEnd w:id="203"/>
      <w:bookmarkEnd w:id="204"/>
      <w:bookmarkEnd w:id="205"/>
      <w:r>
        <w:rPr>
          <w:rFonts w:hint="eastAsia"/>
          <w:lang w:val="en-US" w:eastAsia="zh-CN"/>
        </w:rPr>
        <w:t>中标人确定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06" w:name="_Toc246996954"/>
      <w:bookmarkStart w:id="207" w:name="_Toc296602456"/>
      <w:bookmarkStart w:id="208" w:name="_Toc179632585"/>
      <w:bookmarkStart w:id="209" w:name="_Toc246996211"/>
      <w:bookmarkStart w:id="210" w:name="_Toc247085725"/>
      <w:bookmarkStart w:id="211" w:name="_Toc152042343"/>
      <w:bookmarkStart w:id="212" w:name="_Toc152045567"/>
      <w:bookmarkStart w:id="213" w:name="_Toc144974535"/>
      <w:r>
        <w:rPr>
          <w:rFonts w:hint="eastAsia"/>
          <w:lang w:val="en-US" w:eastAsia="zh-CN"/>
        </w:rPr>
        <w:t>23.</w:t>
      </w:r>
      <w:bookmarkEnd w:id="206"/>
      <w:bookmarkEnd w:id="207"/>
      <w:bookmarkEnd w:id="208"/>
      <w:bookmarkEnd w:id="209"/>
      <w:bookmarkEnd w:id="210"/>
      <w:bookmarkEnd w:id="211"/>
      <w:bookmarkEnd w:id="212"/>
      <w:bookmarkEnd w:id="213"/>
      <w:r>
        <w:rPr>
          <w:rFonts w:hint="eastAsia"/>
        </w:rPr>
        <w:t>审查确认</w:t>
      </w:r>
    </w:p>
    <w:p w14:paraId="54C3060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23.1中标候选人的经营、财务状况发生较大变化或者存在违法行为</w:t>
      </w:r>
      <w:r>
        <w:rPr>
          <w:rFonts w:hint="eastAsia"/>
          <w:lang w:eastAsia="zh-CN"/>
        </w:rPr>
        <w:t>，</w:t>
      </w:r>
      <w:r>
        <w:rPr>
          <w:rFonts w:hint="eastAsia"/>
        </w:rPr>
        <w:t>招标人认为可能影响其履约能力的</w:t>
      </w:r>
      <w:r>
        <w:rPr>
          <w:rFonts w:hint="eastAsia"/>
          <w:lang w:eastAsia="zh-CN"/>
        </w:rPr>
        <w:t>，</w:t>
      </w:r>
      <w:r>
        <w:rPr>
          <w:rFonts w:hint="eastAsia"/>
        </w:rPr>
        <w:t>应当在发出中标通知书前由原评标委员会按照招标文件规定的标准和方法审查确认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23.2如审查第一中标候选人不符合中标条件</w:t>
      </w:r>
      <w:r>
        <w:rPr>
          <w:rFonts w:hint="eastAsia"/>
          <w:lang w:eastAsia="zh-CN"/>
        </w:rPr>
        <w:t>，</w:t>
      </w:r>
      <w:r>
        <w:rPr>
          <w:rFonts w:hint="eastAsia"/>
        </w:rPr>
        <w:t>招标人有权取消其中标资格</w:t>
      </w:r>
      <w:r>
        <w:rPr>
          <w:rFonts w:hint="eastAsia"/>
          <w:lang w:eastAsia="zh-CN"/>
        </w:rPr>
        <w:t>，</w:t>
      </w:r>
      <w:r>
        <w:rPr>
          <w:rFonts w:hint="eastAsia"/>
        </w:rPr>
        <w:t>重新组织招标或者委托评标委员会按照排名依次审查确认其他中标候选人</w:t>
      </w:r>
      <w:r>
        <w:rPr>
          <w:rFonts w:hint="eastAsia"/>
          <w:lang w:eastAsia="zh-CN"/>
        </w:rPr>
        <w:t>。</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57"/>
      <w:r>
        <w:rPr>
          <w:rFonts w:hint="eastAsia"/>
          <w:lang w:val="en-US" w:eastAsia="zh-CN"/>
        </w:rPr>
        <w:t>24.</w:t>
      </w:r>
      <w:bookmarkEnd w:id="214"/>
      <w:r>
        <w:rPr>
          <w:rFonts w:hint="eastAsia"/>
        </w:rPr>
        <w:t>确定中标人的标准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评标委员会将根据招标文件确定的评分办法及评审标准对所有投标文件进行相同程序的评审和比较</w:t>
      </w:r>
      <w:r>
        <w:rPr>
          <w:rFonts w:hint="eastAsia"/>
          <w:lang w:eastAsia="zh-CN"/>
        </w:rPr>
        <w:t>，</w:t>
      </w:r>
      <w:r>
        <w:rPr>
          <w:rFonts w:hint="eastAsia"/>
        </w:rPr>
        <w:t>并根据评审结果推荐1~3名中标候选人</w:t>
      </w:r>
      <w:r>
        <w:rPr>
          <w:rFonts w:hint="eastAsia"/>
          <w:lang w:eastAsia="zh-CN"/>
        </w:rPr>
        <w:t>，</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5" w:name="_Toc247085726"/>
      <w:bookmarkStart w:id="216" w:name="_Toc179632586"/>
      <w:bookmarkStart w:id="217" w:name="_Toc246996955"/>
      <w:bookmarkStart w:id="218" w:name="_Toc152045568"/>
      <w:bookmarkStart w:id="219" w:name="_Toc296602458"/>
      <w:bookmarkStart w:id="220" w:name="_Toc144974536"/>
      <w:bookmarkStart w:id="221" w:name="_Toc152042344"/>
      <w:bookmarkStart w:id="222" w:name="_Toc246996212"/>
      <w:r>
        <w:rPr>
          <w:rFonts w:hint="eastAsia"/>
          <w:lang w:val="en-US" w:eastAsia="zh-CN"/>
        </w:rPr>
        <w:t>25.</w:t>
      </w:r>
      <w:bookmarkEnd w:id="215"/>
      <w:bookmarkEnd w:id="216"/>
      <w:bookmarkEnd w:id="217"/>
      <w:bookmarkEnd w:id="218"/>
      <w:bookmarkEnd w:id="219"/>
      <w:bookmarkEnd w:id="220"/>
      <w:bookmarkEnd w:id="221"/>
      <w:bookmarkEnd w:id="222"/>
      <w:r>
        <w:rPr>
          <w:rFonts w:hint="eastAsia"/>
          <w:lang w:val="en-US" w:eastAsia="zh-CN"/>
        </w:rPr>
        <w:t>招标人的权利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招标人在中标通知发出之前的任何时候</w:t>
      </w:r>
      <w:r>
        <w:rPr>
          <w:rFonts w:hint="eastAsia"/>
          <w:lang w:eastAsia="zh-CN"/>
        </w:rPr>
        <w:t>，</w:t>
      </w:r>
      <w:r>
        <w:rPr>
          <w:rFonts w:hint="eastAsia"/>
        </w:rPr>
        <w:t>有取消本次招标或宣布投标无效或</w:t>
      </w:r>
      <w:r>
        <w:rPr>
          <w:rFonts w:hint="eastAsia"/>
          <w:lang w:val="en-US" w:eastAsia="zh-CN"/>
        </w:rPr>
        <w:t>拒</w:t>
      </w:r>
      <w:r>
        <w:rPr>
          <w:rFonts w:hint="eastAsia"/>
        </w:rPr>
        <w:t>绝所有投标的权利</w:t>
      </w:r>
      <w:r>
        <w:rPr>
          <w:rFonts w:hint="eastAsia"/>
          <w:lang w:eastAsia="zh-CN"/>
        </w:rPr>
        <w:t>，</w:t>
      </w:r>
      <w:r>
        <w:rPr>
          <w:rFonts w:hint="eastAsia"/>
        </w:rPr>
        <w:t>对因此而受影响的投标人不承担任何责任，也没有义务向受</w:t>
      </w:r>
      <w:r>
        <w:rPr>
          <w:rFonts w:hint="eastAsia"/>
          <w:lang w:val="en-US" w:eastAsia="zh-CN"/>
        </w:rPr>
        <w:t>影</w:t>
      </w:r>
      <w:r>
        <w:rPr>
          <w:rFonts w:hint="eastAsia"/>
        </w:rPr>
        <w:t>响的投标人解释采取这一行动的理由并不承担任何赔偿费用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23" w:name="_Toc246996956"/>
      <w:bookmarkStart w:id="224" w:name="_Toc247085727"/>
      <w:bookmarkStart w:id="225" w:name="_Toc296602459"/>
      <w:bookmarkStart w:id="226" w:name="_Toc246996213"/>
      <w:bookmarkStart w:id="227" w:name="_Toc179632587"/>
      <w:bookmarkStart w:id="228" w:name="_Toc144974537"/>
      <w:bookmarkStart w:id="229" w:name="_Toc152042345"/>
      <w:bookmarkStart w:id="230" w:name="_Toc152045569"/>
      <w:r>
        <w:rPr>
          <w:rFonts w:hint="eastAsia"/>
          <w:lang w:val="en-US" w:eastAsia="zh-CN"/>
        </w:rPr>
        <w:t>26.</w:t>
      </w:r>
      <w:bookmarkEnd w:id="223"/>
      <w:bookmarkEnd w:id="224"/>
      <w:bookmarkEnd w:id="225"/>
      <w:bookmarkEnd w:id="226"/>
      <w:bookmarkEnd w:id="227"/>
      <w:bookmarkEnd w:id="228"/>
      <w:bookmarkEnd w:id="229"/>
      <w:bookmarkEnd w:id="230"/>
      <w:r>
        <w:rPr>
          <w:rFonts w:hint="eastAsia"/>
          <w:lang w:val="en-US" w:eastAsia="zh-CN"/>
        </w:rPr>
        <w:t>中标通知书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在投标有效期满之前</w:t>
      </w:r>
      <w:r>
        <w:rPr>
          <w:rFonts w:hint="eastAsia"/>
          <w:lang w:eastAsia="zh-CN"/>
        </w:rPr>
        <w:t>，</w:t>
      </w:r>
      <w:r>
        <w:rPr>
          <w:rFonts w:hint="eastAsia"/>
        </w:rPr>
        <w:t>招标人向中标人发出中标通知书</w:t>
      </w:r>
      <w:r>
        <w:rPr>
          <w:rFonts w:hint="eastAsia"/>
          <w:lang w:eastAsia="zh-CN"/>
        </w:rPr>
        <w:t>。</w:t>
      </w:r>
      <w:r>
        <w:rPr>
          <w:rFonts w:hint="eastAsia"/>
        </w:rPr>
        <w:t>中标通知书将构成合同的一部分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31" w:name="_Toc296602461"/>
      <w:r>
        <w:rPr>
          <w:rFonts w:hint="eastAsia"/>
          <w:lang w:val="en-US" w:eastAsia="zh-CN"/>
        </w:rPr>
        <w:t>七、</w:t>
      </w:r>
      <w:bookmarkEnd w:id="23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32" w:name="_Toc179632593"/>
      <w:bookmarkStart w:id="233" w:name="_Toc296590983"/>
      <w:bookmarkStart w:id="234" w:name="_Toc152045575"/>
      <w:bookmarkStart w:id="235" w:name="_Toc296602462"/>
      <w:bookmarkStart w:id="236" w:name="_Toc152042351"/>
      <w:bookmarkStart w:id="237" w:name="_Toc144974543"/>
      <w:bookmarkStart w:id="238" w:name="_Toc247085733"/>
      <w:bookmarkStart w:id="239" w:name="_Toc246996219"/>
      <w:bookmarkStart w:id="240" w:name="_Toc246996962"/>
      <w:r>
        <w:rPr>
          <w:rFonts w:hint="eastAsia"/>
          <w:lang w:val="en-US" w:eastAsia="zh-CN"/>
        </w:rPr>
        <w:t>27.</w:t>
      </w:r>
      <w:bookmarkEnd w:id="232"/>
      <w:bookmarkEnd w:id="233"/>
      <w:bookmarkEnd w:id="234"/>
      <w:bookmarkEnd w:id="235"/>
      <w:bookmarkEnd w:id="236"/>
      <w:bookmarkEnd w:id="237"/>
      <w:bookmarkEnd w:id="238"/>
      <w:bookmarkEnd w:id="239"/>
      <w:bookmarkEnd w:id="24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27.1中标人应按法律法规及招标文件规定的时间与招标人签订合同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27.2采购双方必须严格按照招标文件、投标文件及有关承诺签订采购合同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合同的标的、价款、质量、履行期限等主要条款应当与招标文件和中标人的投标文件的内容一致</w:t>
      </w:r>
      <w:r>
        <w:rPr>
          <w:rFonts w:hint="eastAsia"/>
          <w:lang w:eastAsia="zh-CN"/>
        </w:rPr>
        <w:t>，</w:t>
      </w:r>
      <w:r>
        <w:rPr>
          <w:rFonts w:hint="eastAsia"/>
        </w:rPr>
        <w:t>招标人和中标人不得再行订立背离合同实质性内容的期他协议</w:t>
      </w:r>
      <w:r>
        <w:rPr>
          <w:rFonts w:hint="eastAsia"/>
          <w:lang w:eastAsia="zh-CN"/>
        </w:rPr>
        <w:t>。</w:t>
      </w:r>
      <w:r>
        <w:rPr>
          <w:rFonts w:hint="eastAsia"/>
        </w:rPr>
        <w:t>对任何因双方擅自变更合同实质性内容引起的问题，由双方通过其他法途径解决</w:t>
      </w:r>
      <w:r>
        <w:rPr>
          <w:rFonts w:hint="eastAsia"/>
          <w:lang w:eastAsia="zh-CN"/>
        </w:rPr>
        <w:t>，</w:t>
      </w:r>
      <w:r>
        <w:rPr>
          <w:rFonts w:hint="eastAsia"/>
        </w:rPr>
        <w:t>招标代理机构对此不承担责任，合同风险由双方自行承担</w:t>
      </w:r>
      <w:r>
        <w:rPr>
          <w:rFonts w:hint="eastAsia"/>
          <w:lang w:eastAsia="zh-CN"/>
        </w:rPr>
        <w:t>。</w:t>
      </w:r>
    </w:p>
    <w:p w14:paraId="70794AD4">
      <w:pPr>
        <w:pStyle w:val="3"/>
        <w:bidi w:val="0"/>
        <w:rPr>
          <w:rFonts w:hint="eastAsia" w:eastAsia="黑体"/>
          <w:lang w:eastAsia="zh-CN"/>
        </w:rPr>
      </w:pPr>
      <w:bookmarkStart w:id="241" w:name="_Toc247085734"/>
      <w:bookmarkStart w:id="242" w:name="_Toc152045576"/>
      <w:bookmarkStart w:id="243" w:name="_Toc246996220"/>
      <w:bookmarkStart w:id="244" w:name="_Toc152042352"/>
      <w:bookmarkStart w:id="245" w:name="_Toc179632594"/>
      <w:bookmarkStart w:id="246" w:name="_Toc296602463"/>
      <w:bookmarkStart w:id="247" w:name="_Toc246996963"/>
      <w:bookmarkStart w:id="248" w:name="_Toc144974544"/>
      <w:r>
        <w:rPr>
          <w:rFonts w:hint="eastAsia"/>
          <w:lang w:val="en-US" w:eastAsia="zh-CN"/>
        </w:rPr>
        <w:t>28.</w:t>
      </w:r>
      <w:bookmarkEnd w:id="241"/>
      <w:bookmarkEnd w:id="242"/>
      <w:bookmarkEnd w:id="243"/>
      <w:bookmarkEnd w:id="244"/>
      <w:bookmarkEnd w:id="245"/>
      <w:bookmarkEnd w:id="246"/>
      <w:bookmarkEnd w:id="247"/>
      <w:bookmarkEnd w:id="24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28.1中标人须按照投标人须知前附表中的规定提交履约担保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28.2招标人与中标人签订书面合同后</w:t>
      </w:r>
      <w:r>
        <w:rPr>
          <w:rFonts w:hint="eastAsia"/>
          <w:lang w:eastAsia="zh-CN"/>
        </w:rPr>
        <w:t>，</w:t>
      </w:r>
      <w:r>
        <w:rPr>
          <w:rFonts w:hint="eastAsia"/>
        </w:rPr>
        <w:t>招标代理机构将通知所有未中标的</w:t>
      </w:r>
      <w:r>
        <w:rPr>
          <w:rFonts w:hint="eastAsia"/>
          <w:lang w:val="en-US" w:eastAsia="zh-CN"/>
        </w:rPr>
        <w:t>投标</w:t>
      </w:r>
      <w:r>
        <w:rPr>
          <w:rFonts w:hint="eastAsia"/>
        </w:rPr>
        <w:t>人，并退还其投标担保</w:t>
      </w:r>
      <w:r>
        <w:rPr>
          <w:rFonts w:hint="eastAsia"/>
          <w:lang w:eastAsia="zh-CN"/>
        </w:rPr>
        <w:t>。</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28.3如果中标人没有遵守本章 27.1、28.1的规定</w:t>
      </w:r>
      <w:r>
        <w:rPr>
          <w:rFonts w:hint="eastAsia"/>
          <w:lang w:eastAsia="zh-CN"/>
        </w:rPr>
        <w:t>，</w:t>
      </w:r>
      <w:r>
        <w:rPr>
          <w:rFonts w:hint="eastAsia"/>
        </w:rPr>
        <w:t>或出现《招标投标法》及其实施条例规定的其他不符合中标条件的情形的</w:t>
      </w:r>
      <w:r>
        <w:rPr>
          <w:rFonts w:hint="eastAsia"/>
          <w:lang w:eastAsia="zh-CN"/>
        </w:rPr>
        <w:t>，</w:t>
      </w:r>
      <w:r>
        <w:rPr>
          <w:rFonts w:hint="eastAsia"/>
        </w:rPr>
        <w:t>招标人有权取消其中标资格、不予还其提交的投标担保</w:t>
      </w:r>
      <w:r>
        <w:rPr>
          <w:rFonts w:hint="eastAsia"/>
          <w:lang w:eastAsia="zh-CN"/>
        </w:rPr>
        <w:t>。</w:t>
      </w:r>
      <w:r>
        <w:rPr>
          <w:rFonts w:hint="eastAsia"/>
        </w:rPr>
        <w:t>在此情况下</w:t>
      </w:r>
      <w:r>
        <w:rPr>
          <w:rFonts w:hint="eastAsia"/>
          <w:lang w:eastAsia="zh-CN"/>
        </w:rPr>
        <w:t>，</w:t>
      </w:r>
      <w:r>
        <w:rPr>
          <w:rFonts w:hint="eastAsia"/>
        </w:rPr>
        <w:t>招标人可以确定下一个综合排名最高的投标人为中标人并授予其合同</w:t>
      </w:r>
      <w:r>
        <w:rPr>
          <w:rFonts w:hint="eastAsia"/>
          <w:lang w:eastAsia="zh-CN"/>
        </w:rPr>
        <w:t>，</w:t>
      </w:r>
      <w:r>
        <w:rPr>
          <w:rFonts w:hint="eastAsia"/>
        </w:rPr>
        <w:t>或重新招标</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49" w:name="_Toc152045577"/>
      <w:bookmarkStart w:id="250" w:name="_Toc179632595"/>
      <w:bookmarkStart w:id="251" w:name="_Toc246996964"/>
      <w:bookmarkStart w:id="252" w:name="_Toc296602464"/>
      <w:bookmarkStart w:id="253" w:name="_Toc152042353"/>
      <w:bookmarkStart w:id="254" w:name="_Toc247085735"/>
      <w:bookmarkStart w:id="255" w:name="_Toc144974545"/>
      <w:bookmarkStart w:id="256" w:name="_Toc246996221"/>
      <w:r>
        <w:rPr>
          <w:rFonts w:hint="eastAsia"/>
          <w:lang w:val="en-US" w:eastAsia="zh-CN"/>
        </w:rPr>
        <w:t>29.</w:t>
      </w:r>
      <w:bookmarkEnd w:id="249"/>
      <w:bookmarkEnd w:id="250"/>
      <w:bookmarkEnd w:id="251"/>
      <w:bookmarkEnd w:id="252"/>
      <w:bookmarkEnd w:id="253"/>
      <w:bookmarkEnd w:id="254"/>
      <w:bookmarkEnd w:id="255"/>
      <w:bookmarkEnd w:id="256"/>
      <w:r>
        <w:rPr>
          <w:rFonts w:hint="eastAsia"/>
          <w:lang w:val="en-US" w:eastAsia="zh-CN"/>
        </w:rPr>
        <w:t>解释权</w:t>
      </w:r>
    </w:p>
    <w:p w14:paraId="757B34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本招标文件的最终解释权归招标人所有</w:t>
      </w:r>
      <w:r>
        <w:rPr>
          <w:rFonts w:hint="eastAsia"/>
          <w:lang w:eastAsia="zh-CN"/>
        </w:rPr>
        <w:t>。</w:t>
      </w:r>
    </w:p>
    <w:p w14:paraId="7CA5D877">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6D1BA7C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bookmarkStart w:id="257" w:name="_Toc246996975"/>
      <w:bookmarkStart w:id="258" w:name="_Toc179632607"/>
      <w:bookmarkStart w:id="259" w:name="_Toc296602477"/>
      <w:bookmarkStart w:id="260" w:name="_Toc152042366"/>
      <w:bookmarkStart w:id="261" w:name="_Toc247085747"/>
      <w:bookmarkStart w:id="262" w:name="_Toc246996232"/>
      <w:bookmarkStart w:id="263" w:name="_Toc144974556"/>
      <w:bookmarkStart w:id="264" w:name="_Toc152045589"/>
      <w:r>
        <w:rPr>
          <w:rFonts w:hint="default" w:asciiTheme="majorEastAsia" w:hAnsiTheme="majorEastAsia" w:eastAsiaTheme="majorEastAsia" w:cstheme="majorEastAsia"/>
          <w:b/>
          <w:bCs/>
          <w:sz w:val="32"/>
          <w:szCs w:val="32"/>
          <w:highlight w:val="none"/>
          <w:lang w:val="en-US" w:eastAsia="zh-CN"/>
        </w:rPr>
        <w:t>评标办法</w:t>
      </w:r>
      <w:r>
        <w:rPr>
          <w:rFonts w:hint="eastAsia" w:asciiTheme="majorEastAsia" w:hAnsiTheme="majorEastAsia" w:eastAsiaTheme="majorEastAsia" w:cstheme="majorEastAsia"/>
          <w:b/>
          <w:bCs/>
          <w:sz w:val="32"/>
          <w:szCs w:val="32"/>
          <w:highlight w:val="none"/>
          <w:lang w:val="en-US" w:eastAsia="zh-CN"/>
        </w:rPr>
        <w:t>（合理低价法）</w:t>
      </w:r>
    </w:p>
    <w:p w14:paraId="0288276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1F441FB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3B1B950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997"/>
        <w:gridCol w:w="1984"/>
        <w:gridCol w:w="4836"/>
      </w:tblGrid>
      <w:tr w14:paraId="5516F3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123D3D5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5B3430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57B46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67B65F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top w:val="single" w:color="auto" w:sz="4" w:space="0"/>
              <w:bottom w:val="single" w:color="auto" w:sz="4" w:space="0"/>
              <w:right w:val="single" w:color="auto" w:sz="4" w:space="0"/>
            </w:tcBorders>
            <w:noWrap w:val="0"/>
            <w:vAlign w:val="center"/>
          </w:tcPr>
          <w:p w14:paraId="60C7A5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997" w:type="dxa"/>
            <w:tcBorders>
              <w:top w:val="single" w:color="auto" w:sz="4" w:space="0"/>
              <w:bottom w:val="single" w:color="auto" w:sz="4" w:space="0"/>
              <w:right w:val="single" w:color="auto" w:sz="4" w:space="0"/>
            </w:tcBorders>
            <w:noWrap w:val="0"/>
            <w:vAlign w:val="center"/>
          </w:tcPr>
          <w:p w14:paraId="3EFA629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49B22B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1650B1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FF0000"/>
                <w:kern w:val="0"/>
                <w:sz w:val="24"/>
                <w:szCs w:val="24"/>
                <w:highlight w:val="none"/>
                <w:u w:val="none"/>
              </w:rPr>
            </w:pPr>
            <w:permStart w:id="55" w:edGrp="everyone"/>
            <w:r>
              <w:rPr>
                <w:rFonts w:hint="eastAsia" w:ascii="Times New Roman" w:hAnsi="Times New Roman" w:cs="Times New Roman"/>
                <w:i w:val="0"/>
                <w:iCs w:val="0"/>
                <w:color w:val="FF0000"/>
                <w:kern w:val="0"/>
                <w:sz w:val="24"/>
                <w:szCs w:val="24"/>
                <w:highlight w:val="none"/>
                <w:u w:val="none"/>
                <w:lang w:val="en-US" w:eastAsia="zh-CN"/>
              </w:rPr>
              <w:t>以评审合格的投标人的投标报价为</w:t>
            </w:r>
            <w:r>
              <w:rPr>
                <w:rFonts w:hint="default" w:ascii="Times New Roman" w:hAnsi="Times New Roman" w:cs="Times New Roman" w:eastAsiaTheme="minorEastAsia"/>
                <w:i w:val="0"/>
                <w:iCs w:val="0"/>
                <w:color w:val="FF0000"/>
                <w:kern w:val="0"/>
                <w:sz w:val="24"/>
                <w:szCs w:val="24"/>
                <w:highlight w:val="none"/>
                <w:u w:val="none"/>
              </w:rPr>
              <w:t>有效报价：</w:t>
            </w:r>
          </w:p>
          <w:p w14:paraId="7C7CC83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FF0000"/>
                <w:kern w:val="0"/>
                <w:sz w:val="24"/>
                <w:szCs w:val="24"/>
                <w:highlight w:val="none"/>
                <w:u w:val="none"/>
              </w:rPr>
            </w:pPr>
            <w:r>
              <w:rPr>
                <w:rFonts w:hint="default" w:ascii="Times New Roman" w:hAnsi="Times New Roman" w:cs="Times New Roman" w:eastAsiaTheme="minorEastAsia"/>
                <w:i w:val="0"/>
                <w:iCs w:val="0"/>
                <w:color w:val="FF0000"/>
                <w:kern w:val="0"/>
                <w:sz w:val="24"/>
                <w:szCs w:val="24"/>
                <w:highlight w:val="none"/>
                <w:u w:val="none"/>
              </w:rPr>
              <w:t>（</w:t>
            </w:r>
            <w:r>
              <w:rPr>
                <w:rFonts w:hint="eastAsia" w:ascii="Times New Roman" w:hAnsi="Times New Roman" w:cs="Times New Roman"/>
                <w:i w:val="0"/>
                <w:iCs w:val="0"/>
                <w:color w:val="FF0000"/>
                <w:kern w:val="0"/>
                <w:sz w:val="24"/>
                <w:szCs w:val="24"/>
                <w:highlight w:val="none"/>
                <w:u w:val="none"/>
                <w:lang w:val="en-US" w:eastAsia="zh-CN"/>
              </w:rPr>
              <w:t>1</w:t>
            </w:r>
            <w:r>
              <w:rPr>
                <w:rFonts w:hint="default" w:ascii="Times New Roman" w:hAnsi="Times New Roman" w:cs="Times New Roman" w:eastAsiaTheme="minorEastAsia"/>
                <w:i w:val="0"/>
                <w:iCs w:val="0"/>
                <w:color w:val="FF0000"/>
                <w:kern w:val="0"/>
                <w:sz w:val="24"/>
                <w:szCs w:val="24"/>
                <w:highlight w:val="none"/>
                <w:u w:val="none"/>
              </w:rPr>
              <w:t>）有效报价为1</w:t>
            </w:r>
            <w:r>
              <w:rPr>
                <w:rFonts w:hint="eastAsia" w:ascii="Times New Roman" w:hAnsi="Times New Roman" w:cs="Times New Roman"/>
                <w:i w:val="0"/>
                <w:iCs w:val="0"/>
                <w:color w:val="FF0000"/>
                <w:kern w:val="0"/>
                <w:sz w:val="24"/>
                <w:szCs w:val="24"/>
                <w:highlight w:val="none"/>
                <w:u w:val="none"/>
                <w:lang w:val="en-US" w:eastAsia="zh-CN"/>
              </w:rPr>
              <w:t>0</w:t>
            </w:r>
            <w:r>
              <w:rPr>
                <w:rFonts w:hint="default" w:ascii="Times New Roman" w:hAnsi="Times New Roman" w:cs="Times New Roman" w:eastAsiaTheme="minorEastAsia"/>
                <w:i w:val="0"/>
                <w:iCs w:val="0"/>
                <w:color w:val="FF0000"/>
                <w:kern w:val="0"/>
                <w:sz w:val="24"/>
                <w:szCs w:val="24"/>
                <w:highlight w:val="none"/>
                <w:u w:val="none"/>
              </w:rPr>
              <w:t>家</w:t>
            </w:r>
            <w:r>
              <w:rPr>
                <w:rFonts w:hint="eastAsia" w:ascii="Times New Roman" w:hAnsi="Times New Roman" w:cs="Times New Roman"/>
                <w:i w:val="0"/>
                <w:iCs w:val="0"/>
                <w:color w:val="FF0000"/>
                <w:kern w:val="0"/>
                <w:sz w:val="24"/>
                <w:szCs w:val="24"/>
                <w:highlight w:val="none"/>
                <w:u w:val="none"/>
                <w:lang w:val="en-US" w:eastAsia="zh-CN"/>
              </w:rPr>
              <w:t>及以上</w:t>
            </w:r>
            <w:r>
              <w:rPr>
                <w:rFonts w:hint="default" w:ascii="Times New Roman" w:hAnsi="Times New Roman" w:cs="Times New Roman" w:eastAsiaTheme="minorEastAsia"/>
                <w:i w:val="0"/>
                <w:iCs w:val="0"/>
                <w:color w:val="FF0000"/>
                <w:kern w:val="0"/>
                <w:sz w:val="24"/>
                <w:szCs w:val="24"/>
                <w:highlight w:val="none"/>
                <w:u w:val="none"/>
              </w:rPr>
              <w:t>时，去掉2个最高价和2个最低价，取余下投标人的</w:t>
            </w:r>
            <w:r>
              <w:rPr>
                <w:rFonts w:hint="eastAsia" w:ascii="Times New Roman" w:hAnsi="Times New Roman" w:cs="Times New Roman"/>
                <w:i w:val="0"/>
                <w:iCs w:val="0"/>
                <w:color w:val="FF0000"/>
                <w:kern w:val="0"/>
                <w:sz w:val="24"/>
                <w:szCs w:val="24"/>
                <w:highlight w:val="none"/>
                <w:u w:val="none"/>
                <w:lang w:val="en-US" w:eastAsia="zh-CN"/>
              </w:rPr>
              <w:t>报价算术平均值</w:t>
            </w:r>
            <w:r>
              <w:rPr>
                <w:rFonts w:ascii="宋体" w:hAnsi="宋体" w:eastAsia="宋体" w:cs="宋体"/>
                <w:color w:val="FF0000"/>
                <w:sz w:val="24"/>
                <w:szCs w:val="24"/>
              </w:rPr>
              <w:t>作为评标基准价</w:t>
            </w:r>
            <w:r>
              <w:rPr>
                <w:rFonts w:hint="default" w:ascii="Times New Roman" w:hAnsi="Times New Roman" w:cs="Times New Roman" w:eastAsiaTheme="minorEastAsia"/>
                <w:i w:val="0"/>
                <w:iCs w:val="0"/>
                <w:color w:val="FF0000"/>
                <w:kern w:val="0"/>
                <w:sz w:val="24"/>
                <w:szCs w:val="24"/>
                <w:highlight w:val="none"/>
                <w:u w:val="none"/>
              </w:rPr>
              <w:t>；</w:t>
            </w:r>
          </w:p>
          <w:p w14:paraId="0C69EE9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FF0000"/>
                <w:kern w:val="0"/>
                <w:sz w:val="24"/>
                <w:szCs w:val="24"/>
                <w:highlight w:val="none"/>
                <w:u w:val="none"/>
              </w:rPr>
            </w:pPr>
            <w:r>
              <w:rPr>
                <w:rFonts w:hint="default" w:ascii="Times New Roman" w:hAnsi="Times New Roman" w:cs="Times New Roman" w:eastAsiaTheme="minorEastAsia"/>
                <w:i w:val="0"/>
                <w:iCs w:val="0"/>
                <w:color w:val="FF0000"/>
                <w:kern w:val="0"/>
                <w:sz w:val="24"/>
                <w:szCs w:val="24"/>
                <w:highlight w:val="none"/>
                <w:u w:val="none"/>
              </w:rPr>
              <w:t>（</w:t>
            </w:r>
            <w:r>
              <w:rPr>
                <w:rFonts w:hint="eastAsia" w:ascii="Times New Roman" w:hAnsi="Times New Roman" w:cs="Times New Roman"/>
                <w:i w:val="0"/>
                <w:iCs w:val="0"/>
                <w:color w:val="FF0000"/>
                <w:kern w:val="0"/>
                <w:sz w:val="24"/>
                <w:szCs w:val="24"/>
                <w:highlight w:val="none"/>
                <w:u w:val="none"/>
                <w:lang w:val="en-US" w:eastAsia="zh-CN"/>
              </w:rPr>
              <w:t>2</w:t>
            </w:r>
            <w:r>
              <w:rPr>
                <w:rFonts w:hint="default" w:ascii="Times New Roman" w:hAnsi="Times New Roman" w:cs="Times New Roman" w:eastAsiaTheme="minorEastAsia"/>
                <w:i w:val="0"/>
                <w:iCs w:val="0"/>
                <w:color w:val="FF0000"/>
                <w:kern w:val="0"/>
                <w:sz w:val="24"/>
                <w:szCs w:val="24"/>
                <w:highlight w:val="none"/>
                <w:u w:val="none"/>
              </w:rPr>
              <w:t>）有效报价为</w:t>
            </w:r>
            <w:r>
              <w:rPr>
                <w:rFonts w:hint="eastAsia" w:ascii="Times New Roman" w:hAnsi="Times New Roman" w:cs="Times New Roman"/>
                <w:i w:val="0"/>
                <w:iCs w:val="0"/>
                <w:color w:val="FF0000"/>
                <w:kern w:val="0"/>
                <w:sz w:val="24"/>
                <w:szCs w:val="24"/>
                <w:highlight w:val="none"/>
                <w:u w:val="none"/>
                <w:lang w:val="en-US" w:eastAsia="zh-CN"/>
              </w:rPr>
              <w:t>5</w:t>
            </w:r>
            <w:r>
              <w:rPr>
                <w:rFonts w:hint="default" w:ascii="Times New Roman" w:hAnsi="Times New Roman" w:cs="Times New Roman" w:eastAsiaTheme="minorEastAsia"/>
                <w:i w:val="0"/>
                <w:iCs w:val="0"/>
                <w:color w:val="FF0000"/>
                <w:kern w:val="0"/>
                <w:sz w:val="24"/>
                <w:szCs w:val="24"/>
                <w:highlight w:val="none"/>
                <w:u w:val="none"/>
              </w:rPr>
              <w:t>（含）家至 10（</w:t>
            </w:r>
            <w:r>
              <w:rPr>
                <w:rFonts w:hint="eastAsia" w:ascii="Times New Roman" w:hAnsi="Times New Roman" w:cs="Times New Roman"/>
                <w:i w:val="0"/>
                <w:iCs w:val="0"/>
                <w:color w:val="FF0000"/>
                <w:kern w:val="0"/>
                <w:sz w:val="24"/>
                <w:szCs w:val="24"/>
                <w:highlight w:val="none"/>
                <w:u w:val="none"/>
                <w:lang w:val="en-US" w:eastAsia="zh-CN"/>
              </w:rPr>
              <w:t>不</w:t>
            </w:r>
            <w:r>
              <w:rPr>
                <w:rFonts w:hint="default" w:ascii="Times New Roman" w:hAnsi="Times New Roman" w:cs="Times New Roman" w:eastAsiaTheme="minorEastAsia"/>
                <w:i w:val="0"/>
                <w:iCs w:val="0"/>
                <w:color w:val="FF0000"/>
                <w:kern w:val="0"/>
                <w:sz w:val="24"/>
                <w:szCs w:val="24"/>
                <w:highlight w:val="none"/>
                <w:u w:val="none"/>
              </w:rPr>
              <w:t>含）家时，去掉1个最高价和1个最低价，取余下投标人的</w:t>
            </w:r>
            <w:r>
              <w:rPr>
                <w:rFonts w:hint="eastAsia" w:ascii="Times New Roman" w:hAnsi="Times New Roman" w:cs="Times New Roman"/>
                <w:i w:val="0"/>
                <w:iCs w:val="0"/>
                <w:color w:val="FF0000"/>
                <w:kern w:val="0"/>
                <w:sz w:val="24"/>
                <w:szCs w:val="24"/>
                <w:highlight w:val="none"/>
                <w:u w:val="none"/>
                <w:lang w:val="en-US" w:eastAsia="zh-CN"/>
              </w:rPr>
              <w:t>报价</w:t>
            </w:r>
            <w:r>
              <w:rPr>
                <w:rFonts w:hint="default" w:ascii="Times New Roman" w:hAnsi="Times New Roman" w:cs="Times New Roman" w:eastAsiaTheme="minorEastAsia"/>
                <w:i w:val="0"/>
                <w:iCs w:val="0"/>
                <w:color w:val="FF0000"/>
                <w:kern w:val="0"/>
                <w:sz w:val="24"/>
                <w:szCs w:val="24"/>
                <w:highlight w:val="none"/>
                <w:u w:val="none"/>
              </w:rPr>
              <w:t>进行</w:t>
            </w:r>
            <w:r>
              <w:rPr>
                <w:rFonts w:hint="eastAsia" w:ascii="Times New Roman" w:hAnsi="Times New Roman" w:cs="Times New Roman"/>
                <w:i w:val="0"/>
                <w:iCs w:val="0"/>
                <w:color w:val="FF0000"/>
                <w:kern w:val="0"/>
                <w:sz w:val="24"/>
                <w:szCs w:val="24"/>
                <w:highlight w:val="none"/>
                <w:u w:val="none"/>
                <w:lang w:val="en-US" w:eastAsia="zh-CN"/>
              </w:rPr>
              <w:t>算术平均值</w:t>
            </w:r>
            <w:r>
              <w:rPr>
                <w:rFonts w:ascii="宋体" w:hAnsi="宋体" w:eastAsia="宋体" w:cs="宋体"/>
                <w:color w:val="FF0000"/>
                <w:sz w:val="24"/>
                <w:szCs w:val="24"/>
              </w:rPr>
              <w:t>作为评标基准价</w:t>
            </w:r>
            <w:r>
              <w:rPr>
                <w:rFonts w:hint="default" w:ascii="Times New Roman" w:hAnsi="Times New Roman" w:cs="Times New Roman" w:eastAsiaTheme="minorEastAsia"/>
                <w:i w:val="0"/>
                <w:iCs w:val="0"/>
                <w:color w:val="FF0000"/>
                <w:kern w:val="0"/>
                <w:sz w:val="24"/>
                <w:szCs w:val="24"/>
                <w:highlight w:val="none"/>
                <w:u w:val="none"/>
              </w:rPr>
              <w:t>；</w:t>
            </w:r>
          </w:p>
          <w:p w14:paraId="733ECB2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FF0000"/>
                <w:kern w:val="0"/>
                <w:sz w:val="24"/>
                <w:szCs w:val="24"/>
                <w:highlight w:val="none"/>
                <w:u w:val="none"/>
              </w:rPr>
            </w:pPr>
            <w:r>
              <w:rPr>
                <w:rFonts w:hint="default" w:ascii="Times New Roman" w:hAnsi="Times New Roman" w:cs="Times New Roman" w:eastAsiaTheme="minorEastAsia"/>
                <w:i w:val="0"/>
                <w:iCs w:val="0"/>
                <w:color w:val="FF0000"/>
                <w:kern w:val="0"/>
                <w:sz w:val="24"/>
                <w:szCs w:val="24"/>
                <w:highlight w:val="none"/>
                <w:u w:val="none"/>
              </w:rPr>
              <w:t>（</w:t>
            </w:r>
            <w:r>
              <w:rPr>
                <w:rFonts w:hint="eastAsia" w:ascii="Times New Roman" w:hAnsi="Times New Roman" w:cs="Times New Roman"/>
                <w:i w:val="0"/>
                <w:iCs w:val="0"/>
                <w:color w:val="FF0000"/>
                <w:kern w:val="0"/>
                <w:sz w:val="24"/>
                <w:szCs w:val="24"/>
                <w:highlight w:val="none"/>
                <w:u w:val="none"/>
                <w:lang w:val="en-US" w:eastAsia="zh-CN"/>
              </w:rPr>
              <w:t>3</w:t>
            </w:r>
            <w:r>
              <w:rPr>
                <w:rFonts w:hint="default" w:ascii="Times New Roman" w:hAnsi="Times New Roman" w:cs="Times New Roman" w:eastAsiaTheme="minorEastAsia"/>
                <w:i w:val="0"/>
                <w:iCs w:val="0"/>
                <w:color w:val="FF0000"/>
                <w:kern w:val="0"/>
                <w:sz w:val="24"/>
                <w:szCs w:val="24"/>
                <w:highlight w:val="none"/>
                <w:u w:val="none"/>
              </w:rPr>
              <w:t>）有效报价在5家以下时，取所有投标人的</w:t>
            </w:r>
            <w:r>
              <w:rPr>
                <w:rFonts w:hint="eastAsia" w:ascii="Times New Roman" w:hAnsi="Times New Roman" w:cs="Times New Roman"/>
                <w:i w:val="0"/>
                <w:iCs w:val="0"/>
                <w:color w:val="FF0000"/>
                <w:kern w:val="0"/>
                <w:sz w:val="24"/>
                <w:szCs w:val="24"/>
                <w:highlight w:val="none"/>
                <w:u w:val="none"/>
                <w:lang w:val="en-US" w:eastAsia="zh-CN"/>
              </w:rPr>
              <w:t>报价</w:t>
            </w:r>
            <w:r>
              <w:rPr>
                <w:rFonts w:hint="default" w:ascii="Times New Roman" w:hAnsi="Times New Roman" w:cs="Times New Roman" w:eastAsiaTheme="minorEastAsia"/>
                <w:i w:val="0"/>
                <w:iCs w:val="0"/>
                <w:color w:val="FF0000"/>
                <w:kern w:val="0"/>
                <w:sz w:val="24"/>
                <w:szCs w:val="24"/>
                <w:highlight w:val="none"/>
                <w:u w:val="none"/>
              </w:rPr>
              <w:t>进行</w:t>
            </w:r>
            <w:r>
              <w:rPr>
                <w:rFonts w:hint="eastAsia" w:ascii="Times New Roman" w:hAnsi="Times New Roman" w:cs="Times New Roman"/>
                <w:i w:val="0"/>
                <w:iCs w:val="0"/>
                <w:color w:val="FF0000"/>
                <w:kern w:val="0"/>
                <w:sz w:val="24"/>
                <w:szCs w:val="24"/>
                <w:highlight w:val="none"/>
                <w:u w:val="none"/>
                <w:lang w:val="en-US" w:eastAsia="zh-CN"/>
              </w:rPr>
              <w:t>算术平均值</w:t>
            </w:r>
            <w:r>
              <w:rPr>
                <w:rFonts w:ascii="宋体" w:hAnsi="宋体" w:eastAsia="宋体" w:cs="宋体"/>
                <w:color w:val="FF0000"/>
                <w:sz w:val="24"/>
                <w:szCs w:val="24"/>
              </w:rPr>
              <w:t>作为评标基准价</w:t>
            </w:r>
            <w:r>
              <w:rPr>
                <w:rFonts w:hint="default" w:ascii="Times New Roman" w:hAnsi="Times New Roman" w:cs="Times New Roman" w:eastAsiaTheme="minorEastAsia"/>
                <w:i w:val="0"/>
                <w:iCs w:val="0"/>
                <w:color w:val="FF0000"/>
                <w:kern w:val="0"/>
                <w:sz w:val="24"/>
                <w:szCs w:val="24"/>
                <w:highlight w:val="none"/>
                <w:u w:val="none"/>
              </w:rPr>
              <w:t>。</w:t>
            </w:r>
          </w:p>
          <w:p w14:paraId="774E69E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i w:val="0"/>
                <w:iCs w:val="0"/>
                <w:color w:val="FF0000"/>
                <w:kern w:val="0"/>
                <w:sz w:val="24"/>
                <w:szCs w:val="24"/>
                <w:highlight w:val="none"/>
                <w:u w:val="none"/>
                <w:lang w:eastAsia="zh-CN"/>
              </w:rPr>
            </w:pPr>
            <w:r>
              <w:rPr>
                <w:rFonts w:hint="default" w:ascii="Times New Roman" w:hAnsi="Times New Roman" w:cs="Times New Roman" w:eastAsiaTheme="minorEastAsia"/>
                <w:i w:val="0"/>
                <w:iCs w:val="0"/>
                <w:color w:val="FF0000"/>
                <w:kern w:val="0"/>
                <w:sz w:val="24"/>
                <w:szCs w:val="24"/>
                <w:highlight w:val="none"/>
                <w:u w:val="none"/>
              </w:rPr>
              <w:t>取所有纳入评标基准价计算的投标报价与评标基准价相减，其差值绝对值最小的为第一名，次小的为第二名……以此类推</w:t>
            </w:r>
            <w:r>
              <w:rPr>
                <w:rFonts w:hint="eastAsia" w:ascii="Times New Roman" w:hAnsi="Times New Roman" w:cs="Times New Roman"/>
                <w:i w:val="0"/>
                <w:iCs w:val="0"/>
                <w:color w:val="FF0000"/>
                <w:kern w:val="0"/>
                <w:sz w:val="24"/>
                <w:szCs w:val="24"/>
                <w:highlight w:val="none"/>
                <w:u w:val="none"/>
                <w:lang w:eastAsia="zh-CN"/>
              </w:rPr>
              <w:t>。差值绝对值相同的，以投标报价低的优先；投标报价也相同的，由招标人或其授权的评标委员会自行确定排序。</w:t>
            </w:r>
          </w:p>
          <w:p w14:paraId="09C5CCB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i w:val="0"/>
                <w:iCs w:val="0"/>
                <w:color w:val="FF0000"/>
                <w:kern w:val="0"/>
                <w:sz w:val="24"/>
                <w:szCs w:val="24"/>
                <w:highlight w:val="none"/>
                <w:u w:val="none"/>
              </w:rPr>
              <w:t>（说明：去掉1个或 2个最高价，是指按照有效报价排序，从排序最高的有效报价依次去掉；去掉1个或2个最低价，是指按照有效报价排序，从排序最低的有效报价依次去掉。）</w:t>
            </w:r>
            <w:permEnd w:id="55"/>
          </w:p>
        </w:tc>
      </w:tr>
      <w:tr w14:paraId="585770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bottom w:val="single" w:color="auto" w:sz="4" w:space="0"/>
              <w:right w:val="single" w:color="auto" w:sz="4" w:space="0"/>
            </w:tcBorders>
            <w:noWrap w:val="0"/>
            <w:vAlign w:val="center"/>
          </w:tcPr>
          <w:p w14:paraId="6E9970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997" w:type="dxa"/>
            <w:vMerge w:val="restart"/>
            <w:tcBorders>
              <w:top w:val="single" w:color="auto" w:sz="4" w:space="0"/>
              <w:bottom w:val="single" w:color="auto" w:sz="4" w:space="0"/>
              <w:right w:val="single" w:color="auto" w:sz="4" w:space="0"/>
            </w:tcBorders>
            <w:noWrap w:val="0"/>
            <w:vAlign w:val="center"/>
          </w:tcPr>
          <w:p w14:paraId="3B470EB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C506A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C5F83C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14:paraId="110909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14:paraId="03AF23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14:paraId="464760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AE9D17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B1D4C6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14:paraId="5F0653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14:paraId="1BE352A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14:paraId="6C7261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ABD86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444ABB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4AF2A5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14:paraId="55EDDBD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14:paraId="18A60C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F5626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11559C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15F732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auto" w:sz="4" w:space="0"/>
              <w:right w:val="single" w:color="auto" w:sz="4" w:space="0"/>
            </w:tcBorders>
            <w:noWrap w:val="0"/>
            <w:vAlign w:val="center"/>
          </w:tcPr>
          <w:p w14:paraId="58118DD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6" w:edGrp="everyone" w:colFirst="3" w:colLast="3"/>
            <w:r>
              <w:rPr>
                <w:rFonts w:hint="eastAsia" w:ascii="Times New Roman" w:hAnsi="Times New Roman" w:cs="Times New Roman"/>
                <w:kern w:val="0"/>
                <w:sz w:val="24"/>
                <w:szCs w:val="24"/>
                <w:highlight w:val="none"/>
                <w:lang w:val="en-US" w:eastAsia="zh-CN"/>
              </w:rPr>
              <w:t>2.1.2</w:t>
            </w:r>
          </w:p>
        </w:tc>
        <w:tc>
          <w:tcPr>
            <w:tcW w:w="997" w:type="dxa"/>
            <w:vMerge w:val="restart"/>
            <w:tcBorders>
              <w:top w:val="single" w:color="auto" w:sz="4" w:space="0"/>
              <w:right w:val="single" w:color="auto" w:sz="4" w:space="0"/>
            </w:tcBorders>
            <w:noWrap w:val="0"/>
            <w:vAlign w:val="center"/>
          </w:tcPr>
          <w:p w14:paraId="1B6536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6C526B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429CAD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6"/>
      <w:tr w14:paraId="2B3F222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14:paraId="131C1D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997" w:type="dxa"/>
            <w:vMerge w:val="continue"/>
            <w:tcBorders>
              <w:right w:val="single" w:color="auto" w:sz="4" w:space="0"/>
            </w:tcBorders>
            <w:noWrap w:val="0"/>
            <w:vAlign w:val="center"/>
          </w:tcPr>
          <w:p w14:paraId="64D67E2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A3BF36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3AD9E6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7"/>
      <w:tr w14:paraId="3B25A6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14:paraId="7EC2295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997" w:type="dxa"/>
            <w:vMerge w:val="continue"/>
            <w:tcBorders>
              <w:right w:val="single" w:color="auto" w:sz="4" w:space="0"/>
            </w:tcBorders>
            <w:noWrap w:val="0"/>
            <w:vAlign w:val="center"/>
          </w:tcPr>
          <w:p w14:paraId="47F592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5B26D4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00E549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8"/>
      <w:tr w14:paraId="4AF530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14:paraId="2FFDA0F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997" w:type="dxa"/>
            <w:vMerge w:val="continue"/>
            <w:tcBorders>
              <w:right w:val="single" w:color="auto" w:sz="4" w:space="0"/>
            </w:tcBorders>
            <w:noWrap w:val="0"/>
            <w:vAlign w:val="center"/>
          </w:tcPr>
          <w:p w14:paraId="73EA6F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7B3C0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E3AA35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9"/>
      <w:tr w14:paraId="757E64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14:paraId="0AF92F6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14:paraId="3177A0C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2F44EE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C3FC10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0" w:edGrp="everyone"/>
            <w:r>
              <w:rPr>
                <w:rFonts w:hint="eastAsia" w:ascii="Times New Roman" w:hAnsi="Times New Roman" w:cs="Times New Roman"/>
                <w:kern w:val="0"/>
                <w:sz w:val="24"/>
                <w:szCs w:val="24"/>
                <w:highlight w:val="none"/>
                <w:lang w:val="en-US" w:eastAsia="zh-CN"/>
              </w:rPr>
              <w:t>符合第二章“投标人须知”第1.4.1项规定</w:t>
            </w:r>
            <w:permEnd w:id="60"/>
          </w:p>
        </w:tc>
      </w:tr>
      <w:tr w14:paraId="72EB86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14:paraId="2E2F00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997" w:type="dxa"/>
            <w:vMerge w:val="continue"/>
            <w:tcBorders>
              <w:right w:val="single" w:color="auto" w:sz="4" w:space="0"/>
            </w:tcBorders>
            <w:noWrap w:val="0"/>
            <w:vAlign w:val="center"/>
          </w:tcPr>
          <w:p w14:paraId="6360CEC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84367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388BD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1"/>
      <w:tr w14:paraId="0744CE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14:paraId="6CF153F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997" w:type="dxa"/>
            <w:vMerge w:val="continue"/>
            <w:tcBorders>
              <w:right w:val="single" w:color="auto" w:sz="4" w:space="0"/>
            </w:tcBorders>
            <w:noWrap w:val="0"/>
            <w:vAlign w:val="center"/>
          </w:tcPr>
          <w:p w14:paraId="15EC5D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E02D10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0C2276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2"/>
      <w:tr w14:paraId="363E6B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14:paraId="7FE791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14:paraId="1B8C49B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7BF99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AA9446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3" w:edGrp="everyone"/>
            <w:r>
              <w:rPr>
                <w:rFonts w:hint="eastAsia" w:ascii="Times New Roman" w:hAnsi="Times New Roman" w:cs="Times New Roman"/>
                <w:kern w:val="0"/>
                <w:sz w:val="24"/>
                <w:szCs w:val="24"/>
                <w:highlight w:val="none"/>
                <w:lang w:val="en-US" w:eastAsia="zh-CN"/>
              </w:rPr>
              <w:t>符合第二章“投标人须知”第1.4.1项规定</w:t>
            </w:r>
            <w:permEnd w:id="63"/>
          </w:p>
        </w:tc>
      </w:tr>
      <w:tr w14:paraId="512F6B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14:paraId="2B824C1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4" w:edGrp="everyone" w:colFirst="3" w:colLast="3"/>
            <w:r>
              <w:rPr>
                <w:rFonts w:hint="eastAsia" w:ascii="Times New Roman" w:hAnsi="Times New Roman" w:cs="Times New Roman"/>
                <w:kern w:val="0"/>
                <w:sz w:val="24"/>
                <w:szCs w:val="24"/>
                <w:highlight w:val="none"/>
                <w:lang w:val="en-US" w:eastAsia="zh-CN"/>
              </w:rPr>
              <w:t>2.1.3</w:t>
            </w:r>
          </w:p>
        </w:tc>
        <w:tc>
          <w:tcPr>
            <w:tcW w:w="997" w:type="dxa"/>
            <w:vMerge w:val="restart"/>
            <w:tcBorders>
              <w:top w:val="single" w:color="auto" w:sz="4" w:space="0"/>
              <w:right w:val="single" w:color="auto" w:sz="4" w:space="0"/>
            </w:tcBorders>
            <w:noWrap w:val="0"/>
            <w:vAlign w:val="center"/>
          </w:tcPr>
          <w:p w14:paraId="3C04E6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541078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66E339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4"/>
      <w:tr w14:paraId="58D480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5A1AFC6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997" w:type="dxa"/>
            <w:vMerge w:val="continue"/>
            <w:tcBorders>
              <w:right w:val="single" w:color="auto" w:sz="4" w:space="0"/>
            </w:tcBorders>
            <w:noWrap w:val="0"/>
            <w:vAlign w:val="center"/>
          </w:tcPr>
          <w:p w14:paraId="05D053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1A620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E905AE">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65"/>
      <w:tr w14:paraId="5CCD28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7BA0F4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997" w:type="dxa"/>
            <w:vMerge w:val="continue"/>
            <w:tcBorders>
              <w:right w:val="single" w:color="auto" w:sz="4" w:space="0"/>
            </w:tcBorders>
            <w:noWrap w:val="0"/>
            <w:vAlign w:val="center"/>
          </w:tcPr>
          <w:p w14:paraId="689EBBE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FB5A2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67B0D5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66"/>
      <w:tr w14:paraId="622ABB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6633264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997" w:type="dxa"/>
            <w:vMerge w:val="continue"/>
            <w:tcBorders>
              <w:right w:val="single" w:color="auto" w:sz="4" w:space="0"/>
            </w:tcBorders>
            <w:noWrap w:val="0"/>
            <w:vAlign w:val="center"/>
          </w:tcPr>
          <w:p w14:paraId="041B3D1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89543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9B76C55">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7"/>
      <w:tr w14:paraId="345E7E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5F9DD9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997" w:type="dxa"/>
            <w:vMerge w:val="continue"/>
            <w:tcBorders>
              <w:right w:val="single" w:color="auto" w:sz="4" w:space="0"/>
            </w:tcBorders>
            <w:noWrap w:val="0"/>
            <w:vAlign w:val="center"/>
          </w:tcPr>
          <w:p w14:paraId="6D0CF5B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8DA15E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9DD161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8"/>
      <w:tr w14:paraId="1CD737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73676CD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997" w:type="dxa"/>
            <w:vMerge w:val="continue"/>
            <w:tcBorders>
              <w:right w:val="single" w:color="auto" w:sz="4" w:space="0"/>
            </w:tcBorders>
            <w:noWrap w:val="0"/>
            <w:vAlign w:val="center"/>
          </w:tcPr>
          <w:p w14:paraId="497EA65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32BDA6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2A8B5AE">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9"/>
      <w:tr w14:paraId="1170BF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04BF80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997" w:type="dxa"/>
            <w:vMerge w:val="continue"/>
            <w:tcBorders>
              <w:right w:val="single" w:color="auto" w:sz="4" w:space="0"/>
            </w:tcBorders>
            <w:noWrap w:val="0"/>
            <w:vAlign w:val="center"/>
          </w:tcPr>
          <w:p w14:paraId="3A9F6F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5D4548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92A9F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permEnd w:id="70"/>
      <w:tr w14:paraId="24EADC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14:paraId="0E8D36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14:paraId="5F32EF3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6AC8E6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yellow"/>
                <w:lang w:val="en-US" w:eastAsia="zh-CN" w:bidi="ar-SA"/>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78BCF5">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permStart w:id="71" w:edGrp="everyone"/>
            <w:r>
              <w:rPr>
                <w:rFonts w:hint="eastAsia" w:ascii="Times New Roman" w:hAnsi="Times New Roman" w:cs="Times New Roman"/>
                <w:color w:val="auto"/>
                <w:kern w:val="0"/>
                <w:sz w:val="24"/>
                <w:szCs w:val="24"/>
                <w:highlight w:val="none"/>
                <w:lang w:val="en-US" w:eastAsia="zh-CN"/>
              </w:rPr>
              <w:t>符合第二章“投标人须知”第1.11.3项规定</w:t>
            </w:r>
            <w:permEnd w:id="71"/>
          </w:p>
        </w:tc>
      </w:tr>
      <w:tr w14:paraId="3591DB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14:paraId="1E321A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2" w:edGrp="everyone" w:colFirst="3" w:colLast="3"/>
          </w:p>
        </w:tc>
        <w:tc>
          <w:tcPr>
            <w:tcW w:w="997" w:type="dxa"/>
            <w:vMerge w:val="continue"/>
            <w:tcBorders>
              <w:bottom w:val="single" w:color="auto" w:sz="4" w:space="0"/>
              <w:right w:val="single" w:color="auto" w:sz="4" w:space="0"/>
            </w:tcBorders>
            <w:noWrap w:val="0"/>
            <w:vAlign w:val="center"/>
          </w:tcPr>
          <w:p w14:paraId="4519E8A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232F0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B89FB9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                </w:t>
            </w:r>
          </w:p>
        </w:tc>
      </w:tr>
      <w:permEnd w:id="72"/>
      <w:tr w14:paraId="08CAC1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1A65F80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1B0175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5B8D07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bl>
    <w:p w14:paraId="1ED0923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w:t>
      </w:r>
    </w:p>
    <w:p w14:paraId="2DC90236">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07ACD55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合理低价法。评标委员会对满足招标文件实质要求的投标文件，根据本章第2.2.款规定的量化因素及量化标准进行价格折算（如有），</w:t>
      </w:r>
      <w:r>
        <w:rPr>
          <w:rFonts w:hint="eastAsia" w:ascii="Times New Roman" w:hAnsi="Times New Roman" w:cs="Times New Roman" w:eastAsiaTheme="minorEastAsia"/>
          <w:kern w:val="0"/>
          <w:sz w:val="24"/>
          <w:szCs w:val="24"/>
          <w:highlight w:val="none"/>
          <w:lang w:val="en-US" w:eastAsia="zh-CN"/>
        </w:rPr>
        <w:t>按照本章</w:t>
      </w:r>
      <w:r>
        <w:rPr>
          <w:rFonts w:hint="eastAsia" w:ascii="Times New Roman" w:hAnsi="Times New Roman" w:cs="Times New Roman"/>
          <w:kern w:val="0"/>
          <w:sz w:val="24"/>
          <w:szCs w:val="24"/>
          <w:highlight w:val="none"/>
          <w:lang w:val="en-US" w:eastAsia="zh-CN"/>
        </w:rPr>
        <w:t>“</w:t>
      </w:r>
      <w:r>
        <w:rPr>
          <w:rFonts w:hint="eastAsia" w:ascii="Times New Roman" w:hAnsi="Times New Roman" w:cs="Times New Roman" w:eastAsiaTheme="minorEastAsia"/>
          <w:kern w:val="0"/>
          <w:sz w:val="24"/>
          <w:szCs w:val="24"/>
          <w:highlight w:val="none"/>
          <w:lang w:val="en-US" w:eastAsia="zh-CN"/>
        </w:rPr>
        <w:t>评标办法前附表</w:t>
      </w:r>
      <w:r>
        <w:rPr>
          <w:rFonts w:hint="eastAsia" w:ascii="Times New Roman" w:hAnsi="Times New Roman" w:cs="Times New Roman"/>
          <w:kern w:val="0"/>
          <w:sz w:val="24"/>
          <w:szCs w:val="24"/>
          <w:highlight w:val="none"/>
          <w:lang w:val="en-US" w:eastAsia="zh-CN"/>
        </w:rPr>
        <w:t>”中的评标办法</w:t>
      </w:r>
      <w:r>
        <w:rPr>
          <w:rFonts w:hint="eastAsia" w:ascii="Times New Roman" w:hAnsi="Times New Roman" w:cs="Times New Roman" w:eastAsiaTheme="minorEastAsia"/>
          <w:kern w:val="0"/>
          <w:sz w:val="24"/>
          <w:szCs w:val="24"/>
          <w:highlight w:val="none"/>
          <w:lang w:val="en-US" w:eastAsia="zh-CN"/>
        </w:rPr>
        <w:t>推荐中标候选人</w:t>
      </w:r>
      <w:r>
        <w:rPr>
          <w:rFonts w:hint="eastAsia" w:ascii="Times New Roman" w:hAnsi="Times New Roman" w:cs="Times New Roman"/>
          <w:kern w:val="0"/>
          <w:sz w:val="24"/>
          <w:szCs w:val="24"/>
          <w:highlight w:val="none"/>
          <w:lang w:val="en-US" w:eastAsia="zh-CN"/>
        </w:rPr>
        <w:t>，或根据招标人授权直接确定中标人，但投标报价低于其成本的除外。</w:t>
      </w:r>
    </w:p>
    <w:p w14:paraId="6528DFB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14:paraId="19CF1DC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14:paraId="6C9B545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2A3F8ED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24DAAD5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2.1.3 响应性评审标准：见评标办法前附表。</w:t>
      </w:r>
    </w:p>
    <w:p w14:paraId="25A96AA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14:paraId="5D4762E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14:paraId="2B6FEDB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14:paraId="4739E87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14:paraId="35A6D53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14:paraId="5873E7D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14:paraId="05FA448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5BF373D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01F4FEA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14:paraId="1BE742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7C9E08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62F327B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57BB01B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14:paraId="3875F3E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14:paraId="344957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14:paraId="4E5A9A2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14:paraId="2531331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14:paraId="47AD662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0C13FF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2228890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4DF4926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43B0E16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所有有效投标报价低于招标控制价，且竞标人报价没有明显高于市场价或采购人预期。</w:t>
      </w:r>
    </w:p>
    <w:p w14:paraId="6588EDB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4B7DB50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64DB9D8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1D5086BC">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11E103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02232C9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57915428">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67DBA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B03C03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6FDF222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466E7F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14730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BE0E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6C5503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06EB5544">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shd w:val="clear" w:color="auto" w:fill="auto"/>
                <w:vertAlign w:val="baseline"/>
                <w:lang w:val="en-US" w:eastAsia="zh-CN"/>
              </w:rPr>
            </w:pPr>
            <w:permStart w:id="73"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r>
              <w:rPr>
                <w:rFonts w:hint="eastAsia" w:asciiTheme="minorEastAsia" w:hAnsiTheme="minorEastAsia" w:eastAsiaTheme="minorEastAsia" w:cstheme="minorEastAsia"/>
                <w:sz w:val="24"/>
                <w:szCs w:val="24"/>
                <w:lang w:val="en-US" w:eastAsia="zh-CN"/>
              </w:rPr>
              <w:t>亳州通恒置业有限公司</w:t>
            </w:r>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73"/>
          </w:p>
        </w:tc>
      </w:tr>
      <w:tr w14:paraId="25D22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0CA89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1542A2F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7D23ACA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74" w:edGrp="everyone"/>
            <w:r>
              <w:rPr>
                <w:rFonts w:hint="eastAsia" w:ascii="Times New Roman" w:hAnsi="Times New Roman" w:cs="Times New Roman"/>
                <w:kern w:val="0"/>
                <w:sz w:val="24"/>
                <w:szCs w:val="24"/>
                <w:highlight w:val="none"/>
                <w:shd w:val="clear" w:color="auto" w:fill="auto"/>
                <w:vertAlign w:val="baseline"/>
                <w:lang w:val="en-US" w:eastAsia="zh-CN"/>
              </w:rPr>
              <w:t>无预付款。执行完毕、确认验收合格付至合同总价款的90%，付款前乙方需提供合同增值税专用发票；待质保期结束后，付至合同总价款的100%。</w:t>
            </w:r>
            <w:permEnd w:id="74"/>
          </w:p>
          <w:p w14:paraId="632FC45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14:paraId="7F31A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DA0BD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2B31A68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14:paraId="4134619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5" w:edGrp="everyone"/>
            <w:r>
              <w:rPr>
                <w:rFonts w:hint="eastAsia" w:asciiTheme="minorEastAsia" w:hAnsiTheme="minorEastAsia" w:cstheme="minorEastAsia"/>
                <w:color w:val="auto"/>
                <w:kern w:val="2"/>
                <w:sz w:val="24"/>
                <w:szCs w:val="24"/>
                <w:lang w:val="en-US" w:eastAsia="zh-CN" w:bidi="ar-SA"/>
              </w:rPr>
              <w:t>自验收合格之日起清单内物料质保期为3年</w:t>
            </w:r>
            <w:r>
              <w:rPr>
                <w:rFonts w:hint="eastAsia" w:ascii="Times New Roman" w:hAnsi="Times New Roman" w:cs="Times New Roman"/>
                <w:kern w:val="0"/>
                <w:sz w:val="24"/>
                <w:szCs w:val="24"/>
                <w:highlight w:val="none"/>
                <w:shd w:val="clear" w:color="auto" w:fill="auto"/>
                <w:vertAlign w:val="baseline"/>
                <w:lang w:val="en-US" w:eastAsia="zh-CN"/>
              </w:rPr>
              <w:t>。</w:t>
            </w: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ermEnd w:id="75"/>
          </w:p>
        </w:tc>
      </w:tr>
      <w:tr w14:paraId="35C19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4C5FC9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14:paraId="240F72B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14:paraId="58F4ADAA">
            <w:pPr>
              <w:spacing w:line="360" w:lineRule="auto"/>
              <w:ind w:firstLine="480" w:firstLineChars="200"/>
              <w:rPr>
                <w:rFonts w:hint="eastAsia" w:asciiTheme="minorEastAsia" w:hAnsiTheme="minorEastAsia" w:cstheme="minorEastAsia"/>
                <w:color w:val="auto"/>
                <w:kern w:val="2"/>
                <w:sz w:val="24"/>
                <w:szCs w:val="24"/>
                <w:lang w:val="en-US" w:eastAsia="zh-CN" w:bidi="ar-SA"/>
              </w:rPr>
            </w:pPr>
            <w:permStart w:id="76"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r>
              <w:rPr>
                <w:rFonts w:hint="eastAsia" w:asciiTheme="minorEastAsia" w:hAnsiTheme="minorEastAsia" w:cstheme="minorEastAsia"/>
                <w:color w:val="auto"/>
                <w:kern w:val="2"/>
                <w:sz w:val="24"/>
                <w:szCs w:val="24"/>
                <w:lang w:val="en-US" w:eastAsia="zh-CN" w:bidi="ar-SA"/>
              </w:rPr>
              <w:t>本合同为固定单价合同，总价包括但不限于家具家电采购、运输及安装；饰品采购运输及布置；保质期内维修费用、税费、人工、管理、安全、拆除及卫生等一切费用。</w:t>
            </w:r>
          </w:p>
          <w:p w14:paraId="5330C283">
            <w:pPr>
              <w:spacing w:line="360" w:lineRule="auto"/>
              <w:ind w:firstLine="480" w:firstLineChars="200"/>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heme="minorEastAsia" w:hAnsiTheme="minorEastAsia" w:cstheme="minorEastAsia"/>
                <w:color w:val="auto"/>
                <w:kern w:val="2"/>
                <w:sz w:val="24"/>
                <w:szCs w:val="24"/>
                <w:lang w:val="en-US" w:eastAsia="zh-CN" w:bidi="ar-SA"/>
              </w:rPr>
              <w:t>在保修期内如出现质量问题，甲方有权要求乙方限期整改完毕，如未按要求整改，甲方有权使用质保金进行维修，质保金不足的情况下，多余的费用由乙方承担。超出质保期出现的问题，乙方需无条件配合甲方进行维修，维修费用由甲方承担。</w:t>
            </w:r>
            <w:permEnd w:id="76"/>
          </w:p>
        </w:tc>
      </w:tr>
    </w:tbl>
    <w:p w14:paraId="1EE1CB4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3145492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14:paraId="01F3933E">
      <w:pPr>
        <w:keepNext w:val="0"/>
        <w:keepLines w:val="0"/>
        <w:pageBreakBefore w:val="0"/>
        <w:kinsoku/>
        <w:wordWrap/>
        <w:overflowPunct/>
        <w:topLinePunct w:val="0"/>
        <w:autoSpaceDE/>
        <w:autoSpaceDN/>
        <w:bidi w:val="0"/>
        <w:adjustRightInd/>
        <w:spacing w:line="560" w:lineRule="exact"/>
        <w:jc w:val="both"/>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46AF451D">
      <w:pPr>
        <w:keepNext w:val="0"/>
        <w:keepLines w:val="0"/>
        <w:pageBreakBefore w:val="0"/>
        <w:kinsoku/>
        <w:wordWrap/>
        <w:overflowPunct/>
        <w:topLinePunct w:val="0"/>
        <w:autoSpaceDE/>
        <w:autoSpaceDN/>
        <w:bidi w:val="0"/>
        <w:adjustRightInd/>
        <w:spacing w:line="560" w:lineRule="exact"/>
        <w:jc w:val="center"/>
        <w:textAlignment w:val="auto"/>
        <w:rPr>
          <w:rFonts w:hint="eastAsia" w:ascii="仿宋" w:hAnsi="仿宋" w:eastAsia="仿宋" w:cs="仿宋"/>
          <w:sz w:val="44"/>
          <w:szCs w:val="44"/>
          <w:lang w:val="en-US" w:eastAsia="zh-CN"/>
        </w:rPr>
      </w:pPr>
      <w:r>
        <w:rPr>
          <w:rFonts w:hint="eastAsia" w:ascii="仿宋" w:hAnsi="仿宋" w:eastAsia="仿宋" w:cs="仿宋"/>
          <w:b/>
          <w:bCs/>
          <w:sz w:val="44"/>
          <w:szCs w:val="44"/>
          <w:lang w:val="en-US" w:eastAsia="zh-CN"/>
        </w:rPr>
        <w:t>亳州</w:t>
      </w:r>
      <w:r>
        <w:rPr>
          <w:rFonts w:hint="eastAsia" w:ascii="仿宋" w:hAnsi="仿宋" w:eastAsia="仿宋" w:cs="仿宋"/>
          <w:b/>
          <w:bCs/>
          <w:sz w:val="44"/>
          <w:szCs w:val="44"/>
          <w:lang w:eastAsia="zh-CN"/>
        </w:rPr>
        <w:t>逸合府</w:t>
      </w:r>
      <w:r>
        <w:rPr>
          <w:rFonts w:hint="eastAsia" w:ascii="仿宋" w:hAnsi="仿宋" w:eastAsia="仿宋" w:cs="仿宋"/>
          <w:b/>
          <w:bCs/>
          <w:sz w:val="44"/>
          <w:szCs w:val="44"/>
        </w:rPr>
        <w:t>项目</w:t>
      </w:r>
      <w:r>
        <w:rPr>
          <w:rFonts w:hint="eastAsia" w:ascii="仿宋" w:hAnsi="仿宋" w:eastAsia="仿宋" w:cs="仿宋"/>
          <w:b/>
          <w:bCs/>
          <w:sz w:val="44"/>
          <w:szCs w:val="44"/>
          <w:lang w:val="en-US" w:eastAsia="zh-CN"/>
        </w:rPr>
        <w:t>示范区29#201精装样板间软装</w:t>
      </w:r>
      <w:r>
        <w:rPr>
          <w:rFonts w:hint="eastAsia" w:ascii="仿宋" w:hAnsi="仿宋" w:eastAsia="仿宋" w:cs="仿宋"/>
          <w:b/>
          <w:bCs/>
          <w:sz w:val="44"/>
          <w:szCs w:val="44"/>
        </w:rPr>
        <w:t>合同</w:t>
      </w:r>
    </w:p>
    <w:p w14:paraId="198C5D48">
      <w:pPr>
        <w:keepNext w:val="0"/>
        <w:keepLines w:val="0"/>
        <w:pageBreakBefore w:val="0"/>
        <w:kinsoku/>
        <w:wordWrap/>
        <w:overflowPunct/>
        <w:topLinePunct w:val="0"/>
        <w:autoSpaceDE/>
        <w:autoSpaceDN/>
        <w:bidi w:val="0"/>
        <w:adjustRightInd/>
        <w:spacing w:line="560" w:lineRule="exact"/>
        <w:jc w:val="left"/>
        <w:textAlignment w:val="auto"/>
        <w:rPr>
          <w:rFonts w:hint="eastAsia" w:ascii="仿宋" w:hAnsi="仿宋" w:eastAsia="仿宋" w:cs="仿宋"/>
          <w:sz w:val="24"/>
          <w:szCs w:val="24"/>
          <w:lang w:eastAsia="zh-CN"/>
        </w:rPr>
      </w:pPr>
    </w:p>
    <w:p w14:paraId="71411C60">
      <w:pPr>
        <w:keepNext w:val="0"/>
        <w:keepLines w:val="0"/>
        <w:pageBreakBefore w:val="0"/>
        <w:kinsoku/>
        <w:wordWrap/>
        <w:overflowPunct/>
        <w:topLinePunct w:val="0"/>
        <w:autoSpaceDE/>
        <w:autoSpaceDN/>
        <w:bidi w:val="0"/>
        <w:adjustRightInd/>
        <w:spacing w:line="560" w:lineRule="exact"/>
        <w:jc w:val="left"/>
        <w:textAlignment w:val="auto"/>
        <w:rPr>
          <w:rFonts w:hint="eastAsia" w:ascii="仿宋" w:hAnsi="仿宋" w:eastAsia="仿宋" w:cs="仿宋"/>
          <w:b w:val="0"/>
          <w:bCs w:val="0"/>
          <w:color w:val="FF0000"/>
          <w:sz w:val="32"/>
          <w:szCs w:val="32"/>
          <w:u w:val="single"/>
        </w:rPr>
      </w:pPr>
      <w:r>
        <w:rPr>
          <w:rFonts w:hint="eastAsia" w:ascii="仿宋" w:hAnsi="仿宋" w:eastAsia="仿宋" w:cs="仿宋"/>
          <w:b w:val="0"/>
          <w:bCs w:val="0"/>
          <w:sz w:val="32"/>
          <w:szCs w:val="32"/>
          <w:lang w:eastAsia="zh-CN"/>
        </w:rPr>
        <w:t>甲</w:t>
      </w:r>
      <w:r>
        <w:rPr>
          <w:rFonts w:hint="eastAsia" w:ascii="仿宋" w:hAnsi="仿宋" w:eastAsia="仿宋" w:cs="仿宋"/>
          <w:b w:val="0"/>
          <w:bCs w:val="0"/>
          <w:sz w:val="32"/>
          <w:szCs w:val="32"/>
        </w:rPr>
        <w:t>方</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color w:val="000000" w:themeColor="text1"/>
          <w:kern w:val="0"/>
          <w:sz w:val="32"/>
          <w:szCs w:val="32"/>
          <w:u w:val="single"/>
          <w:lang w:val="en-US" w:eastAsia="zh-CN"/>
          <w14:textFill>
            <w14:solidFill>
              <w14:schemeClr w14:val="tx1"/>
            </w14:solidFill>
          </w14:textFill>
        </w:rPr>
        <w:t>亳州通恒置业</w:t>
      </w:r>
      <w:r>
        <w:rPr>
          <w:rFonts w:hint="eastAsia" w:ascii="仿宋" w:hAnsi="仿宋" w:eastAsia="仿宋" w:cs="仿宋"/>
          <w:b w:val="0"/>
          <w:bCs w:val="0"/>
          <w:color w:val="000000" w:themeColor="text1"/>
          <w:sz w:val="32"/>
          <w:szCs w:val="32"/>
          <w:u w:val="single"/>
          <w:lang w:eastAsia="zh-CN"/>
          <w14:textFill>
            <w14:solidFill>
              <w14:schemeClr w14:val="tx1"/>
            </w14:solidFill>
          </w14:textFill>
        </w:rPr>
        <w:t>有限公司</w:t>
      </w:r>
      <w:r>
        <w:rPr>
          <w:rFonts w:hint="eastAsia" w:ascii="仿宋" w:hAnsi="仿宋" w:eastAsia="仿宋" w:cs="仿宋"/>
          <w:b w:val="0"/>
          <w:bCs w:val="0"/>
          <w:color w:val="000000" w:themeColor="text1"/>
          <w:sz w:val="32"/>
          <w:szCs w:val="32"/>
          <w:u w:val="single"/>
          <w14:textFill>
            <w14:solidFill>
              <w14:schemeClr w14:val="tx1"/>
            </w14:solidFill>
          </w14:textFill>
        </w:rPr>
        <w:t xml:space="preserve"> </w:t>
      </w:r>
    </w:p>
    <w:p w14:paraId="7FCE6A90">
      <w:pPr>
        <w:keepNext w:val="0"/>
        <w:keepLines w:val="0"/>
        <w:pageBreakBefore w:val="0"/>
        <w:kinsoku/>
        <w:wordWrap/>
        <w:overflowPunct/>
        <w:topLinePunct w:val="0"/>
        <w:autoSpaceDE/>
        <w:autoSpaceDN/>
        <w:bidi w:val="0"/>
        <w:adjustRightInd/>
        <w:spacing w:line="560" w:lineRule="exact"/>
        <w:jc w:val="left"/>
        <w:textAlignment w:val="auto"/>
        <w:rPr>
          <w:rFonts w:hint="eastAsia" w:ascii="仿宋" w:hAnsi="仿宋" w:eastAsia="仿宋" w:cs="仿宋"/>
          <w:b w:val="0"/>
          <w:bCs w:val="0"/>
          <w:color w:val="000000" w:themeColor="text1"/>
          <w:sz w:val="32"/>
          <w:szCs w:val="32"/>
          <w:u w:val="single"/>
          <w:lang w:val="en-US" w:eastAsia="zh-CN"/>
          <w14:textFill>
            <w14:solidFill>
              <w14:schemeClr w14:val="tx1"/>
            </w14:solidFill>
          </w14:textFill>
        </w:rPr>
      </w:pPr>
      <w:r>
        <w:rPr>
          <w:rFonts w:hint="eastAsia" w:ascii="仿宋" w:hAnsi="仿宋" w:eastAsia="仿宋" w:cs="仿宋"/>
          <w:b w:val="0"/>
          <w:bCs w:val="0"/>
          <w:sz w:val="32"/>
          <w:szCs w:val="32"/>
        </w:rPr>
        <w:t>乙</w:t>
      </w:r>
      <w:r>
        <w:rPr>
          <w:rFonts w:hint="eastAsia" w:ascii="仿宋" w:hAnsi="仿宋" w:eastAsia="仿宋" w:cs="仿宋"/>
          <w:b w:val="0"/>
          <w:bCs w:val="0"/>
          <w:sz w:val="32"/>
          <w:szCs w:val="32"/>
          <w:lang w:eastAsia="zh-CN"/>
        </w:rPr>
        <w:t>方：</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color w:val="000000" w:themeColor="text1"/>
          <w:sz w:val="32"/>
          <w:szCs w:val="32"/>
          <w:u w:val="single"/>
          <w:lang w:val="en-US" w:eastAsia="zh-CN"/>
          <w14:textFill>
            <w14:solidFill>
              <w14:schemeClr w14:val="tx1"/>
            </w14:solidFill>
          </w14:textFill>
        </w:rPr>
        <w:t xml:space="preserve"> </w:t>
      </w:r>
    </w:p>
    <w:p w14:paraId="676FCCFA">
      <w:pPr>
        <w:pStyle w:val="17"/>
        <w:keepNext w:val="0"/>
        <w:keepLines w:val="0"/>
        <w:pageBreakBefore w:val="0"/>
        <w:kinsoku/>
        <w:wordWrap/>
        <w:overflowPunct/>
        <w:topLinePunct w:val="0"/>
        <w:autoSpaceDE/>
        <w:autoSpaceDN/>
        <w:bidi w:val="0"/>
        <w:adjustRightInd/>
        <w:spacing w:line="560" w:lineRule="exact"/>
        <w:textAlignment w:val="auto"/>
        <w:rPr>
          <w:rFonts w:hint="eastAsia"/>
          <w:sz w:val="32"/>
          <w:szCs w:val="32"/>
          <w:lang w:val="en-US" w:eastAsia="zh-CN"/>
        </w:rPr>
      </w:pPr>
    </w:p>
    <w:p w14:paraId="4B6A6331">
      <w:pPr>
        <w:keepNext w:val="0"/>
        <w:keepLines w:val="0"/>
        <w:pageBreakBefore w:val="0"/>
        <w:kinsoku/>
        <w:wordWrap/>
        <w:overflowPunct/>
        <w:topLinePunct w:val="0"/>
        <w:autoSpaceDE/>
        <w:autoSpaceDN/>
        <w:bidi w:val="0"/>
        <w:adjustRightIn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甲乙</w:t>
      </w:r>
      <w:r>
        <w:rPr>
          <w:rFonts w:hint="eastAsia" w:ascii="仿宋" w:hAnsi="仿宋" w:eastAsia="仿宋" w:cs="仿宋"/>
          <w:sz w:val="32"/>
          <w:szCs w:val="32"/>
        </w:rPr>
        <w:t>双方依</w:t>
      </w:r>
      <w:r>
        <w:rPr>
          <w:rFonts w:hint="eastAsia" w:ascii="仿宋" w:hAnsi="仿宋" w:eastAsia="仿宋" w:cs="仿宋"/>
          <w:sz w:val="32"/>
          <w:szCs w:val="32"/>
          <w:lang w:eastAsia="zh-CN"/>
        </w:rPr>
        <w:t>据《</w:t>
      </w:r>
      <w:r>
        <w:rPr>
          <w:rFonts w:hint="eastAsia" w:ascii="仿宋" w:hAnsi="仿宋" w:eastAsia="仿宋" w:cs="仿宋"/>
          <w:sz w:val="32"/>
          <w:szCs w:val="32"/>
        </w:rPr>
        <w:t>中华人</w:t>
      </w:r>
      <w:r>
        <w:rPr>
          <w:rFonts w:hint="eastAsia" w:ascii="仿宋" w:hAnsi="仿宋" w:eastAsia="仿宋" w:cs="仿宋"/>
          <w:sz w:val="32"/>
          <w:szCs w:val="32"/>
          <w:lang w:eastAsia="zh-CN"/>
        </w:rPr>
        <w:t>民</w:t>
      </w:r>
      <w:r>
        <w:rPr>
          <w:rFonts w:hint="eastAsia" w:ascii="仿宋" w:hAnsi="仿宋" w:eastAsia="仿宋" w:cs="仿宋"/>
          <w:sz w:val="32"/>
          <w:szCs w:val="32"/>
        </w:rPr>
        <w:t>共</w:t>
      </w:r>
      <w:r>
        <w:rPr>
          <w:rFonts w:hint="eastAsia" w:ascii="仿宋" w:hAnsi="仿宋" w:eastAsia="仿宋" w:cs="仿宋"/>
          <w:sz w:val="32"/>
          <w:szCs w:val="32"/>
          <w:lang w:eastAsia="zh-CN"/>
        </w:rPr>
        <w:t>和国民</w:t>
      </w:r>
      <w:r>
        <w:rPr>
          <w:rFonts w:hint="eastAsia" w:ascii="仿宋" w:hAnsi="仿宋" w:eastAsia="仿宋" w:cs="仿宋"/>
          <w:sz w:val="32"/>
          <w:szCs w:val="32"/>
        </w:rPr>
        <w:t>法典</w:t>
      </w:r>
      <w:r>
        <w:rPr>
          <w:rFonts w:hint="eastAsia" w:ascii="仿宋" w:hAnsi="仿宋" w:eastAsia="仿宋" w:cs="仿宋"/>
          <w:sz w:val="32"/>
          <w:szCs w:val="32"/>
          <w:lang w:eastAsia="zh-CN"/>
        </w:rPr>
        <w:t>》</w:t>
      </w:r>
      <w:r>
        <w:rPr>
          <w:rFonts w:hint="eastAsia" w:ascii="仿宋" w:hAnsi="仿宋" w:eastAsia="仿宋" w:cs="仿宋"/>
          <w:sz w:val="32"/>
          <w:szCs w:val="32"/>
        </w:rPr>
        <w:t>及有关</w:t>
      </w:r>
      <w:r>
        <w:rPr>
          <w:rFonts w:hint="eastAsia" w:ascii="仿宋" w:hAnsi="仿宋" w:eastAsia="仿宋" w:cs="仿宋"/>
          <w:sz w:val="32"/>
          <w:szCs w:val="32"/>
          <w:lang w:eastAsia="zh-CN"/>
        </w:rPr>
        <w:t>规</w:t>
      </w:r>
      <w:r>
        <w:rPr>
          <w:rFonts w:hint="eastAsia" w:ascii="仿宋" w:hAnsi="仿宋" w:eastAsia="仿宋" w:cs="仿宋"/>
          <w:sz w:val="32"/>
          <w:szCs w:val="32"/>
        </w:rPr>
        <w:t>定，按照平等互利的</w:t>
      </w:r>
      <w:r>
        <w:rPr>
          <w:rFonts w:hint="eastAsia" w:ascii="仿宋" w:hAnsi="仿宋" w:eastAsia="仿宋" w:cs="仿宋"/>
          <w:sz w:val="32"/>
          <w:szCs w:val="32"/>
          <w:lang w:eastAsia="zh-CN"/>
        </w:rPr>
        <w:t>原</w:t>
      </w:r>
      <w:r>
        <w:rPr>
          <w:rFonts w:hint="eastAsia" w:ascii="仿宋" w:hAnsi="仿宋" w:eastAsia="仿宋" w:cs="仿宋"/>
          <w:sz w:val="32"/>
          <w:szCs w:val="32"/>
        </w:rPr>
        <w:t>则，为明确双</w:t>
      </w:r>
      <w:r>
        <w:rPr>
          <w:rFonts w:hint="eastAsia" w:ascii="仿宋" w:hAnsi="仿宋" w:eastAsia="仿宋" w:cs="仿宋"/>
          <w:sz w:val="32"/>
          <w:szCs w:val="32"/>
          <w:lang w:eastAsia="zh-CN"/>
        </w:rPr>
        <w:t>方</w:t>
      </w:r>
      <w:r>
        <w:rPr>
          <w:rFonts w:hint="eastAsia" w:ascii="仿宋" w:hAnsi="仿宋" w:eastAsia="仿宋" w:cs="仿宋"/>
          <w:sz w:val="32"/>
          <w:szCs w:val="32"/>
        </w:rPr>
        <w:t>的权利义务，</w:t>
      </w:r>
      <w:r>
        <w:rPr>
          <w:rFonts w:hint="eastAsia" w:ascii="仿宋" w:hAnsi="仿宋" w:eastAsia="仿宋" w:cs="仿宋"/>
          <w:sz w:val="32"/>
          <w:szCs w:val="32"/>
          <w:lang w:eastAsia="zh-CN"/>
        </w:rPr>
        <w:t>经</w:t>
      </w:r>
      <w:r>
        <w:rPr>
          <w:rFonts w:hint="eastAsia" w:ascii="仿宋" w:hAnsi="仿宋" w:eastAsia="仿宋" w:cs="仿宋"/>
          <w:sz w:val="32"/>
          <w:szCs w:val="32"/>
        </w:rPr>
        <w:t>协商一致，特委托乙方为其提供</w:t>
      </w:r>
      <w:r>
        <w:rPr>
          <w:rFonts w:hint="eastAsia" w:ascii="仿宋" w:hAnsi="仿宋" w:eastAsia="仿宋" w:cs="仿宋"/>
          <w:sz w:val="32"/>
          <w:szCs w:val="32"/>
          <w:lang w:val="en-US" w:eastAsia="zh-CN"/>
        </w:rPr>
        <w:t>示范区29#201精装样板间软装采购</w:t>
      </w:r>
      <w:r>
        <w:rPr>
          <w:rFonts w:hint="eastAsia" w:ascii="仿宋" w:hAnsi="仿宋" w:eastAsia="仿宋" w:cs="仿宋"/>
          <w:sz w:val="32"/>
          <w:szCs w:val="32"/>
        </w:rPr>
        <w:t>业务，并结合业务的具体要</w:t>
      </w:r>
      <w:r>
        <w:rPr>
          <w:rFonts w:hint="eastAsia" w:ascii="仿宋" w:hAnsi="仿宋" w:eastAsia="仿宋" w:cs="仿宋"/>
          <w:sz w:val="32"/>
          <w:szCs w:val="32"/>
          <w:lang w:eastAsia="zh-CN"/>
        </w:rPr>
        <w:t>求</w:t>
      </w:r>
      <w:r>
        <w:rPr>
          <w:rFonts w:hint="eastAsia" w:ascii="仿宋" w:hAnsi="仿宋" w:eastAsia="仿宋" w:cs="仿宋"/>
          <w:sz w:val="32"/>
          <w:szCs w:val="32"/>
        </w:rPr>
        <w:t>，签订本合同，双方共同</w:t>
      </w:r>
      <w:r>
        <w:rPr>
          <w:rFonts w:hint="eastAsia" w:ascii="仿宋" w:hAnsi="仿宋" w:eastAsia="仿宋" w:cs="仿宋"/>
          <w:sz w:val="32"/>
          <w:szCs w:val="32"/>
          <w:lang w:eastAsia="zh-CN"/>
        </w:rPr>
        <w:t>遵守</w:t>
      </w:r>
      <w:r>
        <w:rPr>
          <w:rFonts w:hint="eastAsia" w:ascii="仿宋" w:hAnsi="仿宋" w:eastAsia="仿宋" w:cs="仿宋"/>
          <w:sz w:val="32"/>
          <w:szCs w:val="32"/>
        </w:rPr>
        <w:t>。</w:t>
      </w:r>
    </w:p>
    <w:p w14:paraId="77DBB7B0">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第一条：</w:t>
      </w:r>
      <w:r>
        <w:rPr>
          <w:rFonts w:hint="eastAsia" w:ascii="仿宋" w:hAnsi="仿宋" w:eastAsia="仿宋" w:cs="仿宋"/>
          <w:b w:val="0"/>
          <w:bCs w:val="0"/>
          <w:sz w:val="32"/>
          <w:szCs w:val="32"/>
        </w:rPr>
        <w:t>项目</w:t>
      </w:r>
      <w:r>
        <w:rPr>
          <w:rFonts w:hint="eastAsia" w:ascii="仿宋" w:hAnsi="仿宋" w:eastAsia="仿宋" w:cs="仿宋"/>
          <w:b w:val="0"/>
          <w:bCs w:val="0"/>
          <w:sz w:val="32"/>
          <w:szCs w:val="32"/>
          <w:lang w:val="en-US" w:eastAsia="zh-CN"/>
        </w:rPr>
        <w:t>概况</w:t>
      </w:r>
    </w:p>
    <w:p w14:paraId="602096FB">
      <w:pPr>
        <w:pStyle w:val="17"/>
        <w:keepNext w:val="0"/>
        <w:keepLines w:val="0"/>
        <w:pageBreakBefore w:val="0"/>
        <w:numPr>
          <w:ilvl w:val="0"/>
          <w:numId w:val="1"/>
        </w:numPr>
        <w:kinsoku/>
        <w:wordWrap/>
        <w:overflowPunct/>
        <w:topLinePunct w:val="0"/>
        <w:autoSpaceDE/>
        <w:autoSpaceDN/>
        <w:bidi w:val="0"/>
        <w:adjustRightInd/>
        <w:spacing w:line="560" w:lineRule="exact"/>
        <w:ind w:left="0" w:leftChars="0"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b w:val="0"/>
          <w:bCs w:val="0"/>
          <w:sz w:val="32"/>
          <w:szCs w:val="32"/>
          <w:lang w:val="en-US" w:eastAsia="zh-CN"/>
        </w:rPr>
        <w:t>项目名称</w:t>
      </w:r>
      <w:r>
        <w:rPr>
          <w:rFonts w:hint="eastAsia" w:ascii="仿宋" w:hAnsi="仿宋" w:eastAsia="仿宋" w:cs="仿宋"/>
          <w:kern w:val="2"/>
          <w:sz w:val="32"/>
          <w:szCs w:val="32"/>
          <w:lang w:val="en-US" w:eastAsia="zh-CN" w:bidi="ar-SA"/>
        </w:rPr>
        <w:t>：亳州逸合府项目示范区29#201精装样板间软装</w:t>
      </w:r>
    </w:p>
    <w:p w14:paraId="2CA68E87">
      <w:pPr>
        <w:pStyle w:val="17"/>
        <w:keepNext w:val="0"/>
        <w:keepLines w:val="0"/>
        <w:pageBreakBefore w:val="0"/>
        <w:numPr>
          <w:ilvl w:val="0"/>
          <w:numId w:val="1"/>
        </w:numPr>
        <w:kinsoku/>
        <w:wordWrap/>
        <w:overflowPunct/>
        <w:topLinePunct w:val="0"/>
        <w:autoSpaceDE/>
        <w:autoSpaceDN/>
        <w:bidi w:val="0"/>
        <w:adjustRightInd/>
        <w:spacing w:line="56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u w:val="none"/>
          <w:lang w:val="en-US" w:eastAsia="zh-CN"/>
        </w:rPr>
        <w:t>项目内容</w:t>
      </w:r>
      <w:r>
        <w:rPr>
          <w:rFonts w:hint="eastAsia" w:ascii="仿宋" w:hAnsi="仿宋" w:eastAsia="仿宋" w:cs="仿宋"/>
          <w:sz w:val="32"/>
          <w:szCs w:val="32"/>
          <w:lang w:val="en-US" w:eastAsia="zh-CN"/>
        </w:rPr>
        <w:t>：软装家装物品制作、采买及运输、安装、现场布置、税费等（具体详见发包人要求里的清单表）</w:t>
      </w:r>
    </w:p>
    <w:p w14:paraId="64FB9A6E">
      <w:pPr>
        <w:pStyle w:val="17"/>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default"/>
          <w:lang w:val="en-US" w:eastAsia="zh-CN"/>
        </w:rPr>
      </w:pPr>
      <w:r>
        <w:rPr>
          <w:rFonts w:hint="eastAsia" w:ascii="仿宋" w:hAnsi="仿宋" w:eastAsia="仿宋" w:cs="仿宋"/>
          <w:sz w:val="32"/>
          <w:szCs w:val="32"/>
          <w:u w:val="none"/>
          <w:lang w:val="en-US" w:eastAsia="zh-CN"/>
        </w:rPr>
        <w:t>3、执行地点:</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亳州市谯城区利辛路与华佗大道交口</w:t>
      </w:r>
    </w:p>
    <w:p w14:paraId="1570A1B2">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第二条：</w:t>
      </w:r>
      <w:r>
        <w:rPr>
          <w:rFonts w:hint="eastAsia" w:ascii="仿宋" w:hAnsi="仿宋" w:eastAsia="仿宋" w:cs="仿宋"/>
          <w:b w:val="0"/>
          <w:bCs w:val="0"/>
          <w:sz w:val="32"/>
          <w:szCs w:val="32"/>
        </w:rPr>
        <w:t>服务说明</w:t>
      </w:r>
    </w:p>
    <w:p w14:paraId="2B675F06">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 xml:space="preserve">1、质量要求：以甲方规定的标准及招标清单和采购需求为依据，甲方有权对乙方的工作内容及工作质量进行监督和指导，发现问题有权要求乙方限期整改直至符合甲方要求及标准，若乙方拒不整改或整改不符合要求的，甲方有权要求乙方承担相应责任。                    </w:t>
      </w:r>
    </w:p>
    <w:p w14:paraId="0AA76928">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2、交付要求：自合同签订后，接到甲方执行通知，20个日历日内；如乙方未能按规定时间、要求完成，乙方应向甲方承担相应的违约责任。具体执行时间以甲方通知为准。</w:t>
      </w:r>
    </w:p>
    <w:p w14:paraId="10D99C5F">
      <w:pPr>
        <w:pStyle w:val="17"/>
        <w:keepNext w:val="0"/>
        <w:keepLines w:val="0"/>
        <w:pageBreakBefore w:val="0"/>
        <w:kinsoku/>
        <w:wordWrap/>
        <w:overflowPunct/>
        <w:topLinePunct w:val="0"/>
        <w:autoSpaceDE/>
        <w:autoSpaceDN/>
        <w:bidi w:val="0"/>
        <w:adjustRightInd/>
        <w:spacing w:line="560" w:lineRule="exact"/>
        <w:ind w:left="0" w:leftChars="0"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3、服务期限：自合同签订日起，至执行完毕并验收合格；</w:t>
      </w:r>
    </w:p>
    <w:p w14:paraId="4CAAC8FE">
      <w:pPr>
        <w:pStyle w:val="9"/>
        <w:ind w:firstLine="640" w:firstLineChars="200"/>
        <w:rPr>
          <w:rFonts w:hint="default"/>
          <w:lang w:val="en-US" w:eastAsia="zh-CN"/>
        </w:rPr>
      </w:pPr>
      <w:r>
        <w:rPr>
          <w:rFonts w:hint="eastAsia" w:ascii="仿宋" w:hAnsi="仿宋" w:eastAsia="仿宋" w:cs="仿宋"/>
          <w:color w:val="auto"/>
          <w:kern w:val="2"/>
          <w:sz w:val="32"/>
          <w:szCs w:val="32"/>
          <w:lang w:val="en-US" w:eastAsia="zh-CN" w:bidi="ar-SA"/>
        </w:rPr>
        <w:t>4、质保期：3年</w:t>
      </w:r>
    </w:p>
    <w:p w14:paraId="0DE77E4E">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第三条：合同总价及付款方式</w:t>
      </w:r>
    </w:p>
    <w:p w14:paraId="2904B7CF">
      <w:pPr>
        <w:pStyle w:val="17"/>
        <w:keepNext w:val="0"/>
        <w:keepLines w:val="0"/>
        <w:pageBreakBefore w:val="0"/>
        <w:kinsoku/>
        <w:wordWrap/>
        <w:overflowPunct/>
        <w:topLinePunct w:val="0"/>
        <w:autoSpaceDE/>
        <w:autoSpaceDN/>
        <w:bidi w:val="0"/>
        <w:adjustRightInd/>
        <w:spacing w:line="560" w:lineRule="exact"/>
        <w:ind w:left="0" w:leftChars="0"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1、合同暂定总价:总合同价款为人民币:</w:t>
      </w:r>
      <w:r>
        <w:rPr>
          <w:rFonts w:hint="eastAsia" w:ascii="仿宋" w:hAnsi="仿宋" w:eastAsia="仿宋" w:cs="仿宋"/>
          <w:color w:val="auto"/>
          <w:kern w:val="2"/>
          <w:sz w:val="32"/>
          <w:szCs w:val="32"/>
          <w:u w:val="single"/>
          <w:lang w:val="en-US" w:eastAsia="zh-CN" w:bidi="ar-SA"/>
        </w:rPr>
        <w:t xml:space="preserve">        </w:t>
      </w:r>
      <w:r>
        <w:rPr>
          <w:rFonts w:hint="eastAsia" w:ascii="仿宋" w:hAnsi="仿宋" w:eastAsia="仿宋" w:cs="仿宋"/>
          <w:color w:val="auto"/>
          <w:kern w:val="2"/>
          <w:sz w:val="32"/>
          <w:szCs w:val="32"/>
          <w:lang w:val="en-US" w:eastAsia="zh-CN" w:bidi="ar-SA"/>
        </w:rPr>
        <w:t>元（含</w:t>
      </w:r>
      <w:r>
        <w:rPr>
          <w:rFonts w:hint="eastAsia" w:ascii="仿宋" w:hAnsi="仿宋" w:eastAsia="仿宋" w:cs="仿宋"/>
          <w:color w:val="auto"/>
          <w:kern w:val="2"/>
          <w:sz w:val="32"/>
          <w:szCs w:val="32"/>
          <w:u w:val="single"/>
          <w:lang w:val="en-US" w:eastAsia="zh-CN" w:bidi="ar-SA"/>
        </w:rPr>
        <w:t xml:space="preserve">  </w:t>
      </w:r>
      <w:r>
        <w:rPr>
          <w:rFonts w:hint="eastAsia" w:ascii="仿宋" w:hAnsi="仿宋" w:eastAsia="仿宋" w:cs="仿宋"/>
          <w:color w:val="auto"/>
          <w:kern w:val="2"/>
          <w:sz w:val="32"/>
          <w:szCs w:val="32"/>
          <w:lang w:val="en-US" w:eastAsia="zh-CN" w:bidi="ar-SA"/>
        </w:rPr>
        <w:t>%增值税），大写:</w:t>
      </w:r>
      <w:r>
        <w:rPr>
          <w:rFonts w:hint="eastAsia" w:ascii="仿宋" w:hAnsi="仿宋" w:eastAsia="仿宋" w:cs="仿宋"/>
          <w:color w:val="auto"/>
          <w:kern w:val="2"/>
          <w:sz w:val="32"/>
          <w:szCs w:val="32"/>
          <w:u w:val="single"/>
          <w:lang w:val="en-US" w:eastAsia="zh-CN" w:bidi="ar-SA"/>
        </w:rPr>
        <w:t xml:space="preserve">        </w:t>
      </w:r>
      <w:r>
        <w:rPr>
          <w:rFonts w:hint="eastAsia" w:ascii="仿宋" w:hAnsi="仿宋" w:eastAsia="仿宋" w:cs="仿宋"/>
          <w:color w:val="auto"/>
          <w:kern w:val="2"/>
          <w:sz w:val="32"/>
          <w:szCs w:val="32"/>
          <w:lang w:val="en-US" w:eastAsia="zh-CN" w:bidi="ar-SA"/>
        </w:rPr>
        <w:t>。本合同为固定单价合同，单价包括制作、送货、装卸、税费、人工、管理、安全保障费等一切费用。</w:t>
      </w:r>
    </w:p>
    <w:p w14:paraId="5E8DF5F1">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color w:val="000000" w:themeColor="text1"/>
          <w:kern w:val="2"/>
          <w:sz w:val="32"/>
          <w:szCs w:val="32"/>
          <w:lang w:val="en-US" w:eastAsia="zh-CN" w:bidi="ar-SA"/>
          <w14:textFill>
            <w14:solidFill>
              <w14:schemeClr w14:val="tx1"/>
            </w14:solidFill>
          </w14:textFill>
        </w:rPr>
      </w:pPr>
      <w:r>
        <w:rPr>
          <w:rFonts w:hint="eastAsia" w:ascii="仿宋" w:hAnsi="仿宋" w:eastAsia="仿宋" w:cs="仿宋"/>
          <w:color w:val="auto"/>
          <w:kern w:val="2"/>
          <w:sz w:val="32"/>
          <w:szCs w:val="32"/>
          <w:lang w:val="en-US" w:eastAsia="zh-CN" w:bidi="ar-SA"/>
        </w:rPr>
        <w:t>2、预付款：双方协商。（1）执行完毕、确认验收合格后一个月付至总价款的90%；满质保期一个月付至总价款的100%。付款前乙方需提供</w:t>
      </w:r>
      <w:r>
        <w:rPr>
          <w:rFonts w:hint="eastAsia" w:ascii="仿宋" w:hAnsi="仿宋" w:eastAsia="仿宋" w:cs="仿宋"/>
          <w:color w:val="000000" w:themeColor="text1"/>
          <w:kern w:val="2"/>
          <w:sz w:val="32"/>
          <w:szCs w:val="32"/>
          <w:lang w:val="en-US" w:eastAsia="zh-CN" w:bidi="ar-SA"/>
          <w14:textFill>
            <w14:solidFill>
              <w14:schemeClr w14:val="tx1"/>
            </w14:solidFill>
          </w14:textFill>
        </w:rPr>
        <w:t>增值税专用发票（税率为</w:t>
      </w:r>
      <w:r>
        <w:rPr>
          <w:rFonts w:hint="eastAsia" w:ascii="仿宋" w:hAnsi="仿宋" w:eastAsia="仿宋" w:cs="仿宋"/>
          <w:color w:val="000000" w:themeColor="text1"/>
          <w:kern w:val="2"/>
          <w:sz w:val="32"/>
          <w:szCs w:val="32"/>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2"/>
          <w:sz w:val="32"/>
          <w:szCs w:val="32"/>
          <w:lang w:val="en-US" w:eastAsia="zh-CN" w:bidi="ar-SA"/>
          <w14:textFill>
            <w14:solidFill>
              <w14:schemeClr w14:val="tx1"/>
            </w14:solidFill>
          </w14:textFill>
        </w:rPr>
        <w:t>）。</w:t>
      </w:r>
    </w:p>
    <w:p w14:paraId="14691147">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3、总价包括但不限于软装制作安装、摆件采购、送货、售后、税费、人工、管理、安全及卫生等一切费用。</w:t>
      </w:r>
    </w:p>
    <w:p w14:paraId="372856AC">
      <w:pPr>
        <w:pStyle w:val="17"/>
        <w:keepNext w:val="0"/>
        <w:keepLines w:val="0"/>
        <w:pageBreakBefore w:val="0"/>
        <w:kinsoku/>
        <w:wordWrap/>
        <w:overflowPunct/>
        <w:topLinePunct w:val="0"/>
        <w:autoSpaceDE/>
        <w:autoSpaceDN/>
        <w:bidi w:val="0"/>
        <w:adjustRightInd/>
        <w:spacing w:line="560" w:lineRule="exact"/>
        <w:ind w:left="0" w:leftChars="0" w:firstLine="640" w:firstLineChars="200"/>
        <w:textAlignment w:val="auto"/>
        <w:rPr>
          <w:rFonts w:hint="default"/>
          <w:lang w:val="en-US" w:eastAsia="zh-CN"/>
        </w:rPr>
      </w:pPr>
      <w:r>
        <w:rPr>
          <w:rFonts w:hint="eastAsia" w:ascii="仿宋" w:hAnsi="仿宋" w:eastAsia="仿宋" w:cs="仿宋"/>
          <w:color w:val="auto"/>
          <w:kern w:val="2"/>
          <w:sz w:val="32"/>
          <w:szCs w:val="32"/>
          <w:lang w:val="en-US" w:eastAsia="zh-CN" w:bidi="ar-SA"/>
        </w:rPr>
        <w:t>4、</w:t>
      </w:r>
      <w:r>
        <w:rPr>
          <w:rFonts w:hint="eastAsia" w:ascii="仿宋" w:hAnsi="仿宋" w:eastAsia="仿宋" w:cs="仿宋"/>
          <w:kern w:val="2"/>
          <w:sz w:val="32"/>
          <w:szCs w:val="32"/>
          <w:lang w:val="en-US" w:eastAsia="zh-CN" w:bidi="ar-SA"/>
        </w:rPr>
        <w:t>本合同为固定单价合同，合同期内如需增加或减少项目及服务，需经甲方书面确认。经甲方验收结算时，按实际发生量依据招标清单价格计算发生费用支付于乙方。增加部分半年支付一次，</w:t>
      </w:r>
      <w:r>
        <w:rPr>
          <w:rFonts w:hint="eastAsia" w:ascii="仿宋" w:hAnsi="仿宋" w:eastAsia="仿宋" w:cs="仿宋"/>
          <w:color w:val="auto"/>
          <w:kern w:val="2"/>
          <w:sz w:val="32"/>
          <w:szCs w:val="32"/>
          <w:lang w:val="en-US" w:eastAsia="zh-CN" w:bidi="ar-SA"/>
        </w:rPr>
        <w:t>付至增项总价款的100%。付款前乙方</w:t>
      </w:r>
      <w:r>
        <w:rPr>
          <w:rFonts w:hint="eastAsia" w:ascii="仿宋" w:hAnsi="仿宋" w:eastAsia="仿宋" w:cs="仿宋"/>
          <w:color w:val="000000" w:themeColor="text1"/>
          <w:kern w:val="2"/>
          <w:sz w:val="32"/>
          <w:szCs w:val="32"/>
          <w:lang w:val="en-US" w:eastAsia="zh-CN" w:bidi="ar-SA"/>
          <w14:textFill>
            <w14:solidFill>
              <w14:schemeClr w14:val="tx1"/>
            </w14:solidFill>
          </w14:textFill>
        </w:rPr>
        <w:t>需提供增值税专用发票（税率为</w:t>
      </w:r>
      <w:r>
        <w:rPr>
          <w:rFonts w:hint="eastAsia" w:ascii="仿宋" w:hAnsi="仿宋" w:eastAsia="仿宋" w:cs="仿宋"/>
          <w:color w:val="000000" w:themeColor="text1"/>
          <w:kern w:val="2"/>
          <w:sz w:val="32"/>
          <w:szCs w:val="32"/>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2"/>
          <w:sz w:val="32"/>
          <w:szCs w:val="32"/>
          <w:lang w:val="en-US" w:eastAsia="zh-CN" w:bidi="ar-SA"/>
          <w14:textFill>
            <w14:solidFill>
              <w14:schemeClr w14:val="tx1"/>
            </w14:solidFill>
          </w14:textFill>
        </w:rPr>
        <w:t>），如未能提供，甲方有权拒绝支付费用</w:t>
      </w:r>
      <w:r>
        <w:rPr>
          <w:rFonts w:hint="eastAsia" w:ascii="仿宋" w:hAnsi="仿宋" w:eastAsia="仿宋" w:cs="仿宋"/>
          <w:color w:val="auto"/>
          <w:kern w:val="2"/>
          <w:sz w:val="32"/>
          <w:szCs w:val="32"/>
          <w:lang w:val="en-US" w:eastAsia="zh-CN" w:bidi="ar-SA"/>
        </w:rPr>
        <w:t>。</w:t>
      </w:r>
    </w:p>
    <w:p w14:paraId="2904B52B">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第四条：双方责任</w:t>
      </w:r>
    </w:p>
    <w:p w14:paraId="02714C27">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1、本合同任何一方均须对其了解的对方商业秘密</w:t>
      </w:r>
      <w:r>
        <w:rPr>
          <w:rFonts w:hint="eastAsia" w:ascii="仿宋" w:hAnsi="仿宋" w:eastAsia="仿宋" w:cs="仿宋"/>
          <w:sz w:val="32"/>
          <w:szCs w:val="32"/>
          <w:lang w:eastAsia="zh-CN"/>
        </w:rPr>
        <w:t>、</w:t>
      </w:r>
      <w:r>
        <w:rPr>
          <w:rFonts w:hint="eastAsia" w:ascii="仿宋" w:hAnsi="仿宋" w:eastAsia="仿宋" w:cs="仿宋"/>
          <w:sz w:val="32"/>
          <w:szCs w:val="32"/>
        </w:rPr>
        <w:t>业务信息及本合同内容绝对保密</w:t>
      </w:r>
      <w:r>
        <w:rPr>
          <w:rFonts w:hint="eastAsia" w:ascii="仿宋" w:hAnsi="仿宋" w:eastAsia="仿宋" w:cs="仿宋"/>
          <w:sz w:val="32"/>
          <w:szCs w:val="32"/>
          <w:lang w:eastAsia="zh-CN"/>
        </w:rPr>
        <w:t>，</w:t>
      </w:r>
      <w:r>
        <w:rPr>
          <w:rFonts w:hint="eastAsia" w:ascii="仿宋" w:hAnsi="仿宋" w:eastAsia="仿宋" w:cs="仿宋"/>
          <w:sz w:val="32"/>
          <w:szCs w:val="32"/>
        </w:rPr>
        <w:t>在未取得双方书面允许前</w:t>
      </w:r>
      <w:r>
        <w:rPr>
          <w:rFonts w:hint="eastAsia" w:ascii="仿宋" w:hAnsi="仿宋" w:eastAsia="仿宋" w:cs="仿宋"/>
          <w:sz w:val="32"/>
          <w:szCs w:val="32"/>
          <w:lang w:eastAsia="zh-CN"/>
        </w:rPr>
        <w:t>，</w:t>
      </w:r>
      <w:r>
        <w:rPr>
          <w:rFonts w:hint="eastAsia" w:ascii="仿宋" w:hAnsi="仿宋" w:eastAsia="仿宋" w:cs="仿宋"/>
          <w:sz w:val="32"/>
          <w:szCs w:val="32"/>
        </w:rPr>
        <w:t>双方均不得向外透露</w:t>
      </w:r>
      <w:r>
        <w:rPr>
          <w:rFonts w:hint="eastAsia" w:ascii="仿宋" w:hAnsi="仿宋" w:eastAsia="仿宋" w:cs="仿宋"/>
          <w:sz w:val="32"/>
          <w:szCs w:val="32"/>
          <w:lang w:eastAsia="zh-CN"/>
        </w:rPr>
        <w:t>，</w:t>
      </w:r>
      <w:r>
        <w:rPr>
          <w:rFonts w:hint="eastAsia" w:ascii="仿宋" w:hAnsi="仿宋" w:eastAsia="仿宋" w:cs="仿宋"/>
          <w:sz w:val="32"/>
          <w:szCs w:val="32"/>
        </w:rPr>
        <w:t>违约一方需</w:t>
      </w:r>
      <w:r>
        <w:rPr>
          <w:rFonts w:hint="eastAsia" w:ascii="仿宋" w:hAnsi="仿宋" w:eastAsia="仿宋" w:cs="仿宋"/>
          <w:sz w:val="32"/>
          <w:szCs w:val="32"/>
          <w:lang w:eastAsia="zh-CN"/>
        </w:rPr>
        <w:t>赔偿</w:t>
      </w:r>
      <w:r>
        <w:rPr>
          <w:rFonts w:hint="eastAsia" w:ascii="仿宋" w:hAnsi="仿宋" w:eastAsia="仿宋" w:cs="仿宋"/>
          <w:sz w:val="32"/>
          <w:szCs w:val="32"/>
        </w:rPr>
        <w:t>因</w:t>
      </w:r>
      <w:r>
        <w:rPr>
          <w:rFonts w:hint="eastAsia" w:ascii="仿宋" w:hAnsi="仿宋" w:eastAsia="仿宋" w:cs="仿宋"/>
          <w:sz w:val="32"/>
          <w:szCs w:val="32"/>
          <w:lang w:eastAsia="zh-CN"/>
        </w:rPr>
        <w:t>泄</w:t>
      </w:r>
      <w:r>
        <w:rPr>
          <w:rFonts w:hint="eastAsia" w:ascii="仿宋" w:hAnsi="仿宋" w:eastAsia="仿宋" w:cs="仿宋"/>
          <w:sz w:val="32"/>
          <w:szCs w:val="32"/>
        </w:rPr>
        <w:t>密而给对方造成的全部损失</w:t>
      </w:r>
      <w:r>
        <w:rPr>
          <w:rFonts w:hint="eastAsia" w:ascii="仿宋" w:hAnsi="仿宋" w:eastAsia="仿宋" w:cs="仿宋"/>
          <w:sz w:val="32"/>
          <w:szCs w:val="32"/>
          <w:lang w:eastAsia="zh-CN"/>
        </w:rPr>
        <w:t>。</w:t>
      </w:r>
    </w:p>
    <w:p w14:paraId="3DA1729A">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trike w:val="0"/>
          <w:dstrike w:val="0"/>
          <w:color w:val="auto"/>
          <w:kern w:val="2"/>
          <w:sz w:val="32"/>
          <w:szCs w:val="32"/>
          <w:lang w:val="en-US" w:eastAsia="zh-CN" w:bidi="ar-SA"/>
        </w:rPr>
      </w:pPr>
      <w:r>
        <w:rPr>
          <w:rFonts w:hint="eastAsia" w:ascii="仿宋" w:hAnsi="仿宋" w:eastAsia="仿宋" w:cs="仿宋"/>
          <w:strike w:val="0"/>
          <w:dstrike w:val="0"/>
          <w:color w:val="auto"/>
          <w:kern w:val="2"/>
          <w:sz w:val="32"/>
          <w:szCs w:val="32"/>
          <w:lang w:val="en-US" w:eastAsia="zh-CN" w:bidi="ar-SA"/>
        </w:rPr>
        <w:t>2、工程项目及施工方式如需变更,双方应协商一致，签定书面变更资料，同时调整相关工程费用及工期。</w:t>
      </w:r>
    </w:p>
    <w:p w14:paraId="45EF6D77">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trike w:val="0"/>
          <w:dstrike w:val="0"/>
          <w:color w:val="auto"/>
          <w:kern w:val="2"/>
          <w:sz w:val="32"/>
          <w:szCs w:val="32"/>
          <w:lang w:val="en-US" w:eastAsia="zh-CN" w:bidi="ar-SA"/>
        </w:rPr>
      </w:pPr>
      <w:r>
        <w:rPr>
          <w:rFonts w:hint="eastAsia" w:ascii="仿宋" w:hAnsi="仿宋" w:eastAsia="仿宋" w:cs="仿宋"/>
          <w:strike w:val="0"/>
          <w:dstrike w:val="0"/>
          <w:color w:val="auto"/>
          <w:kern w:val="2"/>
          <w:sz w:val="32"/>
          <w:szCs w:val="32"/>
          <w:lang w:val="en-US" w:eastAsia="zh-CN" w:bidi="ar-SA"/>
        </w:rPr>
        <w:t>3、乙方在执行合同内容过程中，如发生工作人员受伤，伤病等任何安全问题及对第三者造成侵权责任时，甲方不承担任何责任，均由乙方自行承担。</w:t>
      </w:r>
    </w:p>
    <w:p w14:paraId="6110EE79">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trike w:val="0"/>
          <w:dstrike w:val="0"/>
          <w:color w:val="auto"/>
          <w:kern w:val="2"/>
          <w:sz w:val="32"/>
          <w:szCs w:val="32"/>
          <w:lang w:val="en-US" w:eastAsia="zh-CN" w:bidi="ar-SA"/>
        </w:rPr>
      </w:pPr>
      <w:r>
        <w:rPr>
          <w:rFonts w:hint="eastAsia" w:ascii="仿宋" w:hAnsi="仿宋" w:eastAsia="仿宋" w:cs="仿宋"/>
          <w:strike w:val="0"/>
          <w:dstrike w:val="0"/>
          <w:color w:val="auto"/>
          <w:kern w:val="2"/>
          <w:sz w:val="32"/>
          <w:szCs w:val="32"/>
          <w:lang w:val="en-US" w:eastAsia="zh-CN" w:bidi="ar-SA"/>
        </w:rPr>
        <w:t>4、突发安全事故由乙方承担。</w:t>
      </w:r>
    </w:p>
    <w:p w14:paraId="7E1C256B">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trike w:val="0"/>
          <w:dstrike w:val="0"/>
          <w:color w:val="auto"/>
          <w:kern w:val="2"/>
          <w:sz w:val="32"/>
          <w:szCs w:val="32"/>
          <w:lang w:val="en-US" w:eastAsia="zh-CN" w:bidi="ar-SA"/>
        </w:rPr>
      </w:pPr>
      <w:r>
        <w:rPr>
          <w:rFonts w:hint="eastAsia" w:ascii="仿宋" w:hAnsi="仿宋" w:eastAsia="仿宋" w:cs="仿宋"/>
          <w:strike w:val="0"/>
          <w:dstrike w:val="0"/>
          <w:color w:val="auto"/>
          <w:kern w:val="2"/>
          <w:sz w:val="32"/>
          <w:szCs w:val="32"/>
          <w:lang w:val="en-US" w:eastAsia="zh-CN" w:bidi="ar-SA"/>
        </w:rPr>
        <w:t>5、</w:t>
      </w:r>
      <w:r>
        <w:rPr>
          <w:rFonts w:hint="eastAsia" w:ascii="仿宋" w:hAnsi="仿宋" w:eastAsia="仿宋" w:cs="仿宋"/>
          <w:sz w:val="32"/>
          <w:szCs w:val="32"/>
          <w:lang w:val="en-US" w:eastAsia="zh-CN"/>
        </w:rPr>
        <w:t>自合同签订之日起至完成为止</w:t>
      </w:r>
      <w:r>
        <w:rPr>
          <w:rFonts w:hint="eastAsia" w:ascii="仿宋" w:hAnsi="仿宋" w:eastAsia="仿宋" w:cs="仿宋"/>
          <w:sz w:val="32"/>
          <w:szCs w:val="32"/>
        </w:rPr>
        <w:t>。</w:t>
      </w:r>
      <w:r>
        <w:rPr>
          <w:rFonts w:hint="eastAsia" w:ascii="仿宋" w:hAnsi="仿宋" w:eastAsia="仿宋" w:cs="仿宋"/>
          <w:sz w:val="32"/>
          <w:szCs w:val="32"/>
          <w:lang w:val="en-US" w:eastAsia="zh-CN"/>
        </w:rPr>
        <w:t>如乙方未能按规定时间、要求完成，乙方应向甲方承担相应的违约责任，针对项目具体费用清单扣除相应费用，并须承担合同总金额20%的违约金。</w:t>
      </w:r>
      <w:r>
        <w:rPr>
          <w:rFonts w:hint="eastAsia" w:ascii="仿宋" w:hAnsi="仿宋" w:eastAsia="仿宋" w:cs="仿宋"/>
          <w:sz w:val="32"/>
          <w:szCs w:val="32"/>
        </w:rPr>
        <w:t>甲方按协议所定的付款方式按期支付活动款，如有违约，乙方有权停止项目施工。</w:t>
      </w:r>
    </w:p>
    <w:p w14:paraId="32A6C86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trike w:val="0"/>
          <w:dstrike w:val="0"/>
          <w:color w:val="auto"/>
          <w:kern w:val="2"/>
          <w:sz w:val="32"/>
          <w:szCs w:val="32"/>
          <w:lang w:val="en-US" w:eastAsia="zh-CN" w:bidi="ar-SA"/>
        </w:rPr>
      </w:pPr>
      <w:r>
        <w:rPr>
          <w:rFonts w:hint="eastAsia" w:ascii="仿宋" w:hAnsi="仿宋" w:eastAsia="仿宋" w:cs="仿宋"/>
          <w:strike w:val="0"/>
          <w:dstrike w:val="0"/>
          <w:color w:val="auto"/>
          <w:kern w:val="2"/>
          <w:sz w:val="32"/>
          <w:szCs w:val="32"/>
          <w:lang w:val="en-US" w:eastAsia="zh-CN" w:bidi="ar-SA"/>
        </w:rPr>
        <w:t>6、施工过程中如遇雨、雪、六级以上大风工期适当顺延</w:t>
      </w:r>
    </w:p>
    <w:p w14:paraId="18E1C5B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第五条：其他</w:t>
      </w:r>
    </w:p>
    <w:p w14:paraId="239BD2FD">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本合同未尽事宜</w:t>
      </w:r>
      <w:r>
        <w:rPr>
          <w:rFonts w:hint="eastAsia" w:ascii="仿宋" w:hAnsi="仿宋" w:eastAsia="仿宋" w:cs="仿宋"/>
          <w:sz w:val="32"/>
          <w:szCs w:val="32"/>
          <w:lang w:eastAsia="zh-CN"/>
        </w:rPr>
        <w:t>，</w:t>
      </w:r>
      <w:r>
        <w:rPr>
          <w:rFonts w:hint="eastAsia" w:ascii="仿宋" w:hAnsi="仿宋" w:eastAsia="仿宋" w:cs="仿宋"/>
          <w:sz w:val="32"/>
          <w:szCs w:val="32"/>
        </w:rPr>
        <w:t>由双方协商解决或签订补充协议</w:t>
      </w:r>
      <w:r>
        <w:rPr>
          <w:rFonts w:hint="eastAsia" w:ascii="仿宋" w:hAnsi="仿宋" w:eastAsia="仿宋" w:cs="仿宋"/>
          <w:sz w:val="32"/>
          <w:szCs w:val="32"/>
          <w:lang w:eastAsia="zh-CN"/>
        </w:rPr>
        <w:t>，</w:t>
      </w:r>
      <w:r>
        <w:rPr>
          <w:rFonts w:hint="eastAsia" w:ascii="仿宋" w:hAnsi="仿宋" w:eastAsia="仿宋" w:cs="仿宋"/>
          <w:sz w:val="32"/>
          <w:szCs w:val="32"/>
        </w:rPr>
        <w:t>补充协议与本合同具有同等效力</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 xml:space="preserve">  </w:t>
      </w:r>
    </w:p>
    <w:p w14:paraId="3A117593">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rPr>
        <w:t>本合同自甲乙双方盖章之日起生效。本合同一式【叁】份</w:t>
      </w:r>
      <w:r>
        <w:rPr>
          <w:rFonts w:hint="eastAsia" w:ascii="仿宋" w:hAnsi="仿宋" w:eastAsia="仿宋" w:cs="仿宋"/>
          <w:sz w:val="32"/>
          <w:szCs w:val="32"/>
          <w:lang w:eastAsia="zh-CN"/>
        </w:rPr>
        <w:t>，</w:t>
      </w:r>
      <w:r>
        <w:rPr>
          <w:rFonts w:hint="eastAsia" w:ascii="仿宋" w:hAnsi="仿宋" w:eastAsia="仿宋" w:cs="仿宋"/>
          <w:sz w:val="32"/>
          <w:szCs w:val="32"/>
        </w:rPr>
        <w:t>甲方执【贰】份</w:t>
      </w:r>
      <w:r>
        <w:rPr>
          <w:rFonts w:hint="eastAsia" w:ascii="仿宋" w:hAnsi="仿宋" w:eastAsia="仿宋" w:cs="仿宋"/>
          <w:sz w:val="32"/>
          <w:szCs w:val="32"/>
          <w:lang w:eastAsia="zh-CN"/>
        </w:rPr>
        <w:t>，</w:t>
      </w:r>
      <w:r>
        <w:rPr>
          <w:rFonts w:hint="eastAsia" w:ascii="仿宋" w:hAnsi="仿宋" w:eastAsia="仿宋" w:cs="仿宋"/>
          <w:sz w:val="32"/>
          <w:szCs w:val="32"/>
        </w:rPr>
        <w:t>乙方执【壹】份</w:t>
      </w:r>
      <w:r>
        <w:rPr>
          <w:rFonts w:hint="eastAsia" w:ascii="仿宋" w:hAnsi="仿宋" w:eastAsia="仿宋" w:cs="仿宋"/>
          <w:sz w:val="32"/>
          <w:szCs w:val="32"/>
          <w:lang w:eastAsia="zh-CN"/>
        </w:rPr>
        <w:t>，</w:t>
      </w:r>
      <w:r>
        <w:rPr>
          <w:rFonts w:hint="eastAsia" w:ascii="仿宋" w:hAnsi="仿宋" w:eastAsia="仿宋" w:cs="仿宋"/>
          <w:sz w:val="32"/>
          <w:szCs w:val="32"/>
        </w:rPr>
        <w:t>具有同等法律效力</w:t>
      </w:r>
      <w:r>
        <w:rPr>
          <w:rFonts w:hint="eastAsia" w:ascii="仿宋" w:hAnsi="仿宋" w:eastAsia="仿宋" w:cs="仿宋"/>
          <w:sz w:val="32"/>
          <w:szCs w:val="32"/>
          <w:lang w:eastAsia="zh-CN"/>
        </w:rPr>
        <w:t>。</w:t>
      </w:r>
    </w:p>
    <w:p w14:paraId="0051201E">
      <w:pPr>
        <w:spacing w:line="400" w:lineRule="exact"/>
        <w:rPr>
          <w:rFonts w:hint="eastAsia" w:ascii="仿宋" w:hAnsi="仿宋" w:eastAsia="仿宋" w:cs="仿宋"/>
          <w:b w:val="0"/>
          <w:bCs w:val="0"/>
          <w:sz w:val="28"/>
          <w:szCs w:val="28"/>
          <w:u w:val="single"/>
          <w:lang w:val="en-US" w:eastAsia="zh-CN"/>
        </w:rPr>
      </w:pPr>
      <w:r>
        <w:rPr>
          <w:rFonts w:hint="eastAsia" w:ascii="仿宋" w:hAnsi="仿宋" w:eastAsia="仿宋" w:cs="仿宋"/>
          <w:b w:val="0"/>
          <w:bCs w:val="0"/>
          <w:sz w:val="28"/>
          <w:szCs w:val="28"/>
        </w:rPr>
        <w:t>甲方：</w:t>
      </w:r>
      <w:r>
        <w:rPr>
          <w:rFonts w:hint="eastAsia" w:ascii="仿宋" w:hAnsi="仿宋" w:eastAsia="仿宋" w:cs="仿宋"/>
          <w:b w:val="0"/>
          <w:bCs w:val="0"/>
          <w:sz w:val="28"/>
          <w:szCs w:val="28"/>
          <w:u w:val="none"/>
          <w:lang w:val="en-US" w:eastAsia="zh-CN"/>
        </w:rPr>
        <w:t xml:space="preserve">亳州通恒置业有限公司 </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乙方:</w:t>
      </w:r>
    </w:p>
    <w:p w14:paraId="4496BC93">
      <w:pPr>
        <w:spacing w:line="400" w:lineRule="exact"/>
        <w:ind w:left="7228" w:hanging="8400" w:hangingChars="30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rPr>
        <w:t>地址：亳州市谯城区药都大道1289号       地址：</w:t>
      </w:r>
    </w:p>
    <w:p w14:paraId="4ECB6ED8">
      <w:pPr>
        <w:spacing w:line="400" w:lineRule="exac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rPr>
        <w:t>电话：0558-5998970                      电话：</w:t>
      </w:r>
    </w:p>
    <w:p w14:paraId="78ED86DA">
      <w:pPr>
        <w:spacing w:line="400" w:lineRule="exact"/>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rPr>
        <w:t>开户行：建行亳州市分行</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 xml:space="preserve"> 开户行</w:t>
      </w: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帐号：34050188860800002404</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 xml:space="preserve">      </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帐号</w:t>
      </w:r>
      <w:r>
        <w:rPr>
          <w:rFonts w:hint="eastAsia" w:ascii="仿宋" w:hAnsi="仿宋" w:eastAsia="仿宋" w:cs="仿宋"/>
          <w:b w:val="0"/>
          <w:bCs w:val="0"/>
          <w:sz w:val="28"/>
          <w:szCs w:val="28"/>
          <w:lang w:eastAsia="zh-CN"/>
        </w:rPr>
        <w:t>：</w:t>
      </w:r>
    </w:p>
    <w:p w14:paraId="68CE2EB8">
      <w:pPr>
        <w:spacing w:line="480" w:lineRule="exact"/>
        <w:rPr>
          <w:rFonts w:hint="eastAsia" w:ascii="仿宋" w:hAnsi="仿宋" w:eastAsia="仿宋" w:cs="仿宋"/>
        </w:rPr>
      </w:pPr>
      <w:r>
        <w:rPr>
          <w:rFonts w:hint="eastAsia" w:ascii="仿宋" w:hAnsi="仿宋" w:eastAsia="仿宋" w:cs="仿宋"/>
          <w:b w:val="0"/>
          <w:bCs w:val="0"/>
          <w:sz w:val="28"/>
          <w:szCs w:val="28"/>
        </w:rPr>
        <w:t>签订日期：</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年</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月</w:t>
      </w:r>
      <w:r>
        <w:rPr>
          <w:rFonts w:hint="eastAsia" w:ascii="仿宋" w:hAnsi="仿宋" w:eastAsia="仿宋" w:cs="仿宋"/>
          <w:b w:val="0"/>
          <w:bCs w:val="0"/>
          <w:sz w:val="28"/>
          <w:szCs w:val="28"/>
          <w:lang w:val="en-US" w:eastAsia="zh-CN"/>
        </w:rPr>
        <w:t xml:space="preserve">   日               </w:t>
      </w:r>
      <w:r>
        <w:rPr>
          <w:rFonts w:hint="eastAsia" w:ascii="仿宋" w:hAnsi="仿宋" w:eastAsia="仿宋" w:cs="仿宋"/>
          <w:b w:val="0"/>
          <w:bCs w:val="0"/>
          <w:sz w:val="28"/>
          <w:szCs w:val="28"/>
        </w:rPr>
        <w:t>签订日期：</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年</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月</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日</w:t>
      </w:r>
    </w:p>
    <w:p w14:paraId="3CA06915">
      <w:pPr>
        <w:rPr>
          <w:rFonts w:hint="eastAsia" w:asciiTheme="majorEastAsia" w:hAnsiTheme="majorEastAsia" w:eastAsiaTheme="majorEastAsia" w:cstheme="majorEastAsia"/>
          <w:b/>
          <w:bCs/>
          <w:sz w:val="32"/>
          <w:szCs w:val="32"/>
          <w:highlight w:val="none"/>
          <w:lang w:val="en-US" w:eastAsia="zh-CN"/>
        </w:rPr>
      </w:pPr>
      <w:r>
        <w:rPr>
          <w:rFonts w:hint="eastAsia" w:ascii="宋体" w:hAnsi="宋体" w:eastAsia="宋体" w:cs="宋体"/>
          <w:b w:val="0"/>
          <w:bCs w:val="0"/>
          <w:sz w:val="24"/>
          <w:szCs w:val="24"/>
          <w:lang w:val="en-US" w:eastAsia="zh-CN"/>
        </w:rPr>
        <w:br w:type="page"/>
      </w:r>
    </w:p>
    <w:p w14:paraId="6D966EF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257"/>
      <w:bookmarkEnd w:id="258"/>
      <w:bookmarkEnd w:id="259"/>
      <w:bookmarkEnd w:id="260"/>
      <w:bookmarkEnd w:id="261"/>
      <w:bookmarkEnd w:id="262"/>
      <w:bookmarkEnd w:id="263"/>
      <w:bookmarkEnd w:id="264"/>
      <w:r>
        <w:rPr>
          <w:rFonts w:hint="eastAsia" w:asciiTheme="majorEastAsia" w:hAnsiTheme="majorEastAsia" w:eastAsiaTheme="majorEastAsia" w:cstheme="majorEastAsia"/>
          <w:b/>
          <w:bCs/>
          <w:sz w:val="32"/>
          <w:szCs w:val="32"/>
          <w:highlight w:val="none"/>
          <w:lang w:val="en-US" w:eastAsia="zh-CN"/>
        </w:rPr>
        <w:t>供货要求</w:t>
      </w:r>
    </w:p>
    <w:p w14:paraId="366A395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783B717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bCs/>
          <w:kern w:val="0"/>
          <w:sz w:val="28"/>
          <w:szCs w:val="28"/>
          <w:highlight w:val="none"/>
          <w:u w:val="none"/>
          <w:lang w:val="en-US" w:eastAsia="zh-CN"/>
        </w:rPr>
      </w:pPr>
      <w:permStart w:id="77" w:edGrp="everyone"/>
      <w:r>
        <w:rPr>
          <w:rFonts w:hint="eastAsia" w:ascii="Times New Roman" w:hAnsi="Times New Roman" w:cs="Times New Roman"/>
          <w:b/>
          <w:bCs/>
          <w:kern w:val="0"/>
          <w:sz w:val="28"/>
          <w:szCs w:val="28"/>
          <w:highlight w:val="none"/>
          <w:lang w:val="en-US" w:eastAsia="zh-CN"/>
        </w:rPr>
        <w:t>供货要求</w:t>
      </w:r>
    </w:p>
    <w:p w14:paraId="60AAC2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8"/>
          <w:szCs w:val="28"/>
          <w:highlight w:val="none"/>
          <w:u w:val="none"/>
          <w:lang w:val="en-US" w:eastAsia="zh-CN"/>
        </w:rPr>
      </w:pPr>
    </w:p>
    <w:p w14:paraId="621A9EF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heme="minorEastAsia" w:hAnsiTheme="minorEastAsia" w:cstheme="minorEastAsia"/>
          <w:sz w:val="24"/>
          <w:szCs w:val="24"/>
          <w:lang w:val="en-US" w:eastAsia="zh-CN"/>
        </w:rPr>
        <w:t>软装家装物品制作、采买及运输、安装、现场布置、税费等（</w:t>
      </w:r>
      <w:r>
        <w:rPr>
          <w:rFonts w:hint="eastAsia" w:asciiTheme="minorEastAsia" w:hAnsiTheme="minorEastAsia" w:eastAsiaTheme="minorEastAsia" w:cstheme="minorEastAsia"/>
          <w:b w:val="0"/>
          <w:bCs w:val="0"/>
          <w:color w:val="auto"/>
          <w:sz w:val="24"/>
          <w:szCs w:val="24"/>
          <w:lang w:val="en-US" w:eastAsia="zh-CN"/>
        </w:rPr>
        <w:t>具体详见发包人要求里的清单表</w:t>
      </w:r>
      <w:r>
        <w:rPr>
          <w:rFonts w:hint="eastAsia" w:asciiTheme="minorEastAsia" w:hAnsiTheme="minorEastAsia" w:cstheme="minorEastAsia"/>
          <w:b w:val="0"/>
          <w:bCs w:val="0"/>
          <w:color w:val="auto"/>
          <w:sz w:val="24"/>
          <w:szCs w:val="24"/>
          <w:lang w:val="en-US" w:eastAsia="zh-CN"/>
        </w:rPr>
        <w:t>）。</w:t>
      </w:r>
    </w:p>
    <w:p w14:paraId="62F19BE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14:paraId="435E1B8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一、项目概况及总体要求</w:t>
      </w:r>
    </w:p>
    <w:p w14:paraId="75F8D3E9">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（一）项目概况：亳州逸合府项目位于亳州市谯城经济技术产业开发区华佗大道与利辛路交叉口，</w:t>
      </w:r>
      <w:r>
        <w:rPr>
          <w:rFonts w:hint="default" w:asciiTheme="minorEastAsia" w:hAnsiTheme="minorEastAsia" w:eastAsiaTheme="minorEastAsia" w:cstheme="minorEastAsia"/>
          <w:sz w:val="24"/>
          <w:szCs w:val="24"/>
          <w:lang w:val="en-US" w:eastAsia="zh-CN"/>
        </w:rPr>
        <w:t>本</w:t>
      </w:r>
      <w:r>
        <w:rPr>
          <w:rFonts w:hint="eastAsia" w:asciiTheme="minorEastAsia" w:hAnsiTheme="minorEastAsia" w:eastAsiaTheme="minorEastAsia" w:cstheme="minorEastAsia"/>
          <w:sz w:val="24"/>
          <w:szCs w:val="24"/>
          <w:lang w:val="en-US" w:eastAsia="zh-CN"/>
        </w:rPr>
        <w:t>项目总用地面积134680.30平方米，总建筑面积362853.30平方米。</w:t>
      </w:r>
      <w:r>
        <w:rPr>
          <w:rFonts w:hint="eastAsia" w:asciiTheme="minorEastAsia" w:hAnsiTheme="minorEastAsia" w:cstheme="minorEastAsia"/>
          <w:sz w:val="24"/>
          <w:szCs w:val="24"/>
          <w:lang w:val="en-US" w:eastAsia="zh-CN"/>
        </w:rPr>
        <w:t>样板间软装进场条件，</w:t>
      </w:r>
      <w:r>
        <w:rPr>
          <w:rFonts w:hint="eastAsia" w:asciiTheme="minorEastAsia" w:hAnsiTheme="minorEastAsia" w:eastAsiaTheme="minorEastAsia" w:cstheme="minorEastAsia"/>
          <w:sz w:val="24"/>
          <w:szCs w:val="24"/>
          <w:lang w:val="en-US" w:eastAsia="zh-CN"/>
        </w:rPr>
        <w:t>具体</w:t>
      </w:r>
      <w:r>
        <w:rPr>
          <w:rFonts w:hint="eastAsia" w:asciiTheme="minorEastAsia" w:hAnsiTheme="minorEastAsia" w:cstheme="minorEastAsia"/>
          <w:sz w:val="24"/>
          <w:szCs w:val="24"/>
          <w:lang w:val="en-US" w:eastAsia="zh-CN"/>
        </w:rPr>
        <w:t>执行</w:t>
      </w:r>
      <w:r>
        <w:rPr>
          <w:rFonts w:hint="eastAsia" w:asciiTheme="minorEastAsia" w:hAnsiTheme="minorEastAsia" w:eastAsiaTheme="minorEastAsia" w:cstheme="minorEastAsia"/>
          <w:sz w:val="24"/>
          <w:szCs w:val="24"/>
          <w:lang w:val="en-US" w:eastAsia="zh-CN"/>
        </w:rPr>
        <w:t>时间以发包人通知为准。</w:t>
      </w:r>
    </w:p>
    <w:p w14:paraId="485BC9EA">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jc w:val="both"/>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（二）采购范围：</w:t>
      </w:r>
    </w:p>
    <w:p w14:paraId="3ECF4CE8">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cstheme="minorEastAsia"/>
          <w:sz w:val="24"/>
          <w:szCs w:val="24"/>
          <w:lang w:val="en-US" w:eastAsia="zh-CN"/>
        </w:rPr>
        <w:t>1.软装家装物品制作、采买及运输、安装、现场布置、税费等（</w:t>
      </w:r>
      <w:r>
        <w:rPr>
          <w:rFonts w:hint="eastAsia" w:asciiTheme="minorEastAsia" w:hAnsiTheme="minorEastAsia" w:eastAsiaTheme="minorEastAsia" w:cstheme="minorEastAsia"/>
          <w:b w:val="0"/>
          <w:bCs w:val="0"/>
          <w:color w:val="auto"/>
          <w:sz w:val="24"/>
          <w:szCs w:val="24"/>
          <w:lang w:val="en-US" w:eastAsia="zh-CN"/>
        </w:rPr>
        <w:t>具体详见发包人要求里的清单表</w:t>
      </w:r>
      <w:r>
        <w:rPr>
          <w:rFonts w:hint="eastAsia" w:asciiTheme="minorEastAsia" w:hAnsiTheme="minorEastAsia" w:cstheme="minorEastAsia"/>
          <w:b w:val="0"/>
          <w:bCs w:val="0"/>
          <w:color w:val="auto"/>
          <w:sz w:val="24"/>
          <w:szCs w:val="24"/>
          <w:lang w:val="en-US" w:eastAsia="zh-CN"/>
        </w:rPr>
        <w:t>）</w:t>
      </w:r>
      <w:r>
        <w:rPr>
          <w:rFonts w:hint="eastAsia" w:asciiTheme="minorEastAsia" w:hAnsiTheme="minorEastAsia" w:eastAsiaTheme="minorEastAsia" w:cstheme="minorEastAsia"/>
          <w:b w:val="0"/>
          <w:bCs w:val="0"/>
          <w:color w:val="auto"/>
          <w:sz w:val="24"/>
          <w:szCs w:val="24"/>
          <w:lang w:val="en-US" w:eastAsia="zh-CN"/>
        </w:rPr>
        <w:t>。</w:t>
      </w:r>
    </w:p>
    <w:p w14:paraId="138C23A6">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jc w:val="both"/>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（三）供货</w:t>
      </w:r>
      <w:r>
        <w:rPr>
          <w:rFonts w:hint="eastAsia" w:asciiTheme="minorEastAsia" w:hAnsiTheme="minorEastAsia" w:eastAsiaTheme="minorEastAsia" w:cstheme="minorEastAsia"/>
          <w:sz w:val="24"/>
          <w:szCs w:val="24"/>
          <w:lang w:val="en-US" w:eastAsia="zh-CN"/>
        </w:rPr>
        <w:t>期限：自合同签订日起，至执行完毕并验收合格；</w:t>
      </w:r>
    </w:p>
    <w:p w14:paraId="1EEAD516">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（四）质量标准：符合国家、地方、行业现行相关规范合格标准</w:t>
      </w:r>
      <w:r>
        <w:rPr>
          <w:rFonts w:hint="eastAsia" w:asciiTheme="minorEastAsia" w:hAnsiTheme="minorEastAsia" w:cstheme="minorEastAsia"/>
          <w:sz w:val="24"/>
          <w:szCs w:val="24"/>
          <w:lang w:val="en-US" w:eastAsia="zh-CN"/>
        </w:rPr>
        <w:t>，符合发包人清单要求</w:t>
      </w:r>
      <w:r>
        <w:rPr>
          <w:rFonts w:hint="eastAsia" w:asciiTheme="minorEastAsia" w:hAnsiTheme="minorEastAsia" w:eastAsiaTheme="minorEastAsia" w:cstheme="minorEastAsia"/>
          <w:sz w:val="24"/>
          <w:szCs w:val="24"/>
          <w:lang w:val="en-US" w:eastAsia="zh-CN"/>
        </w:rPr>
        <w:t xml:space="preserve">。 </w:t>
      </w:r>
    </w:p>
    <w:p w14:paraId="79A2819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p w14:paraId="0FE9D95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二、技术性能指标（质量标准）</w:t>
      </w:r>
    </w:p>
    <w:p w14:paraId="2865F3C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heme="minorEastAsia" w:hAnsiTheme="minorEastAsia" w:eastAsiaTheme="minorEastAsia" w:cstheme="minorEastAsia"/>
          <w:sz w:val="24"/>
          <w:szCs w:val="24"/>
          <w:lang w:val="en-US" w:eastAsia="zh-CN"/>
        </w:rPr>
        <w:t>符合国家、地方、行业现行相关规范合格标准</w:t>
      </w:r>
      <w:r>
        <w:rPr>
          <w:rFonts w:hint="eastAsia" w:asciiTheme="minorEastAsia" w:hAnsiTheme="minorEastAsia" w:cstheme="minorEastAsia"/>
          <w:sz w:val="24"/>
          <w:szCs w:val="24"/>
          <w:lang w:val="en-US" w:eastAsia="zh-CN"/>
        </w:rPr>
        <w:t>，符合发包人清单要求</w:t>
      </w:r>
      <w:r>
        <w:rPr>
          <w:rFonts w:hint="eastAsia" w:asciiTheme="minorEastAsia" w:hAnsiTheme="minorEastAsia" w:eastAsiaTheme="minorEastAsia" w:cstheme="minorEastAsia"/>
          <w:sz w:val="24"/>
          <w:szCs w:val="24"/>
          <w:lang w:val="en-US" w:eastAsia="zh-CN"/>
        </w:rPr>
        <w:t>。</w:t>
      </w:r>
    </w:p>
    <w:permEnd w:id="77"/>
    <w:p w14:paraId="557E9A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3A05F0C9">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16AD332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14:paraId="0F94CD7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D281F2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AEDC55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5B3DB61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DFB8F3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773F4B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370CE61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51E4612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AC5525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76144EE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439FE8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5D1809F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0AF568F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116FA125">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4A756352">
      <w:pPr>
        <w:keepNext w:val="0"/>
        <w:keepLines w:val="0"/>
        <w:pageBreakBefore w:val="0"/>
        <w:widowControl w:val="0"/>
        <w:kinsoku/>
        <w:wordWrap w:val="0"/>
        <w:overflowPunct/>
        <w:topLinePunct w:val="0"/>
        <w:autoSpaceDE/>
        <w:autoSpaceDN/>
        <w:bidi w:val="0"/>
        <w:adjustRightInd/>
        <w:snapToGrid/>
        <w:spacing w:line="240" w:lineRule="auto"/>
        <w:ind w:firstLine="640" w:firstLineChars="2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24"/>
          <w:szCs w:val="24"/>
          <w:highlight w:val="none"/>
          <w:u w:val="none"/>
          <w:shd w:val="clear" w:color="auto" w:fill="auto"/>
          <w:lang w:val="en-US" w:eastAsia="zh-CN"/>
        </w:rPr>
        <w:t>（签字</w:t>
      </w:r>
      <w:r>
        <w:rPr>
          <w:rFonts w:hint="eastAsia" w:ascii="Times New Roman" w:hAnsi="Times New Roman" w:eastAsia="楷体" w:cs="Times New Roman"/>
          <w:kern w:val="0"/>
          <w:sz w:val="24"/>
          <w:szCs w:val="24"/>
          <w:highlight w:val="none"/>
          <w:u w:val="none"/>
          <w:shd w:val="clear" w:color="auto" w:fill="auto"/>
          <w:lang w:val="en-US" w:eastAsia="zh-CN"/>
        </w:rPr>
        <w:t>或盖章或打印姓名</w:t>
      </w:r>
      <w:r>
        <w:rPr>
          <w:rFonts w:hint="default" w:ascii="Times New Roman" w:hAnsi="Times New Roman" w:eastAsia="楷体" w:cs="Times New Roman"/>
          <w:kern w:val="0"/>
          <w:sz w:val="24"/>
          <w:szCs w:val="24"/>
          <w:highlight w:val="none"/>
          <w:u w:val="none"/>
          <w:shd w:val="clear" w:color="auto" w:fill="auto"/>
          <w:lang w:val="en-US" w:eastAsia="zh-CN"/>
        </w:rPr>
        <w:t>）</w:t>
      </w:r>
    </w:p>
    <w:p w14:paraId="43AA3698">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7751A180">
      <w:pPr>
        <w:pStyle w:val="3"/>
        <w:jc w:val="center"/>
        <w:rPr>
          <w:rFonts w:hint="default" w:ascii="Times New Roman" w:hAnsi="Times New Roman" w:cs="Times New Roman"/>
        </w:rPr>
      </w:pPr>
      <w:bookmarkStart w:id="265" w:name="_Toc152045787"/>
      <w:bookmarkStart w:id="266" w:name="_Toc144974856"/>
      <w:bookmarkStart w:id="267" w:name="_Toc300835209"/>
      <w:bookmarkStart w:id="268" w:name="_Toc247514246"/>
      <w:bookmarkStart w:id="269" w:name="_Toc247527827"/>
      <w:bookmarkStart w:id="270" w:name="_Toc152042576"/>
      <w:r>
        <w:rPr>
          <w:rFonts w:hint="default" w:ascii="Times New Roman" w:hAnsi="Times New Roman" w:cs="Times New Roman"/>
        </w:rPr>
        <w:t>目    录</w:t>
      </w:r>
      <w:bookmarkEnd w:id="265"/>
      <w:bookmarkEnd w:id="266"/>
      <w:bookmarkEnd w:id="267"/>
      <w:bookmarkEnd w:id="268"/>
      <w:bookmarkEnd w:id="269"/>
      <w:bookmarkEnd w:id="270"/>
    </w:p>
    <w:p w14:paraId="79A4CB34">
      <w:pPr>
        <w:spacing w:line="540" w:lineRule="exact"/>
        <w:rPr>
          <w:rFonts w:hint="default" w:ascii="Times New Roman" w:hAnsi="Times New Roman" w:cs="Times New Roman"/>
          <w:highlight w:val="none"/>
          <w:lang w:val="en-US" w:eastAsia="zh-CN"/>
        </w:rPr>
      </w:pPr>
    </w:p>
    <w:p w14:paraId="4BA7FF44">
      <w:pPr>
        <w:spacing w:line="540" w:lineRule="exact"/>
        <w:rPr>
          <w:rFonts w:hint="default" w:ascii="Times New Roman" w:hAnsi="Times New Roman" w:cs="Times New Roman"/>
        </w:rPr>
      </w:pPr>
      <w:r>
        <w:rPr>
          <w:rFonts w:hint="default" w:ascii="Times New Roman" w:hAnsi="Times New Roman" w:cs="Times New Roman"/>
        </w:rPr>
        <w:t xml:space="preserve"> </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CE6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3B0B8F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76229022">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553AE196">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4AB36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798EC49">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4C92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投标函</w:t>
            </w:r>
          </w:p>
        </w:tc>
        <w:tc>
          <w:tcPr>
            <w:tcW w:w="2840" w:type="dxa"/>
            <w:vAlign w:val="center"/>
          </w:tcPr>
          <w:p w14:paraId="6A549628">
            <w:pPr>
              <w:spacing w:line="540" w:lineRule="exact"/>
              <w:jc w:val="center"/>
              <w:rPr>
                <w:rFonts w:hint="default" w:ascii="Times New Roman" w:hAnsi="Times New Roman" w:cs="Times New Roman"/>
                <w:vertAlign w:val="baseline"/>
              </w:rPr>
            </w:pPr>
          </w:p>
        </w:tc>
      </w:tr>
      <w:tr w14:paraId="68E76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1F378A9">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0DBCD0F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w:t>
            </w:r>
          </w:p>
        </w:tc>
        <w:tc>
          <w:tcPr>
            <w:tcW w:w="2840" w:type="dxa"/>
            <w:vAlign w:val="center"/>
          </w:tcPr>
          <w:p w14:paraId="382F2EAE">
            <w:pPr>
              <w:spacing w:line="540" w:lineRule="exact"/>
              <w:jc w:val="center"/>
              <w:rPr>
                <w:rFonts w:hint="default" w:ascii="Times New Roman" w:hAnsi="Times New Roman" w:cs="Times New Roman"/>
                <w:vertAlign w:val="baseline"/>
              </w:rPr>
            </w:pPr>
          </w:p>
        </w:tc>
      </w:tr>
      <w:tr w14:paraId="04695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D8EE77E">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454C483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授权委托书</w:t>
            </w:r>
          </w:p>
        </w:tc>
        <w:tc>
          <w:tcPr>
            <w:tcW w:w="2840" w:type="dxa"/>
            <w:vAlign w:val="center"/>
          </w:tcPr>
          <w:p w14:paraId="114221E2">
            <w:pPr>
              <w:spacing w:line="540" w:lineRule="exact"/>
              <w:jc w:val="center"/>
              <w:rPr>
                <w:rFonts w:hint="default" w:ascii="Times New Roman" w:hAnsi="Times New Roman" w:cs="Times New Roman"/>
                <w:vertAlign w:val="baseline"/>
              </w:rPr>
            </w:pPr>
          </w:p>
        </w:tc>
      </w:tr>
      <w:tr w14:paraId="2A440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4176D6A">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2E75E857">
            <w:pPr>
              <w:spacing w:line="540" w:lineRule="exact"/>
              <w:jc w:val="center"/>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 xml:space="preserve">投标保证金 </w:t>
            </w:r>
          </w:p>
        </w:tc>
        <w:tc>
          <w:tcPr>
            <w:tcW w:w="2840" w:type="dxa"/>
            <w:vAlign w:val="center"/>
          </w:tcPr>
          <w:p w14:paraId="5CCE0C09">
            <w:pPr>
              <w:spacing w:line="540" w:lineRule="exact"/>
              <w:jc w:val="center"/>
              <w:rPr>
                <w:rFonts w:hint="default" w:ascii="Times New Roman" w:hAnsi="Times New Roman" w:cs="Times New Roman"/>
                <w:vertAlign w:val="baseline"/>
              </w:rPr>
            </w:pPr>
          </w:p>
        </w:tc>
      </w:tr>
      <w:tr w14:paraId="5BAC9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F51425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369A1E6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74A8609C">
            <w:pPr>
              <w:spacing w:line="540" w:lineRule="exact"/>
              <w:jc w:val="center"/>
              <w:rPr>
                <w:rFonts w:hint="default" w:ascii="Times New Roman" w:hAnsi="Times New Roman" w:cs="Times New Roman"/>
                <w:vertAlign w:val="baseline"/>
              </w:rPr>
            </w:pPr>
          </w:p>
        </w:tc>
      </w:tr>
      <w:tr w14:paraId="58B34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73BC9D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六</w:t>
            </w:r>
          </w:p>
        </w:tc>
        <w:tc>
          <w:tcPr>
            <w:tcW w:w="4681" w:type="dxa"/>
            <w:vAlign w:val="center"/>
          </w:tcPr>
          <w:p w14:paraId="052DFAE3">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分项报价表</w:t>
            </w:r>
          </w:p>
        </w:tc>
        <w:tc>
          <w:tcPr>
            <w:tcW w:w="2840" w:type="dxa"/>
            <w:vAlign w:val="center"/>
          </w:tcPr>
          <w:p w14:paraId="02CF09DC">
            <w:pPr>
              <w:spacing w:line="540" w:lineRule="exact"/>
              <w:jc w:val="center"/>
              <w:rPr>
                <w:rFonts w:hint="default" w:ascii="Times New Roman" w:hAnsi="Times New Roman" w:cs="Times New Roman"/>
                <w:vertAlign w:val="baseline"/>
              </w:rPr>
            </w:pPr>
          </w:p>
        </w:tc>
      </w:tr>
      <w:tr w14:paraId="045C9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D01D8DE">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0DAA2EDA">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7CE49018">
            <w:pPr>
              <w:spacing w:line="540" w:lineRule="exact"/>
              <w:jc w:val="center"/>
              <w:rPr>
                <w:rFonts w:hint="default" w:ascii="Times New Roman" w:hAnsi="Times New Roman" w:cs="Times New Roman"/>
                <w:vertAlign w:val="baseline"/>
              </w:rPr>
            </w:pPr>
          </w:p>
        </w:tc>
      </w:tr>
      <w:tr w14:paraId="3EA74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E6F08F6">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vAlign w:val="center"/>
          </w:tcPr>
          <w:p w14:paraId="2A35DF2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相关服务计划</w:t>
            </w:r>
          </w:p>
        </w:tc>
        <w:tc>
          <w:tcPr>
            <w:tcW w:w="2840" w:type="dxa"/>
            <w:vAlign w:val="center"/>
          </w:tcPr>
          <w:p w14:paraId="1C6A1AF7">
            <w:pPr>
              <w:spacing w:line="540" w:lineRule="exact"/>
              <w:jc w:val="center"/>
              <w:rPr>
                <w:rFonts w:hint="default" w:ascii="Times New Roman" w:hAnsi="Times New Roman" w:cs="Times New Roman"/>
                <w:vertAlign w:val="baseline"/>
              </w:rPr>
            </w:pPr>
          </w:p>
        </w:tc>
      </w:tr>
      <w:tr w14:paraId="6CD88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D673182">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九</w:t>
            </w:r>
          </w:p>
        </w:tc>
        <w:tc>
          <w:tcPr>
            <w:tcW w:w="4681" w:type="dxa"/>
            <w:vAlign w:val="center"/>
          </w:tcPr>
          <w:p w14:paraId="0D5DA79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其他资料</w:t>
            </w:r>
          </w:p>
        </w:tc>
        <w:tc>
          <w:tcPr>
            <w:tcW w:w="2840" w:type="dxa"/>
            <w:vAlign w:val="center"/>
          </w:tcPr>
          <w:p w14:paraId="45F58FD2">
            <w:pPr>
              <w:spacing w:line="540" w:lineRule="exact"/>
              <w:jc w:val="center"/>
              <w:rPr>
                <w:rFonts w:hint="default" w:ascii="Times New Roman" w:hAnsi="Times New Roman" w:cs="Times New Roman"/>
                <w:vertAlign w:val="baseline"/>
              </w:rPr>
            </w:pPr>
          </w:p>
        </w:tc>
      </w:tr>
    </w:tbl>
    <w:p w14:paraId="41531F60">
      <w:pPr>
        <w:spacing w:line="540" w:lineRule="exact"/>
        <w:rPr>
          <w:rFonts w:hint="default" w:ascii="Times New Roman" w:hAnsi="Times New Roman" w:cs="Times New Roman"/>
        </w:rPr>
      </w:pPr>
    </w:p>
    <w:p w14:paraId="0CE4FE1D">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0F590E6D">
      <w:pPr>
        <w:pStyle w:val="3"/>
        <w:jc w:val="center"/>
        <w:rPr>
          <w:rFonts w:hint="default" w:ascii="Times New Roman" w:hAnsi="Times New Roman" w:cs="Times New Roman"/>
        </w:rPr>
      </w:pPr>
      <w:bookmarkStart w:id="271" w:name="_Toc247514247"/>
      <w:bookmarkStart w:id="272" w:name="_Toc152045788"/>
      <w:bookmarkStart w:id="273" w:name="_Toc300835210"/>
      <w:bookmarkStart w:id="274" w:name="_Toc152042577"/>
      <w:bookmarkStart w:id="275" w:name="_Toc144974857"/>
      <w:bookmarkStart w:id="276" w:name="_Toc247527828"/>
      <w:r>
        <w:rPr>
          <w:rFonts w:hint="default" w:ascii="Times New Roman" w:hAnsi="Times New Roman" w:cs="Times New Roman"/>
        </w:rPr>
        <w:t>一、投标函</w:t>
      </w:r>
      <w:bookmarkEnd w:id="271"/>
      <w:bookmarkEnd w:id="272"/>
      <w:bookmarkEnd w:id="273"/>
      <w:bookmarkEnd w:id="274"/>
      <w:bookmarkEnd w:id="275"/>
      <w:bookmarkEnd w:id="276"/>
    </w:p>
    <w:p w14:paraId="5F3B679D">
      <w:pPr>
        <w:spacing w:line="440" w:lineRule="exact"/>
        <w:rPr>
          <w:rFonts w:hint="default" w:ascii="Times New Roman" w:hAnsi="Times New Roman" w:cs="Times New Roman"/>
          <w:sz w:val="20"/>
          <w:szCs w:val="20"/>
        </w:rPr>
      </w:pPr>
    </w:p>
    <w:p w14:paraId="324766A4">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14:paraId="2FF8D563">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采购招标项目招标文件的全部内容，愿意以</w:t>
      </w:r>
      <w:permStart w:id="78"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78"/>
      <w:r>
        <w:rPr>
          <w:rFonts w:hint="eastAsia" w:ascii="Times New Roman" w:hAnsi="Times New Roman" w:cs="Times New Roman"/>
          <w:szCs w:val="21"/>
          <w:lang w:val="en-US" w:eastAsia="zh-CN"/>
        </w:rPr>
        <w:t>提供完成本项目全部供货内容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14:paraId="6DAB4B5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14:paraId="27735BF5">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（1）投标函；（2）法定代表人（单位负责人）身份证明或授权委托书；（3）投标保证金（如有）；（4）商务和技术偏差表；（5）分项报价表；（6）资格审查资料；......</w:t>
      </w:r>
    </w:p>
    <w:p w14:paraId="0D18CDF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14:paraId="25B75906">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14:paraId="2A00371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14:paraId="49DC7BE5">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14:paraId="21267E11">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14:paraId="624EDA56">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14:paraId="29C475E0">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14:paraId="2F76F311">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291067AF">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14:paraId="5CF3345D">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6CBC346E">
      <w:pPr>
        <w:spacing w:line="440" w:lineRule="exact"/>
        <w:ind w:firstLine="2310" w:firstLineChars="1100"/>
        <w:rPr>
          <w:rFonts w:hint="default" w:ascii="Times New Roman" w:hAnsi="Times New Roman" w:cs="Times New Roman"/>
          <w:szCs w:val="21"/>
        </w:rPr>
      </w:pPr>
    </w:p>
    <w:p w14:paraId="01FF2256">
      <w:pPr>
        <w:spacing w:line="440" w:lineRule="exact"/>
        <w:ind w:firstLine="2310" w:firstLineChars="1100"/>
        <w:rPr>
          <w:rFonts w:hint="default" w:ascii="Times New Roman" w:hAnsi="Times New Roman" w:cs="Times New Roman"/>
          <w:szCs w:val="21"/>
        </w:rPr>
      </w:pPr>
    </w:p>
    <w:p w14:paraId="554F644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7A4F91F8">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（签字或盖章或打印姓名）</w:t>
      </w:r>
    </w:p>
    <w:p w14:paraId="56BF78DE">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CC48865">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7ECEF9E">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71EF5EC">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78554437">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DEAD83A">
      <w:pPr>
        <w:rPr>
          <w:rFonts w:hint="default" w:ascii="Times New Roman" w:hAnsi="Times New Roman" w:cs="Times New Roman"/>
        </w:rPr>
      </w:pPr>
      <w:bookmarkStart w:id="277" w:name="_Toc152045791"/>
      <w:bookmarkStart w:id="278" w:name="_Toc247514283"/>
      <w:bookmarkStart w:id="279" w:name="_Toc152042580"/>
      <w:bookmarkStart w:id="280" w:name="_Toc300835213"/>
      <w:bookmarkStart w:id="281" w:name="_Toc144974860"/>
      <w:bookmarkStart w:id="282" w:name="_Toc247527831"/>
      <w:r>
        <w:rPr>
          <w:rFonts w:hint="default" w:ascii="Times New Roman" w:hAnsi="Times New Roman" w:cs="Times New Roman"/>
        </w:rPr>
        <w:br w:type="page"/>
      </w:r>
    </w:p>
    <w:p w14:paraId="41BE9A78">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277"/>
      <w:bookmarkEnd w:id="278"/>
      <w:bookmarkEnd w:id="279"/>
      <w:bookmarkEnd w:id="280"/>
      <w:bookmarkEnd w:id="281"/>
      <w:bookmarkEnd w:id="282"/>
    </w:p>
    <w:p w14:paraId="47204DBB">
      <w:pPr>
        <w:spacing w:line="440" w:lineRule="exact"/>
        <w:rPr>
          <w:rFonts w:hint="default" w:ascii="Times New Roman" w:hAnsi="Times New Roman" w:cs="Times New Roman"/>
          <w:sz w:val="20"/>
          <w:szCs w:val="20"/>
        </w:rPr>
      </w:pPr>
    </w:p>
    <w:p w14:paraId="27BDF434">
      <w:pPr>
        <w:spacing w:line="440" w:lineRule="exact"/>
        <w:rPr>
          <w:rFonts w:hint="default" w:ascii="Times New Roman" w:hAnsi="Times New Roman" w:cs="Times New Roman"/>
          <w:szCs w:val="21"/>
        </w:rPr>
      </w:pPr>
    </w:p>
    <w:p w14:paraId="036134C1">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2BFF7BE">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2B52C02A">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0BD3F5D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5DC27478">
      <w:pPr>
        <w:spacing w:line="440" w:lineRule="exact"/>
        <w:rPr>
          <w:rFonts w:hint="default" w:ascii="Times New Roman" w:hAnsi="Times New Roman" w:cs="Times New Roman"/>
          <w:szCs w:val="21"/>
        </w:rPr>
      </w:pPr>
    </w:p>
    <w:p w14:paraId="285589E3">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70295BEB">
      <w:pPr>
        <w:spacing w:line="440" w:lineRule="exact"/>
        <w:rPr>
          <w:rFonts w:hint="default" w:ascii="Times New Roman" w:hAnsi="Times New Roman" w:cs="Times New Roman"/>
          <w:szCs w:val="21"/>
        </w:rPr>
      </w:pPr>
    </w:p>
    <w:p w14:paraId="527A25C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14:paraId="1CD972EB">
      <w:pPr>
        <w:spacing w:line="440" w:lineRule="exact"/>
        <w:rPr>
          <w:rFonts w:hint="eastAsia" w:ascii="Times New Roman" w:hAnsi="Times New Roman" w:cs="Times New Roman"/>
          <w:szCs w:val="21"/>
          <w:lang w:val="en-US" w:eastAsia="zh-CN"/>
        </w:rPr>
      </w:pPr>
    </w:p>
    <w:p w14:paraId="40A26AD3">
      <w:pPr>
        <w:spacing w:line="440" w:lineRule="exact"/>
        <w:rPr>
          <w:rFonts w:hint="default" w:ascii="Times New Roman" w:hAnsi="Times New Roman" w:cs="Times New Roman"/>
          <w:szCs w:val="21"/>
          <w:lang w:val="en-US" w:eastAsia="zh-CN"/>
        </w:rPr>
      </w:pPr>
    </w:p>
    <w:p w14:paraId="440BBC2E">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EA69D23">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6F4E114B">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15D63B3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6F7C102E">
      <w:pPr>
        <w:pStyle w:val="3"/>
        <w:jc w:val="center"/>
        <w:rPr>
          <w:rFonts w:hint="default" w:ascii="Times New Roman" w:hAnsi="Times New Roman" w:cs="Times New Roman"/>
        </w:rPr>
      </w:pPr>
      <w:bookmarkStart w:id="283" w:name="_Toc152042581"/>
      <w:bookmarkStart w:id="284" w:name="_Toc247514284"/>
      <w:bookmarkStart w:id="285" w:name="_Toc144974861"/>
      <w:bookmarkStart w:id="286" w:name="_Toc247527832"/>
      <w:bookmarkStart w:id="287" w:name="_Toc152045792"/>
      <w:bookmarkStart w:id="288" w:name="_Toc300835214"/>
      <w:r>
        <w:rPr>
          <w:rFonts w:hint="eastAsia" w:ascii="Times New Roman" w:hAnsi="Times New Roman" w:cs="Times New Roman"/>
          <w:lang w:val="en-US" w:eastAsia="zh-CN"/>
        </w:rPr>
        <w:t>三</w:t>
      </w:r>
      <w:r>
        <w:rPr>
          <w:rFonts w:hint="default" w:ascii="Times New Roman" w:hAnsi="Times New Roman" w:cs="Times New Roman"/>
        </w:rPr>
        <w:t>、授权委托书</w:t>
      </w:r>
      <w:bookmarkEnd w:id="283"/>
      <w:bookmarkEnd w:id="284"/>
      <w:bookmarkEnd w:id="285"/>
      <w:bookmarkEnd w:id="286"/>
      <w:bookmarkEnd w:id="287"/>
      <w:bookmarkEnd w:id="288"/>
    </w:p>
    <w:p w14:paraId="62C93BA4">
      <w:pPr>
        <w:spacing w:line="440" w:lineRule="exact"/>
        <w:rPr>
          <w:rFonts w:hint="default" w:ascii="Times New Roman" w:hAnsi="Times New Roman" w:eastAsia="黑体" w:cs="Times New Roman"/>
          <w:szCs w:val="21"/>
        </w:rPr>
      </w:pPr>
    </w:p>
    <w:p w14:paraId="6AA89EA0">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14:paraId="36D24B88">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1FEC8F3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2E8843FC">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14:paraId="77090A4A">
      <w:pPr>
        <w:spacing w:line="440" w:lineRule="exact"/>
        <w:ind w:firstLine="420" w:firstLineChars="200"/>
        <w:rPr>
          <w:rFonts w:hint="eastAsia" w:ascii="Times New Roman" w:hAnsi="Times New Roman" w:cs="Times New Roman"/>
          <w:szCs w:val="21"/>
          <w:lang w:val="en-US" w:eastAsia="zh-CN"/>
        </w:rPr>
      </w:pPr>
    </w:p>
    <w:p w14:paraId="37DD111B">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14:paraId="13ACFCF7">
      <w:pPr>
        <w:spacing w:line="440" w:lineRule="exact"/>
        <w:rPr>
          <w:rFonts w:hint="default" w:ascii="Times New Roman" w:hAnsi="Times New Roman" w:cs="Times New Roman"/>
          <w:szCs w:val="21"/>
        </w:rPr>
      </w:pPr>
    </w:p>
    <w:p w14:paraId="226991C2">
      <w:pPr>
        <w:spacing w:line="440" w:lineRule="exact"/>
        <w:rPr>
          <w:rFonts w:hint="default" w:ascii="Times New Roman" w:hAnsi="Times New Roman" w:cs="Times New Roman"/>
          <w:szCs w:val="21"/>
        </w:rPr>
      </w:pPr>
    </w:p>
    <w:p w14:paraId="23E8015D">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8ADD4C5">
      <w:pPr>
        <w:spacing w:line="440" w:lineRule="exact"/>
        <w:rPr>
          <w:rFonts w:hint="default" w:ascii="Times New Roman" w:hAnsi="Times New Roman" w:cs="Times New Roman"/>
          <w:szCs w:val="21"/>
        </w:rPr>
      </w:pPr>
    </w:p>
    <w:p w14:paraId="78FA8DF6">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（签字或盖章或打印姓名）</w:t>
      </w:r>
    </w:p>
    <w:p w14:paraId="56CFB077">
      <w:pPr>
        <w:spacing w:line="440" w:lineRule="exact"/>
        <w:rPr>
          <w:rFonts w:hint="default" w:ascii="Times New Roman" w:hAnsi="Times New Roman" w:cs="Times New Roman"/>
          <w:szCs w:val="21"/>
        </w:rPr>
      </w:pPr>
    </w:p>
    <w:p w14:paraId="6D729827">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2E0CB2C1">
      <w:pPr>
        <w:spacing w:line="440" w:lineRule="exact"/>
        <w:rPr>
          <w:rFonts w:hint="default" w:ascii="Times New Roman" w:hAnsi="Times New Roman" w:cs="Times New Roman"/>
          <w:szCs w:val="21"/>
        </w:rPr>
      </w:pPr>
    </w:p>
    <w:p w14:paraId="12C3236E">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（签字或盖章或打印姓名）</w:t>
      </w:r>
    </w:p>
    <w:p w14:paraId="789290AC">
      <w:pPr>
        <w:spacing w:line="440" w:lineRule="exact"/>
        <w:rPr>
          <w:rFonts w:hint="default" w:ascii="Times New Roman" w:hAnsi="Times New Roman" w:cs="Times New Roman"/>
          <w:szCs w:val="21"/>
        </w:rPr>
      </w:pPr>
    </w:p>
    <w:p w14:paraId="2A5350E3">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27EC2FDB">
      <w:pPr>
        <w:spacing w:line="440" w:lineRule="exact"/>
        <w:rPr>
          <w:rFonts w:hint="default" w:ascii="Times New Roman" w:hAnsi="Times New Roman" w:cs="Times New Roman"/>
          <w:szCs w:val="21"/>
        </w:rPr>
      </w:pPr>
    </w:p>
    <w:p w14:paraId="5240E55A">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7108AB7E">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799BE40D">
      <w:pPr>
        <w:pStyle w:val="3"/>
        <w:jc w:val="center"/>
        <w:rPr>
          <w:rFonts w:hint="default" w:ascii="Times New Roman" w:hAnsi="Times New Roman" w:cs="Times New Roman"/>
          <w:highlight w:val="none"/>
        </w:rPr>
      </w:pPr>
      <w:bookmarkStart w:id="289" w:name="_Toc152045794"/>
      <w:bookmarkStart w:id="290" w:name="_Toc300835216"/>
      <w:bookmarkStart w:id="291" w:name="_Toc144974862"/>
      <w:bookmarkStart w:id="292" w:name="_Toc152042583"/>
      <w:bookmarkStart w:id="293" w:name="_Toc247514286"/>
      <w:bookmarkStart w:id="294" w:name="_Toc247527834"/>
      <w:r>
        <w:rPr>
          <w:rFonts w:hint="eastAsia" w:ascii="Times New Roman" w:hAnsi="Times New Roman" w:cs="Times New Roman"/>
          <w:highlight w:val="none"/>
          <w:lang w:val="en-US" w:eastAsia="zh-CN"/>
        </w:rPr>
        <w:t>四</w:t>
      </w:r>
      <w:r>
        <w:rPr>
          <w:rFonts w:hint="default" w:ascii="Times New Roman" w:hAnsi="Times New Roman" w:cs="Times New Roman"/>
          <w:highlight w:val="none"/>
        </w:rPr>
        <w:t>、投标保证金</w:t>
      </w:r>
      <w:bookmarkEnd w:id="289"/>
      <w:bookmarkEnd w:id="290"/>
      <w:bookmarkEnd w:id="291"/>
      <w:bookmarkEnd w:id="292"/>
      <w:bookmarkEnd w:id="293"/>
      <w:bookmarkEnd w:id="294"/>
    </w:p>
    <w:p w14:paraId="4123889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5"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0D9C578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144861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F2B2A5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3E6EFD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98A069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73F5684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809603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AEF4A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750C93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5C71D69">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3666F02E">
      <w:pPr>
        <w:spacing w:line="440" w:lineRule="exact"/>
        <w:rPr>
          <w:rFonts w:hint="default" w:ascii="Times New Roman" w:hAnsi="Times New Roman" w:cs="Times New Roman"/>
          <w:b/>
          <w:bCs/>
        </w:rPr>
      </w:pPr>
    </w:p>
    <w:bookmarkEnd w:id="295"/>
    <w:p w14:paraId="57E9A9C7">
      <w:pPr>
        <w:rPr>
          <w:rFonts w:hint="default" w:ascii="Times New Roman" w:hAnsi="Times New Roman" w:cs="Times New Roman"/>
        </w:rPr>
      </w:pPr>
      <w:bookmarkStart w:id="296" w:name="_Toc152045795"/>
      <w:bookmarkStart w:id="297" w:name="_Toc247527835"/>
      <w:bookmarkStart w:id="298" w:name="_Toc247514287"/>
      <w:bookmarkStart w:id="299" w:name="_Toc300835218"/>
      <w:bookmarkStart w:id="300" w:name="_Toc144974863"/>
      <w:bookmarkStart w:id="301" w:name="_Toc152042584"/>
      <w:r>
        <w:rPr>
          <w:rFonts w:hint="default" w:ascii="Times New Roman" w:hAnsi="Times New Roman" w:cs="Times New Roman"/>
        </w:rPr>
        <w:br w:type="page"/>
      </w:r>
    </w:p>
    <w:p w14:paraId="70AB74BC">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五</w:t>
      </w:r>
      <w:r>
        <w:rPr>
          <w:rFonts w:hint="default" w:ascii="Times New Roman" w:hAnsi="Times New Roman" w:cs="Times New Roman"/>
        </w:rPr>
        <w:t>、</w:t>
      </w:r>
      <w:bookmarkEnd w:id="296"/>
      <w:bookmarkEnd w:id="297"/>
      <w:bookmarkEnd w:id="298"/>
      <w:bookmarkEnd w:id="299"/>
      <w:bookmarkEnd w:id="300"/>
      <w:bookmarkEnd w:id="301"/>
      <w:r>
        <w:rPr>
          <w:rFonts w:hint="eastAsia" w:ascii="Times New Roman" w:hAnsi="Times New Roman" w:cs="Times New Roman"/>
          <w:lang w:val="en-US" w:eastAsia="zh-CN"/>
        </w:rPr>
        <w:t>商务和技术偏差表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14:paraId="6AF2D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4C6C281F">
            <w:pPr>
              <w:jc w:val="center"/>
              <w:rPr>
                <w:rFonts w:hint="eastAsia" w:ascii="Times New Roman" w:hAnsi="Times New Roman" w:cs="Times New Roman" w:eastAsiaTheme="minorEastAsia"/>
                <w:b/>
                <w:bCs/>
                <w:vertAlign w:val="baseline"/>
                <w:lang w:val="en-US" w:eastAsia="zh-CN"/>
              </w:rPr>
            </w:pPr>
            <w:bookmarkStart w:id="302" w:name="_Toc152042585"/>
            <w:bookmarkStart w:id="303" w:name="_Toc144974864"/>
            <w:bookmarkStart w:id="304" w:name="_Toc300835221"/>
            <w:bookmarkStart w:id="305" w:name="_Toc152045796"/>
            <w:bookmarkStart w:id="306" w:name="_Toc247514288"/>
            <w:bookmarkStart w:id="307" w:name="_Toc247527836"/>
            <w:r>
              <w:rPr>
                <w:rFonts w:hint="eastAsia" w:ascii="Times New Roman" w:hAnsi="Times New Roman" w:cs="Times New Roman"/>
                <w:b/>
                <w:bCs/>
                <w:vertAlign w:val="baseline"/>
                <w:lang w:val="en-US" w:eastAsia="zh-CN"/>
              </w:rPr>
              <w:t>序号</w:t>
            </w:r>
          </w:p>
        </w:tc>
        <w:tc>
          <w:tcPr>
            <w:tcW w:w="2835" w:type="dxa"/>
            <w:vAlign w:val="center"/>
          </w:tcPr>
          <w:p w14:paraId="411CBCD0">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14:paraId="7A1ADCD4">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14:paraId="232B2E69">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14:paraId="6389F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76AA91E4">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14:paraId="62B41A24">
            <w:pPr>
              <w:jc w:val="center"/>
              <w:rPr>
                <w:rFonts w:hint="default" w:ascii="Times New Roman" w:hAnsi="Times New Roman" w:cs="Times New Roman"/>
                <w:vertAlign w:val="baseline"/>
              </w:rPr>
            </w:pPr>
          </w:p>
        </w:tc>
        <w:tc>
          <w:tcPr>
            <w:tcW w:w="2835" w:type="dxa"/>
            <w:vAlign w:val="center"/>
          </w:tcPr>
          <w:p w14:paraId="2ED6CC1D">
            <w:pPr>
              <w:jc w:val="center"/>
              <w:rPr>
                <w:rFonts w:hint="default" w:ascii="Times New Roman" w:hAnsi="Times New Roman" w:cs="Times New Roman"/>
                <w:vertAlign w:val="baseline"/>
              </w:rPr>
            </w:pPr>
          </w:p>
        </w:tc>
        <w:tc>
          <w:tcPr>
            <w:tcW w:w="2001" w:type="dxa"/>
            <w:vAlign w:val="center"/>
          </w:tcPr>
          <w:p w14:paraId="3A55F9C8">
            <w:pPr>
              <w:jc w:val="center"/>
              <w:rPr>
                <w:rFonts w:hint="default" w:ascii="Times New Roman" w:hAnsi="Times New Roman" w:cs="Times New Roman"/>
                <w:vertAlign w:val="baseline"/>
              </w:rPr>
            </w:pPr>
          </w:p>
        </w:tc>
      </w:tr>
      <w:tr w14:paraId="57F63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4F8D9A5">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14:paraId="5E81AEC2">
            <w:pPr>
              <w:jc w:val="center"/>
              <w:rPr>
                <w:rFonts w:hint="default" w:ascii="Times New Roman" w:hAnsi="Times New Roman" w:cs="Times New Roman"/>
                <w:vertAlign w:val="baseline"/>
              </w:rPr>
            </w:pPr>
          </w:p>
        </w:tc>
        <w:tc>
          <w:tcPr>
            <w:tcW w:w="2835" w:type="dxa"/>
            <w:vAlign w:val="center"/>
          </w:tcPr>
          <w:p w14:paraId="47FC4857">
            <w:pPr>
              <w:jc w:val="center"/>
              <w:rPr>
                <w:rFonts w:hint="default" w:ascii="Times New Roman" w:hAnsi="Times New Roman" w:cs="Times New Roman"/>
                <w:vertAlign w:val="baseline"/>
              </w:rPr>
            </w:pPr>
          </w:p>
        </w:tc>
        <w:tc>
          <w:tcPr>
            <w:tcW w:w="2001" w:type="dxa"/>
            <w:vAlign w:val="center"/>
          </w:tcPr>
          <w:p w14:paraId="43AC4273">
            <w:pPr>
              <w:jc w:val="center"/>
              <w:rPr>
                <w:rFonts w:hint="default" w:ascii="Times New Roman" w:hAnsi="Times New Roman" w:cs="Times New Roman"/>
                <w:vertAlign w:val="baseline"/>
              </w:rPr>
            </w:pPr>
          </w:p>
        </w:tc>
      </w:tr>
      <w:tr w14:paraId="2AD27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3A66C3D9">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14:paraId="11AEA060">
            <w:pPr>
              <w:jc w:val="center"/>
              <w:rPr>
                <w:rFonts w:hint="default" w:ascii="Times New Roman" w:hAnsi="Times New Roman" w:cs="Times New Roman"/>
                <w:vertAlign w:val="baseline"/>
              </w:rPr>
            </w:pPr>
          </w:p>
        </w:tc>
        <w:tc>
          <w:tcPr>
            <w:tcW w:w="2835" w:type="dxa"/>
            <w:vAlign w:val="center"/>
          </w:tcPr>
          <w:p w14:paraId="0FC2F4BE">
            <w:pPr>
              <w:jc w:val="center"/>
              <w:rPr>
                <w:rFonts w:hint="default" w:ascii="Times New Roman" w:hAnsi="Times New Roman" w:cs="Times New Roman"/>
                <w:vertAlign w:val="baseline"/>
              </w:rPr>
            </w:pPr>
          </w:p>
        </w:tc>
        <w:tc>
          <w:tcPr>
            <w:tcW w:w="2001" w:type="dxa"/>
            <w:vAlign w:val="center"/>
          </w:tcPr>
          <w:p w14:paraId="3D9256A7">
            <w:pPr>
              <w:jc w:val="center"/>
              <w:rPr>
                <w:rFonts w:hint="default" w:ascii="Times New Roman" w:hAnsi="Times New Roman" w:cs="Times New Roman"/>
                <w:vertAlign w:val="baseline"/>
              </w:rPr>
            </w:pPr>
          </w:p>
        </w:tc>
      </w:tr>
      <w:tr w14:paraId="471E2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50" w:type="dxa"/>
            <w:vAlign w:val="center"/>
          </w:tcPr>
          <w:p w14:paraId="179F1548">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14:paraId="15C01ED6">
            <w:pPr>
              <w:jc w:val="center"/>
              <w:rPr>
                <w:rFonts w:hint="default" w:ascii="Times New Roman" w:hAnsi="Times New Roman" w:cs="Times New Roman"/>
                <w:vertAlign w:val="baseline"/>
              </w:rPr>
            </w:pPr>
          </w:p>
        </w:tc>
        <w:tc>
          <w:tcPr>
            <w:tcW w:w="2835" w:type="dxa"/>
            <w:vAlign w:val="center"/>
          </w:tcPr>
          <w:p w14:paraId="1438091C">
            <w:pPr>
              <w:jc w:val="center"/>
              <w:rPr>
                <w:rFonts w:hint="default" w:ascii="Times New Roman" w:hAnsi="Times New Roman" w:cs="Times New Roman"/>
                <w:vertAlign w:val="baseline"/>
              </w:rPr>
            </w:pPr>
          </w:p>
        </w:tc>
        <w:tc>
          <w:tcPr>
            <w:tcW w:w="2001" w:type="dxa"/>
            <w:vAlign w:val="center"/>
          </w:tcPr>
          <w:p w14:paraId="565AC25C">
            <w:pPr>
              <w:jc w:val="center"/>
              <w:rPr>
                <w:rFonts w:hint="default" w:ascii="Times New Roman" w:hAnsi="Times New Roman" w:cs="Times New Roman"/>
                <w:vertAlign w:val="baseline"/>
              </w:rPr>
            </w:pPr>
          </w:p>
        </w:tc>
      </w:tr>
      <w:tr w14:paraId="70827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6680A7C">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14:paraId="7B9A5B2A">
            <w:pPr>
              <w:jc w:val="center"/>
              <w:rPr>
                <w:rFonts w:hint="default" w:ascii="Times New Roman" w:hAnsi="Times New Roman" w:cs="Times New Roman"/>
                <w:vertAlign w:val="baseline"/>
              </w:rPr>
            </w:pPr>
          </w:p>
        </w:tc>
        <w:tc>
          <w:tcPr>
            <w:tcW w:w="2835" w:type="dxa"/>
            <w:vAlign w:val="center"/>
          </w:tcPr>
          <w:p w14:paraId="3081BA40">
            <w:pPr>
              <w:jc w:val="center"/>
              <w:rPr>
                <w:rFonts w:hint="default" w:ascii="Times New Roman" w:hAnsi="Times New Roman" w:cs="Times New Roman"/>
                <w:vertAlign w:val="baseline"/>
              </w:rPr>
            </w:pPr>
          </w:p>
        </w:tc>
        <w:tc>
          <w:tcPr>
            <w:tcW w:w="2001" w:type="dxa"/>
            <w:vAlign w:val="center"/>
          </w:tcPr>
          <w:p w14:paraId="71D94298">
            <w:pPr>
              <w:jc w:val="center"/>
              <w:rPr>
                <w:rFonts w:hint="default" w:ascii="Times New Roman" w:hAnsi="Times New Roman" w:cs="Times New Roman"/>
                <w:vertAlign w:val="baseline"/>
              </w:rPr>
            </w:pPr>
          </w:p>
        </w:tc>
      </w:tr>
      <w:tr w14:paraId="53BB8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0FFE2B61">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14:paraId="4AD699A8">
            <w:pPr>
              <w:jc w:val="center"/>
              <w:rPr>
                <w:rFonts w:hint="default" w:ascii="Times New Roman" w:hAnsi="Times New Roman" w:cs="Times New Roman"/>
                <w:vertAlign w:val="baseline"/>
              </w:rPr>
            </w:pPr>
          </w:p>
        </w:tc>
        <w:tc>
          <w:tcPr>
            <w:tcW w:w="2835" w:type="dxa"/>
            <w:vAlign w:val="center"/>
          </w:tcPr>
          <w:p w14:paraId="4C8D3908">
            <w:pPr>
              <w:jc w:val="center"/>
              <w:rPr>
                <w:rFonts w:hint="default" w:ascii="Times New Roman" w:hAnsi="Times New Roman" w:cs="Times New Roman"/>
                <w:vertAlign w:val="baseline"/>
              </w:rPr>
            </w:pPr>
          </w:p>
        </w:tc>
        <w:tc>
          <w:tcPr>
            <w:tcW w:w="2001" w:type="dxa"/>
            <w:vAlign w:val="center"/>
          </w:tcPr>
          <w:p w14:paraId="0880B268">
            <w:pPr>
              <w:jc w:val="center"/>
              <w:rPr>
                <w:rFonts w:hint="default" w:ascii="Times New Roman" w:hAnsi="Times New Roman" w:cs="Times New Roman"/>
                <w:vertAlign w:val="baseline"/>
              </w:rPr>
            </w:pPr>
          </w:p>
        </w:tc>
      </w:tr>
    </w:tbl>
    <w:p w14:paraId="2E224CB3">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14:paraId="68F8DB23">
      <w:pPr>
        <w:rPr>
          <w:rFonts w:hint="default" w:ascii="Times New Roman" w:hAnsi="Times New Roman" w:cs="Times New Roman"/>
        </w:rPr>
      </w:pPr>
    </w:p>
    <w:p w14:paraId="29A1FA7C">
      <w:pPr>
        <w:rPr>
          <w:rFonts w:hint="default" w:ascii="Times New Roman" w:hAnsi="Times New Roman" w:cs="Times New Roman"/>
        </w:rPr>
      </w:pPr>
    </w:p>
    <w:p w14:paraId="57F04F75">
      <w:pPr>
        <w:rPr>
          <w:rFonts w:hint="default" w:ascii="Times New Roman" w:hAnsi="Times New Roman" w:cs="Times New Roman"/>
        </w:rPr>
      </w:pPr>
    </w:p>
    <w:p w14:paraId="2B5D87A7">
      <w:pPr>
        <w:rPr>
          <w:rFonts w:hint="default" w:ascii="Times New Roman" w:hAnsi="Times New Roman" w:cs="Times New Roman"/>
        </w:rPr>
      </w:pPr>
      <w:r>
        <w:rPr>
          <w:rFonts w:hint="default" w:ascii="Times New Roman" w:hAnsi="Times New Roman" w:cs="Times New Roman"/>
        </w:rPr>
        <w:br w:type="page"/>
      </w:r>
    </w:p>
    <w:p w14:paraId="32376C92">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bookmarkEnd w:id="302"/>
      <w:bookmarkEnd w:id="303"/>
      <w:bookmarkEnd w:id="304"/>
      <w:bookmarkEnd w:id="305"/>
      <w:bookmarkEnd w:id="306"/>
      <w:bookmarkEnd w:id="307"/>
      <w:r>
        <w:rPr>
          <w:rFonts w:hint="eastAsia" w:ascii="Times New Roman" w:hAnsi="Times New Roman" w:cs="Times New Roman"/>
          <w:highlight w:val="none"/>
          <w:lang w:val="en-US" w:eastAsia="zh-CN"/>
        </w:rPr>
        <w:t>分项报价表</w:t>
      </w:r>
    </w:p>
    <w:p w14:paraId="387C2FD1">
      <w:pPr>
        <w:spacing w:line="440" w:lineRule="exact"/>
        <w:rPr>
          <w:rFonts w:hint="default" w:ascii="Times New Roman" w:hAnsi="Times New Roman" w:eastAsia="黑体" w:cs="Times New Roman"/>
          <w:szCs w:val="21"/>
          <w:highlight w:val="green"/>
        </w:rPr>
      </w:pPr>
    </w:p>
    <w:p w14:paraId="124AFA13">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bookmarkStart w:id="308" w:name="_Toc300835223"/>
      <w:r>
        <w:rPr>
          <w:rFonts w:hint="eastAsia" w:ascii="Times New Roman" w:hAnsi="Times New Roman" w:cs="Times New Roman"/>
          <w:szCs w:val="21"/>
          <w:lang w:val="en-US" w:eastAsia="zh-CN"/>
        </w:rPr>
        <w:t>1. 分项报价表说明</w:t>
      </w:r>
    </w:p>
    <w:p w14:paraId="5CBBAD75">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14:paraId="0E93027D">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7"/>
        <w:gridCol w:w="850"/>
        <w:gridCol w:w="850"/>
        <w:gridCol w:w="1417"/>
        <w:gridCol w:w="1417"/>
        <w:gridCol w:w="1718"/>
      </w:tblGrid>
      <w:tr w14:paraId="0219D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66208EF4">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vAlign w:val="center"/>
          </w:tcPr>
          <w:p w14:paraId="12373B90">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vAlign w:val="center"/>
          </w:tcPr>
          <w:p w14:paraId="7124600B">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vAlign w:val="center"/>
          </w:tcPr>
          <w:p w14:paraId="0325ACEA">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vAlign w:val="center"/>
          </w:tcPr>
          <w:p w14:paraId="0CEEB3B3">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vAlign w:val="center"/>
          </w:tcPr>
          <w:p w14:paraId="5D30EBDE">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vAlign w:val="center"/>
          </w:tcPr>
          <w:p w14:paraId="075665A0">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14:paraId="50444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BA017E2">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vAlign w:val="center"/>
          </w:tcPr>
          <w:p w14:paraId="044A6619">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57C81E04">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212B2FF0">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13183AC3">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2185B712">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39752D21">
            <w:pPr>
              <w:tabs>
                <w:tab w:val="left" w:pos="720"/>
              </w:tabs>
              <w:spacing w:line="440" w:lineRule="exact"/>
              <w:jc w:val="center"/>
              <w:rPr>
                <w:rFonts w:hint="eastAsia" w:ascii="Times New Roman" w:hAnsi="Times New Roman" w:cs="Times New Roman"/>
                <w:szCs w:val="21"/>
                <w:vertAlign w:val="baseline"/>
                <w:lang w:val="en-US" w:eastAsia="zh-CN"/>
              </w:rPr>
            </w:pPr>
          </w:p>
        </w:tc>
      </w:tr>
      <w:tr w14:paraId="3B9D8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6C9BE622">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14:paraId="3656AAA8">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0246FA55">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75FE12B6">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5B263028">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109D7A71">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0F54C5D5">
            <w:pPr>
              <w:tabs>
                <w:tab w:val="left" w:pos="720"/>
              </w:tabs>
              <w:spacing w:line="440" w:lineRule="exact"/>
              <w:jc w:val="center"/>
              <w:rPr>
                <w:rFonts w:hint="eastAsia" w:ascii="Times New Roman" w:hAnsi="Times New Roman" w:cs="Times New Roman"/>
                <w:szCs w:val="21"/>
                <w:vertAlign w:val="baseline"/>
                <w:lang w:val="en-US" w:eastAsia="zh-CN"/>
              </w:rPr>
            </w:pPr>
          </w:p>
        </w:tc>
      </w:tr>
      <w:tr w14:paraId="15A08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13C8CBA">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vAlign w:val="center"/>
          </w:tcPr>
          <w:p w14:paraId="7365D22F">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72600EBD">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2988C7EB">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63CACFF8">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4F79E3A1">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6D2B8C93">
            <w:pPr>
              <w:tabs>
                <w:tab w:val="left" w:pos="720"/>
              </w:tabs>
              <w:spacing w:line="440" w:lineRule="exact"/>
              <w:jc w:val="center"/>
              <w:rPr>
                <w:rFonts w:hint="eastAsia" w:ascii="Times New Roman" w:hAnsi="Times New Roman" w:cs="Times New Roman"/>
                <w:szCs w:val="21"/>
                <w:vertAlign w:val="baseline"/>
                <w:lang w:val="en-US" w:eastAsia="zh-CN"/>
              </w:rPr>
            </w:pPr>
          </w:p>
        </w:tc>
      </w:tr>
      <w:tr w14:paraId="641D3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47BFE608">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1417" w:type="dxa"/>
            <w:vAlign w:val="center"/>
          </w:tcPr>
          <w:p w14:paraId="4F62111C">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73837039">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2C3613AB">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31A0546D">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1E434D1A">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3202D069">
            <w:pPr>
              <w:tabs>
                <w:tab w:val="left" w:pos="720"/>
              </w:tabs>
              <w:spacing w:line="440" w:lineRule="exact"/>
              <w:jc w:val="center"/>
              <w:rPr>
                <w:rFonts w:hint="eastAsia" w:ascii="Times New Roman" w:hAnsi="Times New Roman" w:cs="Times New Roman"/>
                <w:szCs w:val="21"/>
                <w:vertAlign w:val="baseline"/>
                <w:lang w:val="en-US" w:eastAsia="zh-CN"/>
              </w:rPr>
            </w:pPr>
          </w:p>
        </w:tc>
      </w:tr>
      <w:tr w14:paraId="45008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1A0346D">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1417" w:type="dxa"/>
            <w:vAlign w:val="center"/>
          </w:tcPr>
          <w:p w14:paraId="37966DC8">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26AD8EAD">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6862E715">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6C389BFF">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6C95FE35">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78B88072">
            <w:pPr>
              <w:tabs>
                <w:tab w:val="left" w:pos="720"/>
              </w:tabs>
              <w:spacing w:line="440" w:lineRule="exact"/>
              <w:jc w:val="center"/>
              <w:rPr>
                <w:rFonts w:hint="eastAsia" w:ascii="Times New Roman" w:hAnsi="Times New Roman" w:cs="Times New Roman"/>
                <w:szCs w:val="21"/>
                <w:vertAlign w:val="baseline"/>
                <w:lang w:val="en-US" w:eastAsia="zh-CN"/>
              </w:rPr>
            </w:pPr>
          </w:p>
        </w:tc>
      </w:tr>
      <w:tr w14:paraId="27606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41D3045">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vAlign w:val="center"/>
          </w:tcPr>
          <w:p w14:paraId="6D7D3CAB">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vAlign w:val="center"/>
          </w:tcPr>
          <w:p w14:paraId="2BCD3B53">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1A8BE405">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3A2C4CF4">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7F74D32F">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6921A3A8">
            <w:pPr>
              <w:tabs>
                <w:tab w:val="left" w:pos="720"/>
              </w:tabs>
              <w:spacing w:line="440" w:lineRule="exact"/>
              <w:jc w:val="center"/>
              <w:rPr>
                <w:rFonts w:hint="eastAsia" w:ascii="Times New Roman" w:hAnsi="Times New Roman" w:cs="Times New Roman"/>
                <w:szCs w:val="21"/>
                <w:vertAlign w:val="baseline"/>
                <w:lang w:val="en-US" w:eastAsia="zh-CN"/>
              </w:rPr>
            </w:pPr>
          </w:p>
        </w:tc>
      </w:tr>
      <w:tr w14:paraId="5D2D6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14:paraId="00E66AE1">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vAlign w:val="center"/>
          </w:tcPr>
          <w:p w14:paraId="45AFF403">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56E4B052">
            <w:pPr>
              <w:tabs>
                <w:tab w:val="left" w:pos="720"/>
              </w:tabs>
              <w:spacing w:line="440" w:lineRule="exact"/>
              <w:jc w:val="center"/>
              <w:rPr>
                <w:rFonts w:hint="eastAsia" w:ascii="Times New Roman" w:hAnsi="Times New Roman" w:cs="Times New Roman"/>
                <w:szCs w:val="21"/>
                <w:vertAlign w:val="baseline"/>
                <w:lang w:val="en-US" w:eastAsia="zh-CN"/>
              </w:rPr>
            </w:pPr>
          </w:p>
        </w:tc>
      </w:tr>
    </w:tbl>
    <w:p w14:paraId="177A8D81">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注：投标人可根据行业具体情况及招标项目特点对上表格式进行调整。</w:t>
      </w:r>
    </w:p>
    <w:p w14:paraId="400D61F5">
      <w:pPr>
        <w:tabs>
          <w:tab w:val="left" w:pos="720"/>
        </w:tabs>
        <w:spacing w:line="440" w:lineRule="exact"/>
        <w:rPr>
          <w:rFonts w:hint="eastAsia" w:ascii="Times New Roman" w:hAnsi="Times New Roman" w:cs="Times New Roman"/>
          <w:szCs w:val="21"/>
          <w:lang w:val="en-US" w:eastAsia="zh-CN"/>
        </w:rPr>
      </w:pPr>
    </w:p>
    <w:p w14:paraId="7A762A7C">
      <w:pPr>
        <w:tabs>
          <w:tab w:val="left" w:pos="720"/>
        </w:tabs>
        <w:spacing w:line="440" w:lineRule="exact"/>
        <w:rPr>
          <w:rFonts w:hint="eastAsia" w:ascii="Times New Roman" w:hAnsi="Times New Roman" w:cs="Times New Roman"/>
          <w:szCs w:val="21"/>
          <w:lang w:val="en-US" w:eastAsia="zh-CN"/>
        </w:rPr>
      </w:pPr>
    </w:p>
    <w:p w14:paraId="07AA38AD">
      <w:pPr>
        <w:tabs>
          <w:tab w:val="left" w:pos="720"/>
        </w:tabs>
        <w:spacing w:line="440" w:lineRule="exact"/>
        <w:rPr>
          <w:rFonts w:hint="default" w:ascii="Times New Roman" w:hAnsi="Times New Roman" w:cs="Times New Roman"/>
          <w:szCs w:val="21"/>
          <w:lang w:val="en-US" w:eastAsia="zh-CN"/>
        </w:rPr>
      </w:pPr>
    </w:p>
    <w:p w14:paraId="1E482DF2">
      <w:pPr>
        <w:rPr>
          <w:rFonts w:hint="default" w:ascii="Times New Roman" w:hAnsi="Times New Roman" w:cs="Times New Roman"/>
          <w:szCs w:val="21"/>
        </w:rPr>
      </w:pPr>
      <w:r>
        <w:rPr>
          <w:sz w:val="20"/>
        </w:rPr>
        <w:br w:type="page"/>
      </w:r>
    </w:p>
    <w:bookmarkEnd w:id="308"/>
    <w:p w14:paraId="29AB54C7">
      <w:pPr>
        <w:pStyle w:val="3"/>
        <w:jc w:val="center"/>
        <w:rPr>
          <w:rFonts w:hint="eastAsia"/>
          <w:highlight w:val="none"/>
        </w:rPr>
      </w:pPr>
      <w:bookmarkStart w:id="309" w:name="_Toc152042597"/>
      <w:bookmarkStart w:id="310" w:name="_Toc246996369"/>
      <w:bookmarkStart w:id="311" w:name="_Toc144974876"/>
      <w:bookmarkStart w:id="312" w:name="_Toc152045808"/>
      <w:bookmarkStart w:id="313" w:name="_Toc247527848"/>
      <w:bookmarkStart w:id="314" w:name="_Toc247085887"/>
      <w:bookmarkStart w:id="315" w:name="_Toc300835224"/>
      <w:bookmarkStart w:id="316" w:name="_Toc247514300"/>
      <w:bookmarkStart w:id="317" w:name="_Toc144974871"/>
      <w:bookmarkStart w:id="318" w:name="_Toc296602614"/>
      <w:bookmarkStart w:id="319" w:name="_Toc179632823"/>
      <w:bookmarkStart w:id="320" w:name="_Toc152045803"/>
      <w:bookmarkStart w:id="321" w:name="_Toc152042592"/>
      <w:bookmarkStart w:id="322" w:name="_Toc246997112"/>
      <w:r>
        <w:rPr>
          <w:rFonts w:hint="eastAsia"/>
          <w:highlight w:val="none"/>
          <w:lang w:val="en-US" w:eastAsia="zh-CN"/>
        </w:rPr>
        <w:t>七</w:t>
      </w:r>
      <w:r>
        <w:rPr>
          <w:highlight w:val="none"/>
        </w:rPr>
        <w:t>、资格审查资料</w:t>
      </w:r>
    </w:p>
    <w:p w14:paraId="2D546D69">
      <w:pPr>
        <w:pStyle w:val="4"/>
        <w:jc w:val="both"/>
        <w:rPr>
          <w:rFonts w:hint="eastAsia"/>
        </w:rPr>
      </w:pPr>
      <w:r>
        <w:t>（一）基本情况表</w:t>
      </w:r>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14:paraId="2A6B90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017263C6">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6555CA8D">
            <w:pPr>
              <w:topLinePunct/>
              <w:spacing w:line="440" w:lineRule="exact"/>
              <w:jc w:val="center"/>
              <w:rPr>
                <w:szCs w:val="21"/>
              </w:rPr>
            </w:pPr>
          </w:p>
        </w:tc>
      </w:tr>
      <w:tr w14:paraId="4339FE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69779324">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14:paraId="6A980873">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23B6467">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308EFB3A">
            <w:pPr>
              <w:topLinePunct/>
              <w:spacing w:line="440" w:lineRule="exact"/>
              <w:jc w:val="center"/>
              <w:rPr>
                <w:rFonts w:hint="eastAsia"/>
                <w:szCs w:val="21"/>
                <w:lang w:val="en-US" w:eastAsia="zh-CN"/>
              </w:rPr>
            </w:pPr>
          </w:p>
        </w:tc>
      </w:tr>
      <w:tr w14:paraId="7D4778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7E0D941D">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105571E7">
            <w:pPr>
              <w:topLinePunct/>
              <w:spacing w:line="440" w:lineRule="exact"/>
              <w:jc w:val="center"/>
              <w:rPr>
                <w:rFonts w:hint="eastAsia"/>
                <w:szCs w:val="21"/>
                <w:lang w:val="en-US" w:eastAsia="zh-CN"/>
              </w:rPr>
            </w:pPr>
          </w:p>
        </w:tc>
      </w:tr>
      <w:tr w14:paraId="423F3F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0262BBCF">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14:paraId="619C4EB7">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F3AE08C">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088AAEC6">
            <w:pPr>
              <w:topLinePunct/>
              <w:spacing w:line="440" w:lineRule="exact"/>
              <w:jc w:val="center"/>
              <w:rPr>
                <w:rFonts w:hint="eastAsia"/>
                <w:szCs w:val="21"/>
                <w:lang w:val="en-US" w:eastAsia="zh-CN"/>
              </w:rPr>
            </w:pPr>
          </w:p>
        </w:tc>
      </w:tr>
      <w:tr w14:paraId="04AF90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14:paraId="3336DB80">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B4B7F7B">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14:paraId="7E7CDD1D">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DFF1E3">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1BC86109">
            <w:pPr>
              <w:topLinePunct/>
              <w:spacing w:line="440" w:lineRule="exact"/>
              <w:jc w:val="center"/>
              <w:rPr>
                <w:szCs w:val="21"/>
              </w:rPr>
            </w:pPr>
          </w:p>
        </w:tc>
      </w:tr>
      <w:tr w14:paraId="5A660C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14:paraId="1995976B">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9DB0177">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14:paraId="0BF3FC05">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D1E3B6F">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74CC2FE0">
            <w:pPr>
              <w:topLinePunct/>
              <w:spacing w:line="440" w:lineRule="exact"/>
              <w:jc w:val="center"/>
              <w:rPr>
                <w:szCs w:val="21"/>
              </w:rPr>
            </w:pPr>
          </w:p>
        </w:tc>
      </w:tr>
      <w:tr w14:paraId="6C6665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113C50B3">
            <w:pPr>
              <w:topLinePunct/>
              <w:spacing w:line="440" w:lineRule="exact"/>
              <w:jc w:val="center"/>
              <w:rPr>
                <w:rFonts w:hint="eastAsia"/>
                <w:szCs w:val="21"/>
                <w:lang w:val="en-US" w:eastAsia="zh-CN"/>
              </w:rPr>
            </w:pPr>
            <w:r>
              <w:rPr>
                <w:rFonts w:hint="eastAsia"/>
                <w:szCs w:val="21"/>
                <w:lang w:val="en-US" w:eastAsia="zh-CN"/>
              </w:rPr>
              <w:t>法定代表人</w:t>
            </w:r>
          </w:p>
          <w:p w14:paraId="75ADB6B8">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0DD9036">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14:paraId="5167FC7E">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70DF523">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5C0D85B4">
            <w:pPr>
              <w:topLinePunct/>
              <w:spacing w:line="440" w:lineRule="exact"/>
              <w:jc w:val="center"/>
              <w:rPr>
                <w:rFonts w:hint="eastAsia"/>
                <w:szCs w:val="21"/>
                <w:lang w:val="en-US" w:eastAsia="zh-CN"/>
              </w:rPr>
            </w:pPr>
          </w:p>
        </w:tc>
      </w:tr>
      <w:tr w14:paraId="0C6D45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315AE122">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444EEE8D">
            <w:pPr>
              <w:topLinePunct/>
              <w:spacing w:line="440" w:lineRule="exact"/>
              <w:jc w:val="left"/>
              <w:rPr>
                <w:rFonts w:hint="default"/>
                <w:szCs w:val="21"/>
                <w:lang w:val="en-US" w:eastAsia="zh-CN"/>
              </w:rPr>
            </w:pPr>
            <w:r>
              <w:rPr>
                <w:rFonts w:hint="eastAsia"/>
                <w:szCs w:val="21"/>
                <w:lang w:val="en-US" w:eastAsia="zh-CN"/>
              </w:rPr>
              <w:t>类型：            等级：            证书号：</w:t>
            </w:r>
          </w:p>
        </w:tc>
      </w:tr>
      <w:tr w14:paraId="0D8A08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1298C6BC">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729F7681">
            <w:pPr>
              <w:topLinePunct/>
              <w:spacing w:line="440" w:lineRule="exact"/>
              <w:jc w:val="center"/>
              <w:rPr>
                <w:rFonts w:hint="eastAsia"/>
                <w:szCs w:val="21"/>
                <w:lang w:val="en-US" w:eastAsia="zh-CN"/>
              </w:rPr>
            </w:pPr>
          </w:p>
        </w:tc>
      </w:tr>
      <w:tr w14:paraId="6314C0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0B389259">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0B5C463C">
            <w:pPr>
              <w:topLinePunct/>
              <w:spacing w:line="440" w:lineRule="exact"/>
              <w:jc w:val="center"/>
              <w:rPr>
                <w:rFonts w:hint="eastAsia"/>
                <w:szCs w:val="21"/>
                <w:lang w:val="en-US" w:eastAsia="zh-CN"/>
              </w:rPr>
            </w:pPr>
          </w:p>
        </w:tc>
      </w:tr>
      <w:tr w14:paraId="03F2C6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113FB209">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08B31E7D">
            <w:pPr>
              <w:topLinePunct/>
              <w:spacing w:line="440" w:lineRule="exact"/>
              <w:jc w:val="center"/>
              <w:rPr>
                <w:rFonts w:hint="eastAsia"/>
                <w:szCs w:val="21"/>
                <w:lang w:val="en-US" w:eastAsia="zh-CN"/>
              </w:rPr>
            </w:pPr>
          </w:p>
        </w:tc>
      </w:tr>
      <w:tr w14:paraId="4D6A83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14:paraId="6902F056">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14:paraId="3DF05518">
            <w:pPr>
              <w:topLinePunct/>
              <w:spacing w:line="440" w:lineRule="exact"/>
              <w:ind w:firstLine="210" w:firstLineChars="100"/>
              <w:jc w:val="center"/>
              <w:rPr>
                <w:rFonts w:hint="eastAsia"/>
                <w:szCs w:val="21"/>
                <w:lang w:val="en-US" w:eastAsia="zh-CN"/>
              </w:rPr>
            </w:pPr>
          </w:p>
        </w:tc>
      </w:tr>
      <w:tr w14:paraId="20368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080FC07A">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2C3A01AB">
            <w:pPr>
              <w:topLinePunct/>
              <w:spacing w:line="440" w:lineRule="exact"/>
              <w:jc w:val="center"/>
              <w:rPr>
                <w:rFonts w:hint="eastAsia"/>
                <w:szCs w:val="21"/>
                <w:highlight w:val="red"/>
                <w:lang w:val="en-US" w:eastAsia="zh-CN"/>
              </w:rPr>
            </w:pPr>
          </w:p>
        </w:tc>
      </w:tr>
      <w:tr w14:paraId="196A06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295CB39A">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73386DAA">
            <w:pPr>
              <w:topLinePunct/>
              <w:spacing w:line="440" w:lineRule="exact"/>
              <w:jc w:val="center"/>
              <w:rPr>
                <w:rFonts w:hint="eastAsia"/>
                <w:szCs w:val="21"/>
                <w:highlight w:val="red"/>
                <w:lang w:val="en-US" w:eastAsia="zh-CN"/>
              </w:rPr>
            </w:pPr>
          </w:p>
        </w:tc>
      </w:tr>
      <w:tr w14:paraId="742076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2A889095">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5838B145">
            <w:pPr>
              <w:topLinePunct/>
              <w:spacing w:line="440" w:lineRule="exact"/>
              <w:jc w:val="center"/>
              <w:rPr>
                <w:szCs w:val="21"/>
              </w:rPr>
            </w:pPr>
          </w:p>
        </w:tc>
      </w:tr>
    </w:tbl>
    <w:p w14:paraId="0A34CAF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14:paraId="27D00212">
      <w:pPr>
        <w:rPr>
          <w:rFonts w:hint="default" w:ascii="Times New Roman" w:hAnsi="Times New Roman" w:cs="Times New Roman"/>
          <w:lang w:val="en-US" w:eastAsia="zh-CN"/>
        </w:rPr>
      </w:pPr>
    </w:p>
    <w:p w14:paraId="0D8B2C4D">
      <w:pPr>
        <w:rPr>
          <w:rFonts w:hint="eastAsia"/>
        </w:rPr>
      </w:pPr>
      <w:r>
        <w:rPr>
          <w:rFonts w:hint="eastAsia"/>
        </w:rPr>
        <w:br w:type="page"/>
      </w:r>
    </w:p>
    <w:p w14:paraId="1BA61132">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14:paraId="58FC0B5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14:paraId="3A450B51">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14:paraId="04EC300A">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14:paraId="1B920E7F">
      <w:pPr>
        <w:rPr>
          <w:rFonts w:hint="default" w:ascii="Times New Roman" w:hAnsi="Times New Roman" w:cs="Times New Roman"/>
        </w:rPr>
      </w:pPr>
    </w:p>
    <w:p w14:paraId="635C4DFD">
      <w:pPr>
        <w:rPr>
          <w:rFonts w:hint="eastAsia"/>
        </w:rPr>
      </w:pPr>
      <w:r>
        <w:rPr>
          <w:rFonts w:hint="eastAsia"/>
        </w:rPr>
        <w:br w:type="page"/>
      </w:r>
    </w:p>
    <w:p w14:paraId="3774319D">
      <w:pPr>
        <w:pStyle w:val="4"/>
        <w:rPr>
          <w:rFonts w:hint="default" w:ascii="Times New Roman" w:hAnsi="Times New Roman" w:cs="Times New Roman"/>
        </w:rPr>
      </w:pPr>
      <w:r>
        <w:rPr>
          <w:rFonts w:hint="default" w:ascii="Times New Roman" w:hAnsi="Times New Roman" w:cs="Times New Roman"/>
        </w:rPr>
        <w:t>（三）近年完成的类似项目情况表</w:t>
      </w:r>
    </w:p>
    <w:p w14:paraId="419E406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745B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12A943B1">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14:paraId="43D484EA">
            <w:pPr>
              <w:topLinePunct/>
              <w:spacing w:line="440" w:lineRule="exact"/>
              <w:rPr>
                <w:rFonts w:hint="default" w:ascii="Times New Roman" w:hAnsi="Times New Roman" w:cs="Times New Roman"/>
                <w:szCs w:val="21"/>
                <w:highlight w:val="black"/>
              </w:rPr>
            </w:pPr>
          </w:p>
        </w:tc>
      </w:tr>
      <w:tr w14:paraId="35188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14:paraId="69486D23">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14:paraId="7B704693">
            <w:pPr>
              <w:topLinePunct/>
              <w:spacing w:line="440" w:lineRule="exact"/>
              <w:rPr>
                <w:rFonts w:hint="default" w:ascii="Times New Roman" w:hAnsi="Times New Roman" w:cs="Times New Roman"/>
                <w:szCs w:val="21"/>
              </w:rPr>
            </w:pPr>
          </w:p>
        </w:tc>
      </w:tr>
      <w:tr w14:paraId="5C137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14:paraId="7938041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14:paraId="0FA9EDCC">
            <w:pPr>
              <w:topLinePunct/>
              <w:spacing w:line="440" w:lineRule="exact"/>
              <w:rPr>
                <w:rFonts w:hint="default" w:ascii="Times New Roman" w:hAnsi="Times New Roman" w:cs="Times New Roman"/>
                <w:szCs w:val="21"/>
              </w:rPr>
            </w:pPr>
          </w:p>
        </w:tc>
      </w:tr>
      <w:tr w14:paraId="6370B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14:paraId="1EC251BA">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14:paraId="66CD5B0D">
            <w:pPr>
              <w:topLinePunct/>
              <w:spacing w:line="440" w:lineRule="exact"/>
              <w:rPr>
                <w:rFonts w:hint="default" w:ascii="Times New Roman" w:hAnsi="Times New Roman" w:cs="Times New Roman"/>
                <w:szCs w:val="21"/>
              </w:rPr>
            </w:pPr>
          </w:p>
        </w:tc>
      </w:tr>
      <w:tr w14:paraId="49FA4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2577F781">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14:paraId="3C99D5FC">
            <w:pPr>
              <w:topLinePunct/>
              <w:spacing w:line="440" w:lineRule="exact"/>
              <w:rPr>
                <w:rFonts w:hint="default" w:ascii="Times New Roman" w:hAnsi="Times New Roman" w:cs="Times New Roman"/>
                <w:szCs w:val="21"/>
              </w:rPr>
            </w:pPr>
          </w:p>
        </w:tc>
      </w:tr>
      <w:tr w14:paraId="5693E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0EF4D829">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5E4386EE">
            <w:pPr>
              <w:topLinePunct/>
              <w:spacing w:line="440" w:lineRule="exact"/>
              <w:rPr>
                <w:rFonts w:hint="default" w:ascii="Times New Roman" w:hAnsi="Times New Roman" w:cs="Times New Roman"/>
                <w:szCs w:val="21"/>
              </w:rPr>
            </w:pPr>
          </w:p>
        </w:tc>
      </w:tr>
      <w:tr w14:paraId="54EA4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2CAD7394">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14:paraId="575C2F8E">
            <w:pPr>
              <w:topLinePunct/>
              <w:spacing w:line="440" w:lineRule="exact"/>
              <w:rPr>
                <w:rFonts w:hint="default" w:ascii="Times New Roman" w:hAnsi="Times New Roman" w:cs="Times New Roman"/>
                <w:szCs w:val="21"/>
              </w:rPr>
            </w:pPr>
          </w:p>
          <w:p w14:paraId="7644EFB7">
            <w:pPr>
              <w:topLinePunct/>
              <w:spacing w:line="440" w:lineRule="exact"/>
              <w:rPr>
                <w:rFonts w:hint="default" w:ascii="Times New Roman" w:hAnsi="Times New Roman" w:cs="Times New Roman"/>
                <w:szCs w:val="21"/>
              </w:rPr>
            </w:pPr>
          </w:p>
          <w:p w14:paraId="30489B55">
            <w:pPr>
              <w:topLinePunct/>
              <w:spacing w:line="440" w:lineRule="exact"/>
              <w:rPr>
                <w:rFonts w:hint="default" w:ascii="Times New Roman" w:hAnsi="Times New Roman" w:cs="Times New Roman"/>
                <w:szCs w:val="21"/>
              </w:rPr>
            </w:pPr>
          </w:p>
          <w:p w14:paraId="4AC4F821">
            <w:pPr>
              <w:topLinePunct/>
              <w:spacing w:line="440" w:lineRule="exact"/>
              <w:rPr>
                <w:rFonts w:hint="default" w:ascii="Times New Roman" w:hAnsi="Times New Roman" w:cs="Times New Roman"/>
                <w:szCs w:val="21"/>
              </w:rPr>
            </w:pPr>
          </w:p>
          <w:p w14:paraId="3C7AD360">
            <w:pPr>
              <w:topLinePunct/>
              <w:spacing w:line="440" w:lineRule="exact"/>
              <w:rPr>
                <w:rFonts w:hint="default" w:ascii="Times New Roman" w:hAnsi="Times New Roman" w:cs="Times New Roman"/>
                <w:szCs w:val="21"/>
              </w:rPr>
            </w:pPr>
          </w:p>
          <w:p w14:paraId="2FF3EFB6">
            <w:pPr>
              <w:topLinePunct/>
              <w:spacing w:line="440" w:lineRule="exact"/>
              <w:rPr>
                <w:rFonts w:hint="default" w:ascii="Times New Roman" w:hAnsi="Times New Roman" w:cs="Times New Roman"/>
                <w:szCs w:val="21"/>
              </w:rPr>
            </w:pPr>
          </w:p>
          <w:p w14:paraId="0AABF2FD">
            <w:pPr>
              <w:topLinePunct/>
              <w:spacing w:line="440" w:lineRule="exact"/>
              <w:rPr>
                <w:rFonts w:hint="default" w:ascii="Times New Roman" w:hAnsi="Times New Roman" w:cs="Times New Roman"/>
                <w:szCs w:val="21"/>
              </w:rPr>
            </w:pPr>
          </w:p>
        </w:tc>
      </w:tr>
      <w:tr w14:paraId="4A8C1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250B9DC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380130A3">
            <w:pPr>
              <w:topLinePunct/>
              <w:spacing w:line="440" w:lineRule="exact"/>
              <w:rPr>
                <w:rFonts w:hint="default" w:ascii="Times New Roman" w:hAnsi="Times New Roman" w:cs="Times New Roman"/>
                <w:szCs w:val="21"/>
              </w:rPr>
            </w:pPr>
          </w:p>
        </w:tc>
      </w:tr>
    </w:tbl>
    <w:p w14:paraId="3B4AFB0E">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14:paraId="628BAFF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ermStart w:id="79" w:edGrp="everyone"/>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的业绩的，投标人应按照上表的格式提供投标设备的业绩情况并根据投标人须知第3.5.3项的要求在本表后附相关证明材料。</w:t>
      </w:r>
    </w:p>
    <w:p w14:paraId="36965AE1">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“近年完成的类似项目情况表”应附中标通知书或合同协议书、产品进场验收证书等的复印件，具体时间要求见投标人须知前附表。每张表格只填写一个项目，并标明序号。</w:t>
      </w:r>
      <w:permEnd w:id="79"/>
    </w:p>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p w14:paraId="453BCE6B">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7F03EC51-F0DA-419C-82EB-EAF735918545}"/>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3CFA3C97-F3C4-4E50-AF95-024B4471F7C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A53DE5D5-3A48-40B0-938C-CD0508C8EC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4" w:fontKey="{A0A8DFFC-18C6-4FC7-B82C-CF755CF020BB}"/>
  </w:font>
  <w:font w:name="仿宋_GB2312">
    <w:panose1 w:val="02010609030101010101"/>
    <w:charset w:val="86"/>
    <w:family w:val="modern"/>
    <w:pitch w:val="default"/>
    <w:sig w:usb0="00000001" w:usb1="080E0000" w:usb2="00000000" w:usb3="00000000" w:csb0="00040000" w:csb1="00000000"/>
    <w:embedRegular r:id="rId5" w:fontKey="{9C7D95DF-7D75-4C85-BC8D-DDC4762EED43}"/>
  </w:font>
  <w:font w:name="楷体">
    <w:panose1 w:val="02010609060101010101"/>
    <w:charset w:val="86"/>
    <w:family w:val="auto"/>
    <w:pitch w:val="default"/>
    <w:sig w:usb0="800002BF" w:usb1="38CF7CFA" w:usb2="00000016" w:usb3="00000000" w:csb0="00040001" w:csb1="00000000"/>
    <w:embedRegular r:id="rId6" w:fontKey="{0D399CF1-DFBD-446B-887D-848B42FC6C1D}"/>
  </w:font>
  <w:font w:name="方正仿宋_GB2312">
    <w:panose1 w:val="02000000000000000000"/>
    <w:charset w:val="86"/>
    <w:family w:val="auto"/>
    <w:pitch w:val="default"/>
    <w:sig w:usb0="A00002BF" w:usb1="184F6CFA" w:usb2="00000012" w:usb3="00000000" w:csb0="00040001" w:csb1="00000000"/>
    <w:embedRegular r:id="rId7" w:fontKey="{B5E81D24-B16D-42B2-A061-F0B19E4997D8}"/>
  </w:font>
  <w:font w:name="Wingdings 2">
    <w:panose1 w:val="05020102010507070707"/>
    <w:charset w:val="00"/>
    <w:family w:val="auto"/>
    <w:pitch w:val="default"/>
    <w:sig w:usb0="00000000" w:usb1="00000000" w:usb2="00000000" w:usb3="00000000" w:csb0="80000000" w:csb1="00000000"/>
    <w:embedRegular r:id="rId8" w:fontKey="{9FC6D8D0-A67A-4201-91D0-B5F00A1EF305}"/>
  </w:font>
  <w:font w:name="方正楷体_GB2312">
    <w:panose1 w:val="02000000000000000000"/>
    <w:charset w:val="86"/>
    <w:family w:val="auto"/>
    <w:pitch w:val="default"/>
    <w:sig w:usb0="A00002BF" w:usb1="184F6CFA" w:usb2="00000012" w:usb3="00000000" w:csb0="00040001" w:csb1="00000000"/>
    <w:embedRegular r:id="rId9" w:fontKey="{274007EF-BF7B-428C-A7D7-8542C81307DB}"/>
  </w:font>
  <w:font w:name="仿宋">
    <w:panose1 w:val="02010609060101010101"/>
    <w:charset w:val="86"/>
    <w:family w:val="modern"/>
    <w:pitch w:val="default"/>
    <w:sig w:usb0="800002BF" w:usb1="38CF7CFA" w:usb2="00000016" w:usb3="00000000" w:csb0="00040001" w:csb1="00000000"/>
    <w:embedRegular r:id="rId10" w:fontKey="{AC0B6A3E-D5D9-42BB-A552-05D8B67F6AAB}"/>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7AFFA9">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CB4575">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D0659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2D0659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325F97">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6D526E"/>
    <w:multiLevelType w:val="singleLevel"/>
    <w:tmpl w:val="106D526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jZWFmOTI0OWU0M2E3ZjRhODE1MDBhNDIyZDU3OWMifQ=="/>
  </w:docVars>
  <w:rsids>
    <w:rsidRoot w:val="00000000"/>
    <w:rsid w:val="000A4B92"/>
    <w:rsid w:val="001978C2"/>
    <w:rsid w:val="002609D3"/>
    <w:rsid w:val="002C069E"/>
    <w:rsid w:val="0040224D"/>
    <w:rsid w:val="00733B0B"/>
    <w:rsid w:val="00764376"/>
    <w:rsid w:val="00796B76"/>
    <w:rsid w:val="00850CC0"/>
    <w:rsid w:val="0098388D"/>
    <w:rsid w:val="00B00F2F"/>
    <w:rsid w:val="00D032BE"/>
    <w:rsid w:val="00FF308E"/>
    <w:rsid w:val="011E6004"/>
    <w:rsid w:val="0145105E"/>
    <w:rsid w:val="014A102B"/>
    <w:rsid w:val="018E53BB"/>
    <w:rsid w:val="019846E3"/>
    <w:rsid w:val="01CB0CDF"/>
    <w:rsid w:val="01CD2334"/>
    <w:rsid w:val="01E140D3"/>
    <w:rsid w:val="01EE4D0C"/>
    <w:rsid w:val="01F16263"/>
    <w:rsid w:val="01FD7E4B"/>
    <w:rsid w:val="02016132"/>
    <w:rsid w:val="0212370C"/>
    <w:rsid w:val="021D348F"/>
    <w:rsid w:val="021E0508"/>
    <w:rsid w:val="024C62D4"/>
    <w:rsid w:val="026E5FAB"/>
    <w:rsid w:val="026F1774"/>
    <w:rsid w:val="02983D41"/>
    <w:rsid w:val="029F2BC9"/>
    <w:rsid w:val="02A31129"/>
    <w:rsid w:val="02A46690"/>
    <w:rsid w:val="02AC508C"/>
    <w:rsid w:val="02BE075F"/>
    <w:rsid w:val="02E334E5"/>
    <w:rsid w:val="02F4317E"/>
    <w:rsid w:val="03030333"/>
    <w:rsid w:val="0324584F"/>
    <w:rsid w:val="032652C7"/>
    <w:rsid w:val="033964DC"/>
    <w:rsid w:val="034877EC"/>
    <w:rsid w:val="035021B2"/>
    <w:rsid w:val="03642557"/>
    <w:rsid w:val="03696450"/>
    <w:rsid w:val="036D1D90"/>
    <w:rsid w:val="038E65F9"/>
    <w:rsid w:val="03C10800"/>
    <w:rsid w:val="03C52BEB"/>
    <w:rsid w:val="03C96DCC"/>
    <w:rsid w:val="03FB71CD"/>
    <w:rsid w:val="04127BBC"/>
    <w:rsid w:val="041515CF"/>
    <w:rsid w:val="04210376"/>
    <w:rsid w:val="04212D24"/>
    <w:rsid w:val="042C575E"/>
    <w:rsid w:val="04382327"/>
    <w:rsid w:val="043A6EF6"/>
    <w:rsid w:val="043F5557"/>
    <w:rsid w:val="044363A4"/>
    <w:rsid w:val="04856772"/>
    <w:rsid w:val="04885B47"/>
    <w:rsid w:val="04A52387"/>
    <w:rsid w:val="04B54547"/>
    <w:rsid w:val="04CD15E8"/>
    <w:rsid w:val="04CF4810"/>
    <w:rsid w:val="04D63FDF"/>
    <w:rsid w:val="04EB08D2"/>
    <w:rsid w:val="04EC7DA2"/>
    <w:rsid w:val="050252F6"/>
    <w:rsid w:val="0526590B"/>
    <w:rsid w:val="055625ED"/>
    <w:rsid w:val="0560706F"/>
    <w:rsid w:val="0572490A"/>
    <w:rsid w:val="057E3D65"/>
    <w:rsid w:val="058253F2"/>
    <w:rsid w:val="05872EB9"/>
    <w:rsid w:val="05933026"/>
    <w:rsid w:val="059835D0"/>
    <w:rsid w:val="05AF1F5A"/>
    <w:rsid w:val="05BA17C0"/>
    <w:rsid w:val="05D9116E"/>
    <w:rsid w:val="05DB04A3"/>
    <w:rsid w:val="061F0438"/>
    <w:rsid w:val="06292F58"/>
    <w:rsid w:val="063F4D83"/>
    <w:rsid w:val="064B59D4"/>
    <w:rsid w:val="06501BB5"/>
    <w:rsid w:val="06624967"/>
    <w:rsid w:val="06626753"/>
    <w:rsid w:val="06714440"/>
    <w:rsid w:val="067240CC"/>
    <w:rsid w:val="06866D3C"/>
    <w:rsid w:val="06972E4E"/>
    <w:rsid w:val="06A31B6E"/>
    <w:rsid w:val="06A848F7"/>
    <w:rsid w:val="06A905A2"/>
    <w:rsid w:val="06B86823"/>
    <w:rsid w:val="06BF2153"/>
    <w:rsid w:val="06D375E0"/>
    <w:rsid w:val="06D9502E"/>
    <w:rsid w:val="06E329B2"/>
    <w:rsid w:val="06EB4F76"/>
    <w:rsid w:val="06ED1728"/>
    <w:rsid w:val="06F81D74"/>
    <w:rsid w:val="071A70F3"/>
    <w:rsid w:val="074267A8"/>
    <w:rsid w:val="074A7C93"/>
    <w:rsid w:val="074B3407"/>
    <w:rsid w:val="07666E00"/>
    <w:rsid w:val="07723470"/>
    <w:rsid w:val="077965A7"/>
    <w:rsid w:val="07832BA1"/>
    <w:rsid w:val="07972327"/>
    <w:rsid w:val="07A85930"/>
    <w:rsid w:val="07EE56D8"/>
    <w:rsid w:val="07F10452"/>
    <w:rsid w:val="07F43A9E"/>
    <w:rsid w:val="0817778D"/>
    <w:rsid w:val="083726B7"/>
    <w:rsid w:val="08554A0D"/>
    <w:rsid w:val="08563EE1"/>
    <w:rsid w:val="086D3DA1"/>
    <w:rsid w:val="08774BE1"/>
    <w:rsid w:val="088F5820"/>
    <w:rsid w:val="08903F11"/>
    <w:rsid w:val="08932D8F"/>
    <w:rsid w:val="08ED571D"/>
    <w:rsid w:val="08F024B8"/>
    <w:rsid w:val="08F53A28"/>
    <w:rsid w:val="08F85810"/>
    <w:rsid w:val="091D7025"/>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34869"/>
    <w:rsid w:val="0A466107"/>
    <w:rsid w:val="0A500304"/>
    <w:rsid w:val="0A5234C1"/>
    <w:rsid w:val="0A5B2776"/>
    <w:rsid w:val="0A704DEE"/>
    <w:rsid w:val="0A8B5261"/>
    <w:rsid w:val="0A8E5075"/>
    <w:rsid w:val="0AA913FB"/>
    <w:rsid w:val="0AAE6B76"/>
    <w:rsid w:val="0AB37F43"/>
    <w:rsid w:val="0AB930A2"/>
    <w:rsid w:val="0ADD0DF0"/>
    <w:rsid w:val="0AEB40E8"/>
    <w:rsid w:val="0B0E131B"/>
    <w:rsid w:val="0B416906"/>
    <w:rsid w:val="0B5D1C2A"/>
    <w:rsid w:val="0B685C3C"/>
    <w:rsid w:val="0B7202E7"/>
    <w:rsid w:val="0B991D46"/>
    <w:rsid w:val="0B9F686D"/>
    <w:rsid w:val="0BB772BD"/>
    <w:rsid w:val="0BDE31B0"/>
    <w:rsid w:val="0C083FBC"/>
    <w:rsid w:val="0C110CA2"/>
    <w:rsid w:val="0C6B018A"/>
    <w:rsid w:val="0C773477"/>
    <w:rsid w:val="0C9F113B"/>
    <w:rsid w:val="0CC954FA"/>
    <w:rsid w:val="0CD3448B"/>
    <w:rsid w:val="0CF072F3"/>
    <w:rsid w:val="0D020A0B"/>
    <w:rsid w:val="0D2466BD"/>
    <w:rsid w:val="0D3A1668"/>
    <w:rsid w:val="0D3C216F"/>
    <w:rsid w:val="0D5C2246"/>
    <w:rsid w:val="0D6A3C45"/>
    <w:rsid w:val="0D7F3B4D"/>
    <w:rsid w:val="0D84383E"/>
    <w:rsid w:val="0DA13B17"/>
    <w:rsid w:val="0DA277FF"/>
    <w:rsid w:val="0DB22432"/>
    <w:rsid w:val="0DB8057F"/>
    <w:rsid w:val="0DBD75AC"/>
    <w:rsid w:val="0DC57869"/>
    <w:rsid w:val="0DD331D8"/>
    <w:rsid w:val="0DDB677F"/>
    <w:rsid w:val="0E093A81"/>
    <w:rsid w:val="0E1201C4"/>
    <w:rsid w:val="0E35096D"/>
    <w:rsid w:val="0E3C08A3"/>
    <w:rsid w:val="0E626142"/>
    <w:rsid w:val="0E6D3EE4"/>
    <w:rsid w:val="0E8168AC"/>
    <w:rsid w:val="0E8568BD"/>
    <w:rsid w:val="0E9601D9"/>
    <w:rsid w:val="0EAA3109"/>
    <w:rsid w:val="0EDF4D5E"/>
    <w:rsid w:val="0EF860F0"/>
    <w:rsid w:val="0F024085"/>
    <w:rsid w:val="0F1438EF"/>
    <w:rsid w:val="0F463825"/>
    <w:rsid w:val="0F4B0F6A"/>
    <w:rsid w:val="0F575798"/>
    <w:rsid w:val="0F5F5CB1"/>
    <w:rsid w:val="0F6D192D"/>
    <w:rsid w:val="0F6E4AA0"/>
    <w:rsid w:val="0F73799F"/>
    <w:rsid w:val="0F886069"/>
    <w:rsid w:val="0F965A9B"/>
    <w:rsid w:val="0FA819A2"/>
    <w:rsid w:val="0FCA08C0"/>
    <w:rsid w:val="0FCA14B6"/>
    <w:rsid w:val="0FE42DE8"/>
    <w:rsid w:val="0FFA6EBC"/>
    <w:rsid w:val="101038A7"/>
    <w:rsid w:val="101E2D38"/>
    <w:rsid w:val="102758B4"/>
    <w:rsid w:val="10446D2F"/>
    <w:rsid w:val="104957CA"/>
    <w:rsid w:val="104D6EF3"/>
    <w:rsid w:val="105C0433"/>
    <w:rsid w:val="1069417C"/>
    <w:rsid w:val="106C1E4B"/>
    <w:rsid w:val="108A23D3"/>
    <w:rsid w:val="1095135B"/>
    <w:rsid w:val="10D35E97"/>
    <w:rsid w:val="10D97CD5"/>
    <w:rsid w:val="11005262"/>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31873D2"/>
    <w:rsid w:val="131E40C5"/>
    <w:rsid w:val="13274F9C"/>
    <w:rsid w:val="13325EC2"/>
    <w:rsid w:val="13417410"/>
    <w:rsid w:val="134A448A"/>
    <w:rsid w:val="134F7EA7"/>
    <w:rsid w:val="135107A8"/>
    <w:rsid w:val="136066CF"/>
    <w:rsid w:val="13657E31"/>
    <w:rsid w:val="136C3340"/>
    <w:rsid w:val="1387094F"/>
    <w:rsid w:val="139C08EB"/>
    <w:rsid w:val="13BD743A"/>
    <w:rsid w:val="13CB7DA9"/>
    <w:rsid w:val="13D35238"/>
    <w:rsid w:val="13D81B1F"/>
    <w:rsid w:val="14061B66"/>
    <w:rsid w:val="141F36D1"/>
    <w:rsid w:val="14253DD2"/>
    <w:rsid w:val="142B5FE2"/>
    <w:rsid w:val="14542872"/>
    <w:rsid w:val="147E2423"/>
    <w:rsid w:val="1487273A"/>
    <w:rsid w:val="148C28CB"/>
    <w:rsid w:val="14944440"/>
    <w:rsid w:val="14A059A0"/>
    <w:rsid w:val="14B97B05"/>
    <w:rsid w:val="14C44177"/>
    <w:rsid w:val="14CD31B9"/>
    <w:rsid w:val="14DA6BBE"/>
    <w:rsid w:val="14DD669C"/>
    <w:rsid w:val="14E67563"/>
    <w:rsid w:val="14E756D6"/>
    <w:rsid w:val="14F926F4"/>
    <w:rsid w:val="15021B62"/>
    <w:rsid w:val="150A21BA"/>
    <w:rsid w:val="15137188"/>
    <w:rsid w:val="151779D1"/>
    <w:rsid w:val="1522437E"/>
    <w:rsid w:val="15283931"/>
    <w:rsid w:val="15382F40"/>
    <w:rsid w:val="158374C1"/>
    <w:rsid w:val="15A62ECC"/>
    <w:rsid w:val="15AE56B5"/>
    <w:rsid w:val="15B14179"/>
    <w:rsid w:val="15C516BD"/>
    <w:rsid w:val="16026A2A"/>
    <w:rsid w:val="166266B1"/>
    <w:rsid w:val="169528F0"/>
    <w:rsid w:val="16C724D4"/>
    <w:rsid w:val="16D411E7"/>
    <w:rsid w:val="16ED0036"/>
    <w:rsid w:val="170756D4"/>
    <w:rsid w:val="170F4587"/>
    <w:rsid w:val="176115DC"/>
    <w:rsid w:val="176D7525"/>
    <w:rsid w:val="17712A16"/>
    <w:rsid w:val="17824660"/>
    <w:rsid w:val="178F2FF8"/>
    <w:rsid w:val="179121FE"/>
    <w:rsid w:val="17915931"/>
    <w:rsid w:val="17C41ABF"/>
    <w:rsid w:val="181066D2"/>
    <w:rsid w:val="18175D56"/>
    <w:rsid w:val="18276B10"/>
    <w:rsid w:val="18930C59"/>
    <w:rsid w:val="189B5F22"/>
    <w:rsid w:val="18A70256"/>
    <w:rsid w:val="18A944F8"/>
    <w:rsid w:val="18B73074"/>
    <w:rsid w:val="18DA76F1"/>
    <w:rsid w:val="19034C2D"/>
    <w:rsid w:val="190B7F24"/>
    <w:rsid w:val="1916127C"/>
    <w:rsid w:val="193D465D"/>
    <w:rsid w:val="193D4E12"/>
    <w:rsid w:val="19565565"/>
    <w:rsid w:val="195D781C"/>
    <w:rsid w:val="19650358"/>
    <w:rsid w:val="196C6238"/>
    <w:rsid w:val="198A59D6"/>
    <w:rsid w:val="19A075E2"/>
    <w:rsid w:val="19A73D74"/>
    <w:rsid w:val="19AA5416"/>
    <w:rsid w:val="19B32CDE"/>
    <w:rsid w:val="19CE7FF6"/>
    <w:rsid w:val="19D70C6D"/>
    <w:rsid w:val="19E2271F"/>
    <w:rsid w:val="1A075570"/>
    <w:rsid w:val="1A1C623A"/>
    <w:rsid w:val="1A270D5F"/>
    <w:rsid w:val="1A4D4CED"/>
    <w:rsid w:val="1A797469"/>
    <w:rsid w:val="1A8850B8"/>
    <w:rsid w:val="1A9B5FFB"/>
    <w:rsid w:val="1A9C424D"/>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24429"/>
    <w:rsid w:val="1B894EBC"/>
    <w:rsid w:val="1B8C1172"/>
    <w:rsid w:val="1B9269B7"/>
    <w:rsid w:val="1BB12BB2"/>
    <w:rsid w:val="1BBC5B46"/>
    <w:rsid w:val="1BC21D75"/>
    <w:rsid w:val="1BCE49E9"/>
    <w:rsid w:val="1BD12722"/>
    <w:rsid w:val="1BD15865"/>
    <w:rsid w:val="1BFE7E24"/>
    <w:rsid w:val="1C100B6A"/>
    <w:rsid w:val="1C2075D6"/>
    <w:rsid w:val="1C2B6CB4"/>
    <w:rsid w:val="1C3774BA"/>
    <w:rsid w:val="1C4E114E"/>
    <w:rsid w:val="1C533032"/>
    <w:rsid w:val="1C5D5F8B"/>
    <w:rsid w:val="1C6E241C"/>
    <w:rsid w:val="1C7D00AF"/>
    <w:rsid w:val="1CB07DF9"/>
    <w:rsid w:val="1CC3681B"/>
    <w:rsid w:val="1CE912A0"/>
    <w:rsid w:val="1CF251D3"/>
    <w:rsid w:val="1CFF3217"/>
    <w:rsid w:val="1D0C3E62"/>
    <w:rsid w:val="1D1D0D81"/>
    <w:rsid w:val="1D5835F0"/>
    <w:rsid w:val="1D594678"/>
    <w:rsid w:val="1D8B05A9"/>
    <w:rsid w:val="1D8C5045"/>
    <w:rsid w:val="1D9244F8"/>
    <w:rsid w:val="1D931CEA"/>
    <w:rsid w:val="1DC177D9"/>
    <w:rsid w:val="1E1A236E"/>
    <w:rsid w:val="1E225BB3"/>
    <w:rsid w:val="1E2A6113"/>
    <w:rsid w:val="1E2D212B"/>
    <w:rsid w:val="1E2E6E13"/>
    <w:rsid w:val="1E32182A"/>
    <w:rsid w:val="1E5A61EE"/>
    <w:rsid w:val="1E713E2F"/>
    <w:rsid w:val="1E7828DC"/>
    <w:rsid w:val="1E91399D"/>
    <w:rsid w:val="1E980FE4"/>
    <w:rsid w:val="1EA573D8"/>
    <w:rsid w:val="1EA77665"/>
    <w:rsid w:val="1EB0513B"/>
    <w:rsid w:val="1EB72F76"/>
    <w:rsid w:val="1EC10726"/>
    <w:rsid w:val="1EE36B2C"/>
    <w:rsid w:val="1EF342CB"/>
    <w:rsid w:val="1F020A44"/>
    <w:rsid w:val="1F041BC7"/>
    <w:rsid w:val="1F127B09"/>
    <w:rsid w:val="1F2354C8"/>
    <w:rsid w:val="1F36160E"/>
    <w:rsid w:val="1F3F33F9"/>
    <w:rsid w:val="1F417171"/>
    <w:rsid w:val="1F4D1086"/>
    <w:rsid w:val="1F5D00BF"/>
    <w:rsid w:val="1F5E5F75"/>
    <w:rsid w:val="1F640255"/>
    <w:rsid w:val="1F671677"/>
    <w:rsid w:val="1F722047"/>
    <w:rsid w:val="1F904945"/>
    <w:rsid w:val="1F9C4CF0"/>
    <w:rsid w:val="1FAA6A2E"/>
    <w:rsid w:val="1FC11059"/>
    <w:rsid w:val="1FDC7161"/>
    <w:rsid w:val="1FE4351E"/>
    <w:rsid w:val="1FE570E2"/>
    <w:rsid w:val="1FE7673E"/>
    <w:rsid w:val="200E38F2"/>
    <w:rsid w:val="201E585F"/>
    <w:rsid w:val="2049266D"/>
    <w:rsid w:val="20534B67"/>
    <w:rsid w:val="20557DC5"/>
    <w:rsid w:val="205A5C16"/>
    <w:rsid w:val="205B7D6A"/>
    <w:rsid w:val="206B51E0"/>
    <w:rsid w:val="207C33EE"/>
    <w:rsid w:val="2081342E"/>
    <w:rsid w:val="209740BF"/>
    <w:rsid w:val="2099242E"/>
    <w:rsid w:val="20B0411F"/>
    <w:rsid w:val="20D658C9"/>
    <w:rsid w:val="20D95B5B"/>
    <w:rsid w:val="20DC2416"/>
    <w:rsid w:val="20F22231"/>
    <w:rsid w:val="21015C26"/>
    <w:rsid w:val="21121083"/>
    <w:rsid w:val="211518DD"/>
    <w:rsid w:val="212B2F31"/>
    <w:rsid w:val="212D7659"/>
    <w:rsid w:val="21327DB2"/>
    <w:rsid w:val="213D6756"/>
    <w:rsid w:val="213D7BD8"/>
    <w:rsid w:val="213F13B1"/>
    <w:rsid w:val="214C4EC5"/>
    <w:rsid w:val="2153567F"/>
    <w:rsid w:val="21592826"/>
    <w:rsid w:val="216D6944"/>
    <w:rsid w:val="217422B6"/>
    <w:rsid w:val="2188758A"/>
    <w:rsid w:val="219C4B33"/>
    <w:rsid w:val="21A61686"/>
    <w:rsid w:val="21BA320B"/>
    <w:rsid w:val="21C13A32"/>
    <w:rsid w:val="21C85928"/>
    <w:rsid w:val="22270787"/>
    <w:rsid w:val="224D73DD"/>
    <w:rsid w:val="22592601"/>
    <w:rsid w:val="22603DB2"/>
    <w:rsid w:val="226D7B83"/>
    <w:rsid w:val="2293123C"/>
    <w:rsid w:val="22A570EC"/>
    <w:rsid w:val="22EF3388"/>
    <w:rsid w:val="231352C9"/>
    <w:rsid w:val="232E56FD"/>
    <w:rsid w:val="233F5F96"/>
    <w:rsid w:val="23515DF1"/>
    <w:rsid w:val="235F4D23"/>
    <w:rsid w:val="236D4028"/>
    <w:rsid w:val="23720241"/>
    <w:rsid w:val="238A4DFC"/>
    <w:rsid w:val="24226CC5"/>
    <w:rsid w:val="24312A4A"/>
    <w:rsid w:val="244A5E9A"/>
    <w:rsid w:val="244C4BB8"/>
    <w:rsid w:val="24691193"/>
    <w:rsid w:val="246C3A46"/>
    <w:rsid w:val="247152E7"/>
    <w:rsid w:val="24724271"/>
    <w:rsid w:val="24BD0029"/>
    <w:rsid w:val="24FF7718"/>
    <w:rsid w:val="251A7612"/>
    <w:rsid w:val="25237A22"/>
    <w:rsid w:val="252E0774"/>
    <w:rsid w:val="253B28B5"/>
    <w:rsid w:val="25481BCE"/>
    <w:rsid w:val="256E1E26"/>
    <w:rsid w:val="256E2C8A"/>
    <w:rsid w:val="257760D2"/>
    <w:rsid w:val="25812F8D"/>
    <w:rsid w:val="25814DB7"/>
    <w:rsid w:val="25824959"/>
    <w:rsid w:val="25987A23"/>
    <w:rsid w:val="25BC46FF"/>
    <w:rsid w:val="25C517A2"/>
    <w:rsid w:val="25E42F4C"/>
    <w:rsid w:val="25EF41EA"/>
    <w:rsid w:val="25F5789E"/>
    <w:rsid w:val="25FD6A72"/>
    <w:rsid w:val="2608561B"/>
    <w:rsid w:val="26196938"/>
    <w:rsid w:val="26261861"/>
    <w:rsid w:val="26382AAC"/>
    <w:rsid w:val="26506FAD"/>
    <w:rsid w:val="26656277"/>
    <w:rsid w:val="26663117"/>
    <w:rsid w:val="26775B6F"/>
    <w:rsid w:val="267771CA"/>
    <w:rsid w:val="26807144"/>
    <w:rsid w:val="26851ABB"/>
    <w:rsid w:val="268A362E"/>
    <w:rsid w:val="269560EE"/>
    <w:rsid w:val="26A566E1"/>
    <w:rsid w:val="26AF686C"/>
    <w:rsid w:val="26C012C4"/>
    <w:rsid w:val="26CA60FC"/>
    <w:rsid w:val="26D16018"/>
    <w:rsid w:val="26DB3228"/>
    <w:rsid w:val="26DF6074"/>
    <w:rsid w:val="26E05716"/>
    <w:rsid w:val="26FE679C"/>
    <w:rsid w:val="27301EDB"/>
    <w:rsid w:val="27453115"/>
    <w:rsid w:val="274A285D"/>
    <w:rsid w:val="276C029F"/>
    <w:rsid w:val="27867E0A"/>
    <w:rsid w:val="27982DD4"/>
    <w:rsid w:val="27B23302"/>
    <w:rsid w:val="27DD09CE"/>
    <w:rsid w:val="27EC553C"/>
    <w:rsid w:val="280C4BFC"/>
    <w:rsid w:val="2813394B"/>
    <w:rsid w:val="281C1F63"/>
    <w:rsid w:val="281C54D8"/>
    <w:rsid w:val="28341F69"/>
    <w:rsid w:val="283610D5"/>
    <w:rsid w:val="28447CD2"/>
    <w:rsid w:val="284D302B"/>
    <w:rsid w:val="285D08F3"/>
    <w:rsid w:val="285F5293"/>
    <w:rsid w:val="28622D71"/>
    <w:rsid w:val="286E69FD"/>
    <w:rsid w:val="28A10C81"/>
    <w:rsid w:val="28C56178"/>
    <w:rsid w:val="28FA546B"/>
    <w:rsid w:val="28FE025E"/>
    <w:rsid w:val="29245F1A"/>
    <w:rsid w:val="29366359"/>
    <w:rsid w:val="29586D7A"/>
    <w:rsid w:val="29772B51"/>
    <w:rsid w:val="29791894"/>
    <w:rsid w:val="2984235F"/>
    <w:rsid w:val="29967FD2"/>
    <w:rsid w:val="299C4820"/>
    <w:rsid w:val="29A52D8F"/>
    <w:rsid w:val="29B669AE"/>
    <w:rsid w:val="29C56C3A"/>
    <w:rsid w:val="29D85278"/>
    <w:rsid w:val="29E1380C"/>
    <w:rsid w:val="29E85046"/>
    <w:rsid w:val="2A017BFD"/>
    <w:rsid w:val="2A0A71F8"/>
    <w:rsid w:val="2A4913A2"/>
    <w:rsid w:val="2A9154D8"/>
    <w:rsid w:val="2AA04C57"/>
    <w:rsid w:val="2ACB72AC"/>
    <w:rsid w:val="2AD750C3"/>
    <w:rsid w:val="2AE77D08"/>
    <w:rsid w:val="2AEA3011"/>
    <w:rsid w:val="2AEB08D9"/>
    <w:rsid w:val="2B151AF7"/>
    <w:rsid w:val="2B252D72"/>
    <w:rsid w:val="2B3E0375"/>
    <w:rsid w:val="2B492499"/>
    <w:rsid w:val="2B652A8D"/>
    <w:rsid w:val="2B6761B2"/>
    <w:rsid w:val="2B6C55DB"/>
    <w:rsid w:val="2B8D5640"/>
    <w:rsid w:val="2B9176D3"/>
    <w:rsid w:val="2BE772F2"/>
    <w:rsid w:val="2BF4029C"/>
    <w:rsid w:val="2C160835"/>
    <w:rsid w:val="2C1C6937"/>
    <w:rsid w:val="2C202757"/>
    <w:rsid w:val="2C270D43"/>
    <w:rsid w:val="2C4D1BB1"/>
    <w:rsid w:val="2C6436A6"/>
    <w:rsid w:val="2C7A2A8F"/>
    <w:rsid w:val="2C9023A5"/>
    <w:rsid w:val="2C937549"/>
    <w:rsid w:val="2C9D6A04"/>
    <w:rsid w:val="2CB62598"/>
    <w:rsid w:val="2CBC136A"/>
    <w:rsid w:val="2CD47877"/>
    <w:rsid w:val="2CFE607B"/>
    <w:rsid w:val="2D095409"/>
    <w:rsid w:val="2D2A56E9"/>
    <w:rsid w:val="2D2C76B3"/>
    <w:rsid w:val="2D3A3199"/>
    <w:rsid w:val="2D4B38E7"/>
    <w:rsid w:val="2D5470D9"/>
    <w:rsid w:val="2D551303"/>
    <w:rsid w:val="2D772574"/>
    <w:rsid w:val="2D847999"/>
    <w:rsid w:val="2D8D31B7"/>
    <w:rsid w:val="2D8D5835"/>
    <w:rsid w:val="2DAB1C25"/>
    <w:rsid w:val="2DCC12FC"/>
    <w:rsid w:val="2DD66E3A"/>
    <w:rsid w:val="2DD6761F"/>
    <w:rsid w:val="2DDE35BA"/>
    <w:rsid w:val="2DF17D73"/>
    <w:rsid w:val="2E016ADE"/>
    <w:rsid w:val="2E652B8E"/>
    <w:rsid w:val="2E66167A"/>
    <w:rsid w:val="2E6C7EF1"/>
    <w:rsid w:val="2E6D69DB"/>
    <w:rsid w:val="2E6F6584"/>
    <w:rsid w:val="2E7823B0"/>
    <w:rsid w:val="2E933BCE"/>
    <w:rsid w:val="2E9C6490"/>
    <w:rsid w:val="2EA40069"/>
    <w:rsid w:val="2EAA3B87"/>
    <w:rsid w:val="2EB66E96"/>
    <w:rsid w:val="2EBC23A0"/>
    <w:rsid w:val="2EF97A69"/>
    <w:rsid w:val="2EFA0191"/>
    <w:rsid w:val="2F0106CB"/>
    <w:rsid w:val="2F436846"/>
    <w:rsid w:val="2F4556CE"/>
    <w:rsid w:val="2F6824F8"/>
    <w:rsid w:val="2F6F3C93"/>
    <w:rsid w:val="2F754A27"/>
    <w:rsid w:val="2F890E3A"/>
    <w:rsid w:val="2FA1186B"/>
    <w:rsid w:val="2FA14C8B"/>
    <w:rsid w:val="2FB1448A"/>
    <w:rsid w:val="2FC802AE"/>
    <w:rsid w:val="2FE66F94"/>
    <w:rsid w:val="301C41BF"/>
    <w:rsid w:val="302369A0"/>
    <w:rsid w:val="302F3016"/>
    <w:rsid w:val="303474C0"/>
    <w:rsid w:val="30550CCF"/>
    <w:rsid w:val="305C41A9"/>
    <w:rsid w:val="307C26FF"/>
    <w:rsid w:val="30820205"/>
    <w:rsid w:val="308E41B5"/>
    <w:rsid w:val="30952C59"/>
    <w:rsid w:val="30F74B66"/>
    <w:rsid w:val="30FF4D69"/>
    <w:rsid w:val="310E5321"/>
    <w:rsid w:val="3113559B"/>
    <w:rsid w:val="311978DB"/>
    <w:rsid w:val="312421F6"/>
    <w:rsid w:val="3127420C"/>
    <w:rsid w:val="31477BEB"/>
    <w:rsid w:val="314B2DB7"/>
    <w:rsid w:val="315523B1"/>
    <w:rsid w:val="3198056E"/>
    <w:rsid w:val="31CD31BF"/>
    <w:rsid w:val="31E10F55"/>
    <w:rsid w:val="31FA3D10"/>
    <w:rsid w:val="320B7F80"/>
    <w:rsid w:val="3219008D"/>
    <w:rsid w:val="32215B79"/>
    <w:rsid w:val="322241F2"/>
    <w:rsid w:val="3229379D"/>
    <w:rsid w:val="32294133"/>
    <w:rsid w:val="322D5AFA"/>
    <w:rsid w:val="32432DA9"/>
    <w:rsid w:val="32514C44"/>
    <w:rsid w:val="328916BE"/>
    <w:rsid w:val="32974C7A"/>
    <w:rsid w:val="32BB4ABE"/>
    <w:rsid w:val="32C8549C"/>
    <w:rsid w:val="32CA16D9"/>
    <w:rsid w:val="32E83928"/>
    <w:rsid w:val="32F45590"/>
    <w:rsid w:val="331631AA"/>
    <w:rsid w:val="331C19F3"/>
    <w:rsid w:val="33380434"/>
    <w:rsid w:val="334234A4"/>
    <w:rsid w:val="33552D94"/>
    <w:rsid w:val="33582884"/>
    <w:rsid w:val="33773188"/>
    <w:rsid w:val="337E77C9"/>
    <w:rsid w:val="338F53C2"/>
    <w:rsid w:val="33925662"/>
    <w:rsid w:val="339B7AA1"/>
    <w:rsid w:val="33AF4B9A"/>
    <w:rsid w:val="33B7637D"/>
    <w:rsid w:val="33D4661F"/>
    <w:rsid w:val="33ED39C2"/>
    <w:rsid w:val="340F56DE"/>
    <w:rsid w:val="341C4349"/>
    <w:rsid w:val="3425597D"/>
    <w:rsid w:val="342A5DF5"/>
    <w:rsid w:val="344851FD"/>
    <w:rsid w:val="34986785"/>
    <w:rsid w:val="349B5E0E"/>
    <w:rsid w:val="34A432B6"/>
    <w:rsid w:val="34AA020B"/>
    <w:rsid w:val="34BC17DA"/>
    <w:rsid w:val="34D015E3"/>
    <w:rsid w:val="34F67C2F"/>
    <w:rsid w:val="34F85DA8"/>
    <w:rsid w:val="3509398E"/>
    <w:rsid w:val="3547266B"/>
    <w:rsid w:val="3554479E"/>
    <w:rsid w:val="357D63E5"/>
    <w:rsid w:val="357F00D0"/>
    <w:rsid w:val="35894506"/>
    <w:rsid w:val="35954DCB"/>
    <w:rsid w:val="35A377DB"/>
    <w:rsid w:val="35B77D36"/>
    <w:rsid w:val="35E7387F"/>
    <w:rsid w:val="35E81F7A"/>
    <w:rsid w:val="35EF4AF5"/>
    <w:rsid w:val="35F52BF3"/>
    <w:rsid w:val="360530D8"/>
    <w:rsid w:val="3605698A"/>
    <w:rsid w:val="36162F1C"/>
    <w:rsid w:val="363277D2"/>
    <w:rsid w:val="364245EB"/>
    <w:rsid w:val="366244D5"/>
    <w:rsid w:val="36A82C1D"/>
    <w:rsid w:val="36B34449"/>
    <w:rsid w:val="36C342D9"/>
    <w:rsid w:val="370F2E93"/>
    <w:rsid w:val="370F32ED"/>
    <w:rsid w:val="374E35E0"/>
    <w:rsid w:val="37560CC6"/>
    <w:rsid w:val="377F2AD5"/>
    <w:rsid w:val="378D0CEB"/>
    <w:rsid w:val="379A026D"/>
    <w:rsid w:val="37A2207E"/>
    <w:rsid w:val="37A2434F"/>
    <w:rsid w:val="37ED6D6E"/>
    <w:rsid w:val="380C3B20"/>
    <w:rsid w:val="381039F4"/>
    <w:rsid w:val="381B27FE"/>
    <w:rsid w:val="38262F51"/>
    <w:rsid w:val="38422CE2"/>
    <w:rsid w:val="3845787B"/>
    <w:rsid w:val="38464281"/>
    <w:rsid w:val="386E21B0"/>
    <w:rsid w:val="38AE496C"/>
    <w:rsid w:val="38B54D45"/>
    <w:rsid w:val="38D242CD"/>
    <w:rsid w:val="393E0C7A"/>
    <w:rsid w:val="394125EA"/>
    <w:rsid w:val="39470BCD"/>
    <w:rsid w:val="39821F75"/>
    <w:rsid w:val="398B5520"/>
    <w:rsid w:val="398C3DB7"/>
    <w:rsid w:val="39AB6275"/>
    <w:rsid w:val="39E17621"/>
    <w:rsid w:val="39E8044A"/>
    <w:rsid w:val="39E82BB3"/>
    <w:rsid w:val="39F227B1"/>
    <w:rsid w:val="3A151290"/>
    <w:rsid w:val="3A201663"/>
    <w:rsid w:val="3A257964"/>
    <w:rsid w:val="3A292038"/>
    <w:rsid w:val="3A4A1178"/>
    <w:rsid w:val="3A524E6B"/>
    <w:rsid w:val="3A6B7341"/>
    <w:rsid w:val="3A762A49"/>
    <w:rsid w:val="3A826354"/>
    <w:rsid w:val="3A9D28F5"/>
    <w:rsid w:val="3ACD43C9"/>
    <w:rsid w:val="3AFF2C64"/>
    <w:rsid w:val="3B135A0E"/>
    <w:rsid w:val="3B2F69DB"/>
    <w:rsid w:val="3B49637F"/>
    <w:rsid w:val="3B79226F"/>
    <w:rsid w:val="3B8F1138"/>
    <w:rsid w:val="3B904834"/>
    <w:rsid w:val="3B90705F"/>
    <w:rsid w:val="3B932344"/>
    <w:rsid w:val="3B9D20F5"/>
    <w:rsid w:val="3BB33F88"/>
    <w:rsid w:val="3BC15D34"/>
    <w:rsid w:val="3BD93153"/>
    <w:rsid w:val="3BDA6996"/>
    <w:rsid w:val="3C0812EB"/>
    <w:rsid w:val="3C0A3047"/>
    <w:rsid w:val="3C2E50FB"/>
    <w:rsid w:val="3C37637A"/>
    <w:rsid w:val="3C4A12AD"/>
    <w:rsid w:val="3C5125FC"/>
    <w:rsid w:val="3C690ECB"/>
    <w:rsid w:val="3C7A386B"/>
    <w:rsid w:val="3C860AC6"/>
    <w:rsid w:val="3C8967A4"/>
    <w:rsid w:val="3C960BC8"/>
    <w:rsid w:val="3C9848A1"/>
    <w:rsid w:val="3CA509B7"/>
    <w:rsid w:val="3CA509D1"/>
    <w:rsid w:val="3CB71D4E"/>
    <w:rsid w:val="3CBB2C8E"/>
    <w:rsid w:val="3CD537E6"/>
    <w:rsid w:val="3CD93879"/>
    <w:rsid w:val="3D193084"/>
    <w:rsid w:val="3D2571D3"/>
    <w:rsid w:val="3D29776B"/>
    <w:rsid w:val="3D627C3E"/>
    <w:rsid w:val="3D7A2818"/>
    <w:rsid w:val="3D8106EA"/>
    <w:rsid w:val="3D834DF8"/>
    <w:rsid w:val="3D9D5A63"/>
    <w:rsid w:val="3DA352B1"/>
    <w:rsid w:val="3DBA0AB6"/>
    <w:rsid w:val="3DBA61E7"/>
    <w:rsid w:val="3DC14624"/>
    <w:rsid w:val="3DCD6A49"/>
    <w:rsid w:val="3DD55956"/>
    <w:rsid w:val="3E100FFC"/>
    <w:rsid w:val="3E201534"/>
    <w:rsid w:val="3E625352"/>
    <w:rsid w:val="3E651EE9"/>
    <w:rsid w:val="3E784A78"/>
    <w:rsid w:val="3E8554F5"/>
    <w:rsid w:val="3EB65E71"/>
    <w:rsid w:val="3EC33032"/>
    <w:rsid w:val="3EC61DB3"/>
    <w:rsid w:val="3ECE4FFB"/>
    <w:rsid w:val="3ED731F7"/>
    <w:rsid w:val="3EF62661"/>
    <w:rsid w:val="3F3C17E3"/>
    <w:rsid w:val="3F3C595E"/>
    <w:rsid w:val="3F4B7F0F"/>
    <w:rsid w:val="3F59346C"/>
    <w:rsid w:val="3F657308"/>
    <w:rsid w:val="3F7856B5"/>
    <w:rsid w:val="3F7970EE"/>
    <w:rsid w:val="3F8003ED"/>
    <w:rsid w:val="3F8B5F41"/>
    <w:rsid w:val="3FC519F7"/>
    <w:rsid w:val="3FD0326B"/>
    <w:rsid w:val="3FD34D1A"/>
    <w:rsid w:val="3FE73C18"/>
    <w:rsid w:val="3FED63B1"/>
    <w:rsid w:val="40031733"/>
    <w:rsid w:val="40076D3D"/>
    <w:rsid w:val="401F65F0"/>
    <w:rsid w:val="40291830"/>
    <w:rsid w:val="404470DB"/>
    <w:rsid w:val="404C2292"/>
    <w:rsid w:val="405D572D"/>
    <w:rsid w:val="406A7AAA"/>
    <w:rsid w:val="408D1EA0"/>
    <w:rsid w:val="408E2DBF"/>
    <w:rsid w:val="409D2A1A"/>
    <w:rsid w:val="40A752D1"/>
    <w:rsid w:val="40B21FB5"/>
    <w:rsid w:val="40B95E2E"/>
    <w:rsid w:val="40C17F9E"/>
    <w:rsid w:val="40C43B66"/>
    <w:rsid w:val="40E247F7"/>
    <w:rsid w:val="40EE5966"/>
    <w:rsid w:val="40F576DF"/>
    <w:rsid w:val="410F1967"/>
    <w:rsid w:val="41335FC7"/>
    <w:rsid w:val="415978C8"/>
    <w:rsid w:val="415C1B4D"/>
    <w:rsid w:val="417843F2"/>
    <w:rsid w:val="41807B75"/>
    <w:rsid w:val="418A1799"/>
    <w:rsid w:val="41943621"/>
    <w:rsid w:val="41A61C3F"/>
    <w:rsid w:val="41B17185"/>
    <w:rsid w:val="41D1217F"/>
    <w:rsid w:val="41F05895"/>
    <w:rsid w:val="42040076"/>
    <w:rsid w:val="420C70DA"/>
    <w:rsid w:val="4226611D"/>
    <w:rsid w:val="425402BB"/>
    <w:rsid w:val="42564ADA"/>
    <w:rsid w:val="42747A95"/>
    <w:rsid w:val="427E52C8"/>
    <w:rsid w:val="429A3BAB"/>
    <w:rsid w:val="429D02B3"/>
    <w:rsid w:val="42C35F6C"/>
    <w:rsid w:val="42CA464A"/>
    <w:rsid w:val="42CD2946"/>
    <w:rsid w:val="42EA1B91"/>
    <w:rsid w:val="42FA6BD0"/>
    <w:rsid w:val="42FB4E01"/>
    <w:rsid w:val="4301585B"/>
    <w:rsid w:val="431B31A4"/>
    <w:rsid w:val="43325808"/>
    <w:rsid w:val="433E1CAF"/>
    <w:rsid w:val="43412297"/>
    <w:rsid w:val="43413ED4"/>
    <w:rsid w:val="43594499"/>
    <w:rsid w:val="435E7A42"/>
    <w:rsid w:val="43636C3F"/>
    <w:rsid w:val="436E5353"/>
    <w:rsid w:val="438073DF"/>
    <w:rsid w:val="439D6340"/>
    <w:rsid w:val="43FD7280"/>
    <w:rsid w:val="441532B2"/>
    <w:rsid w:val="441C5686"/>
    <w:rsid w:val="441E55BD"/>
    <w:rsid w:val="442C59F4"/>
    <w:rsid w:val="442C5CE7"/>
    <w:rsid w:val="443F7EE3"/>
    <w:rsid w:val="44477A7A"/>
    <w:rsid w:val="444E733B"/>
    <w:rsid w:val="445A2900"/>
    <w:rsid w:val="445A5900"/>
    <w:rsid w:val="44676030"/>
    <w:rsid w:val="447D039C"/>
    <w:rsid w:val="447F4114"/>
    <w:rsid w:val="44831552"/>
    <w:rsid w:val="4492209A"/>
    <w:rsid w:val="44A72CB4"/>
    <w:rsid w:val="44DC0CFE"/>
    <w:rsid w:val="44DC4FCA"/>
    <w:rsid w:val="44FD1C6D"/>
    <w:rsid w:val="453F207E"/>
    <w:rsid w:val="454276A8"/>
    <w:rsid w:val="45465AD9"/>
    <w:rsid w:val="457C4AF8"/>
    <w:rsid w:val="45A100BA"/>
    <w:rsid w:val="45A31600"/>
    <w:rsid w:val="45E526C2"/>
    <w:rsid w:val="45ED75B7"/>
    <w:rsid w:val="45EF5694"/>
    <w:rsid w:val="45F32D75"/>
    <w:rsid w:val="45FE4441"/>
    <w:rsid w:val="46020B59"/>
    <w:rsid w:val="460934CE"/>
    <w:rsid w:val="461F685B"/>
    <w:rsid w:val="463A35BA"/>
    <w:rsid w:val="464478D6"/>
    <w:rsid w:val="46594972"/>
    <w:rsid w:val="46763AFA"/>
    <w:rsid w:val="46A86AC5"/>
    <w:rsid w:val="46AF0ACC"/>
    <w:rsid w:val="46CD2EA3"/>
    <w:rsid w:val="46E33C2A"/>
    <w:rsid w:val="46EB5C2E"/>
    <w:rsid w:val="46F77BF9"/>
    <w:rsid w:val="47191F43"/>
    <w:rsid w:val="471B210D"/>
    <w:rsid w:val="47330BB1"/>
    <w:rsid w:val="474340E1"/>
    <w:rsid w:val="4754737E"/>
    <w:rsid w:val="476E5DEA"/>
    <w:rsid w:val="478D50EB"/>
    <w:rsid w:val="47914A33"/>
    <w:rsid w:val="479B0044"/>
    <w:rsid w:val="479C10BC"/>
    <w:rsid w:val="47A4380D"/>
    <w:rsid w:val="47A6297A"/>
    <w:rsid w:val="47AD2D46"/>
    <w:rsid w:val="47B35BF8"/>
    <w:rsid w:val="47BB1907"/>
    <w:rsid w:val="47C01A50"/>
    <w:rsid w:val="47C041C7"/>
    <w:rsid w:val="47CB4E60"/>
    <w:rsid w:val="47CD1E0C"/>
    <w:rsid w:val="47D964DB"/>
    <w:rsid w:val="47FC33A5"/>
    <w:rsid w:val="48012A31"/>
    <w:rsid w:val="48140B28"/>
    <w:rsid w:val="481D4366"/>
    <w:rsid w:val="485803F1"/>
    <w:rsid w:val="485E2C28"/>
    <w:rsid w:val="4865215C"/>
    <w:rsid w:val="486942C4"/>
    <w:rsid w:val="487B552A"/>
    <w:rsid w:val="48842F37"/>
    <w:rsid w:val="48970623"/>
    <w:rsid w:val="48A34F21"/>
    <w:rsid w:val="48B05292"/>
    <w:rsid w:val="48B12D0A"/>
    <w:rsid w:val="48B971DC"/>
    <w:rsid w:val="48F556EA"/>
    <w:rsid w:val="491946D3"/>
    <w:rsid w:val="4924047E"/>
    <w:rsid w:val="49276380"/>
    <w:rsid w:val="49441489"/>
    <w:rsid w:val="4948117F"/>
    <w:rsid w:val="494B0B0D"/>
    <w:rsid w:val="49510EF2"/>
    <w:rsid w:val="497E20AD"/>
    <w:rsid w:val="49820EB7"/>
    <w:rsid w:val="499416E9"/>
    <w:rsid w:val="49A63EAD"/>
    <w:rsid w:val="49B4166E"/>
    <w:rsid w:val="49BA2C9E"/>
    <w:rsid w:val="49BC3715"/>
    <w:rsid w:val="49C56A6D"/>
    <w:rsid w:val="49F72310"/>
    <w:rsid w:val="49FD2EE4"/>
    <w:rsid w:val="4A0B4FDE"/>
    <w:rsid w:val="4A343D11"/>
    <w:rsid w:val="4A497D35"/>
    <w:rsid w:val="4A834233"/>
    <w:rsid w:val="4A8A37D8"/>
    <w:rsid w:val="4A8B4AB2"/>
    <w:rsid w:val="4ABC0E71"/>
    <w:rsid w:val="4AD9595B"/>
    <w:rsid w:val="4AF93EAE"/>
    <w:rsid w:val="4AFC3A3A"/>
    <w:rsid w:val="4B1E0FC4"/>
    <w:rsid w:val="4B232749"/>
    <w:rsid w:val="4B26353C"/>
    <w:rsid w:val="4B311212"/>
    <w:rsid w:val="4B337A07"/>
    <w:rsid w:val="4B3E6720"/>
    <w:rsid w:val="4B43535A"/>
    <w:rsid w:val="4B476348"/>
    <w:rsid w:val="4B625BF7"/>
    <w:rsid w:val="4B933EA4"/>
    <w:rsid w:val="4BA12BC2"/>
    <w:rsid w:val="4BB21AF4"/>
    <w:rsid w:val="4BB351AA"/>
    <w:rsid w:val="4BB54107"/>
    <w:rsid w:val="4BB67EEE"/>
    <w:rsid w:val="4BBF6A32"/>
    <w:rsid w:val="4BD17814"/>
    <w:rsid w:val="4BDC5109"/>
    <w:rsid w:val="4BE84FA7"/>
    <w:rsid w:val="4BEB08DE"/>
    <w:rsid w:val="4BF70C92"/>
    <w:rsid w:val="4BFD0513"/>
    <w:rsid w:val="4C005E77"/>
    <w:rsid w:val="4C1A02C6"/>
    <w:rsid w:val="4C2B76C1"/>
    <w:rsid w:val="4C5419A1"/>
    <w:rsid w:val="4C5429A3"/>
    <w:rsid w:val="4C645A11"/>
    <w:rsid w:val="4C87254B"/>
    <w:rsid w:val="4CDE4416"/>
    <w:rsid w:val="4D004DF6"/>
    <w:rsid w:val="4D1B69A4"/>
    <w:rsid w:val="4D1C2C8C"/>
    <w:rsid w:val="4D1E77BE"/>
    <w:rsid w:val="4D245FC5"/>
    <w:rsid w:val="4D2B3B2C"/>
    <w:rsid w:val="4D64659D"/>
    <w:rsid w:val="4D812CAB"/>
    <w:rsid w:val="4D9F2566"/>
    <w:rsid w:val="4DA943B0"/>
    <w:rsid w:val="4DC515BB"/>
    <w:rsid w:val="4DCB5984"/>
    <w:rsid w:val="4DD610A9"/>
    <w:rsid w:val="4DD64458"/>
    <w:rsid w:val="4DDD4E1A"/>
    <w:rsid w:val="4E04568A"/>
    <w:rsid w:val="4E135BFA"/>
    <w:rsid w:val="4E1B2DDB"/>
    <w:rsid w:val="4E250E8C"/>
    <w:rsid w:val="4E355E12"/>
    <w:rsid w:val="4E5D7C3A"/>
    <w:rsid w:val="4E8D762E"/>
    <w:rsid w:val="4E9B1112"/>
    <w:rsid w:val="4EA06365"/>
    <w:rsid w:val="4EBD3915"/>
    <w:rsid w:val="4EC15D42"/>
    <w:rsid w:val="4ECD54B1"/>
    <w:rsid w:val="4ED4046B"/>
    <w:rsid w:val="4EDF4B15"/>
    <w:rsid w:val="4EF43B16"/>
    <w:rsid w:val="4F0E1E8F"/>
    <w:rsid w:val="4F2B6C13"/>
    <w:rsid w:val="4F3153D3"/>
    <w:rsid w:val="4F552641"/>
    <w:rsid w:val="4F5F3ED1"/>
    <w:rsid w:val="4F804E7C"/>
    <w:rsid w:val="4F85516A"/>
    <w:rsid w:val="4F944D8F"/>
    <w:rsid w:val="4FCA5221"/>
    <w:rsid w:val="4FED0FB9"/>
    <w:rsid w:val="50650662"/>
    <w:rsid w:val="507410D2"/>
    <w:rsid w:val="50A4392E"/>
    <w:rsid w:val="50A97681"/>
    <w:rsid w:val="50AE3B94"/>
    <w:rsid w:val="50AF7418"/>
    <w:rsid w:val="50D03600"/>
    <w:rsid w:val="50E93575"/>
    <w:rsid w:val="50EE4AFC"/>
    <w:rsid w:val="50F04D4E"/>
    <w:rsid w:val="50F57385"/>
    <w:rsid w:val="50F6016F"/>
    <w:rsid w:val="50FB1FB9"/>
    <w:rsid w:val="51132FF4"/>
    <w:rsid w:val="51151213"/>
    <w:rsid w:val="5116195C"/>
    <w:rsid w:val="51167BAE"/>
    <w:rsid w:val="513225F9"/>
    <w:rsid w:val="513F5114"/>
    <w:rsid w:val="51440384"/>
    <w:rsid w:val="515E6A1B"/>
    <w:rsid w:val="516B705C"/>
    <w:rsid w:val="5177537A"/>
    <w:rsid w:val="518806E3"/>
    <w:rsid w:val="519A635A"/>
    <w:rsid w:val="51A1217B"/>
    <w:rsid w:val="51A47CAD"/>
    <w:rsid w:val="51BC2004"/>
    <w:rsid w:val="51C462A1"/>
    <w:rsid w:val="51CB0C5C"/>
    <w:rsid w:val="51CB74F6"/>
    <w:rsid w:val="51D13948"/>
    <w:rsid w:val="51EB5979"/>
    <w:rsid w:val="520529D6"/>
    <w:rsid w:val="521A0101"/>
    <w:rsid w:val="52241967"/>
    <w:rsid w:val="52263E21"/>
    <w:rsid w:val="522D1CB6"/>
    <w:rsid w:val="523522B6"/>
    <w:rsid w:val="52444C58"/>
    <w:rsid w:val="5263075C"/>
    <w:rsid w:val="52660A26"/>
    <w:rsid w:val="52717995"/>
    <w:rsid w:val="527903F5"/>
    <w:rsid w:val="528315FB"/>
    <w:rsid w:val="52910142"/>
    <w:rsid w:val="52990759"/>
    <w:rsid w:val="529E42FF"/>
    <w:rsid w:val="52B87033"/>
    <w:rsid w:val="52BE5917"/>
    <w:rsid w:val="52ED3633"/>
    <w:rsid w:val="530F6FAB"/>
    <w:rsid w:val="531B72EC"/>
    <w:rsid w:val="531E35FC"/>
    <w:rsid w:val="531E3DBA"/>
    <w:rsid w:val="532B1547"/>
    <w:rsid w:val="532C2C22"/>
    <w:rsid w:val="533E6E17"/>
    <w:rsid w:val="5343182D"/>
    <w:rsid w:val="53552E21"/>
    <w:rsid w:val="535D3886"/>
    <w:rsid w:val="536C4A63"/>
    <w:rsid w:val="539B26A9"/>
    <w:rsid w:val="53A201DA"/>
    <w:rsid w:val="53A72D40"/>
    <w:rsid w:val="53A771E4"/>
    <w:rsid w:val="53B22D34"/>
    <w:rsid w:val="53B6236C"/>
    <w:rsid w:val="53B8319F"/>
    <w:rsid w:val="53BD6F30"/>
    <w:rsid w:val="53E2021C"/>
    <w:rsid w:val="54020450"/>
    <w:rsid w:val="540540F5"/>
    <w:rsid w:val="542913B3"/>
    <w:rsid w:val="543F18BA"/>
    <w:rsid w:val="54883400"/>
    <w:rsid w:val="54932F58"/>
    <w:rsid w:val="54A81CB5"/>
    <w:rsid w:val="54C41B11"/>
    <w:rsid w:val="54CA318A"/>
    <w:rsid w:val="550E49C6"/>
    <w:rsid w:val="556E6B20"/>
    <w:rsid w:val="55807CEC"/>
    <w:rsid w:val="55A47D96"/>
    <w:rsid w:val="55C94049"/>
    <w:rsid w:val="55D818D6"/>
    <w:rsid w:val="55DA287E"/>
    <w:rsid w:val="55DD1819"/>
    <w:rsid w:val="55EE6DAD"/>
    <w:rsid w:val="56073162"/>
    <w:rsid w:val="5609127C"/>
    <w:rsid w:val="56243B92"/>
    <w:rsid w:val="563D619D"/>
    <w:rsid w:val="56413F2B"/>
    <w:rsid w:val="56537C47"/>
    <w:rsid w:val="565F7902"/>
    <w:rsid w:val="56A010C0"/>
    <w:rsid w:val="56B96B8E"/>
    <w:rsid w:val="56BA2C6B"/>
    <w:rsid w:val="56C747B5"/>
    <w:rsid w:val="56D42684"/>
    <w:rsid w:val="56DD2471"/>
    <w:rsid w:val="57210A6D"/>
    <w:rsid w:val="5744214A"/>
    <w:rsid w:val="574B480A"/>
    <w:rsid w:val="574D1E50"/>
    <w:rsid w:val="57543081"/>
    <w:rsid w:val="575E5D20"/>
    <w:rsid w:val="5789649C"/>
    <w:rsid w:val="57A373F0"/>
    <w:rsid w:val="57AD122A"/>
    <w:rsid w:val="57C83C57"/>
    <w:rsid w:val="57DA7A76"/>
    <w:rsid w:val="57FB2FB4"/>
    <w:rsid w:val="57FD3876"/>
    <w:rsid w:val="581B1F4E"/>
    <w:rsid w:val="582028C2"/>
    <w:rsid w:val="582908A2"/>
    <w:rsid w:val="583D07DD"/>
    <w:rsid w:val="585F1862"/>
    <w:rsid w:val="58613E05"/>
    <w:rsid w:val="58620D26"/>
    <w:rsid w:val="58706FB1"/>
    <w:rsid w:val="587C5983"/>
    <w:rsid w:val="58E8415E"/>
    <w:rsid w:val="58ED1995"/>
    <w:rsid w:val="58FF1A45"/>
    <w:rsid w:val="590649AC"/>
    <w:rsid w:val="591578E8"/>
    <w:rsid w:val="591C580B"/>
    <w:rsid w:val="592554A0"/>
    <w:rsid w:val="5926497A"/>
    <w:rsid w:val="592A1893"/>
    <w:rsid w:val="595D3E12"/>
    <w:rsid w:val="59837DAB"/>
    <w:rsid w:val="59961EFB"/>
    <w:rsid w:val="59A11353"/>
    <w:rsid w:val="59B40569"/>
    <w:rsid w:val="59E52814"/>
    <w:rsid w:val="59EC0167"/>
    <w:rsid w:val="59F42A57"/>
    <w:rsid w:val="5A0031AA"/>
    <w:rsid w:val="5A0336C4"/>
    <w:rsid w:val="5A1D0D82"/>
    <w:rsid w:val="5A20315B"/>
    <w:rsid w:val="5A4C2893"/>
    <w:rsid w:val="5A5827FE"/>
    <w:rsid w:val="5A70211C"/>
    <w:rsid w:val="5A9A53AC"/>
    <w:rsid w:val="5AAB2A29"/>
    <w:rsid w:val="5AAB3211"/>
    <w:rsid w:val="5AAC7307"/>
    <w:rsid w:val="5AB86388"/>
    <w:rsid w:val="5ABC0B62"/>
    <w:rsid w:val="5ABF41C0"/>
    <w:rsid w:val="5ACA577B"/>
    <w:rsid w:val="5AD07CB2"/>
    <w:rsid w:val="5AD84127"/>
    <w:rsid w:val="5AE37CAA"/>
    <w:rsid w:val="5AEE394A"/>
    <w:rsid w:val="5AEF1DC1"/>
    <w:rsid w:val="5B09375B"/>
    <w:rsid w:val="5B353486"/>
    <w:rsid w:val="5B3A7E78"/>
    <w:rsid w:val="5B3D442E"/>
    <w:rsid w:val="5B412C22"/>
    <w:rsid w:val="5B4B2EB1"/>
    <w:rsid w:val="5B510D60"/>
    <w:rsid w:val="5B570332"/>
    <w:rsid w:val="5B5714EF"/>
    <w:rsid w:val="5B5F0395"/>
    <w:rsid w:val="5B6300A3"/>
    <w:rsid w:val="5B6C0ED6"/>
    <w:rsid w:val="5B7079F7"/>
    <w:rsid w:val="5B773003"/>
    <w:rsid w:val="5B790B4E"/>
    <w:rsid w:val="5B7A2400"/>
    <w:rsid w:val="5B9B626D"/>
    <w:rsid w:val="5BA762EC"/>
    <w:rsid w:val="5BD32897"/>
    <w:rsid w:val="5BDC37A3"/>
    <w:rsid w:val="5BE64901"/>
    <w:rsid w:val="5BF50A44"/>
    <w:rsid w:val="5C2436A1"/>
    <w:rsid w:val="5C272C70"/>
    <w:rsid w:val="5C295CCC"/>
    <w:rsid w:val="5C381A3A"/>
    <w:rsid w:val="5C5C135C"/>
    <w:rsid w:val="5C872DAA"/>
    <w:rsid w:val="5C897508"/>
    <w:rsid w:val="5C974816"/>
    <w:rsid w:val="5CA97228"/>
    <w:rsid w:val="5CBA57BD"/>
    <w:rsid w:val="5CC5471C"/>
    <w:rsid w:val="5CDC5386"/>
    <w:rsid w:val="5CEE7B85"/>
    <w:rsid w:val="5CF07506"/>
    <w:rsid w:val="5CF73D69"/>
    <w:rsid w:val="5D202057"/>
    <w:rsid w:val="5D4700C2"/>
    <w:rsid w:val="5D6C4615"/>
    <w:rsid w:val="5D7C5A81"/>
    <w:rsid w:val="5DD31E8F"/>
    <w:rsid w:val="5DDF2196"/>
    <w:rsid w:val="5DF01C4B"/>
    <w:rsid w:val="5DF704AE"/>
    <w:rsid w:val="5DF954B7"/>
    <w:rsid w:val="5DFF05CD"/>
    <w:rsid w:val="5E1672C2"/>
    <w:rsid w:val="5E1B6033"/>
    <w:rsid w:val="5E211941"/>
    <w:rsid w:val="5E2612F9"/>
    <w:rsid w:val="5E3F427D"/>
    <w:rsid w:val="5E534129"/>
    <w:rsid w:val="5E6E3C24"/>
    <w:rsid w:val="5E7255BD"/>
    <w:rsid w:val="5E9071F2"/>
    <w:rsid w:val="5E937CCC"/>
    <w:rsid w:val="5EF83794"/>
    <w:rsid w:val="5F0173CC"/>
    <w:rsid w:val="5F1A1A93"/>
    <w:rsid w:val="5F287F7E"/>
    <w:rsid w:val="5F475677"/>
    <w:rsid w:val="5F484198"/>
    <w:rsid w:val="5F50072F"/>
    <w:rsid w:val="5F567498"/>
    <w:rsid w:val="5F7D71F9"/>
    <w:rsid w:val="5F8420E2"/>
    <w:rsid w:val="5F887220"/>
    <w:rsid w:val="5F9022AB"/>
    <w:rsid w:val="5FB81E56"/>
    <w:rsid w:val="5FD85FDC"/>
    <w:rsid w:val="5FE65CD4"/>
    <w:rsid w:val="5FE86BBA"/>
    <w:rsid w:val="5FEB78D3"/>
    <w:rsid w:val="5FEC00EE"/>
    <w:rsid w:val="600951D4"/>
    <w:rsid w:val="6010358A"/>
    <w:rsid w:val="60156960"/>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0E0DD2"/>
    <w:rsid w:val="61157719"/>
    <w:rsid w:val="61251167"/>
    <w:rsid w:val="61432D9E"/>
    <w:rsid w:val="61683AEB"/>
    <w:rsid w:val="618A70BC"/>
    <w:rsid w:val="61963F6D"/>
    <w:rsid w:val="61BD1F9D"/>
    <w:rsid w:val="61C55405"/>
    <w:rsid w:val="61EA093B"/>
    <w:rsid w:val="61F9349B"/>
    <w:rsid w:val="62024DB4"/>
    <w:rsid w:val="621023F8"/>
    <w:rsid w:val="62117D72"/>
    <w:rsid w:val="62140656"/>
    <w:rsid w:val="62155CCB"/>
    <w:rsid w:val="621D6164"/>
    <w:rsid w:val="62210A89"/>
    <w:rsid w:val="62285DB7"/>
    <w:rsid w:val="625642AF"/>
    <w:rsid w:val="625A170B"/>
    <w:rsid w:val="626857C6"/>
    <w:rsid w:val="626C17E1"/>
    <w:rsid w:val="62923991"/>
    <w:rsid w:val="62966DA1"/>
    <w:rsid w:val="62EF200D"/>
    <w:rsid w:val="62F20D03"/>
    <w:rsid w:val="62F26EC0"/>
    <w:rsid w:val="62F75B83"/>
    <w:rsid w:val="63057A83"/>
    <w:rsid w:val="63095375"/>
    <w:rsid w:val="6312135F"/>
    <w:rsid w:val="632A3D0D"/>
    <w:rsid w:val="633443AB"/>
    <w:rsid w:val="6353750E"/>
    <w:rsid w:val="635A0D1C"/>
    <w:rsid w:val="638857E1"/>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35AC5"/>
    <w:rsid w:val="64994927"/>
    <w:rsid w:val="649E65A7"/>
    <w:rsid w:val="64B70C4D"/>
    <w:rsid w:val="64D14920"/>
    <w:rsid w:val="64DA6F62"/>
    <w:rsid w:val="64DC3A26"/>
    <w:rsid w:val="64E738E4"/>
    <w:rsid w:val="64E9765C"/>
    <w:rsid w:val="64EA382F"/>
    <w:rsid w:val="64ED3306"/>
    <w:rsid w:val="65112EA3"/>
    <w:rsid w:val="6511603A"/>
    <w:rsid w:val="65162422"/>
    <w:rsid w:val="65206DF6"/>
    <w:rsid w:val="652763A9"/>
    <w:rsid w:val="653B0F51"/>
    <w:rsid w:val="65434194"/>
    <w:rsid w:val="65477730"/>
    <w:rsid w:val="654912E0"/>
    <w:rsid w:val="656A4332"/>
    <w:rsid w:val="65733372"/>
    <w:rsid w:val="65744876"/>
    <w:rsid w:val="657845AE"/>
    <w:rsid w:val="658D0170"/>
    <w:rsid w:val="65984BDE"/>
    <w:rsid w:val="65991D3E"/>
    <w:rsid w:val="659E280B"/>
    <w:rsid w:val="65B74A52"/>
    <w:rsid w:val="65BD55BD"/>
    <w:rsid w:val="65C53449"/>
    <w:rsid w:val="65F27286"/>
    <w:rsid w:val="6602655A"/>
    <w:rsid w:val="66037BA1"/>
    <w:rsid w:val="660D45C7"/>
    <w:rsid w:val="66280ABB"/>
    <w:rsid w:val="662A132F"/>
    <w:rsid w:val="66535911"/>
    <w:rsid w:val="66655C86"/>
    <w:rsid w:val="666717B3"/>
    <w:rsid w:val="6668032B"/>
    <w:rsid w:val="667C4290"/>
    <w:rsid w:val="66AB481F"/>
    <w:rsid w:val="66C95898"/>
    <w:rsid w:val="66F8201A"/>
    <w:rsid w:val="671C5A04"/>
    <w:rsid w:val="673F01D2"/>
    <w:rsid w:val="676777C3"/>
    <w:rsid w:val="677D4B8A"/>
    <w:rsid w:val="67802ACE"/>
    <w:rsid w:val="67804B33"/>
    <w:rsid w:val="67A7735B"/>
    <w:rsid w:val="67BA52E0"/>
    <w:rsid w:val="67C40A09"/>
    <w:rsid w:val="67D020A7"/>
    <w:rsid w:val="67D600B8"/>
    <w:rsid w:val="67E22141"/>
    <w:rsid w:val="67E4087E"/>
    <w:rsid w:val="67E95901"/>
    <w:rsid w:val="67EC2FBF"/>
    <w:rsid w:val="6821192D"/>
    <w:rsid w:val="68337E89"/>
    <w:rsid w:val="68337EE8"/>
    <w:rsid w:val="683A6C76"/>
    <w:rsid w:val="685C5B46"/>
    <w:rsid w:val="686F1486"/>
    <w:rsid w:val="688C0656"/>
    <w:rsid w:val="68AE1735"/>
    <w:rsid w:val="68B72950"/>
    <w:rsid w:val="68D60630"/>
    <w:rsid w:val="68F00432"/>
    <w:rsid w:val="68F8555D"/>
    <w:rsid w:val="691D712E"/>
    <w:rsid w:val="695D23C7"/>
    <w:rsid w:val="697E7396"/>
    <w:rsid w:val="69977FFD"/>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7C687C"/>
    <w:rsid w:val="6A9040D6"/>
    <w:rsid w:val="6A995680"/>
    <w:rsid w:val="6AA858C3"/>
    <w:rsid w:val="6ABC3292"/>
    <w:rsid w:val="6AC04F0B"/>
    <w:rsid w:val="6AD34458"/>
    <w:rsid w:val="6ADC4801"/>
    <w:rsid w:val="6ADF25FC"/>
    <w:rsid w:val="6B020CD0"/>
    <w:rsid w:val="6B1148AC"/>
    <w:rsid w:val="6B3E0351"/>
    <w:rsid w:val="6B42449D"/>
    <w:rsid w:val="6B451364"/>
    <w:rsid w:val="6B4A5562"/>
    <w:rsid w:val="6B52226C"/>
    <w:rsid w:val="6B565807"/>
    <w:rsid w:val="6B7A369F"/>
    <w:rsid w:val="6BAC2823"/>
    <w:rsid w:val="6BBD5024"/>
    <w:rsid w:val="6BDD37FB"/>
    <w:rsid w:val="6BEA5A68"/>
    <w:rsid w:val="6BF37DF1"/>
    <w:rsid w:val="6C07486C"/>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44455B"/>
    <w:rsid w:val="6D6A2DB3"/>
    <w:rsid w:val="6D6A69AA"/>
    <w:rsid w:val="6D704099"/>
    <w:rsid w:val="6D763A57"/>
    <w:rsid w:val="6D79127B"/>
    <w:rsid w:val="6D832281"/>
    <w:rsid w:val="6DC237AE"/>
    <w:rsid w:val="6DF91502"/>
    <w:rsid w:val="6E01482E"/>
    <w:rsid w:val="6E0D1941"/>
    <w:rsid w:val="6E105C5A"/>
    <w:rsid w:val="6E18292B"/>
    <w:rsid w:val="6E402C35"/>
    <w:rsid w:val="6E403BCF"/>
    <w:rsid w:val="6E424CF7"/>
    <w:rsid w:val="6E96703D"/>
    <w:rsid w:val="6E984122"/>
    <w:rsid w:val="6EC15C51"/>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334A73"/>
    <w:rsid w:val="70796EB7"/>
    <w:rsid w:val="70846EFD"/>
    <w:rsid w:val="70891E2B"/>
    <w:rsid w:val="709304FC"/>
    <w:rsid w:val="70B21D55"/>
    <w:rsid w:val="70B32BC2"/>
    <w:rsid w:val="70BA4068"/>
    <w:rsid w:val="70D2369A"/>
    <w:rsid w:val="70EF1D98"/>
    <w:rsid w:val="70F06D61"/>
    <w:rsid w:val="70F36F46"/>
    <w:rsid w:val="710458DF"/>
    <w:rsid w:val="71231B23"/>
    <w:rsid w:val="713B214A"/>
    <w:rsid w:val="714633CE"/>
    <w:rsid w:val="714A76D4"/>
    <w:rsid w:val="716342F2"/>
    <w:rsid w:val="718621EE"/>
    <w:rsid w:val="71894FD2"/>
    <w:rsid w:val="71A3311F"/>
    <w:rsid w:val="71AA4E1C"/>
    <w:rsid w:val="71F80EDE"/>
    <w:rsid w:val="72005730"/>
    <w:rsid w:val="720F7FD6"/>
    <w:rsid w:val="72280301"/>
    <w:rsid w:val="7231753D"/>
    <w:rsid w:val="72386C6E"/>
    <w:rsid w:val="723A3057"/>
    <w:rsid w:val="72400885"/>
    <w:rsid w:val="724B6026"/>
    <w:rsid w:val="725273EA"/>
    <w:rsid w:val="725B1897"/>
    <w:rsid w:val="72603689"/>
    <w:rsid w:val="726C47BC"/>
    <w:rsid w:val="728E7595"/>
    <w:rsid w:val="72CD2240"/>
    <w:rsid w:val="72D86CA9"/>
    <w:rsid w:val="72DC19E2"/>
    <w:rsid w:val="72EC4E12"/>
    <w:rsid w:val="73221F8B"/>
    <w:rsid w:val="73373DED"/>
    <w:rsid w:val="73391B68"/>
    <w:rsid w:val="733F7A24"/>
    <w:rsid w:val="735C44F0"/>
    <w:rsid w:val="736A01CD"/>
    <w:rsid w:val="736B4D35"/>
    <w:rsid w:val="73741988"/>
    <w:rsid w:val="73814929"/>
    <w:rsid w:val="7393399F"/>
    <w:rsid w:val="73984022"/>
    <w:rsid w:val="73C11347"/>
    <w:rsid w:val="73E2421D"/>
    <w:rsid w:val="73E80C30"/>
    <w:rsid w:val="74000D97"/>
    <w:rsid w:val="74033B6B"/>
    <w:rsid w:val="74185CCF"/>
    <w:rsid w:val="741D2E7E"/>
    <w:rsid w:val="74563F0C"/>
    <w:rsid w:val="74694C3B"/>
    <w:rsid w:val="746A6AAD"/>
    <w:rsid w:val="747A4FBC"/>
    <w:rsid w:val="748B466B"/>
    <w:rsid w:val="749018A2"/>
    <w:rsid w:val="74D94903"/>
    <w:rsid w:val="74DC7834"/>
    <w:rsid w:val="74E271F1"/>
    <w:rsid w:val="75096F5F"/>
    <w:rsid w:val="750B0F29"/>
    <w:rsid w:val="75326EC3"/>
    <w:rsid w:val="75371D1E"/>
    <w:rsid w:val="75474A77"/>
    <w:rsid w:val="7551327B"/>
    <w:rsid w:val="75530D23"/>
    <w:rsid w:val="755F3E02"/>
    <w:rsid w:val="755F782E"/>
    <w:rsid w:val="75907680"/>
    <w:rsid w:val="75A16A9F"/>
    <w:rsid w:val="75BC6CCF"/>
    <w:rsid w:val="75E27D49"/>
    <w:rsid w:val="761867BE"/>
    <w:rsid w:val="76365AD0"/>
    <w:rsid w:val="76522DFC"/>
    <w:rsid w:val="765D57EA"/>
    <w:rsid w:val="7688585F"/>
    <w:rsid w:val="76E71522"/>
    <w:rsid w:val="76E97048"/>
    <w:rsid w:val="76F54CF0"/>
    <w:rsid w:val="76FD5906"/>
    <w:rsid w:val="77072866"/>
    <w:rsid w:val="770B684E"/>
    <w:rsid w:val="771D50F3"/>
    <w:rsid w:val="77204CB1"/>
    <w:rsid w:val="77356662"/>
    <w:rsid w:val="7763329E"/>
    <w:rsid w:val="777C1603"/>
    <w:rsid w:val="779A33A8"/>
    <w:rsid w:val="77A14CDE"/>
    <w:rsid w:val="77AA2F7D"/>
    <w:rsid w:val="77C44524"/>
    <w:rsid w:val="77C96BD3"/>
    <w:rsid w:val="78175E36"/>
    <w:rsid w:val="78266CE5"/>
    <w:rsid w:val="7827421F"/>
    <w:rsid w:val="782B4A23"/>
    <w:rsid w:val="78302F8F"/>
    <w:rsid w:val="784117AB"/>
    <w:rsid w:val="78510397"/>
    <w:rsid w:val="78552936"/>
    <w:rsid w:val="78731F0E"/>
    <w:rsid w:val="78754CBA"/>
    <w:rsid w:val="78801C2E"/>
    <w:rsid w:val="78962FA5"/>
    <w:rsid w:val="78B611AB"/>
    <w:rsid w:val="78C148AC"/>
    <w:rsid w:val="78CA1FEE"/>
    <w:rsid w:val="78CB3FEB"/>
    <w:rsid w:val="78CF4963"/>
    <w:rsid w:val="793B5CE2"/>
    <w:rsid w:val="79404E92"/>
    <w:rsid w:val="795C411F"/>
    <w:rsid w:val="796834B3"/>
    <w:rsid w:val="796D0618"/>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6B4732"/>
    <w:rsid w:val="7A7F2C76"/>
    <w:rsid w:val="7AAC462A"/>
    <w:rsid w:val="7ADE5D3C"/>
    <w:rsid w:val="7AF84FA0"/>
    <w:rsid w:val="7AF909C6"/>
    <w:rsid w:val="7B454A69"/>
    <w:rsid w:val="7B6273C9"/>
    <w:rsid w:val="7B6F1BD0"/>
    <w:rsid w:val="7B732126"/>
    <w:rsid w:val="7B755C15"/>
    <w:rsid w:val="7B7B20CE"/>
    <w:rsid w:val="7B7B4B97"/>
    <w:rsid w:val="7B8E1216"/>
    <w:rsid w:val="7B9A1345"/>
    <w:rsid w:val="7BBB7E74"/>
    <w:rsid w:val="7BCA6C86"/>
    <w:rsid w:val="7C003703"/>
    <w:rsid w:val="7C044DA1"/>
    <w:rsid w:val="7C176405"/>
    <w:rsid w:val="7C30406C"/>
    <w:rsid w:val="7C365DE1"/>
    <w:rsid w:val="7CA33449"/>
    <w:rsid w:val="7CCE4D69"/>
    <w:rsid w:val="7D0A0BA4"/>
    <w:rsid w:val="7D107AF3"/>
    <w:rsid w:val="7D4253C7"/>
    <w:rsid w:val="7D4C5341"/>
    <w:rsid w:val="7D4E5EE6"/>
    <w:rsid w:val="7D5947FB"/>
    <w:rsid w:val="7D6513F2"/>
    <w:rsid w:val="7D8901AD"/>
    <w:rsid w:val="7D8E577D"/>
    <w:rsid w:val="7D9A426A"/>
    <w:rsid w:val="7E006F08"/>
    <w:rsid w:val="7E01736D"/>
    <w:rsid w:val="7E0523A7"/>
    <w:rsid w:val="7E333E03"/>
    <w:rsid w:val="7E391FE6"/>
    <w:rsid w:val="7E916762"/>
    <w:rsid w:val="7EA607F7"/>
    <w:rsid w:val="7EA916FD"/>
    <w:rsid w:val="7EAB552B"/>
    <w:rsid w:val="7EE53C64"/>
    <w:rsid w:val="7EE767C9"/>
    <w:rsid w:val="7F403EC5"/>
    <w:rsid w:val="7F541580"/>
    <w:rsid w:val="7F5444E7"/>
    <w:rsid w:val="7F590594"/>
    <w:rsid w:val="7F667225"/>
    <w:rsid w:val="7F7B2EF8"/>
    <w:rsid w:val="7F844A6E"/>
    <w:rsid w:val="7FAA1C29"/>
    <w:rsid w:val="7FAC4830"/>
    <w:rsid w:val="7FB514B3"/>
    <w:rsid w:val="7FB659E5"/>
    <w:rsid w:val="7FB7407D"/>
    <w:rsid w:val="7FBD3767"/>
    <w:rsid w:val="7FEF65CD"/>
    <w:rsid w:val="7FF337B8"/>
    <w:rsid w:val="7FF61AD5"/>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next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next w:val="1"/>
    <w:qFormat/>
    <w:uiPriority w:val="0"/>
    <w:pPr>
      <w:widowControl/>
      <w:snapToGrid w:val="0"/>
    </w:pPr>
    <w:rPr>
      <w:rFonts w:ascii="Arial" w:hAnsi="Arial" w:eastAsia="宋体" w:cs="Times New Roman"/>
      <w:kern w:val="0"/>
      <w:szCs w:val="21"/>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9"/>
    <w:qFormat/>
    <w:uiPriority w:val="0"/>
    <w:pPr>
      <w:ind w:firstLine="420" w:firstLineChars="2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1287</Words>
  <Characters>1767</Characters>
  <Lines>0</Lines>
  <Paragraphs>0</Paragraphs>
  <TotalTime>15</TotalTime>
  <ScaleCrop>false</ScaleCrop>
  <LinksUpToDate>false</LinksUpToDate>
  <CharactersWithSpaces>1835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木子</cp:lastModifiedBy>
  <cp:lastPrinted>2024-11-18T09:28:00Z</cp:lastPrinted>
  <dcterms:modified xsi:type="dcterms:W3CDTF">2024-11-27T09:10:33Z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3DC1C1C5EC6741F69426F536341F9981</vt:lpwstr>
  </property>
</Properties>
</file>