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widowControl/>
        <w:adjustRightInd w:val="0"/>
        <w:ind w:firstLine="420" w:firstLineChars="200"/>
        <w:jc w:val="left"/>
      </w:pPr>
      <w:r>
        <w:drawing>
          <wp:inline distT="0" distB="0" distL="114300" distR="114300">
            <wp:extent cx="5617210" cy="5207000"/>
            <wp:effectExtent l="0" t="0" r="8890" b="0"/>
            <wp:docPr id="1" name="图片 1" descr="1ae45b5b3b67533b516d0ef34e921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ae45b5b3b67533b516d0ef34e9211c"/>
                    <pic:cNvPicPr>
                      <a:picLocks noChangeAspect="1"/>
                    </pic:cNvPicPr>
                  </pic:nvPicPr>
                  <pic:blipFill>
                    <a:blip r:embed="rId4"/>
                    <a:stretch>
                      <a:fillRect/>
                    </a:stretch>
                  </pic:blipFill>
                  <pic:spPr>
                    <a:xfrm>
                      <a:off x="0" y="0"/>
                      <a:ext cx="5617210" cy="5207000"/>
                    </a:xfrm>
                    <a:prstGeom prst="rect">
                      <a:avLst/>
                    </a:prstGeom>
                  </pic:spPr>
                </pic:pic>
              </a:graphicData>
            </a:graphic>
          </wp:inline>
        </w:drawing>
      </w:r>
      <w:r>
        <w:drawing>
          <wp:inline distT="0" distB="0" distL="114300" distR="114300">
            <wp:extent cx="5266690" cy="2423795"/>
            <wp:effectExtent l="0" t="0" r="3810" b="1905"/>
            <wp:docPr id="2" name="图片 2" descr="1569e846db046e0f0cf96146dcbe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69e846db046e0f0cf96146dcbe069"/>
                    <pic:cNvPicPr>
                      <a:picLocks noChangeAspect="1"/>
                    </pic:cNvPicPr>
                  </pic:nvPicPr>
                  <pic:blipFill>
                    <a:blip r:embed="rId5"/>
                    <a:stretch>
                      <a:fillRect/>
                    </a:stretch>
                  </pic:blipFill>
                  <pic:spPr>
                    <a:xfrm>
                      <a:off x="0" y="0"/>
                      <a:ext cx="5266690" cy="2423795"/>
                    </a:xfrm>
                    <a:prstGeom prst="rect">
                      <a:avLst/>
                    </a:prstGeom>
                  </pic:spPr>
                </pic:pic>
              </a:graphicData>
            </a:graphic>
          </wp:inline>
        </w:drawing>
      </w:r>
    </w:p>
    <w:p>
      <w:pPr>
        <w:widowControl/>
        <w:adjustRightInd w:val="0"/>
        <w:spacing w:line="440" w:lineRule="exact"/>
        <w:ind w:firstLine="640" w:firstLineChars="200"/>
        <w:jc w:val="left"/>
      </w:pPr>
      <w:r>
        <w:rPr>
          <w:rFonts w:ascii="Times New Roman" w:hAnsi="Times New Roman" w:cs="Times New Roman"/>
          <w:sz w:val="32"/>
          <w:szCs w:val="32"/>
        </w:rPr>
        <w:t>高模量沥青混合料改性剂（抗车辙剂）必须在高温（190</w:t>
      </w:r>
      <w:r>
        <w:rPr>
          <w:rFonts w:hint="eastAsia" w:ascii="Times New Roman" w:hAnsi="Times New Roman" w:cs="Times New Roman"/>
          <w:sz w:val="32"/>
          <w:szCs w:val="32"/>
        </w:rPr>
        <w:t>～</w:t>
      </w:r>
      <w:r>
        <w:rPr>
          <w:rFonts w:ascii="Times New Roman" w:hAnsi="Times New Roman" w:cs="Times New Roman"/>
          <w:sz w:val="32"/>
          <w:szCs w:val="32"/>
        </w:rPr>
        <w:t>200</w:t>
      </w:r>
      <w:r>
        <w:rPr>
          <w:rFonts w:hint="eastAsia" w:ascii="Times New Roman" w:hAnsi="Times New Roman" w:cs="Times New Roman"/>
          <w:sz w:val="32"/>
          <w:szCs w:val="32"/>
        </w:rPr>
        <w:t xml:space="preserve">℃）条件下能迅速分散并裹覆在集料的表面，以避免高模量沥青混合料改性剂的离析而导之混合料路表面动稳定度的不一致，高模量抗车辙剂掺量为混合料 </w:t>
      </w:r>
      <w:r>
        <w:rPr>
          <w:rFonts w:ascii="Times New Roman" w:hAnsi="Times New Roman" w:cs="Times New Roman"/>
          <w:sz w:val="32"/>
          <w:szCs w:val="32"/>
        </w:rPr>
        <w:t>0.4%</w:t>
      </w:r>
      <w:r>
        <w:rPr>
          <w:rFonts w:hint="eastAsia" w:ascii="Times New Roman" w:hAnsi="Times New Roman" w:cs="Times New Roman"/>
          <w:sz w:val="32"/>
          <w:szCs w:val="32"/>
        </w:rPr>
        <w:t>。并须满足表</w:t>
      </w:r>
      <w:r>
        <w:rPr>
          <w:rFonts w:ascii="Times New Roman" w:hAnsi="Times New Roman" w:cs="Times New Roman"/>
          <w:sz w:val="32"/>
          <w:szCs w:val="32"/>
        </w:rPr>
        <w:t>4.1.3</w:t>
      </w:r>
      <w:r>
        <w:rPr>
          <w:rFonts w:hint="eastAsia" w:ascii="Times New Roman" w:hAnsi="Times New Roman" w:cs="Times New Roman"/>
          <w:sz w:val="32"/>
          <w:szCs w:val="32"/>
        </w:rPr>
        <w:t>要求：</w:t>
      </w:r>
    </w:p>
    <w:p>
      <w:pPr>
        <w:widowControl/>
        <w:jc w:val="center"/>
      </w:pPr>
      <w:r>
        <w:rPr>
          <w:rFonts w:hint="eastAsia" w:ascii="仿宋" w:hAnsi="仿宋" w:eastAsia="仿宋" w:cs="仿宋"/>
          <w:color w:val="000000"/>
          <w:kern w:val="0"/>
          <w:szCs w:val="21"/>
          <w:lang w:bidi="ar"/>
        </w:rPr>
        <w:t xml:space="preserve">高模量沥青混合料改性剂（抗车辙剂）技术要求 表 </w:t>
      </w:r>
      <w:r>
        <w:rPr>
          <w:rFonts w:ascii="Times New Roman" w:hAnsi="Times New Roman" w:eastAsia="宋体" w:cs="Times New Roman"/>
          <w:color w:val="000000"/>
          <w:kern w:val="0"/>
          <w:szCs w:val="21"/>
          <w:lang w:bidi="ar"/>
        </w:rPr>
        <w:t>4.1.3</w:t>
      </w:r>
    </w:p>
    <w:p>
      <w:pPr>
        <w:pStyle w:val="16"/>
        <w:jc w:val="both"/>
      </w:pPr>
      <w:r>
        <w:drawing>
          <wp:inline distT="0" distB="0" distL="114300" distR="114300">
            <wp:extent cx="5429250" cy="1643380"/>
            <wp:effectExtent l="0" t="0" r="6350" b="7620"/>
            <wp:docPr id="3" name="图片 3" descr="39bd97a2fedd0fc55bbb1a864c0cf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9bd97a2fedd0fc55bbb1a864c0cfe8"/>
                    <pic:cNvPicPr>
                      <a:picLocks noChangeAspect="1"/>
                    </pic:cNvPicPr>
                  </pic:nvPicPr>
                  <pic:blipFill>
                    <a:blip r:embed="rId6"/>
                    <a:stretch>
                      <a:fillRect/>
                    </a:stretch>
                  </pic:blipFill>
                  <pic:spPr>
                    <a:xfrm>
                      <a:off x="0" y="0"/>
                      <a:ext cx="5429250" cy="1643380"/>
                    </a:xfrm>
                    <a:prstGeom prst="rect">
                      <a:avLst/>
                    </a:prstGeom>
                  </pic:spPr>
                </pic:pic>
              </a:graphicData>
            </a:graphic>
          </wp:inline>
        </w:drawing>
      </w:r>
    </w:p>
    <w:p>
      <w:pPr>
        <w:widowControl/>
        <w:adjustRightInd w:val="0"/>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粗集料的粒径规格应按照表 </w:t>
      </w:r>
      <w:r>
        <w:rPr>
          <w:rFonts w:ascii="Times New Roman" w:hAnsi="Times New Roman" w:cs="Times New Roman"/>
          <w:sz w:val="32"/>
          <w:szCs w:val="32"/>
        </w:rPr>
        <w:t xml:space="preserve">4.1.5 </w:t>
      </w:r>
      <w:r>
        <w:rPr>
          <w:rFonts w:hint="eastAsia" w:ascii="Times New Roman" w:hAnsi="Times New Roman" w:cs="Times New Roman"/>
          <w:sz w:val="32"/>
          <w:szCs w:val="32"/>
        </w:rPr>
        <w:t>的规定生产加工。各档料级配组成应保持一致性，不能有较大变化。采石场在生产过程中必须彻底清除覆盖层及泥土夹层，生产碎石时不得含有土块、杂物。</w:t>
      </w:r>
      <w:r>
        <w:rPr>
          <w:rFonts w:hint="eastAsia" w:ascii="Times New Roman" w:hAnsi="Times New Roman" w:cs="Times New Roman"/>
          <w:sz w:val="32"/>
          <w:szCs w:val="32"/>
        </w:rPr>
        <w:drawing>
          <wp:inline distT="0" distB="0" distL="114300" distR="114300">
            <wp:extent cx="5295900" cy="1835785"/>
            <wp:effectExtent l="0" t="0" r="0" b="5715"/>
            <wp:docPr id="4" name="图片 4" descr="3e5b774a5fc211ce2c4eadd7144f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e5b774a5fc211ce2c4eadd7144f822"/>
                    <pic:cNvPicPr>
                      <a:picLocks noChangeAspect="1"/>
                    </pic:cNvPicPr>
                  </pic:nvPicPr>
                  <pic:blipFill>
                    <a:blip r:embed="rId7"/>
                    <a:stretch>
                      <a:fillRect/>
                    </a:stretch>
                  </pic:blipFill>
                  <pic:spPr>
                    <a:xfrm>
                      <a:off x="0" y="0"/>
                      <a:ext cx="5295900" cy="1835785"/>
                    </a:xfrm>
                    <a:prstGeom prst="rect">
                      <a:avLst/>
                    </a:prstGeom>
                  </pic:spPr>
                </pic:pic>
              </a:graphicData>
            </a:graphic>
          </wp:inline>
        </w:drawing>
      </w:r>
    </w:p>
    <w:p>
      <w:pPr>
        <w:widowControl/>
        <w:adjustRightInd w:val="0"/>
        <w:ind w:firstLine="640" w:firstLineChars="200"/>
        <w:jc w:val="left"/>
        <w:rPr>
          <w:rFonts w:ascii="Times New Roman" w:hAnsi="Times New Roman" w:cs="Times New Roman"/>
          <w:sz w:val="32"/>
          <w:szCs w:val="32"/>
        </w:rPr>
      </w:pPr>
      <w:r>
        <w:rPr>
          <w:rFonts w:ascii="Times New Roman" w:hAnsi="Times New Roman" w:cs="Times New Roman"/>
          <w:sz w:val="32"/>
          <w:szCs w:val="32"/>
        </w:rPr>
        <w:t>c</w:t>
      </w:r>
      <w:r>
        <w:rPr>
          <w:rFonts w:hint="eastAsia" w:ascii="Times New Roman" w:hAnsi="Times New Roman" w:cs="Times New Roman"/>
          <w:sz w:val="32"/>
          <w:szCs w:val="32"/>
        </w:rPr>
        <w:t xml:space="preserve">、细集料 </w:t>
      </w:r>
    </w:p>
    <w:p>
      <w:pPr>
        <w:widowControl/>
        <w:adjustRightInd w:val="0"/>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沥青上、中下三层沥青混合料的细集料应洁净、干燥、无风化、无杂质，不得采用石屑和天然砂，严禁采用山场下脚料，采用强度高的石料加工制备的适当级配的机制砂。其质量应满足表 </w:t>
      </w:r>
      <w:r>
        <w:rPr>
          <w:rFonts w:ascii="Times New Roman" w:hAnsi="Times New Roman" w:cs="Times New Roman"/>
          <w:sz w:val="32"/>
          <w:szCs w:val="32"/>
        </w:rPr>
        <w:t xml:space="preserve">4.1.4 </w:t>
      </w:r>
      <w:r>
        <w:rPr>
          <w:rFonts w:hint="eastAsia" w:ascii="Times New Roman" w:hAnsi="Times New Roman" w:cs="Times New Roman"/>
          <w:sz w:val="32"/>
          <w:szCs w:val="32"/>
        </w:rPr>
        <w:t xml:space="preserve">的要求，其规格应满足表 </w:t>
      </w:r>
      <w:r>
        <w:rPr>
          <w:rFonts w:ascii="Times New Roman" w:hAnsi="Times New Roman" w:cs="Times New Roman"/>
          <w:sz w:val="32"/>
          <w:szCs w:val="32"/>
        </w:rPr>
        <w:t xml:space="preserve">4.1.6 </w:t>
      </w:r>
      <w:r>
        <w:rPr>
          <w:rFonts w:hint="eastAsia" w:ascii="Times New Roman" w:hAnsi="Times New Roman" w:cs="Times New Roman"/>
          <w:sz w:val="32"/>
          <w:szCs w:val="32"/>
        </w:rPr>
        <w:t>的规定。</w:t>
      </w:r>
      <w:r>
        <w:drawing>
          <wp:inline distT="0" distB="0" distL="114300" distR="114300">
            <wp:extent cx="4876800" cy="1609725"/>
            <wp:effectExtent l="0" t="0" r="0" b="31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4876800" cy="1609725"/>
                    </a:xfrm>
                    <a:prstGeom prst="rect">
                      <a:avLst/>
                    </a:prstGeom>
                    <a:noFill/>
                    <a:ln>
                      <a:noFill/>
                    </a:ln>
                  </pic:spPr>
                </pic:pic>
              </a:graphicData>
            </a:graphic>
          </wp:inline>
        </w:drawing>
      </w:r>
      <w:r>
        <w:drawing>
          <wp:inline distT="0" distB="0" distL="114300" distR="114300">
            <wp:extent cx="4876800" cy="171450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4876800" cy="1714500"/>
                    </a:xfrm>
                    <a:prstGeom prst="rect">
                      <a:avLst/>
                    </a:prstGeom>
                    <a:noFill/>
                    <a:ln>
                      <a:noFill/>
                    </a:ln>
                  </pic:spPr>
                </pic:pic>
              </a:graphicData>
            </a:graphic>
          </wp:inline>
        </w:drawing>
      </w:r>
    </w:p>
    <w:p>
      <w:pPr>
        <w:widowControl/>
        <w:adjustRightInd w:val="0"/>
        <w:ind w:firstLine="640" w:firstLineChars="200"/>
        <w:jc w:val="left"/>
        <w:rPr>
          <w:rFonts w:ascii="Times New Roman" w:hAnsi="Times New Roman" w:cs="Times New Roman"/>
          <w:sz w:val="32"/>
          <w:szCs w:val="32"/>
        </w:rPr>
      </w:pPr>
      <w:r>
        <w:rPr>
          <w:rFonts w:ascii="Times New Roman" w:hAnsi="Times New Roman" w:cs="Times New Roman"/>
          <w:sz w:val="32"/>
          <w:szCs w:val="32"/>
        </w:rPr>
        <w:t>d</w:t>
      </w:r>
      <w:r>
        <w:rPr>
          <w:rFonts w:hint="eastAsia" w:ascii="Times New Roman" w:hAnsi="Times New Roman" w:cs="Times New Roman"/>
          <w:sz w:val="32"/>
          <w:szCs w:val="32"/>
        </w:rPr>
        <w:t xml:space="preserve">、矿粉 </w:t>
      </w:r>
    </w:p>
    <w:p>
      <w:pPr>
        <w:widowControl/>
        <w:ind w:firstLine="640" w:firstLineChars="200"/>
        <w:jc w:val="left"/>
      </w:pPr>
      <w:r>
        <w:rPr>
          <w:rFonts w:hint="eastAsia" w:ascii="Times New Roman" w:hAnsi="Times New Roman" w:cs="Times New Roman"/>
          <w:sz w:val="32"/>
          <w:szCs w:val="32"/>
        </w:rPr>
        <w:t xml:space="preserve">用于沥青混合料的矿粉应采用石灰岩经磨细得到的矿粉，原石料中的泥土杂质应除净。矿粉应洁净、干燥，能自由地从矿粉仓流出，禁止使用回收矿粉。其质量技术要求见表 </w:t>
      </w:r>
      <w:r>
        <w:rPr>
          <w:rFonts w:ascii="Times New Roman" w:hAnsi="Times New Roman" w:cs="Times New Roman"/>
          <w:sz w:val="32"/>
          <w:szCs w:val="32"/>
        </w:rPr>
        <w:t>4.1.9</w:t>
      </w:r>
      <w:r>
        <w:rPr>
          <w:rFonts w:hint="eastAsia" w:ascii="Times New Roman" w:hAnsi="Times New Roman" w:cs="Times New Roman"/>
          <w:sz w:val="32"/>
          <w:szCs w:val="32"/>
        </w:rPr>
        <w:t>。</w:t>
      </w:r>
      <w:r>
        <w:drawing>
          <wp:inline distT="0" distB="0" distL="114300" distR="114300">
            <wp:extent cx="4800600" cy="2247900"/>
            <wp:effectExtent l="0" t="0" r="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0"/>
                    <a:stretch>
                      <a:fillRect/>
                    </a:stretch>
                  </pic:blipFill>
                  <pic:spPr>
                    <a:xfrm>
                      <a:off x="0" y="0"/>
                      <a:ext cx="4800600" cy="2247900"/>
                    </a:xfrm>
                    <a:prstGeom prst="rect">
                      <a:avLst/>
                    </a:prstGeom>
                    <a:noFill/>
                    <a:ln>
                      <a:noFill/>
                    </a:ln>
                  </pic:spPr>
                </pic:pic>
              </a:graphicData>
            </a:graphic>
          </wp:inline>
        </w:drawing>
      </w:r>
    </w:p>
    <w:p>
      <w:pPr>
        <w:widowControl/>
        <w:spacing w:line="440" w:lineRule="exact"/>
        <w:jc w:val="left"/>
        <w:rPr>
          <w:rFonts w:ascii="Times New Roman" w:hAnsi="Times New Roman" w:cs="Times New Roman"/>
          <w:sz w:val="32"/>
          <w:szCs w:val="32"/>
        </w:rPr>
      </w:pPr>
      <w:r>
        <w:rPr>
          <w:rFonts w:ascii="Times New Roman" w:hAnsi="Times New Roman" w:cs="Times New Roman"/>
          <w:sz w:val="32"/>
          <w:szCs w:val="32"/>
        </w:rPr>
        <w:t>e</w:t>
      </w:r>
      <w:r>
        <w:rPr>
          <w:rFonts w:hint="eastAsia" w:ascii="Times New Roman" w:hAnsi="Times New Roman" w:cs="Times New Roman"/>
          <w:sz w:val="32"/>
          <w:szCs w:val="32"/>
        </w:rPr>
        <w:t xml:space="preserve">、抗剥落剂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当沥青混合料的粘附性达不到要求时，可以采用掺加抗剥落剂来改善沥青与石料的粘附性。抗剥落剂可采用化学抗剥落剂或消石灰，剂量应通过试验确定。当采用化学抗剥落剂时，须谨慎选择。当采用消石灰作为抗剥落剂时，消石灰应采用工厂化方式生产，不得采用自行消解石灰。以氢氧化钙（消石灰）替代部分石灰岩矿粉，总量不超过矿质集料总量的 </w:t>
      </w:r>
      <w:r>
        <w:rPr>
          <w:rFonts w:ascii="Times New Roman" w:hAnsi="Times New Roman" w:cs="Times New Roman"/>
          <w:sz w:val="32"/>
          <w:szCs w:val="32"/>
        </w:rPr>
        <w:t>2%</w:t>
      </w:r>
      <w:r>
        <w:rPr>
          <w:rFonts w:hint="eastAsia" w:ascii="Times New Roman" w:hAnsi="Times New Roman" w:cs="Times New Roman"/>
          <w:sz w:val="32"/>
          <w:szCs w:val="32"/>
        </w:rPr>
        <w:t xml:space="preserve">，其质量技术指标应满足表 </w:t>
      </w:r>
      <w:r>
        <w:rPr>
          <w:rFonts w:ascii="Times New Roman" w:hAnsi="Times New Roman" w:cs="Times New Roman"/>
          <w:sz w:val="32"/>
          <w:szCs w:val="32"/>
        </w:rPr>
        <w:t xml:space="preserve">4.1.10 </w:t>
      </w:r>
      <w:r>
        <w:rPr>
          <w:rFonts w:hint="eastAsia" w:ascii="Times New Roman" w:hAnsi="Times New Roman" w:cs="Times New Roman"/>
          <w:sz w:val="32"/>
          <w:szCs w:val="32"/>
        </w:rPr>
        <w:t xml:space="preserve">要求。 </w:t>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沥青面层用消石灰质量技术要求 表 </w:t>
      </w:r>
      <w:r>
        <w:rPr>
          <w:rFonts w:ascii="Times New Roman" w:hAnsi="Times New Roman" w:cs="Times New Roman"/>
          <w:sz w:val="32"/>
          <w:szCs w:val="32"/>
        </w:rPr>
        <w:t>4.1.10</w:t>
      </w:r>
    </w:p>
    <w:p>
      <w:pPr>
        <w:widowControl/>
        <w:jc w:val="left"/>
      </w:pPr>
      <w:r>
        <w:drawing>
          <wp:inline distT="0" distB="0" distL="114300" distR="114300">
            <wp:extent cx="4743450" cy="342900"/>
            <wp:effectExtent l="0" t="0" r="6350"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1"/>
                    <a:stretch>
                      <a:fillRect/>
                    </a:stretch>
                  </pic:blipFill>
                  <pic:spPr>
                    <a:xfrm>
                      <a:off x="0" y="0"/>
                      <a:ext cx="4743450" cy="342900"/>
                    </a:xfrm>
                    <a:prstGeom prst="rect">
                      <a:avLst/>
                    </a:prstGeom>
                    <a:noFill/>
                    <a:ln>
                      <a:noFill/>
                    </a:ln>
                  </pic:spPr>
                </pic:pic>
              </a:graphicData>
            </a:graphic>
          </wp:inline>
        </w:drawing>
      </w:r>
      <w:r>
        <w:drawing>
          <wp:inline distT="0" distB="0" distL="114300" distR="114300">
            <wp:extent cx="4791075" cy="2352675"/>
            <wp:effectExtent l="0" t="0" r="9525" b="952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2"/>
                    <a:stretch>
                      <a:fillRect/>
                    </a:stretch>
                  </pic:blipFill>
                  <pic:spPr>
                    <a:xfrm>
                      <a:off x="0" y="0"/>
                      <a:ext cx="4791075" cy="2352675"/>
                    </a:xfrm>
                    <a:prstGeom prst="rect">
                      <a:avLst/>
                    </a:prstGeom>
                    <a:noFill/>
                    <a:ln>
                      <a:noFill/>
                    </a:ln>
                  </pic:spPr>
                </pic:pic>
              </a:graphicData>
            </a:graphic>
          </wp:inline>
        </w:drawing>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2</w:t>
      </w:r>
      <w:r>
        <w:rPr>
          <w:rFonts w:hint="eastAsia" w:ascii="Times New Roman" w:hAnsi="Times New Roman" w:cs="Times New Roman"/>
          <w:sz w:val="32"/>
          <w:szCs w:val="32"/>
        </w:rPr>
        <w:t xml:space="preserve">）沥青混合料的技术要求 </w:t>
      </w:r>
    </w:p>
    <w:p>
      <w:pPr>
        <w:widowControl/>
        <w:ind w:firstLine="640" w:firstLineChars="200"/>
        <w:jc w:val="left"/>
      </w:pPr>
      <w:r>
        <w:rPr>
          <w:rFonts w:hint="eastAsia" w:ascii="Times New Roman" w:hAnsi="Times New Roman" w:cs="Times New Roman"/>
          <w:sz w:val="32"/>
          <w:szCs w:val="32"/>
        </w:rPr>
        <w:t xml:space="preserve">面层沥青混合料矿料级配原则上依据表 </w:t>
      </w:r>
      <w:r>
        <w:rPr>
          <w:rFonts w:ascii="Times New Roman" w:hAnsi="Times New Roman" w:cs="Times New Roman"/>
          <w:sz w:val="32"/>
          <w:szCs w:val="32"/>
        </w:rPr>
        <w:t>4.1.11</w:t>
      </w:r>
      <w:r>
        <w:rPr>
          <w:rFonts w:hint="eastAsia" w:ascii="Times New Roman" w:hAnsi="Times New Roman" w:cs="Times New Roman"/>
          <w:sz w:val="32"/>
          <w:szCs w:val="32"/>
        </w:rPr>
        <w:t>，采用骨架密实型级配，具体应按后续技术指导书试验确定工程级配范围。</w:t>
      </w:r>
      <w:r>
        <w:drawing>
          <wp:inline distT="0" distB="0" distL="114300" distR="114300">
            <wp:extent cx="4829175" cy="2295525"/>
            <wp:effectExtent l="0" t="0" r="9525" b="317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3"/>
                    <a:stretch>
                      <a:fillRect/>
                    </a:stretch>
                  </pic:blipFill>
                  <pic:spPr>
                    <a:xfrm>
                      <a:off x="0" y="0"/>
                      <a:ext cx="4829175" cy="2295525"/>
                    </a:xfrm>
                    <a:prstGeom prst="rect">
                      <a:avLst/>
                    </a:prstGeom>
                    <a:noFill/>
                    <a:ln>
                      <a:noFill/>
                    </a:ln>
                  </pic:spPr>
                </pic:pic>
              </a:graphicData>
            </a:graphic>
          </wp:inline>
        </w:drawing>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各层沥青混合料应满足所在层位的功能性要求，便于施工，不容易离析，各层应连续施工并连结成为一个整体。沥青混合料采用马歇尔试验配合比设计方法，沥青混合料马歇尔试验技术标准见表 </w:t>
      </w:r>
      <w:r>
        <w:rPr>
          <w:rFonts w:ascii="Times New Roman" w:hAnsi="Times New Roman" w:cs="Times New Roman"/>
          <w:sz w:val="32"/>
          <w:szCs w:val="32"/>
        </w:rPr>
        <w:t>4.1.12</w:t>
      </w:r>
      <w:r>
        <w:rPr>
          <w:rFonts w:hint="eastAsia" w:ascii="Times New Roman" w:hAnsi="Times New Roman" w:cs="Times New Roman"/>
          <w:sz w:val="32"/>
          <w:szCs w:val="32"/>
        </w:rPr>
        <w:t xml:space="preserve">，并有良好的施工性能。 </w:t>
      </w:r>
    </w:p>
    <w:p>
      <w:pPr>
        <w:widowControl/>
        <w:ind w:firstLine="640" w:firstLineChars="200"/>
        <w:jc w:val="left"/>
      </w:pPr>
      <w:r>
        <w:rPr>
          <w:rFonts w:hint="eastAsia" w:ascii="Times New Roman" w:hAnsi="Times New Roman" w:cs="Times New Roman"/>
          <w:sz w:val="32"/>
          <w:szCs w:val="32"/>
        </w:rPr>
        <w:t xml:space="preserve">高模量沥青混合料马歇尔试验技术标准 表 </w:t>
      </w:r>
      <w:r>
        <w:rPr>
          <w:rFonts w:ascii="Times New Roman" w:hAnsi="Times New Roman" w:cs="Times New Roman"/>
          <w:sz w:val="32"/>
          <w:szCs w:val="32"/>
        </w:rPr>
        <w:t>4.1.12</w:t>
      </w:r>
      <w:r>
        <w:drawing>
          <wp:inline distT="0" distB="0" distL="114300" distR="114300">
            <wp:extent cx="4781550" cy="2247900"/>
            <wp:effectExtent l="0" t="0" r="6350" b="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4"/>
                    <a:stretch>
                      <a:fillRect/>
                    </a:stretch>
                  </pic:blipFill>
                  <pic:spPr>
                    <a:xfrm>
                      <a:off x="0" y="0"/>
                      <a:ext cx="4781550" cy="2247900"/>
                    </a:xfrm>
                    <a:prstGeom prst="rect">
                      <a:avLst/>
                    </a:prstGeom>
                    <a:noFill/>
                    <a:ln>
                      <a:noFill/>
                    </a:ln>
                  </pic:spPr>
                </pic:pic>
              </a:graphicData>
            </a:graphic>
          </wp:inline>
        </w:drawing>
      </w:r>
    </w:p>
    <w:p>
      <w:r>
        <w:drawing>
          <wp:inline distT="0" distB="0" distL="114300" distR="114300">
            <wp:extent cx="4876800" cy="2190750"/>
            <wp:effectExtent l="0" t="0" r="0" b="6350"/>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15"/>
                    <a:stretch>
                      <a:fillRect/>
                    </a:stretch>
                  </pic:blipFill>
                  <pic:spPr>
                    <a:xfrm>
                      <a:off x="0" y="0"/>
                      <a:ext cx="4876800" cy="2190750"/>
                    </a:xfrm>
                    <a:prstGeom prst="rect">
                      <a:avLst/>
                    </a:prstGeom>
                    <a:noFill/>
                    <a:ln>
                      <a:noFill/>
                    </a:ln>
                  </pic:spPr>
                </pic:pic>
              </a:graphicData>
            </a:graphic>
          </wp:inline>
        </w:drawing>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经设计确定的标准配合比在施工过程中不得随意变更。生产过程中应加强跟踪检测，严格控制进场材料的质量，如遇材料发生变化并经检测沥青混合料的矿料级配、马歇尔技术指标不符要求时，应及时调整配合比，使沥青混合料的质量符合要求并保持相对稳定，必要时重新进行配合比设计。</w:t>
      </w:r>
    </w:p>
    <w:p>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4.2</w:t>
      </w:r>
      <w:r>
        <w:rPr>
          <w:rFonts w:hint="eastAsia" w:ascii="Times New Roman" w:hAnsi="Times New Roman" w:cs="Times New Roman"/>
          <w:sz w:val="32"/>
          <w:szCs w:val="32"/>
        </w:rPr>
        <w:t xml:space="preserve">、功能层技术要求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1</w:t>
      </w:r>
      <w:r>
        <w:rPr>
          <w:rFonts w:hint="eastAsia" w:ascii="Times New Roman" w:hAnsi="Times New Roman" w:cs="Times New Roman"/>
          <w:sz w:val="32"/>
          <w:szCs w:val="32"/>
        </w:rPr>
        <w:t xml:space="preserve">）透层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根据《公路沥青路面施工技术规范》</w:t>
      </w:r>
      <w:r>
        <w:rPr>
          <w:rFonts w:ascii="Times New Roman" w:hAnsi="Times New Roman" w:cs="Times New Roman"/>
          <w:sz w:val="32"/>
          <w:szCs w:val="32"/>
        </w:rPr>
        <w:t>JTG F40-2004</w:t>
      </w:r>
      <w:r>
        <w:rPr>
          <w:rFonts w:hint="eastAsia" w:ascii="Times New Roman" w:hAnsi="Times New Roman" w:cs="Times New Roman"/>
          <w:sz w:val="32"/>
          <w:szCs w:val="32"/>
        </w:rPr>
        <w:t>，沥青路面水泥稳定碎石基层上必须喷洒透层油，透层油宜在基层表面干燥状态下采用智能沥青洒布车喷洒。沥青层必须在透层油完全渗入基层后方可摊铺，透层油采用慢裂乳化沥青（</w:t>
      </w:r>
      <w:r>
        <w:rPr>
          <w:rFonts w:ascii="Times New Roman" w:hAnsi="Times New Roman" w:cs="Times New Roman"/>
          <w:sz w:val="32"/>
          <w:szCs w:val="32"/>
        </w:rPr>
        <w:t>PC-2</w:t>
      </w:r>
      <w:r>
        <w:rPr>
          <w:rFonts w:hint="eastAsia" w:ascii="Times New Roman" w:hAnsi="Times New Roman" w:cs="Times New Roman"/>
          <w:sz w:val="32"/>
          <w:szCs w:val="32"/>
        </w:rPr>
        <w:t xml:space="preserve">）。总用量控制在 </w:t>
      </w:r>
      <w:r>
        <w:rPr>
          <w:rFonts w:ascii="Times New Roman" w:hAnsi="Times New Roman" w:cs="Times New Roman"/>
          <w:sz w:val="32"/>
          <w:szCs w:val="32"/>
        </w:rPr>
        <w:t>0.7</w:t>
      </w:r>
      <w:r>
        <w:rPr>
          <w:rFonts w:hint="eastAsia" w:ascii="Times New Roman" w:hAnsi="Times New Roman" w:cs="Times New Roman"/>
          <w:sz w:val="32"/>
          <w:szCs w:val="32"/>
        </w:rPr>
        <w:t>～</w:t>
      </w:r>
      <w:r>
        <w:rPr>
          <w:rFonts w:ascii="Times New Roman" w:hAnsi="Times New Roman" w:cs="Times New Roman"/>
          <w:sz w:val="32"/>
          <w:szCs w:val="32"/>
        </w:rPr>
        <w:t xml:space="preserve">1.5L/m2 </w:t>
      </w:r>
      <w:r>
        <w:rPr>
          <w:rFonts w:hint="eastAsia" w:ascii="Times New Roman" w:hAnsi="Times New Roman" w:cs="Times New Roman"/>
          <w:sz w:val="32"/>
          <w:szCs w:val="32"/>
        </w:rPr>
        <w:t xml:space="preserve">的范围内（包括稀释剂和水分等在内的乳化沥青总量，乳化沥青中的残留物含量以 </w:t>
      </w:r>
      <w:r>
        <w:rPr>
          <w:rFonts w:ascii="Times New Roman" w:hAnsi="Times New Roman" w:cs="Times New Roman"/>
          <w:sz w:val="32"/>
          <w:szCs w:val="32"/>
        </w:rPr>
        <w:t>50%</w:t>
      </w:r>
      <w:r>
        <w:rPr>
          <w:rFonts w:hint="eastAsia" w:ascii="Times New Roman" w:hAnsi="Times New Roman" w:cs="Times New Roman"/>
          <w:sz w:val="32"/>
          <w:szCs w:val="32"/>
        </w:rPr>
        <w:t xml:space="preserve">为基准），一次性喷洒，以不流淌为度，具体洒布量以试验路确定。乳化沥青的技术要求见表 </w:t>
      </w:r>
      <w:r>
        <w:rPr>
          <w:rFonts w:ascii="Times New Roman" w:hAnsi="Times New Roman" w:cs="Times New Roman"/>
          <w:sz w:val="32"/>
          <w:szCs w:val="32"/>
        </w:rPr>
        <w:t>4.2.1</w:t>
      </w:r>
      <w:r>
        <w:rPr>
          <w:rFonts w:hint="eastAsia" w:ascii="Times New Roman" w:hAnsi="Times New Roman" w:cs="Times New Roman"/>
          <w:sz w:val="32"/>
          <w:szCs w:val="32"/>
        </w:rPr>
        <w:t xml:space="preserve">。 </w:t>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透层、封层、粘层乳化沥青的技术要求 表 </w:t>
      </w:r>
      <w:r>
        <w:rPr>
          <w:rFonts w:ascii="Times New Roman" w:hAnsi="Times New Roman" w:cs="Times New Roman"/>
          <w:sz w:val="32"/>
          <w:szCs w:val="32"/>
        </w:rPr>
        <w:t xml:space="preserve">4.2.1 </w:t>
      </w:r>
    </w:p>
    <w:p>
      <w:pPr>
        <w:widowControl/>
        <w:jc w:val="left"/>
      </w:pPr>
      <w:r>
        <w:drawing>
          <wp:inline distT="0" distB="0" distL="114300" distR="114300">
            <wp:extent cx="4810125" cy="3409950"/>
            <wp:effectExtent l="0" t="0" r="3175" b="635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6"/>
                    <a:stretch>
                      <a:fillRect/>
                    </a:stretch>
                  </pic:blipFill>
                  <pic:spPr>
                    <a:xfrm>
                      <a:off x="0" y="0"/>
                      <a:ext cx="4810125" cy="3409950"/>
                    </a:xfrm>
                    <a:prstGeom prst="rect">
                      <a:avLst/>
                    </a:prstGeom>
                    <a:noFill/>
                    <a:ln>
                      <a:noFill/>
                    </a:ln>
                  </pic:spPr>
                </pic:pic>
              </a:graphicData>
            </a:graphic>
          </wp:inline>
        </w:drawing>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2</w:t>
      </w:r>
      <w:r>
        <w:rPr>
          <w:rFonts w:hint="eastAsia" w:ascii="Times New Roman" w:hAnsi="Times New Roman" w:cs="Times New Roman"/>
          <w:sz w:val="32"/>
          <w:szCs w:val="32"/>
        </w:rPr>
        <w:t xml:space="preserve">）封层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为防止雨水下渗到基层以下，保护基层不被施工车辆破坏，在透层油挥发、破乳完成后应及时铺筑下封层。下封层采用改性乳化沥青表面处治，采用智能洒布车喷洒</w:t>
      </w:r>
      <w:r>
        <w:rPr>
          <w:rFonts w:ascii="Times New Roman" w:hAnsi="Times New Roman" w:cs="Times New Roman"/>
          <w:sz w:val="32"/>
          <w:szCs w:val="32"/>
        </w:rPr>
        <w:t>SBS</w:t>
      </w:r>
      <w:r>
        <w:rPr>
          <w:rFonts w:hint="eastAsia" w:ascii="Times New Roman" w:hAnsi="Times New Roman" w:cs="Times New Roman"/>
          <w:sz w:val="32"/>
          <w:szCs w:val="32"/>
        </w:rPr>
        <w:t>改性乳化沥青，数量按纯沥青量</w:t>
      </w:r>
      <w:r>
        <w:rPr>
          <w:rFonts w:ascii="Times New Roman" w:hAnsi="Times New Roman" w:cs="Times New Roman"/>
          <w:sz w:val="32"/>
          <w:szCs w:val="32"/>
        </w:rPr>
        <w:t>0.9~1.0kg/m2</w:t>
      </w:r>
      <w:r>
        <w:rPr>
          <w:rFonts w:hint="eastAsia" w:ascii="Times New Roman" w:hAnsi="Times New Roman" w:cs="Times New Roman"/>
          <w:sz w:val="32"/>
          <w:szCs w:val="32"/>
        </w:rPr>
        <w:t>控制。当封层改性乳化沥青喷洒后，立即用集料撒布机撒布集料，数量按</w:t>
      </w:r>
      <w:r>
        <w:rPr>
          <w:rFonts w:ascii="Times New Roman" w:hAnsi="Times New Roman" w:cs="Times New Roman"/>
          <w:sz w:val="32"/>
          <w:szCs w:val="32"/>
        </w:rPr>
        <w:t>5~8m3/1000m2</w:t>
      </w:r>
      <w:r>
        <w:rPr>
          <w:rFonts w:hint="eastAsia" w:ascii="Times New Roman" w:hAnsi="Times New Roman" w:cs="Times New Roman"/>
          <w:sz w:val="32"/>
          <w:szCs w:val="32"/>
        </w:rPr>
        <w:t>控制，粒径为</w:t>
      </w:r>
      <w:r>
        <w:rPr>
          <w:rFonts w:ascii="Times New Roman" w:hAnsi="Times New Roman" w:cs="Times New Roman"/>
          <w:sz w:val="32"/>
          <w:szCs w:val="32"/>
        </w:rPr>
        <w:t>5~7mm</w:t>
      </w:r>
      <w:r>
        <w:rPr>
          <w:rFonts w:hint="eastAsia" w:ascii="Times New Roman" w:hAnsi="Times New Roman" w:cs="Times New Roman"/>
          <w:sz w:val="32"/>
          <w:szCs w:val="32"/>
        </w:rPr>
        <w:t>，碎石覆盖率为</w:t>
      </w:r>
      <w:r>
        <w:rPr>
          <w:rFonts w:ascii="Times New Roman" w:hAnsi="Times New Roman" w:cs="Times New Roman"/>
          <w:sz w:val="32"/>
          <w:szCs w:val="32"/>
        </w:rPr>
        <w:t>60~70%</w:t>
      </w:r>
      <w:r>
        <w:rPr>
          <w:rFonts w:hint="eastAsia" w:ascii="Times New Roman" w:hAnsi="Times New Roman" w:cs="Times New Roman"/>
          <w:sz w:val="32"/>
          <w:szCs w:val="32"/>
        </w:rPr>
        <w:t>，一层适宜厚度</w:t>
      </w:r>
      <w:r>
        <w:rPr>
          <w:rFonts w:ascii="Times New Roman" w:hAnsi="Times New Roman" w:cs="Times New Roman"/>
          <w:sz w:val="32"/>
          <w:szCs w:val="32"/>
        </w:rPr>
        <w:t>8~ 10mm</w:t>
      </w:r>
      <w:r>
        <w:rPr>
          <w:rFonts w:hint="eastAsia" w:ascii="Times New Roman" w:hAnsi="Times New Roman" w:cs="Times New Roman"/>
          <w:sz w:val="32"/>
          <w:szCs w:val="32"/>
        </w:rPr>
        <w:t>，其级配见</w:t>
      </w:r>
      <w:r>
        <w:rPr>
          <w:rFonts w:ascii="Times New Roman" w:hAnsi="Times New Roman" w:cs="Times New Roman"/>
          <w:sz w:val="32"/>
          <w:szCs w:val="32"/>
        </w:rPr>
        <w:t xml:space="preserve">4.2.1 </w:t>
      </w:r>
      <w:r>
        <w:rPr>
          <w:rFonts w:hint="eastAsia" w:ascii="Times New Roman" w:hAnsi="Times New Roman" w:cs="Times New Roman"/>
          <w:sz w:val="32"/>
          <w:szCs w:val="32"/>
        </w:rPr>
        <w:t xml:space="preserve">表所示。 </w:t>
      </w:r>
    </w:p>
    <w:p>
      <w:pPr>
        <w:widowControl/>
        <w:jc w:val="left"/>
        <w:rPr>
          <w:rFonts w:ascii="Times New Roman" w:hAnsi="Times New Roman" w:cs="Times New Roman"/>
          <w:sz w:val="32"/>
          <w:szCs w:val="32"/>
        </w:rPr>
      </w:pPr>
      <w:r>
        <w:rPr>
          <w:rFonts w:hint="eastAsia" w:ascii="Times New Roman" w:hAnsi="Times New Roman" w:cs="Times New Roman"/>
          <w:sz w:val="32"/>
          <w:szCs w:val="32"/>
        </w:rPr>
        <w:t xml:space="preserve">改性乳化沥青表面处治下封层矿料级配（方孔筛） 表 </w:t>
      </w:r>
      <w:r>
        <w:rPr>
          <w:rFonts w:ascii="Times New Roman" w:hAnsi="Times New Roman" w:cs="Times New Roman"/>
          <w:sz w:val="32"/>
          <w:szCs w:val="32"/>
        </w:rPr>
        <w:t>4.2.1</w:t>
      </w:r>
    </w:p>
    <w:p>
      <w:pPr>
        <w:widowControl/>
        <w:ind w:firstLine="420" w:firstLineChars="200"/>
        <w:jc w:val="left"/>
        <w:rPr>
          <w:rFonts w:ascii="Times New Roman" w:hAnsi="Times New Roman" w:cs="Times New Roman"/>
          <w:sz w:val="32"/>
          <w:szCs w:val="32"/>
        </w:rPr>
      </w:pPr>
      <w:r>
        <w:drawing>
          <wp:inline distT="0" distB="0" distL="114300" distR="114300">
            <wp:extent cx="4772025" cy="447675"/>
            <wp:effectExtent l="0" t="0" r="3175" b="9525"/>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7"/>
                    <a:stretch>
                      <a:fillRect/>
                    </a:stretch>
                  </pic:blipFill>
                  <pic:spPr>
                    <a:xfrm>
                      <a:off x="0" y="0"/>
                      <a:ext cx="4772025" cy="447675"/>
                    </a:xfrm>
                    <a:prstGeom prst="rect">
                      <a:avLst/>
                    </a:prstGeom>
                    <a:noFill/>
                    <a:ln>
                      <a:noFill/>
                    </a:ln>
                  </pic:spPr>
                </pic:pic>
              </a:graphicData>
            </a:graphic>
          </wp:inline>
        </w:drawing>
      </w:r>
      <w:r>
        <w:rPr>
          <w:rFonts w:hint="eastAsia" w:ascii="Times New Roman" w:hAnsi="Times New Roman" w:cs="Times New Roman"/>
          <w:sz w:val="32"/>
          <w:szCs w:val="32"/>
        </w:rPr>
        <w:drawing>
          <wp:inline distT="0" distB="0" distL="114300" distR="114300">
            <wp:extent cx="4762500" cy="457200"/>
            <wp:effectExtent l="0" t="0" r="0" b="0"/>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pic:cNvPicPr>
                  </pic:nvPicPr>
                  <pic:blipFill>
                    <a:blip r:embed="rId18"/>
                    <a:stretch>
                      <a:fillRect/>
                    </a:stretch>
                  </pic:blipFill>
                  <pic:spPr>
                    <a:xfrm>
                      <a:off x="0" y="0"/>
                      <a:ext cx="4762500" cy="457200"/>
                    </a:xfrm>
                    <a:prstGeom prst="rect">
                      <a:avLst/>
                    </a:prstGeom>
                    <a:noFill/>
                    <a:ln>
                      <a:noFill/>
                    </a:ln>
                  </pic:spPr>
                </pic:pic>
              </a:graphicData>
            </a:graphic>
          </wp:inline>
        </w:drawing>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w:t>
      </w:r>
      <w:r>
        <w:rPr>
          <w:rFonts w:ascii="Times New Roman" w:hAnsi="Times New Roman" w:cs="Times New Roman"/>
          <w:sz w:val="32"/>
          <w:szCs w:val="32"/>
        </w:rPr>
        <w:t>3</w:t>
      </w:r>
      <w:r>
        <w:rPr>
          <w:rFonts w:hint="eastAsia" w:ascii="Times New Roman" w:hAnsi="Times New Roman" w:cs="Times New Roman"/>
          <w:sz w:val="32"/>
          <w:szCs w:val="32"/>
        </w:rPr>
        <w:t xml:space="preserve">）粘层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在热拌热铺沥青混合料路面的沥青层之间必须喷洒粘层油，粘层采用阳离子改性乳化沥青</w:t>
      </w:r>
      <w:r>
        <w:rPr>
          <w:rFonts w:ascii="Times New Roman" w:hAnsi="Times New Roman" w:cs="Times New Roman"/>
          <w:sz w:val="32"/>
          <w:szCs w:val="32"/>
        </w:rPr>
        <w:t>(PCR)</w:t>
      </w:r>
      <w:r>
        <w:rPr>
          <w:rFonts w:hint="eastAsia" w:ascii="Times New Roman" w:hAnsi="Times New Roman" w:cs="Times New Roman"/>
          <w:sz w:val="32"/>
          <w:szCs w:val="32"/>
        </w:rPr>
        <w:t>，用量宜为</w:t>
      </w:r>
      <w:r>
        <w:rPr>
          <w:rFonts w:ascii="Times New Roman" w:hAnsi="Times New Roman" w:cs="Times New Roman"/>
          <w:sz w:val="32"/>
          <w:szCs w:val="32"/>
        </w:rPr>
        <w:t>0.3</w:t>
      </w:r>
      <w:r>
        <w:rPr>
          <w:rFonts w:hint="eastAsia" w:ascii="Times New Roman" w:hAnsi="Times New Roman" w:cs="Times New Roman"/>
          <w:sz w:val="32"/>
          <w:szCs w:val="32"/>
        </w:rPr>
        <w:t>～</w:t>
      </w:r>
      <w:r>
        <w:rPr>
          <w:rFonts w:ascii="Times New Roman" w:hAnsi="Times New Roman" w:cs="Times New Roman"/>
          <w:sz w:val="32"/>
          <w:szCs w:val="32"/>
        </w:rPr>
        <w:t>0.6L/m2</w:t>
      </w:r>
      <w:r>
        <w:rPr>
          <w:rFonts w:hint="eastAsia" w:ascii="Times New Roman" w:hAnsi="Times New Roman" w:cs="Times New Roman"/>
          <w:sz w:val="32"/>
          <w:szCs w:val="32"/>
        </w:rPr>
        <w:t>。粘层油应采用智能沥青洒布车喷洒，并选择适宜的喷嘴，气温低于</w:t>
      </w:r>
      <w:r>
        <w:rPr>
          <w:rFonts w:ascii="Times New Roman" w:hAnsi="Times New Roman" w:cs="Times New Roman"/>
          <w:sz w:val="32"/>
          <w:szCs w:val="32"/>
        </w:rPr>
        <w:t>10℃</w:t>
      </w:r>
      <w:r>
        <w:rPr>
          <w:rFonts w:hint="eastAsia" w:ascii="Times New Roman" w:hAnsi="Times New Roman" w:cs="Times New Roman"/>
          <w:sz w:val="32"/>
          <w:szCs w:val="32"/>
        </w:rPr>
        <w:t>时，不得喷洒粘层油，当路面潮湿时亦不得喷洒粘层油。路面上有脏物、尘土时应清除干净，当有沾粘的土块时，应用水洗刷后待表面干燥后喷洒。喷洒的粘层油必须成均匀雾状，在路面全宽度内均匀分布成一薄层，不得有洒花漏空或成条带状，也不得有堆积。喷洒不足的应补洒，过量处应刮除。喷洒粘层油后，严禁运料车外的其他车辆和行人通过。粘层油宜在当天洒布，待乳化沥青破乳、水分蒸发完成后，紧跟着铺设沥青层，确保粘层不受污染。</w:t>
      </w:r>
      <w:r>
        <w:rPr>
          <w:rFonts w:ascii="Times New Roman" w:hAnsi="Times New Roman" w:cs="Times New Roman"/>
          <w:sz w:val="32"/>
          <w:szCs w:val="32"/>
        </w:rPr>
        <w:t xml:space="preserve">PCR </w:t>
      </w:r>
      <w:r>
        <w:rPr>
          <w:rFonts w:hint="eastAsia" w:ascii="Times New Roman" w:hAnsi="Times New Roman" w:cs="Times New Roman"/>
          <w:sz w:val="32"/>
          <w:szCs w:val="32"/>
        </w:rPr>
        <w:t xml:space="preserve">技术指标见表 </w:t>
      </w:r>
      <w:r>
        <w:rPr>
          <w:rFonts w:ascii="Times New Roman" w:hAnsi="Times New Roman" w:cs="Times New Roman"/>
          <w:sz w:val="32"/>
          <w:szCs w:val="32"/>
        </w:rPr>
        <w:t>4.2.1</w:t>
      </w:r>
      <w:r>
        <w:rPr>
          <w:rFonts w:hint="eastAsia" w:ascii="Times New Roman" w:hAnsi="Times New Roman" w:cs="Times New Roman"/>
          <w:sz w:val="32"/>
          <w:szCs w:val="32"/>
        </w:rPr>
        <w:t>。</w:t>
      </w:r>
    </w:p>
    <w:p>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 NRP </w:t>
      </w:r>
      <w:r>
        <w:rPr>
          <w:rFonts w:hint="eastAsia" w:ascii="Times New Roman" w:hAnsi="Times New Roman" w:cs="Times New Roman"/>
          <w:sz w:val="32"/>
          <w:szCs w:val="32"/>
        </w:rPr>
        <w:t xml:space="preserve">新工艺 </w:t>
      </w:r>
    </w:p>
    <w:p>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4.5.1 </w:t>
      </w:r>
      <w:r>
        <w:rPr>
          <w:rFonts w:hint="eastAsia" w:ascii="Times New Roman" w:hAnsi="Times New Roman" w:cs="Times New Roman"/>
          <w:sz w:val="32"/>
          <w:szCs w:val="32"/>
        </w:rPr>
        <w:t xml:space="preserve">沥青 </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沥青一般选用 </w:t>
      </w:r>
      <w:r>
        <w:rPr>
          <w:rFonts w:ascii="Times New Roman" w:hAnsi="Times New Roman" w:cs="Times New Roman"/>
          <w:sz w:val="32"/>
          <w:szCs w:val="32"/>
        </w:rPr>
        <w:t xml:space="preserve">70#A </w:t>
      </w:r>
      <w:r>
        <w:rPr>
          <w:rFonts w:hint="eastAsia" w:ascii="Times New Roman" w:hAnsi="Times New Roman" w:cs="Times New Roman"/>
          <w:sz w:val="32"/>
          <w:szCs w:val="32"/>
        </w:rPr>
        <w:t>级基质沥青，技术指标满足《公路沥青路面施工技术规范》</w:t>
      </w:r>
      <w:r>
        <w:rPr>
          <w:rFonts w:ascii="Times New Roman" w:hAnsi="Times New Roman" w:cs="Times New Roman"/>
          <w:sz w:val="32"/>
          <w:szCs w:val="32"/>
        </w:rPr>
        <w:t>(JTG F40- 2004)</w:t>
      </w:r>
      <w:r>
        <w:rPr>
          <w:rFonts w:hint="eastAsia" w:ascii="Times New Roman" w:hAnsi="Times New Roman" w:cs="Times New Roman"/>
          <w:sz w:val="32"/>
          <w:szCs w:val="32"/>
        </w:rPr>
        <w:t>的要求。</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基质沥青应进行其与无车辙（维修）沥青路面改性剂的配伍性检验。有多种基质沥青可选择时，选择与无车辙（维修）沥青路面改性剂配制后性能指标较高的基质沥。</w:t>
      </w:r>
    </w:p>
    <w:p>
      <w:pPr>
        <w:widowControl/>
        <w:spacing w:line="440" w:lineRule="exact"/>
        <w:ind w:firstLine="640" w:firstLineChars="200"/>
        <w:jc w:val="left"/>
        <w:rPr>
          <w:rFonts w:ascii="Times New Roman" w:hAnsi="Times New Roman" w:cs="Times New Roman"/>
          <w:sz w:val="32"/>
          <w:szCs w:val="32"/>
        </w:rPr>
      </w:pPr>
      <w:r>
        <w:rPr>
          <w:rFonts w:ascii="Times New Roman" w:hAnsi="Times New Roman" w:cs="Times New Roman"/>
          <w:sz w:val="32"/>
          <w:szCs w:val="32"/>
        </w:rPr>
        <w:t>4.5.2</w:t>
      </w:r>
      <w:r>
        <w:rPr>
          <w:rFonts w:hint="eastAsia" w:ascii="Times New Roman" w:hAnsi="Times New Roman" w:cs="Times New Roman"/>
          <w:sz w:val="32"/>
          <w:szCs w:val="32"/>
        </w:rPr>
        <w:t>无车辙（维修）沥青路面改性剂。设计寿命期无车辙（维修）沥青路面改性剂（简称无车辙沥青路面改性剂，</w:t>
      </w:r>
      <w:r>
        <w:rPr>
          <w:rFonts w:ascii="Times New Roman" w:hAnsi="Times New Roman" w:cs="Times New Roman"/>
          <w:sz w:val="32"/>
          <w:szCs w:val="32"/>
        </w:rPr>
        <w:t>NRP</w:t>
      </w:r>
      <w:r>
        <w:rPr>
          <w:rFonts w:hint="eastAsia" w:ascii="Times New Roman" w:hAnsi="Times New Roman" w:cs="Times New Roman"/>
          <w:sz w:val="32"/>
          <w:szCs w:val="32"/>
        </w:rPr>
        <w:t>）是干法</w:t>
      </w:r>
      <w:r>
        <w:rPr>
          <w:rFonts w:ascii="Times New Roman" w:hAnsi="Times New Roman" w:cs="Times New Roman"/>
          <w:sz w:val="32"/>
          <w:szCs w:val="32"/>
        </w:rPr>
        <w:t>SBS</w:t>
      </w:r>
      <w:r>
        <w:rPr>
          <w:rFonts w:hint="eastAsia" w:ascii="Times New Roman" w:hAnsi="Times New Roman" w:cs="Times New Roman"/>
          <w:sz w:val="32"/>
          <w:szCs w:val="32"/>
        </w:rPr>
        <w:t>和反应型树脂复合高分子材料，在沥青混合料拌和过程中通过干法工艺添加，其在石料高 温激发下与沥青发生交联反应而形成不溶、不熔的三向网状结构。同时，干法</w:t>
      </w:r>
      <w:r>
        <w:rPr>
          <w:rFonts w:ascii="Times New Roman" w:hAnsi="Times New Roman" w:cs="Times New Roman"/>
          <w:sz w:val="32"/>
          <w:szCs w:val="32"/>
        </w:rPr>
        <w:t>SBS</w:t>
      </w:r>
      <w:r>
        <w:rPr>
          <w:rFonts w:hint="eastAsia" w:ascii="Times New Roman" w:hAnsi="Times New Roman" w:cs="Times New Roman"/>
          <w:sz w:val="32"/>
          <w:szCs w:val="32"/>
        </w:rPr>
        <w:t xml:space="preserve">基材提升沥青混凝土抗水损、抗开裂性能。 </w:t>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无车辙沥青路面改性剂（</w:t>
      </w:r>
      <w:r>
        <w:rPr>
          <w:rFonts w:ascii="Times New Roman" w:hAnsi="Times New Roman" w:cs="Times New Roman"/>
          <w:sz w:val="32"/>
          <w:szCs w:val="32"/>
        </w:rPr>
        <w:t>NRP</w:t>
      </w:r>
      <w:r>
        <w:rPr>
          <w:rFonts w:hint="eastAsia" w:ascii="Times New Roman" w:hAnsi="Times New Roman" w:cs="Times New Roman"/>
          <w:sz w:val="32"/>
          <w:szCs w:val="32"/>
        </w:rPr>
        <w:t>）技术要求如下表所示</w:t>
      </w:r>
    </w:p>
    <w:tbl>
      <w:tblPr>
        <w:tblStyle w:val="11"/>
        <w:tblW w:w="46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7"/>
        <w:gridCol w:w="1010"/>
        <w:gridCol w:w="2564"/>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pPr>
              <w:jc w:val="center"/>
              <w:rPr>
                <w:rFonts w:ascii="宋体" w:hAnsi="宋体" w:cs="宋体"/>
                <w:color w:val="000000"/>
                <w:sz w:val="18"/>
                <w:szCs w:val="18"/>
              </w:rPr>
            </w:pPr>
            <w:r>
              <w:rPr>
                <w:rFonts w:hint="eastAsia" w:ascii="宋体" w:hAnsi="宋体" w:cs="宋体"/>
                <w:color w:val="000000"/>
                <w:sz w:val="18"/>
                <w:szCs w:val="18"/>
              </w:rPr>
              <w:t>试验项目</w:t>
            </w:r>
          </w:p>
        </w:tc>
        <w:tc>
          <w:tcPr>
            <w:tcW w:w="641" w:type="pct"/>
            <w:vAlign w:val="center"/>
          </w:tcPr>
          <w:p>
            <w:pPr>
              <w:jc w:val="center"/>
              <w:rPr>
                <w:rFonts w:ascii="宋体" w:hAnsi="宋体" w:cs="宋体"/>
                <w:color w:val="000000"/>
                <w:sz w:val="18"/>
                <w:szCs w:val="18"/>
              </w:rPr>
            </w:pPr>
            <w:r>
              <w:rPr>
                <w:rFonts w:hint="eastAsia" w:ascii="宋体" w:hAnsi="宋体" w:cs="宋体"/>
                <w:color w:val="000000"/>
                <w:sz w:val="18"/>
                <w:szCs w:val="18"/>
              </w:rPr>
              <w:t>单位</w:t>
            </w:r>
          </w:p>
        </w:tc>
        <w:tc>
          <w:tcPr>
            <w:tcW w:w="1628" w:type="pct"/>
            <w:vAlign w:val="center"/>
          </w:tcPr>
          <w:p>
            <w:pPr>
              <w:jc w:val="center"/>
              <w:rPr>
                <w:rFonts w:ascii="宋体" w:hAnsi="宋体" w:cs="宋体"/>
                <w:color w:val="000000"/>
                <w:sz w:val="18"/>
                <w:szCs w:val="18"/>
              </w:rPr>
            </w:pPr>
            <w:r>
              <w:rPr>
                <w:rFonts w:hint="eastAsia" w:ascii="宋体" w:hAnsi="宋体" w:cs="宋体"/>
                <w:color w:val="000000"/>
                <w:sz w:val="18"/>
                <w:szCs w:val="18"/>
              </w:rPr>
              <w:t>技术要求</w:t>
            </w:r>
          </w:p>
        </w:tc>
        <w:tc>
          <w:tcPr>
            <w:tcW w:w="1480" w:type="pct"/>
          </w:tcPr>
          <w:p>
            <w:pPr>
              <w:jc w:val="center"/>
              <w:rPr>
                <w:rFonts w:ascii="宋体" w:hAnsi="宋体" w:cs="宋体"/>
                <w:color w:val="000000"/>
                <w:sz w:val="18"/>
                <w:szCs w:val="18"/>
              </w:rPr>
            </w:pPr>
            <w:r>
              <w:rPr>
                <w:rFonts w:hint="eastAsia" w:ascii="宋体" w:hAnsi="宋体" w:cs="宋体"/>
                <w:color w:val="000000"/>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pPr>
              <w:jc w:val="center"/>
              <w:rPr>
                <w:rFonts w:ascii="宋体" w:hAnsi="宋体" w:cs="宋体"/>
                <w:color w:val="000000"/>
                <w:sz w:val="18"/>
                <w:szCs w:val="18"/>
              </w:rPr>
            </w:pPr>
            <w:r>
              <w:rPr>
                <w:rFonts w:hint="eastAsia" w:ascii="宋体" w:hAnsi="宋体" w:cs="宋体"/>
                <w:color w:val="000000"/>
                <w:sz w:val="18"/>
                <w:szCs w:val="18"/>
              </w:rPr>
              <w:t>外观</w:t>
            </w:r>
          </w:p>
        </w:tc>
        <w:tc>
          <w:tcPr>
            <w:tcW w:w="641" w:type="pct"/>
            <w:vAlign w:val="center"/>
          </w:tcPr>
          <w:p>
            <w:pPr>
              <w:jc w:val="center"/>
              <w:rPr>
                <w:rFonts w:ascii="宋体" w:hAnsi="宋体" w:cs="宋体"/>
                <w:color w:val="000000"/>
                <w:sz w:val="18"/>
                <w:szCs w:val="18"/>
              </w:rPr>
            </w:pPr>
          </w:p>
        </w:tc>
        <w:tc>
          <w:tcPr>
            <w:tcW w:w="1628" w:type="pct"/>
            <w:vAlign w:val="center"/>
          </w:tcPr>
          <w:p>
            <w:pPr>
              <w:jc w:val="center"/>
              <w:rPr>
                <w:rFonts w:ascii="宋体" w:hAnsi="宋体" w:cs="宋体"/>
                <w:color w:val="000000"/>
                <w:sz w:val="18"/>
                <w:szCs w:val="18"/>
              </w:rPr>
            </w:pPr>
            <w:r>
              <w:rPr>
                <w:rFonts w:hint="eastAsia" w:ascii="宋体" w:hAnsi="宋体" w:cs="宋体"/>
                <w:color w:val="000000"/>
                <w:sz w:val="18"/>
                <w:szCs w:val="18"/>
              </w:rPr>
              <w:t>弹性粉状，均匀、无结块</w:t>
            </w:r>
          </w:p>
        </w:tc>
        <w:tc>
          <w:tcPr>
            <w:tcW w:w="1480" w:type="pct"/>
          </w:tcPr>
          <w:p>
            <w:pPr>
              <w:jc w:val="center"/>
              <w:rPr>
                <w:rFonts w:ascii="宋体" w:hAnsi="宋体" w:cs="宋体"/>
                <w:color w:val="000000"/>
                <w:sz w:val="18"/>
                <w:szCs w:val="18"/>
              </w:rPr>
            </w:pPr>
            <w:r>
              <w:rPr>
                <w:rFonts w:hint="eastAsia" w:ascii="宋体" w:hAnsi="宋体" w:cs="宋体"/>
                <w:color w:val="000000"/>
                <w:sz w:val="18"/>
                <w:szCs w:val="18"/>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pPr>
              <w:jc w:val="center"/>
              <w:rPr>
                <w:rFonts w:ascii="宋体" w:hAnsi="宋体" w:cs="宋体"/>
                <w:color w:val="000000"/>
                <w:sz w:val="18"/>
                <w:szCs w:val="18"/>
              </w:rPr>
            </w:pPr>
            <w:r>
              <w:rPr>
                <w:rFonts w:hint="eastAsia" w:ascii="宋体" w:hAnsi="宋体" w:cs="宋体"/>
                <w:color w:val="000000"/>
                <w:sz w:val="18"/>
                <w:szCs w:val="18"/>
              </w:rPr>
              <w:t>单个颗粒质量</w:t>
            </w:r>
          </w:p>
        </w:tc>
        <w:tc>
          <w:tcPr>
            <w:tcW w:w="641" w:type="pct"/>
            <w:vAlign w:val="center"/>
          </w:tcPr>
          <w:p>
            <w:pPr>
              <w:jc w:val="center"/>
              <w:rPr>
                <w:rFonts w:ascii="宋体" w:hAnsi="宋体" w:cs="宋体"/>
                <w:color w:val="000000"/>
                <w:sz w:val="18"/>
                <w:szCs w:val="18"/>
              </w:rPr>
            </w:pPr>
            <w:r>
              <w:rPr>
                <w:rFonts w:hint="eastAsia" w:ascii="宋体" w:hAnsi="宋体" w:cs="宋体"/>
                <w:color w:val="000000"/>
                <w:sz w:val="18"/>
                <w:szCs w:val="18"/>
              </w:rPr>
              <w:t>g</w:t>
            </w:r>
          </w:p>
        </w:tc>
        <w:tc>
          <w:tcPr>
            <w:tcW w:w="1628" w:type="pct"/>
            <w:vAlign w:val="center"/>
          </w:tcPr>
          <w:p>
            <w:pPr>
              <w:jc w:val="center"/>
              <w:rPr>
                <w:rFonts w:ascii="宋体" w:hAnsi="宋体" w:cs="宋体"/>
                <w:color w:val="000000"/>
                <w:sz w:val="18"/>
                <w:szCs w:val="18"/>
              </w:rPr>
            </w:pPr>
            <w:r>
              <w:rPr>
                <w:rFonts w:hint="eastAsia" w:ascii="宋体" w:hAnsi="宋体" w:cs="宋体"/>
                <w:color w:val="000000"/>
                <w:sz w:val="18"/>
                <w:szCs w:val="18"/>
              </w:rPr>
              <w:t>≤0</w:t>
            </w:r>
            <w:r>
              <w:rPr>
                <w:rFonts w:ascii="宋体" w:hAnsi="宋体" w:cs="宋体"/>
                <w:color w:val="000000"/>
                <w:sz w:val="18"/>
                <w:szCs w:val="18"/>
              </w:rPr>
              <w:t>.0</w:t>
            </w:r>
            <w:r>
              <w:rPr>
                <w:rFonts w:hint="eastAsia" w:ascii="宋体" w:hAnsi="宋体" w:cs="宋体"/>
                <w:color w:val="000000"/>
                <w:sz w:val="18"/>
                <w:szCs w:val="18"/>
              </w:rPr>
              <w:t>03</w:t>
            </w:r>
          </w:p>
        </w:tc>
        <w:tc>
          <w:tcPr>
            <w:tcW w:w="1480" w:type="pct"/>
          </w:tcPr>
          <w:p>
            <w:pPr>
              <w:jc w:val="center"/>
              <w:rPr>
                <w:rFonts w:ascii="宋体" w:hAnsi="宋体" w:cs="宋体"/>
                <w:color w:val="000000"/>
                <w:sz w:val="18"/>
                <w:szCs w:val="18"/>
              </w:rPr>
            </w:pPr>
            <w:r>
              <w:rPr>
                <w:rFonts w:hint="eastAsia" w:ascii="宋体" w:hAnsi="宋体" w:cs="宋体"/>
                <w:color w:val="000000"/>
                <w:sz w:val="18"/>
                <w:szCs w:val="18"/>
              </w:rPr>
              <w:t>CHTS/T 20003 附录A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pPr>
              <w:jc w:val="center"/>
              <w:rPr>
                <w:rFonts w:ascii="宋体" w:hAnsi="宋体" w:cs="宋体"/>
                <w:color w:val="000000"/>
                <w:sz w:val="18"/>
                <w:szCs w:val="18"/>
              </w:rPr>
            </w:pPr>
            <w:r>
              <w:rPr>
                <w:rFonts w:hint="eastAsia" w:ascii="宋体" w:hAnsi="宋体" w:cs="宋体"/>
                <w:color w:val="000000"/>
                <w:sz w:val="18"/>
                <w:szCs w:val="18"/>
              </w:rPr>
              <w:t>灰分含量</w:t>
            </w:r>
          </w:p>
        </w:tc>
        <w:tc>
          <w:tcPr>
            <w:tcW w:w="641" w:type="pct"/>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1628" w:type="pct"/>
            <w:vAlign w:val="center"/>
          </w:tcPr>
          <w:p>
            <w:pPr>
              <w:jc w:val="center"/>
              <w:rPr>
                <w:rFonts w:ascii="宋体" w:hAnsi="宋体" w:cs="宋体"/>
                <w:color w:val="000000"/>
                <w:sz w:val="18"/>
                <w:szCs w:val="18"/>
              </w:rPr>
            </w:pPr>
            <w:r>
              <w:rPr>
                <w:rFonts w:ascii="宋体" w:hAnsi="宋体" w:cs="宋体"/>
                <w:color w:val="000000"/>
                <w:sz w:val="18"/>
                <w:szCs w:val="18"/>
              </w:rPr>
              <w:t>≤5.0</w:t>
            </w:r>
          </w:p>
        </w:tc>
        <w:tc>
          <w:tcPr>
            <w:tcW w:w="1480" w:type="pct"/>
          </w:tcPr>
          <w:p>
            <w:pPr>
              <w:jc w:val="center"/>
              <w:rPr>
                <w:rFonts w:ascii="宋体" w:hAnsi="宋体" w:cs="宋体"/>
                <w:color w:val="000000"/>
                <w:sz w:val="18"/>
                <w:szCs w:val="18"/>
              </w:rPr>
            </w:pPr>
            <w:r>
              <w:rPr>
                <w:rFonts w:hint="eastAsia" w:ascii="宋体" w:hAnsi="宋体"/>
                <w:color w:val="000000"/>
                <w:sz w:val="18"/>
              </w:rPr>
              <w:t xml:space="preserve">JTG E20 </w:t>
            </w:r>
            <w:r>
              <w:rPr>
                <w:rFonts w:hint="eastAsia" w:ascii="宋体" w:hAnsi="宋体" w:cs="宋体"/>
                <w:color w:val="000000"/>
                <w:sz w:val="18"/>
                <w:szCs w:val="18"/>
              </w:rPr>
              <w:t>T 0614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49" w:type="pct"/>
            <w:vAlign w:val="center"/>
          </w:tcPr>
          <w:p>
            <w:pPr>
              <w:jc w:val="center"/>
              <w:rPr>
                <w:rFonts w:ascii="宋体" w:hAnsi="宋体" w:cs="宋体"/>
                <w:color w:val="000000"/>
                <w:sz w:val="18"/>
                <w:szCs w:val="18"/>
              </w:rPr>
            </w:pPr>
            <w:r>
              <w:rPr>
                <w:rFonts w:hint="eastAsia" w:ascii="宋体" w:hAnsi="宋体" w:cs="宋体"/>
                <w:color w:val="000000"/>
                <w:sz w:val="18"/>
                <w:szCs w:val="18"/>
              </w:rPr>
              <w:t>熔融指数</w:t>
            </w:r>
          </w:p>
        </w:tc>
        <w:tc>
          <w:tcPr>
            <w:tcW w:w="641" w:type="pct"/>
            <w:vAlign w:val="center"/>
          </w:tcPr>
          <w:p>
            <w:pPr>
              <w:jc w:val="center"/>
              <w:rPr>
                <w:rFonts w:ascii="宋体" w:hAnsi="宋体" w:cs="宋体"/>
                <w:color w:val="000000"/>
                <w:sz w:val="18"/>
                <w:szCs w:val="18"/>
              </w:rPr>
            </w:pPr>
            <w:r>
              <w:rPr>
                <w:rFonts w:hint="eastAsia" w:ascii="宋体" w:hAnsi="宋体" w:cs="宋体"/>
                <w:color w:val="000000"/>
                <w:sz w:val="18"/>
                <w:szCs w:val="18"/>
              </w:rPr>
              <w:t>g/10min</w:t>
            </w:r>
          </w:p>
        </w:tc>
        <w:tc>
          <w:tcPr>
            <w:tcW w:w="1628" w:type="pct"/>
            <w:vAlign w:val="center"/>
          </w:tcPr>
          <w:p>
            <w:pPr>
              <w:jc w:val="center"/>
              <w:rPr>
                <w:rFonts w:ascii="宋体" w:hAnsi="宋体" w:cs="宋体"/>
                <w:color w:val="000000"/>
                <w:sz w:val="18"/>
                <w:szCs w:val="18"/>
              </w:rPr>
            </w:pPr>
            <w:r>
              <w:rPr>
                <w:rFonts w:ascii="宋体" w:hAnsi="宋体" w:cs="宋体"/>
                <w:color w:val="000000"/>
                <w:sz w:val="18"/>
                <w:szCs w:val="18"/>
              </w:rPr>
              <w:t>≥</w:t>
            </w:r>
            <w:r>
              <w:rPr>
                <w:rFonts w:hint="eastAsia" w:ascii="宋体" w:hAnsi="宋体" w:cs="宋体"/>
                <w:color w:val="000000"/>
                <w:sz w:val="18"/>
                <w:szCs w:val="18"/>
              </w:rPr>
              <w:t>2.0</w:t>
            </w:r>
          </w:p>
        </w:tc>
        <w:tc>
          <w:tcPr>
            <w:tcW w:w="1480" w:type="pct"/>
          </w:tcPr>
          <w:p>
            <w:pPr>
              <w:jc w:val="center"/>
              <w:rPr>
                <w:rFonts w:ascii="宋体" w:hAnsi="宋体" w:cs="宋体"/>
                <w:color w:val="000000"/>
                <w:sz w:val="18"/>
                <w:szCs w:val="18"/>
              </w:rPr>
            </w:pPr>
            <w:r>
              <w:rPr>
                <w:rFonts w:hint="eastAsia" w:ascii="宋体" w:hAnsi="宋体" w:cs="宋体"/>
                <w:color w:val="000000"/>
                <w:sz w:val="18"/>
                <w:szCs w:val="18"/>
              </w:rPr>
              <w:t>GB/T 3682</w:t>
            </w:r>
          </w:p>
        </w:tc>
      </w:tr>
    </w:tbl>
    <w:p>
      <w:pPr>
        <w:widowControl/>
        <w:ind w:firstLine="640" w:firstLineChars="200"/>
        <w:jc w:val="left"/>
        <w:rPr>
          <w:rFonts w:ascii="Times New Roman" w:hAnsi="Times New Roman" w:cs="Times New Roman"/>
          <w:sz w:val="32"/>
          <w:szCs w:val="32"/>
        </w:rPr>
      </w:pPr>
      <w:r>
        <w:rPr>
          <w:rFonts w:ascii="Times New Roman" w:hAnsi="Times New Roman" w:cs="Times New Roman"/>
          <w:sz w:val="32"/>
          <w:szCs w:val="32"/>
        </w:rPr>
        <w:t xml:space="preserve">4.5.3 </w:t>
      </w:r>
      <w:r>
        <w:rPr>
          <w:rFonts w:hint="eastAsia" w:ascii="Times New Roman" w:hAnsi="Times New Roman" w:cs="Times New Roman"/>
          <w:sz w:val="32"/>
          <w:szCs w:val="32"/>
        </w:rPr>
        <w:t xml:space="preserve">沥青配伍性要求 </w:t>
      </w:r>
    </w:p>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应进行基质沥青与无车辙沥青路面改性剂的配伍性检验，基质沥青与改性剂所制备改性沥青的性能指标符合下表要求。 </w:t>
      </w:r>
    </w:p>
    <w:p>
      <w:pPr>
        <w:widowControl/>
        <w:ind w:firstLine="480" w:firstLineChars="200"/>
        <w:jc w:val="left"/>
        <w:rPr>
          <w:rFonts w:ascii="Times New Roman" w:hAnsi="Times New Roman" w:cs="Times New Roman"/>
          <w:sz w:val="24"/>
        </w:rPr>
      </w:pPr>
      <w:r>
        <w:rPr>
          <w:rFonts w:hint="eastAsia" w:ascii="Times New Roman" w:hAnsi="Times New Roman" w:cs="Times New Roman"/>
          <w:sz w:val="24"/>
        </w:rPr>
        <w:t>无车辙沥青路面沥青配伍性技术要求（基质沥青：改性剂</w:t>
      </w:r>
      <w:r>
        <w:rPr>
          <w:rFonts w:ascii="Times New Roman" w:hAnsi="Times New Roman" w:cs="Times New Roman"/>
          <w:sz w:val="24"/>
        </w:rPr>
        <w:t>=100</w:t>
      </w:r>
      <w:r>
        <w:rPr>
          <w:rFonts w:hint="eastAsia" w:ascii="Times New Roman" w:hAnsi="Times New Roman" w:cs="Times New Roman"/>
          <w:sz w:val="24"/>
        </w:rPr>
        <w:t>：</w:t>
      </w:r>
      <w:r>
        <w:rPr>
          <w:rFonts w:ascii="Times New Roman" w:hAnsi="Times New Roman" w:cs="Times New Roman"/>
          <w:sz w:val="24"/>
        </w:rPr>
        <w:t>20</w:t>
      </w:r>
      <w:r>
        <w:rPr>
          <w:rFonts w:hint="eastAsia" w:ascii="Times New Roman" w:hAnsi="Times New Roman" w:cs="Times New Roman"/>
          <w:sz w:val="24"/>
        </w:rPr>
        <w:t>）</w:t>
      </w:r>
    </w:p>
    <w:tbl>
      <w:tblPr>
        <w:tblStyle w:val="11"/>
        <w:tblW w:w="46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3"/>
        <w:gridCol w:w="1113"/>
        <w:gridCol w:w="1679"/>
        <w:gridCol w:w="2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883"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试验项目</w:t>
            </w:r>
          </w:p>
        </w:tc>
        <w:tc>
          <w:tcPr>
            <w:tcW w:w="700"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单位</w:t>
            </w:r>
          </w:p>
        </w:tc>
        <w:tc>
          <w:tcPr>
            <w:tcW w:w="1056"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技术要求</w:t>
            </w:r>
          </w:p>
        </w:tc>
        <w:tc>
          <w:tcPr>
            <w:tcW w:w="1359"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883"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延度（</w:t>
            </w:r>
            <w:r>
              <w:rPr>
                <w:rFonts w:ascii="宋体" w:hAnsi="宋体"/>
                <w:color w:val="000000"/>
                <w:sz w:val="18"/>
              </w:rPr>
              <w:t>5</w:t>
            </w:r>
            <w:r>
              <w:rPr>
                <w:rFonts w:hint="eastAsia" w:ascii="宋体" w:hAnsi="宋体"/>
                <w:color w:val="000000"/>
                <w:sz w:val="18"/>
              </w:rPr>
              <w:t>℃，5cm/min）</w:t>
            </w:r>
          </w:p>
        </w:tc>
        <w:tc>
          <w:tcPr>
            <w:tcW w:w="700"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c</w:t>
            </w:r>
            <w:r>
              <w:rPr>
                <w:rFonts w:ascii="宋体" w:hAnsi="宋体"/>
                <w:color w:val="000000"/>
                <w:sz w:val="18"/>
              </w:rPr>
              <w:t>m</w:t>
            </w:r>
          </w:p>
        </w:tc>
        <w:tc>
          <w:tcPr>
            <w:tcW w:w="1056"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20</w:t>
            </w:r>
          </w:p>
        </w:tc>
        <w:tc>
          <w:tcPr>
            <w:tcW w:w="1359"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JTG E20 T 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软化点TR&amp;B</w:t>
            </w:r>
          </w:p>
        </w:tc>
        <w:tc>
          <w:tcPr>
            <w:tcW w:w="700"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w:t>
            </w:r>
          </w:p>
        </w:tc>
        <w:tc>
          <w:tcPr>
            <w:tcW w:w="1056"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100</w:t>
            </w:r>
          </w:p>
        </w:tc>
        <w:tc>
          <w:tcPr>
            <w:tcW w:w="1359"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JTG E20 T 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弹性恢复（</w:t>
            </w:r>
            <w:r>
              <w:rPr>
                <w:rFonts w:ascii="宋体" w:hAnsi="宋体"/>
                <w:color w:val="000000"/>
                <w:sz w:val="18"/>
              </w:rPr>
              <w:t>25</w:t>
            </w:r>
            <w:r>
              <w:rPr>
                <w:rFonts w:hint="eastAsia" w:ascii="宋体" w:hAnsi="宋体"/>
                <w:color w:val="000000"/>
                <w:sz w:val="18"/>
              </w:rPr>
              <w:t>℃）</w:t>
            </w:r>
          </w:p>
        </w:tc>
        <w:tc>
          <w:tcPr>
            <w:tcW w:w="700"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w:t>
            </w:r>
          </w:p>
        </w:tc>
        <w:tc>
          <w:tcPr>
            <w:tcW w:w="1056"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80</w:t>
            </w:r>
          </w:p>
        </w:tc>
        <w:tc>
          <w:tcPr>
            <w:tcW w:w="1359"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JTG E20 T 0662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83"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PG分级高温等级</w:t>
            </w:r>
          </w:p>
        </w:tc>
        <w:tc>
          <w:tcPr>
            <w:tcW w:w="700"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w:t>
            </w:r>
          </w:p>
        </w:tc>
        <w:tc>
          <w:tcPr>
            <w:tcW w:w="1056" w:type="pct"/>
            <w:vAlign w:val="center"/>
          </w:tcPr>
          <w:p>
            <w:pPr>
              <w:adjustRightInd w:val="0"/>
              <w:snapToGrid w:val="0"/>
              <w:spacing w:line="400" w:lineRule="exact"/>
              <w:jc w:val="center"/>
              <w:rPr>
                <w:rFonts w:ascii="宋体" w:hAnsi="宋体"/>
                <w:color w:val="000000"/>
                <w:sz w:val="18"/>
              </w:rPr>
            </w:pPr>
            <w:r>
              <w:rPr>
                <w:rFonts w:ascii="宋体" w:hAnsi="宋体"/>
                <w:color w:val="000000"/>
                <w:sz w:val="18"/>
              </w:rPr>
              <w:t>≥</w:t>
            </w:r>
            <w:r>
              <w:rPr>
                <w:rFonts w:hint="eastAsia" w:ascii="宋体" w:hAnsi="宋体"/>
                <w:color w:val="000000"/>
                <w:sz w:val="18"/>
              </w:rPr>
              <w:t>100</w:t>
            </w:r>
          </w:p>
        </w:tc>
        <w:tc>
          <w:tcPr>
            <w:tcW w:w="1359" w:type="pct"/>
            <w:vAlign w:val="center"/>
          </w:tcPr>
          <w:p>
            <w:pPr>
              <w:adjustRightInd w:val="0"/>
              <w:snapToGrid w:val="0"/>
              <w:spacing w:line="400" w:lineRule="exact"/>
              <w:jc w:val="center"/>
              <w:rPr>
                <w:rFonts w:ascii="宋体" w:hAnsi="宋体"/>
                <w:color w:val="000000"/>
                <w:sz w:val="18"/>
              </w:rPr>
            </w:pPr>
            <w:r>
              <w:rPr>
                <w:rFonts w:hint="eastAsia" w:ascii="宋体" w:hAnsi="宋体"/>
                <w:color w:val="000000"/>
                <w:sz w:val="18"/>
              </w:rPr>
              <w:t>JTG E20 T 0628</w:t>
            </w:r>
          </w:p>
        </w:tc>
      </w:tr>
    </w:tbl>
    <w:p>
      <w:pPr>
        <w:widowControl/>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4.5.3矿料</w:t>
      </w:r>
    </w:p>
    <w:p>
      <w:pPr>
        <w:widowControl/>
        <w:spacing w:line="440" w:lineRule="exact"/>
        <w:ind w:firstLine="640" w:firstLineChars="200"/>
        <w:jc w:val="left"/>
        <w:rPr>
          <w:rFonts w:ascii="Times New Roman" w:hAnsi="Times New Roman" w:cs="Times New Roman"/>
          <w:sz w:val="32"/>
          <w:szCs w:val="32"/>
          <w:lang w:val="en-IE"/>
        </w:rPr>
      </w:pPr>
      <w:r>
        <w:rPr>
          <w:rFonts w:hint="eastAsia" w:ascii="Times New Roman" w:hAnsi="Times New Roman" w:cs="Times New Roman"/>
          <w:sz w:val="32"/>
          <w:szCs w:val="32"/>
        </w:rPr>
        <w:t>粗细集料</w:t>
      </w:r>
      <w:r>
        <w:rPr>
          <w:rFonts w:hint="eastAsia" w:ascii="Times New Roman" w:hAnsi="Times New Roman" w:cs="Times New Roman"/>
          <w:sz w:val="32"/>
          <w:szCs w:val="32"/>
          <w:lang w:val="en-IE"/>
        </w:rPr>
        <w:t>技术指标满足《公路沥青路面施工技术规范》(JTG F40-2004)的要求。</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粗集料应采用质地坚硬、表面粗糙、耐磨、具有良好嵌挤能力的碎石。碎石应洁净、干燥、无风化、无杂质，其颗粒形状应有多棱角，接近立方体。粘附性应不低于5级。</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细集料应坚硬、洁净、干燥、无风化和其他有害杂质，并有良好的颗粒形状和级配。</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粗、细集料应优先采用石灰岩石料。高速公路和一级公路优先采用玄武岩或辉绿岩等高抗滑石料。</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矿粉应采用石灰岩矿粉。多雨地区宜添加消石灰或水泥部分替代矿粉，消石灰用量一般为2%，水泥用量一般为4-5%。</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 xml:space="preserve">4.6 </w:t>
      </w:r>
      <w:r>
        <w:rPr>
          <w:rFonts w:hint="eastAsia" w:ascii="Times New Roman" w:hAnsi="Times New Roman" w:cs="Times New Roman"/>
          <w:sz w:val="32"/>
          <w:szCs w:val="32"/>
          <w:lang w:eastAsia="zh-Hans"/>
        </w:rPr>
        <w:t>沥青混合料技术指标</w:t>
      </w:r>
    </w:p>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4.6.1 改性沥青混合料配合比设计分为目标配合比设计、生产配合比设计及生产配合比验证三阶段，其设计</w:t>
      </w:r>
      <w:r>
        <w:rPr>
          <w:rFonts w:hint="eastAsia" w:ascii="Times New Roman" w:hAnsi="Times New Roman" w:cs="Times New Roman"/>
          <w:sz w:val="32"/>
          <w:szCs w:val="32"/>
          <w:lang w:eastAsia="zh-Hans"/>
        </w:rPr>
        <w:t>方法</w:t>
      </w:r>
      <w:r>
        <w:rPr>
          <w:rFonts w:hint="eastAsia" w:ascii="Times New Roman" w:hAnsi="Times New Roman" w:cs="Times New Roman"/>
          <w:sz w:val="32"/>
          <w:szCs w:val="32"/>
        </w:rPr>
        <w:t>应按JTG F40的规定进行。当采用其他方法时，应进行马歇尔试验及各项配合比设计检验。</w:t>
      </w:r>
    </w:p>
    <w:p>
      <w:pPr>
        <w:widowControl/>
        <w:spacing w:line="440" w:lineRule="exact"/>
        <w:ind w:firstLine="640" w:firstLineChars="200"/>
        <w:jc w:val="left"/>
      </w:pPr>
      <w:r>
        <w:rPr>
          <w:rFonts w:hint="eastAsia" w:ascii="Times New Roman" w:hAnsi="Times New Roman" w:cs="Times New Roman"/>
          <w:sz w:val="32"/>
          <w:szCs w:val="32"/>
        </w:rPr>
        <w:t>当上面层采用细粒式沥青混凝土AC-13时，推荐级配见下表所示。</w:t>
      </w:r>
    </w:p>
    <w:p>
      <w:pPr>
        <w:pStyle w:val="17"/>
        <w:spacing w:line="360" w:lineRule="auto"/>
        <w:ind w:firstLine="482"/>
        <w:rPr>
          <w:color w:val="auto"/>
          <w:highlight w:val="yellow"/>
        </w:rPr>
      </w:pPr>
      <w:r>
        <w:rPr>
          <w:color w:val="auto"/>
        </w:rPr>
        <w:t>AC-</w:t>
      </w:r>
      <w:r>
        <w:rPr>
          <w:rFonts w:hint="eastAsia"/>
          <w:color w:val="auto"/>
        </w:rPr>
        <w:t>13矿料级配范围</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636"/>
        <w:gridCol w:w="947"/>
        <w:gridCol w:w="826"/>
        <w:gridCol w:w="826"/>
        <w:gridCol w:w="826"/>
        <w:gridCol w:w="828"/>
        <w:gridCol w:w="828"/>
        <w:gridCol w:w="706"/>
        <w:gridCol w:w="706"/>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1" w:type="pct"/>
            <w:vAlign w:val="center"/>
          </w:tcPr>
          <w:p>
            <w:pPr>
              <w:widowControl/>
              <w:jc w:val="center"/>
              <w:rPr>
                <w:rFonts w:ascii="宋体" w:hAnsi="宋体" w:cs="宋体"/>
                <w:kern w:val="0"/>
                <w:szCs w:val="21"/>
              </w:rPr>
            </w:pPr>
            <w:r>
              <w:rPr>
                <w:rFonts w:hint="eastAsia" w:ascii="宋体" w:hAnsi="宋体" w:cs="宋体"/>
                <w:kern w:val="0"/>
                <w:szCs w:val="21"/>
              </w:rPr>
              <w:t>筛孔尺寸</w:t>
            </w:r>
            <w:r>
              <w:rPr>
                <w:rFonts w:ascii="宋体" w:hAnsi="宋体" w:cs="宋体"/>
                <w:kern w:val="0"/>
                <w:szCs w:val="21"/>
              </w:rPr>
              <w:t>(mm)</w:t>
            </w:r>
          </w:p>
        </w:tc>
        <w:tc>
          <w:tcPr>
            <w:tcW w:w="373" w:type="pct"/>
            <w:vAlign w:val="center"/>
          </w:tcPr>
          <w:p>
            <w:pPr>
              <w:widowControl/>
              <w:jc w:val="center"/>
              <w:rPr>
                <w:rFonts w:ascii="宋体" w:hAnsi="宋体" w:cs="宋体"/>
                <w:kern w:val="0"/>
                <w:szCs w:val="21"/>
              </w:rPr>
            </w:pPr>
            <w:r>
              <w:rPr>
                <w:rFonts w:hint="eastAsia" w:ascii="宋体" w:hAnsi="宋体" w:cs="宋体"/>
                <w:kern w:val="0"/>
                <w:szCs w:val="21"/>
              </w:rPr>
              <w:t>16.0</w:t>
            </w:r>
          </w:p>
        </w:tc>
        <w:tc>
          <w:tcPr>
            <w:tcW w:w="555" w:type="pct"/>
            <w:vAlign w:val="center"/>
          </w:tcPr>
          <w:p>
            <w:pPr>
              <w:widowControl/>
              <w:jc w:val="center"/>
              <w:rPr>
                <w:rFonts w:ascii="宋体" w:hAnsi="宋体" w:cs="宋体"/>
                <w:kern w:val="0"/>
                <w:szCs w:val="21"/>
              </w:rPr>
            </w:pPr>
            <w:r>
              <w:rPr>
                <w:rFonts w:ascii="宋体" w:hAnsi="宋体" w:cs="宋体"/>
                <w:kern w:val="0"/>
                <w:szCs w:val="21"/>
              </w:rPr>
              <w:t>13.2</w:t>
            </w:r>
          </w:p>
        </w:tc>
        <w:tc>
          <w:tcPr>
            <w:tcW w:w="484" w:type="pct"/>
            <w:vAlign w:val="center"/>
          </w:tcPr>
          <w:p>
            <w:pPr>
              <w:widowControl/>
              <w:jc w:val="center"/>
              <w:rPr>
                <w:rFonts w:ascii="宋体" w:hAnsi="宋体" w:cs="宋体"/>
                <w:kern w:val="0"/>
                <w:szCs w:val="21"/>
              </w:rPr>
            </w:pPr>
            <w:r>
              <w:rPr>
                <w:rFonts w:ascii="宋体" w:hAnsi="宋体" w:cs="宋体"/>
                <w:kern w:val="0"/>
                <w:szCs w:val="21"/>
              </w:rPr>
              <w:t>9.5</w:t>
            </w:r>
          </w:p>
        </w:tc>
        <w:tc>
          <w:tcPr>
            <w:tcW w:w="484" w:type="pct"/>
            <w:vAlign w:val="center"/>
          </w:tcPr>
          <w:p>
            <w:pPr>
              <w:widowControl/>
              <w:jc w:val="center"/>
              <w:rPr>
                <w:rFonts w:ascii="宋体" w:hAnsi="宋体" w:cs="宋体"/>
                <w:kern w:val="0"/>
                <w:szCs w:val="21"/>
              </w:rPr>
            </w:pPr>
            <w:r>
              <w:rPr>
                <w:rFonts w:ascii="宋体" w:hAnsi="宋体" w:cs="宋体"/>
                <w:kern w:val="0"/>
                <w:szCs w:val="21"/>
              </w:rPr>
              <w:t>4.75</w:t>
            </w:r>
          </w:p>
        </w:tc>
        <w:tc>
          <w:tcPr>
            <w:tcW w:w="484" w:type="pct"/>
            <w:vAlign w:val="center"/>
          </w:tcPr>
          <w:p>
            <w:pPr>
              <w:widowControl/>
              <w:jc w:val="center"/>
              <w:rPr>
                <w:rFonts w:ascii="宋体" w:hAnsi="宋体" w:cs="宋体"/>
                <w:kern w:val="0"/>
                <w:szCs w:val="21"/>
              </w:rPr>
            </w:pPr>
            <w:r>
              <w:rPr>
                <w:rFonts w:ascii="宋体" w:hAnsi="宋体" w:cs="宋体"/>
                <w:kern w:val="0"/>
                <w:szCs w:val="21"/>
              </w:rPr>
              <w:t>2.36</w:t>
            </w:r>
          </w:p>
        </w:tc>
        <w:tc>
          <w:tcPr>
            <w:tcW w:w="485" w:type="pct"/>
            <w:vAlign w:val="center"/>
          </w:tcPr>
          <w:p>
            <w:pPr>
              <w:widowControl/>
              <w:jc w:val="center"/>
              <w:rPr>
                <w:rFonts w:ascii="宋体" w:hAnsi="宋体" w:cs="宋体"/>
                <w:kern w:val="0"/>
                <w:szCs w:val="21"/>
              </w:rPr>
            </w:pPr>
            <w:r>
              <w:rPr>
                <w:rFonts w:ascii="宋体" w:hAnsi="宋体" w:cs="宋体"/>
                <w:kern w:val="0"/>
                <w:szCs w:val="21"/>
              </w:rPr>
              <w:t>1.18</w:t>
            </w:r>
          </w:p>
        </w:tc>
        <w:tc>
          <w:tcPr>
            <w:tcW w:w="485" w:type="pct"/>
            <w:vAlign w:val="center"/>
          </w:tcPr>
          <w:p>
            <w:pPr>
              <w:widowControl/>
              <w:jc w:val="center"/>
              <w:rPr>
                <w:rFonts w:ascii="宋体" w:hAnsi="宋体" w:cs="宋体"/>
                <w:kern w:val="0"/>
                <w:szCs w:val="21"/>
              </w:rPr>
            </w:pPr>
            <w:r>
              <w:rPr>
                <w:rFonts w:ascii="宋体" w:hAnsi="宋体" w:cs="宋体"/>
                <w:kern w:val="0"/>
                <w:szCs w:val="21"/>
              </w:rPr>
              <w:t>0.6</w:t>
            </w:r>
          </w:p>
        </w:tc>
        <w:tc>
          <w:tcPr>
            <w:tcW w:w="414" w:type="pct"/>
            <w:vAlign w:val="center"/>
          </w:tcPr>
          <w:p>
            <w:pPr>
              <w:widowControl/>
              <w:jc w:val="center"/>
              <w:rPr>
                <w:rFonts w:ascii="宋体" w:hAnsi="宋体" w:cs="宋体"/>
                <w:kern w:val="0"/>
                <w:szCs w:val="21"/>
              </w:rPr>
            </w:pPr>
            <w:r>
              <w:rPr>
                <w:rFonts w:ascii="宋体" w:hAnsi="宋体" w:cs="宋体"/>
                <w:kern w:val="0"/>
                <w:szCs w:val="21"/>
              </w:rPr>
              <w:t>0.3</w:t>
            </w:r>
          </w:p>
        </w:tc>
        <w:tc>
          <w:tcPr>
            <w:tcW w:w="414" w:type="pct"/>
            <w:vAlign w:val="center"/>
          </w:tcPr>
          <w:p>
            <w:pPr>
              <w:widowControl/>
              <w:jc w:val="center"/>
              <w:rPr>
                <w:rFonts w:ascii="宋体" w:hAnsi="宋体" w:cs="宋体"/>
                <w:kern w:val="0"/>
                <w:szCs w:val="21"/>
              </w:rPr>
            </w:pPr>
            <w:r>
              <w:rPr>
                <w:rFonts w:ascii="宋体" w:hAnsi="宋体" w:cs="宋体"/>
                <w:kern w:val="0"/>
                <w:szCs w:val="21"/>
              </w:rPr>
              <w:t>0.15</w:t>
            </w:r>
          </w:p>
        </w:tc>
        <w:tc>
          <w:tcPr>
            <w:tcW w:w="435" w:type="pct"/>
            <w:vAlign w:val="center"/>
          </w:tcPr>
          <w:p>
            <w:pPr>
              <w:widowControl/>
              <w:jc w:val="center"/>
              <w:rPr>
                <w:rFonts w:ascii="宋体" w:hAnsi="宋体" w:cs="宋体"/>
                <w:kern w:val="0"/>
                <w:szCs w:val="21"/>
              </w:rPr>
            </w:pPr>
            <w:r>
              <w:rPr>
                <w:rFonts w:ascii="宋体" w:hAnsi="宋体" w:cs="宋体"/>
                <w:kern w:val="0"/>
                <w:szCs w:val="21"/>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81" w:type="pct"/>
            <w:vAlign w:val="center"/>
          </w:tcPr>
          <w:p>
            <w:pPr>
              <w:widowControl/>
              <w:jc w:val="center"/>
              <w:rPr>
                <w:rFonts w:ascii="宋体" w:hAnsi="宋体" w:cs="宋体"/>
                <w:kern w:val="0"/>
                <w:szCs w:val="21"/>
              </w:rPr>
            </w:pPr>
            <w:r>
              <w:rPr>
                <w:rFonts w:hint="eastAsia" w:ascii="宋体" w:hAnsi="宋体" w:cs="宋体"/>
                <w:kern w:val="0"/>
                <w:szCs w:val="21"/>
              </w:rPr>
              <w:t>通过百分率%</w:t>
            </w:r>
          </w:p>
        </w:tc>
        <w:tc>
          <w:tcPr>
            <w:tcW w:w="373" w:type="pct"/>
            <w:vAlign w:val="center"/>
          </w:tcPr>
          <w:p>
            <w:pPr>
              <w:widowControl/>
              <w:jc w:val="center"/>
              <w:rPr>
                <w:rFonts w:ascii="宋体" w:hAnsi="宋体" w:cs="宋体"/>
                <w:kern w:val="0"/>
                <w:szCs w:val="21"/>
              </w:rPr>
            </w:pPr>
            <w:r>
              <w:rPr>
                <w:rFonts w:hint="eastAsia" w:ascii="宋体" w:hAnsi="宋体" w:cs="宋体"/>
                <w:kern w:val="0"/>
                <w:szCs w:val="21"/>
              </w:rPr>
              <w:t>100</w:t>
            </w:r>
          </w:p>
        </w:tc>
        <w:tc>
          <w:tcPr>
            <w:tcW w:w="555" w:type="pct"/>
            <w:vAlign w:val="center"/>
          </w:tcPr>
          <w:p>
            <w:pPr>
              <w:widowControl/>
              <w:jc w:val="center"/>
              <w:rPr>
                <w:rFonts w:ascii="宋体" w:hAnsi="宋体" w:cs="宋体"/>
                <w:kern w:val="0"/>
                <w:szCs w:val="21"/>
              </w:rPr>
            </w:pPr>
            <w:r>
              <w:rPr>
                <w:rFonts w:ascii="宋体" w:hAnsi="宋体" w:cs="宋体"/>
                <w:kern w:val="0"/>
                <w:szCs w:val="21"/>
              </w:rPr>
              <w:t>90~100</w:t>
            </w:r>
          </w:p>
        </w:tc>
        <w:tc>
          <w:tcPr>
            <w:tcW w:w="484" w:type="pct"/>
            <w:vAlign w:val="center"/>
          </w:tcPr>
          <w:p>
            <w:pPr>
              <w:widowControl/>
              <w:jc w:val="center"/>
              <w:rPr>
                <w:rFonts w:ascii="宋体" w:hAnsi="宋体" w:cs="宋体"/>
                <w:kern w:val="0"/>
                <w:szCs w:val="21"/>
              </w:rPr>
            </w:pPr>
            <w:r>
              <w:rPr>
                <w:rFonts w:ascii="宋体" w:hAnsi="宋体" w:cs="宋体"/>
                <w:kern w:val="0"/>
                <w:szCs w:val="21"/>
              </w:rPr>
              <w:t>68~85</w:t>
            </w:r>
          </w:p>
        </w:tc>
        <w:tc>
          <w:tcPr>
            <w:tcW w:w="484" w:type="pct"/>
            <w:vAlign w:val="center"/>
          </w:tcPr>
          <w:p>
            <w:pPr>
              <w:widowControl/>
              <w:jc w:val="center"/>
              <w:rPr>
                <w:rFonts w:ascii="宋体" w:hAnsi="宋体" w:cs="宋体"/>
                <w:kern w:val="0"/>
                <w:szCs w:val="21"/>
              </w:rPr>
            </w:pPr>
            <w:r>
              <w:rPr>
                <w:rFonts w:ascii="宋体" w:hAnsi="宋体" w:cs="宋体"/>
                <w:kern w:val="0"/>
                <w:szCs w:val="21"/>
              </w:rPr>
              <w:t>38~68</w:t>
            </w:r>
          </w:p>
        </w:tc>
        <w:tc>
          <w:tcPr>
            <w:tcW w:w="484" w:type="pct"/>
            <w:vAlign w:val="center"/>
          </w:tcPr>
          <w:p>
            <w:pPr>
              <w:widowControl/>
              <w:jc w:val="center"/>
              <w:rPr>
                <w:rFonts w:ascii="宋体" w:hAnsi="宋体" w:cs="宋体"/>
                <w:kern w:val="0"/>
                <w:szCs w:val="21"/>
              </w:rPr>
            </w:pPr>
            <w:r>
              <w:rPr>
                <w:rFonts w:hint="eastAsia" w:ascii="宋体" w:hAnsi="宋体" w:cs="宋体"/>
                <w:kern w:val="0"/>
                <w:szCs w:val="21"/>
              </w:rPr>
              <w:t>30</w:t>
            </w:r>
            <w:r>
              <w:rPr>
                <w:rFonts w:ascii="宋体" w:hAnsi="宋体" w:cs="宋体"/>
                <w:kern w:val="0"/>
                <w:szCs w:val="21"/>
              </w:rPr>
              <w:t>~</w:t>
            </w:r>
            <w:r>
              <w:rPr>
                <w:rFonts w:hint="eastAsia" w:ascii="宋体" w:hAnsi="宋体" w:cs="宋体"/>
                <w:kern w:val="0"/>
                <w:szCs w:val="21"/>
              </w:rPr>
              <w:t>50</w:t>
            </w:r>
          </w:p>
        </w:tc>
        <w:tc>
          <w:tcPr>
            <w:tcW w:w="485" w:type="pct"/>
            <w:vAlign w:val="center"/>
          </w:tcPr>
          <w:p>
            <w:pPr>
              <w:widowControl/>
              <w:jc w:val="center"/>
              <w:rPr>
                <w:rFonts w:ascii="宋体" w:hAnsi="宋体" w:cs="宋体"/>
                <w:kern w:val="0"/>
                <w:szCs w:val="21"/>
              </w:rPr>
            </w:pPr>
            <w:r>
              <w:rPr>
                <w:rFonts w:ascii="宋体" w:hAnsi="宋体" w:cs="宋体"/>
                <w:kern w:val="0"/>
                <w:szCs w:val="21"/>
              </w:rPr>
              <w:t>19~34</w:t>
            </w:r>
          </w:p>
        </w:tc>
        <w:tc>
          <w:tcPr>
            <w:tcW w:w="485" w:type="pct"/>
            <w:vAlign w:val="center"/>
          </w:tcPr>
          <w:p>
            <w:pPr>
              <w:widowControl/>
              <w:jc w:val="center"/>
              <w:rPr>
                <w:rFonts w:ascii="宋体" w:hAnsi="宋体" w:cs="宋体"/>
                <w:kern w:val="0"/>
                <w:szCs w:val="21"/>
              </w:rPr>
            </w:pPr>
            <w:r>
              <w:rPr>
                <w:rFonts w:ascii="宋体" w:hAnsi="宋体" w:cs="宋体"/>
                <w:kern w:val="0"/>
                <w:szCs w:val="21"/>
              </w:rPr>
              <w:t>12~26</w:t>
            </w:r>
          </w:p>
        </w:tc>
        <w:tc>
          <w:tcPr>
            <w:tcW w:w="414" w:type="pct"/>
            <w:vAlign w:val="center"/>
          </w:tcPr>
          <w:p>
            <w:pPr>
              <w:widowControl/>
              <w:jc w:val="center"/>
              <w:rPr>
                <w:rFonts w:ascii="宋体" w:hAnsi="宋体" w:cs="宋体"/>
                <w:kern w:val="0"/>
                <w:szCs w:val="21"/>
              </w:rPr>
            </w:pPr>
            <w:r>
              <w:rPr>
                <w:rFonts w:ascii="宋体" w:hAnsi="宋体" w:cs="宋体"/>
                <w:kern w:val="0"/>
                <w:szCs w:val="21"/>
              </w:rPr>
              <w:t>9~18</w:t>
            </w:r>
          </w:p>
        </w:tc>
        <w:tc>
          <w:tcPr>
            <w:tcW w:w="414" w:type="pct"/>
            <w:vAlign w:val="center"/>
          </w:tcPr>
          <w:p>
            <w:pPr>
              <w:widowControl/>
              <w:jc w:val="center"/>
              <w:rPr>
                <w:rFonts w:ascii="宋体" w:hAnsi="宋体" w:cs="宋体"/>
                <w:kern w:val="0"/>
                <w:szCs w:val="21"/>
              </w:rPr>
            </w:pPr>
            <w:r>
              <w:rPr>
                <w:rFonts w:ascii="宋体" w:hAnsi="宋体" w:cs="宋体"/>
                <w:kern w:val="0"/>
                <w:szCs w:val="21"/>
              </w:rPr>
              <w:t>5~15</w:t>
            </w:r>
          </w:p>
        </w:tc>
        <w:tc>
          <w:tcPr>
            <w:tcW w:w="435" w:type="pct"/>
            <w:vAlign w:val="center"/>
          </w:tcPr>
          <w:p>
            <w:pPr>
              <w:widowControl/>
              <w:jc w:val="center"/>
              <w:rPr>
                <w:rFonts w:ascii="宋体" w:hAnsi="宋体" w:cs="宋体"/>
                <w:kern w:val="0"/>
                <w:szCs w:val="21"/>
              </w:rPr>
            </w:pPr>
            <w:r>
              <w:rPr>
                <w:rFonts w:ascii="宋体" w:hAnsi="宋体" w:cs="宋体"/>
                <w:kern w:val="0"/>
                <w:szCs w:val="21"/>
              </w:rPr>
              <w:t>4~8</w:t>
            </w:r>
          </w:p>
        </w:tc>
      </w:tr>
    </w:tbl>
    <w:p>
      <w:pPr>
        <w:widowControl/>
        <w:spacing w:line="440" w:lineRule="exact"/>
        <w:ind w:firstLine="640" w:firstLineChars="200"/>
        <w:jc w:val="left"/>
        <w:rPr>
          <w:rFonts w:ascii="Times New Roman" w:hAnsi="Times New Roman" w:cs="Times New Roman"/>
          <w:sz w:val="32"/>
          <w:szCs w:val="32"/>
        </w:rPr>
      </w:pPr>
      <w:r>
        <w:rPr>
          <w:rFonts w:hint="eastAsia" w:ascii="Times New Roman" w:hAnsi="Times New Roman" w:cs="Times New Roman"/>
          <w:sz w:val="32"/>
          <w:szCs w:val="32"/>
        </w:rPr>
        <w:t>其余类型沥青混凝土级配参照JTG F40-2004要求。</w:t>
      </w:r>
    </w:p>
    <w:p>
      <w:pPr>
        <w:widowControl/>
        <w:spacing w:line="440" w:lineRule="exact"/>
        <w:ind w:firstLine="640" w:firstLineChars="200"/>
        <w:jc w:val="left"/>
        <w:rPr>
          <w:rFonts w:ascii="Times New Roman" w:hAnsi="Times New Roman" w:cs="Times New Roman"/>
          <w:sz w:val="32"/>
          <w:szCs w:val="32"/>
          <w:lang w:eastAsia="zh-Hans"/>
        </w:rPr>
      </w:pPr>
      <w:r>
        <w:rPr>
          <w:rFonts w:hint="eastAsia" w:ascii="Times New Roman" w:hAnsi="Times New Roman" w:cs="Times New Roman"/>
          <w:sz w:val="32"/>
          <w:szCs w:val="32"/>
        </w:rPr>
        <w:t xml:space="preserve">4.6.2 </w:t>
      </w:r>
      <w:r>
        <w:rPr>
          <w:rFonts w:hint="eastAsia" w:ascii="Times New Roman" w:hAnsi="Times New Roman" w:cs="Times New Roman"/>
          <w:sz w:val="32"/>
          <w:szCs w:val="32"/>
          <w:lang w:eastAsia="zh-Hans"/>
        </w:rPr>
        <w:t>无车辙（维修）沥青路面改性剂添加量</w:t>
      </w:r>
      <w:r>
        <w:rPr>
          <w:rFonts w:hint="eastAsia" w:ascii="Times New Roman" w:hAnsi="Times New Roman" w:cs="Times New Roman"/>
          <w:sz w:val="32"/>
          <w:szCs w:val="32"/>
        </w:rPr>
        <w:t>一般</w:t>
      </w:r>
      <w:r>
        <w:rPr>
          <w:rFonts w:hint="eastAsia" w:ascii="Times New Roman" w:hAnsi="Times New Roman" w:cs="Times New Roman"/>
          <w:sz w:val="32"/>
          <w:szCs w:val="32"/>
          <w:lang w:eastAsia="zh-Hans"/>
        </w:rPr>
        <w:t>为混合料质量的</w:t>
      </w:r>
      <w:r>
        <w:rPr>
          <w:rFonts w:hint="eastAsia" w:ascii="Times New Roman" w:hAnsi="Times New Roman" w:cs="Times New Roman"/>
          <w:sz w:val="32"/>
          <w:szCs w:val="32"/>
        </w:rPr>
        <w:t>1</w:t>
      </w:r>
      <w:r>
        <w:rPr>
          <w:rFonts w:hint="eastAsia" w:ascii="Times New Roman" w:hAnsi="Times New Roman" w:cs="Times New Roman"/>
          <w:sz w:val="32"/>
          <w:szCs w:val="32"/>
          <w:lang w:eastAsia="zh-Hans"/>
        </w:rPr>
        <w:t>%</w:t>
      </w:r>
      <w:r>
        <w:rPr>
          <w:rFonts w:hint="eastAsia" w:ascii="Times New Roman" w:hAnsi="Times New Roman" w:cs="Times New Roman"/>
          <w:sz w:val="32"/>
          <w:szCs w:val="32"/>
        </w:rPr>
        <w:t>。</w:t>
      </w:r>
      <w:r>
        <w:rPr>
          <w:rFonts w:hint="eastAsia" w:ascii="Times New Roman" w:hAnsi="Times New Roman" w:cs="Times New Roman"/>
          <w:sz w:val="32"/>
          <w:szCs w:val="32"/>
          <w:lang w:eastAsia="zh-Hans"/>
        </w:rPr>
        <w:t>具体可根据项目交通量、历史损坏情况、地方材料等进行试验验证，并结合经济性分析综合确定。</w:t>
      </w:r>
    </w:p>
    <w:p>
      <w:pPr>
        <w:widowControl/>
        <w:spacing w:line="440" w:lineRule="exact"/>
        <w:ind w:firstLine="640" w:firstLineChars="200"/>
        <w:jc w:val="left"/>
        <w:rPr>
          <w:rFonts w:ascii="Times New Roman" w:hAnsi="Times New Roman" w:cs="Times New Roman"/>
          <w:sz w:val="32"/>
          <w:szCs w:val="32"/>
          <w:lang w:eastAsia="zh-Hans"/>
        </w:rPr>
      </w:pPr>
      <w:r>
        <w:rPr>
          <w:rFonts w:hint="eastAsia" w:ascii="Times New Roman" w:hAnsi="Times New Roman" w:cs="Times New Roman"/>
          <w:sz w:val="32"/>
          <w:szCs w:val="32"/>
        </w:rPr>
        <w:t>4</w:t>
      </w:r>
      <w:r>
        <w:rPr>
          <w:rFonts w:hint="eastAsia" w:ascii="Times New Roman" w:hAnsi="Times New Roman" w:cs="Times New Roman"/>
          <w:sz w:val="32"/>
          <w:szCs w:val="32"/>
          <w:lang w:eastAsia="zh-Hans"/>
        </w:rPr>
        <w:t>.</w:t>
      </w:r>
      <w:r>
        <w:rPr>
          <w:rFonts w:hint="eastAsia" w:ascii="Times New Roman" w:hAnsi="Times New Roman" w:cs="Times New Roman"/>
          <w:sz w:val="32"/>
          <w:szCs w:val="32"/>
        </w:rPr>
        <w:t>6.</w:t>
      </w:r>
      <w:r>
        <w:rPr>
          <w:rFonts w:hint="eastAsia" w:ascii="Times New Roman" w:hAnsi="Times New Roman" w:cs="Times New Roman"/>
          <w:sz w:val="32"/>
          <w:szCs w:val="32"/>
          <w:lang w:eastAsia="zh-Hans"/>
        </w:rPr>
        <w:t>3 无车辙（维修）沥青路面沥青混合料配合比设计</w:t>
      </w:r>
      <w:r>
        <w:rPr>
          <w:rFonts w:hint="eastAsia" w:ascii="Times New Roman" w:hAnsi="Times New Roman" w:cs="Times New Roman"/>
          <w:sz w:val="32"/>
          <w:szCs w:val="32"/>
        </w:rPr>
        <w:t>要求</w:t>
      </w:r>
      <w:r>
        <w:rPr>
          <w:rFonts w:hint="eastAsia" w:ascii="Times New Roman" w:hAnsi="Times New Roman" w:cs="Times New Roman"/>
          <w:sz w:val="32"/>
          <w:szCs w:val="32"/>
          <w:lang w:eastAsia="zh-Hans"/>
        </w:rPr>
        <w:t>密级配沥青混合料（AC）配合比设计技术要求应符合</w:t>
      </w:r>
      <w:r>
        <w:rPr>
          <w:rFonts w:hint="eastAsia" w:ascii="Times New Roman" w:hAnsi="Times New Roman" w:cs="Times New Roman"/>
          <w:sz w:val="32"/>
          <w:szCs w:val="32"/>
        </w:rPr>
        <w:t>下</w:t>
      </w:r>
      <w:r>
        <w:rPr>
          <w:rFonts w:hint="eastAsia" w:ascii="Times New Roman" w:hAnsi="Times New Roman" w:cs="Times New Roman"/>
          <w:sz w:val="32"/>
          <w:szCs w:val="32"/>
          <w:lang w:eastAsia="zh-Hans"/>
        </w:rPr>
        <w:t>表的规定。</w:t>
      </w:r>
    </w:p>
    <w:p>
      <w:pPr>
        <w:pStyle w:val="18"/>
        <w:numPr>
          <w:ilvl w:val="0"/>
          <w:numId w:val="0"/>
        </w:numPr>
        <w:tabs>
          <w:tab w:val="left" w:pos="360"/>
        </w:tabs>
        <w:spacing w:before="156" w:line="400" w:lineRule="exact"/>
        <w:rPr>
          <w:color w:val="000000"/>
        </w:rPr>
      </w:pPr>
      <w:r>
        <w:rPr>
          <w:rFonts w:hint="eastAsia"/>
          <w:color w:val="000000"/>
        </w:rPr>
        <w:t>密级配沥青混合料（AC）配合比设计技术要求</w:t>
      </w:r>
    </w:p>
    <w:tbl>
      <w:tblPr>
        <w:tblStyle w:val="11"/>
        <w:tblW w:w="8641"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15"/>
        <w:gridCol w:w="1061"/>
        <w:gridCol w:w="736"/>
        <w:gridCol w:w="374"/>
        <w:gridCol w:w="1110"/>
        <w:gridCol w:w="1110"/>
        <w:gridCol w:w="1110"/>
        <w:gridCol w:w="1110"/>
        <w:gridCol w:w="111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976" w:type="dxa"/>
            <w:gridSpan w:val="2"/>
            <w:tcBorders>
              <w:left w:val="single" w:color="auto" w:sz="4" w:space="0"/>
            </w:tcBorders>
            <w:vAlign w:val="center"/>
          </w:tcPr>
          <w:p>
            <w:pPr>
              <w:pStyle w:val="9"/>
              <w:spacing w:line="360" w:lineRule="atLeast"/>
              <w:jc w:val="center"/>
              <w:rPr>
                <w:sz w:val="18"/>
                <w:szCs w:val="18"/>
              </w:rPr>
            </w:pPr>
            <w:r>
              <w:rPr>
                <w:rFonts w:hint="eastAsia"/>
                <w:sz w:val="18"/>
                <w:szCs w:val="18"/>
              </w:rPr>
              <w:t>指 标</w:t>
            </w:r>
          </w:p>
        </w:tc>
        <w:tc>
          <w:tcPr>
            <w:tcW w:w="736" w:type="dxa"/>
            <w:vAlign w:val="center"/>
          </w:tcPr>
          <w:p>
            <w:pPr>
              <w:pStyle w:val="9"/>
              <w:spacing w:line="360" w:lineRule="atLeast"/>
              <w:jc w:val="center"/>
              <w:rPr>
                <w:sz w:val="18"/>
                <w:szCs w:val="18"/>
              </w:rPr>
            </w:pPr>
            <w:r>
              <w:rPr>
                <w:rFonts w:hint="eastAsia"/>
                <w:sz w:val="18"/>
                <w:szCs w:val="18"/>
              </w:rPr>
              <w:t>单位</w:t>
            </w:r>
          </w:p>
        </w:tc>
        <w:tc>
          <w:tcPr>
            <w:tcW w:w="5929" w:type="dxa"/>
            <w:gridSpan w:val="6"/>
            <w:tcBorders>
              <w:right w:val="single" w:color="auto" w:sz="4" w:space="0"/>
            </w:tcBorders>
          </w:tcPr>
          <w:p>
            <w:pPr>
              <w:pStyle w:val="9"/>
              <w:spacing w:line="360" w:lineRule="atLeast"/>
              <w:jc w:val="center"/>
              <w:rPr>
                <w:sz w:val="18"/>
                <w:szCs w:val="18"/>
              </w:rPr>
            </w:pPr>
            <w:r>
              <w:rPr>
                <w:rFonts w:hint="eastAsia"/>
                <w:sz w:val="18"/>
                <w:szCs w:val="18"/>
              </w:rPr>
              <w:t>技术要求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pPr>
              <w:pStyle w:val="9"/>
              <w:spacing w:line="360" w:lineRule="atLeast"/>
              <w:jc w:val="center"/>
              <w:rPr>
                <w:sz w:val="18"/>
                <w:szCs w:val="18"/>
              </w:rPr>
            </w:pPr>
            <w:r>
              <w:rPr>
                <w:rFonts w:hint="eastAsia"/>
                <w:sz w:val="18"/>
                <w:szCs w:val="18"/>
              </w:rPr>
              <w:t xml:space="preserve">击实次数(双面)   </w:t>
            </w:r>
          </w:p>
        </w:tc>
        <w:tc>
          <w:tcPr>
            <w:tcW w:w="736" w:type="dxa"/>
          </w:tcPr>
          <w:p>
            <w:pPr>
              <w:pStyle w:val="9"/>
              <w:spacing w:line="360" w:lineRule="atLeast"/>
              <w:jc w:val="center"/>
              <w:rPr>
                <w:sz w:val="18"/>
                <w:szCs w:val="18"/>
              </w:rPr>
            </w:pPr>
            <w:r>
              <w:rPr>
                <w:rFonts w:hint="eastAsia"/>
                <w:sz w:val="18"/>
                <w:szCs w:val="18"/>
              </w:rPr>
              <w:t>次</w:t>
            </w:r>
          </w:p>
        </w:tc>
        <w:tc>
          <w:tcPr>
            <w:tcW w:w="5929" w:type="dxa"/>
            <w:gridSpan w:val="6"/>
            <w:tcBorders>
              <w:right w:val="single" w:color="auto" w:sz="4" w:space="0"/>
            </w:tcBorders>
          </w:tcPr>
          <w:p>
            <w:pPr>
              <w:pStyle w:val="9"/>
              <w:spacing w:line="360" w:lineRule="atLeast"/>
              <w:jc w:val="center"/>
              <w:rPr>
                <w:sz w:val="18"/>
                <w:szCs w:val="18"/>
              </w:rPr>
            </w:pPr>
            <w:r>
              <w:rPr>
                <w:rFonts w:hint="eastAsia"/>
                <w:sz w:val="18"/>
                <w:szCs w:val="18"/>
              </w:rPr>
              <w:t>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pPr>
              <w:pStyle w:val="9"/>
              <w:spacing w:line="360" w:lineRule="atLeast"/>
              <w:jc w:val="center"/>
              <w:rPr>
                <w:sz w:val="18"/>
                <w:szCs w:val="18"/>
              </w:rPr>
            </w:pPr>
            <w:r>
              <w:rPr>
                <w:rFonts w:hint="eastAsia"/>
                <w:sz w:val="18"/>
                <w:szCs w:val="18"/>
              </w:rPr>
              <w:t>试件尺寸</w:t>
            </w:r>
          </w:p>
        </w:tc>
        <w:tc>
          <w:tcPr>
            <w:tcW w:w="736" w:type="dxa"/>
          </w:tcPr>
          <w:p>
            <w:pPr>
              <w:pStyle w:val="9"/>
              <w:spacing w:line="360" w:lineRule="atLeast"/>
              <w:jc w:val="center"/>
              <w:rPr>
                <w:sz w:val="18"/>
                <w:szCs w:val="18"/>
              </w:rPr>
            </w:pPr>
            <w:r>
              <w:rPr>
                <w:rFonts w:hint="eastAsia"/>
                <w:sz w:val="18"/>
                <w:szCs w:val="18"/>
              </w:rPr>
              <w:t>mm</w:t>
            </w:r>
          </w:p>
        </w:tc>
        <w:tc>
          <w:tcPr>
            <w:tcW w:w="5929" w:type="dxa"/>
            <w:gridSpan w:val="6"/>
            <w:tcBorders>
              <w:right w:val="single" w:color="auto" w:sz="4" w:space="0"/>
            </w:tcBorders>
          </w:tcPr>
          <w:p>
            <w:pPr>
              <w:pStyle w:val="9"/>
              <w:spacing w:line="360" w:lineRule="atLeast"/>
              <w:jc w:val="center"/>
              <w:rPr>
                <w:sz w:val="18"/>
                <w:szCs w:val="18"/>
              </w:rPr>
            </w:pPr>
            <w:r>
              <w:rPr>
                <w:rFonts w:hint="eastAsia"/>
                <w:sz w:val="18"/>
                <w:szCs w:val="18"/>
              </w:rPr>
              <w:t>φ101.6mm×63.5mm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24" w:hRule="atLeast"/>
        </w:trPr>
        <w:tc>
          <w:tcPr>
            <w:tcW w:w="1976" w:type="dxa"/>
            <w:gridSpan w:val="2"/>
            <w:tcBorders>
              <w:left w:val="single" w:color="auto" w:sz="4" w:space="0"/>
            </w:tcBorders>
            <w:vAlign w:val="center"/>
          </w:tcPr>
          <w:p>
            <w:pPr>
              <w:pStyle w:val="9"/>
              <w:spacing w:line="360" w:lineRule="atLeast"/>
              <w:jc w:val="center"/>
              <w:rPr>
                <w:sz w:val="18"/>
                <w:szCs w:val="18"/>
              </w:rPr>
            </w:pPr>
            <w:r>
              <w:rPr>
                <w:rFonts w:hint="eastAsia"/>
                <w:sz w:val="18"/>
                <w:szCs w:val="18"/>
              </w:rPr>
              <w:t>空隙率VV</w:t>
            </w:r>
          </w:p>
        </w:tc>
        <w:tc>
          <w:tcPr>
            <w:tcW w:w="736" w:type="dxa"/>
            <w:vAlign w:val="center"/>
          </w:tcPr>
          <w:p>
            <w:pPr>
              <w:pStyle w:val="9"/>
              <w:spacing w:line="360" w:lineRule="atLeast"/>
              <w:jc w:val="center"/>
              <w:rPr>
                <w:sz w:val="18"/>
                <w:szCs w:val="18"/>
              </w:rPr>
            </w:pPr>
            <w:r>
              <w:rPr>
                <w:rFonts w:hint="eastAsia"/>
                <w:sz w:val="18"/>
                <w:szCs w:val="18"/>
              </w:rPr>
              <w:t>％</w:t>
            </w:r>
          </w:p>
        </w:tc>
        <w:tc>
          <w:tcPr>
            <w:tcW w:w="5929" w:type="dxa"/>
            <w:gridSpan w:val="6"/>
            <w:tcBorders>
              <w:right w:val="single" w:color="auto" w:sz="4" w:space="0"/>
            </w:tcBorders>
            <w:vAlign w:val="center"/>
          </w:tcPr>
          <w:p>
            <w:pPr>
              <w:pStyle w:val="9"/>
              <w:spacing w:line="360" w:lineRule="atLeast"/>
              <w:jc w:val="center"/>
              <w:rPr>
                <w:sz w:val="18"/>
                <w:szCs w:val="18"/>
              </w:rPr>
            </w:pPr>
            <w:r>
              <w:rPr>
                <w:rFonts w:hint="eastAsia"/>
                <w:sz w:val="18"/>
                <w:szCs w:val="18"/>
              </w:rPr>
              <w:t>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pPr>
              <w:pStyle w:val="9"/>
              <w:spacing w:line="360" w:lineRule="atLeast"/>
              <w:jc w:val="center"/>
              <w:rPr>
                <w:sz w:val="18"/>
                <w:szCs w:val="18"/>
              </w:rPr>
            </w:pPr>
            <w:r>
              <w:rPr>
                <w:rFonts w:hint="eastAsia"/>
                <w:sz w:val="18"/>
                <w:szCs w:val="18"/>
              </w:rPr>
              <w:t xml:space="preserve">稳定度MS 不小于  </w:t>
            </w:r>
          </w:p>
        </w:tc>
        <w:tc>
          <w:tcPr>
            <w:tcW w:w="736" w:type="dxa"/>
          </w:tcPr>
          <w:p>
            <w:pPr>
              <w:pStyle w:val="9"/>
              <w:spacing w:line="360" w:lineRule="atLeast"/>
              <w:jc w:val="center"/>
              <w:rPr>
                <w:sz w:val="18"/>
                <w:szCs w:val="18"/>
              </w:rPr>
            </w:pPr>
            <w:r>
              <w:rPr>
                <w:rFonts w:hint="eastAsia"/>
                <w:sz w:val="18"/>
                <w:szCs w:val="18"/>
              </w:rPr>
              <w:t>kN</w:t>
            </w:r>
          </w:p>
        </w:tc>
        <w:tc>
          <w:tcPr>
            <w:tcW w:w="5929" w:type="dxa"/>
            <w:gridSpan w:val="6"/>
            <w:tcBorders>
              <w:right w:val="single" w:color="auto" w:sz="4" w:space="0"/>
            </w:tcBorders>
          </w:tcPr>
          <w:p>
            <w:pPr>
              <w:pStyle w:val="9"/>
              <w:spacing w:line="360" w:lineRule="atLeast"/>
              <w:jc w:val="center"/>
              <w:rPr>
                <w:sz w:val="18"/>
                <w:szCs w:val="18"/>
              </w:rPr>
            </w:pPr>
            <w:r>
              <w:rPr>
                <w:rFonts w:hint="eastAsia"/>
                <w:sz w:val="18"/>
                <w:szCs w:val="18"/>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Pr>
        <w:tc>
          <w:tcPr>
            <w:tcW w:w="1976" w:type="dxa"/>
            <w:gridSpan w:val="2"/>
            <w:tcBorders>
              <w:left w:val="single" w:color="auto" w:sz="4" w:space="0"/>
            </w:tcBorders>
          </w:tcPr>
          <w:p>
            <w:pPr>
              <w:pStyle w:val="9"/>
              <w:spacing w:line="360" w:lineRule="atLeast"/>
              <w:jc w:val="center"/>
              <w:rPr>
                <w:sz w:val="18"/>
                <w:szCs w:val="18"/>
              </w:rPr>
            </w:pPr>
            <w:r>
              <w:rPr>
                <w:rFonts w:hint="eastAsia"/>
                <w:sz w:val="18"/>
                <w:szCs w:val="18"/>
              </w:rPr>
              <w:t xml:space="preserve">流  值 FL    </w:t>
            </w:r>
          </w:p>
        </w:tc>
        <w:tc>
          <w:tcPr>
            <w:tcW w:w="736" w:type="dxa"/>
          </w:tcPr>
          <w:p>
            <w:pPr>
              <w:pStyle w:val="9"/>
              <w:spacing w:line="360" w:lineRule="atLeast"/>
              <w:jc w:val="center"/>
              <w:rPr>
                <w:sz w:val="18"/>
                <w:szCs w:val="18"/>
              </w:rPr>
            </w:pPr>
            <w:r>
              <w:rPr>
                <w:rFonts w:hint="eastAsia"/>
                <w:sz w:val="18"/>
                <w:szCs w:val="18"/>
              </w:rPr>
              <w:t>mm</w:t>
            </w:r>
          </w:p>
        </w:tc>
        <w:tc>
          <w:tcPr>
            <w:tcW w:w="5929" w:type="dxa"/>
            <w:gridSpan w:val="6"/>
            <w:tcBorders>
              <w:right w:val="single" w:color="auto" w:sz="4" w:space="0"/>
            </w:tcBorders>
          </w:tcPr>
          <w:p>
            <w:pPr>
              <w:pStyle w:val="9"/>
              <w:spacing w:line="360" w:lineRule="atLeast"/>
              <w:jc w:val="center"/>
              <w:rPr>
                <w:sz w:val="18"/>
                <w:szCs w:val="18"/>
              </w:rPr>
            </w:pPr>
            <w:r>
              <w:rPr>
                <w:rFonts w:hint="eastAsia"/>
                <w:sz w:val="18"/>
                <w:szCs w:val="18"/>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915" w:type="dxa"/>
            <w:vMerge w:val="restart"/>
            <w:tcBorders>
              <w:left w:val="single" w:color="auto" w:sz="4" w:space="0"/>
            </w:tcBorders>
            <w:vAlign w:val="center"/>
          </w:tcPr>
          <w:p>
            <w:pPr>
              <w:autoSpaceDE w:val="0"/>
              <w:autoSpaceDN w:val="0"/>
              <w:adjustRightInd w:val="0"/>
              <w:spacing w:line="360" w:lineRule="atLeast"/>
              <w:jc w:val="center"/>
              <w:rPr>
                <w:rFonts w:ascii="宋体"/>
                <w:sz w:val="18"/>
                <w:szCs w:val="18"/>
              </w:rPr>
            </w:pPr>
            <w:r>
              <w:rPr>
                <w:rFonts w:hint="eastAsia" w:ascii="宋体"/>
                <w:sz w:val="18"/>
                <w:szCs w:val="18"/>
              </w:rPr>
              <w:t>矿料间隙率VMA</w:t>
            </w:r>
          </w:p>
          <w:p>
            <w:pPr>
              <w:autoSpaceDE w:val="0"/>
              <w:autoSpaceDN w:val="0"/>
              <w:adjustRightInd w:val="0"/>
              <w:spacing w:line="360" w:lineRule="atLeast"/>
              <w:jc w:val="center"/>
              <w:rPr>
                <w:rFonts w:ascii="宋体"/>
                <w:sz w:val="18"/>
                <w:szCs w:val="18"/>
              </w:rPr>
            </w:pPr>
            <w:r>
              <w:rPr>
                <w:rFonts w:hint="eastAsia" w:ascii="宋体"/>
                <w:sz w:val="18"/>
                <w:szCs w:val="18"/>
              </w:rPr>
              <w:t>(％）</w:t>
            </w:r>
          </w:p>
          <w:p>
            <w:pPr>
              <w:autoSpaceDE w:val="0"/>
              <w:autoSpaceDN w:val="0"/>
              <w:adjustRightInd w:val="0"/>
              <w:spacing w:line="360" w:lineRule="atLeast"/>
              <w:jc w:val="center"/>
              <w:rPr>
                <w:rFonts w:ascii="宋体"/>
                <w:sz w:val="18"/>
                <w:szCs w:val="18"/>
              </w:rPr>
            </w:pPr>
            <w:r>
              <w:rPr>
                <w:rFonts w:hint="eastAsia" w:ascii="宋体"/>
                <w:sz w:val="18"/>
                <w:szCs w:val="18"/>
              </w:rPr>
              <w:t>不小于（优化）</w:t>
            </w:r>
          </w:p>
        </w:tc>
        <w:tc>
          <w:tcPr>
            <w:tcW w:w="1061" w:type="dxa"/>
            <w:vMerge w:val="restart"/>
            <w:tcBorders>
              <w:left w:val="nil"/>
            </w:tcBorders>
            <w:vAlign w:val="center"/>
          </w:tcPr>
          <w:p>
            <w:pPr>
              <w:autoSpaceDE w:val="0"/>
              <w:autoSpaceDN w:val="0"/>
              <w:adjustRightInd w:val="0"/>
              <w:spacing w:line="360" w:lineRule="atLeast"/>
              <w:jc w:val="center"/>
              <w:rPr>
                <w:rFonts w:ascii="宋体"/>
                <w:sz w:val="18"/>
                <w:szCs w:val="18"/>
              </w:rPr>
            </w:pPr>
            <w:r>
              <w:rPr>
                <w:rFonts w:hint="eastAsia" w:ascii="宋体"/>
                <w:sz w:val="18"/>
                <w:szCs w:val="18"/>
              </w:rPr>
              <w:t>设计空隙率(％)</w:t>
            </w:r>
          </w:p>
        </w:tc>
        <w:tc>
          <w:tcPr>
            <w:tcW w:w="6665" w:type="dxa"/>
            <w:gridSpan w:val="7"/>
            <w:tcBorders>
              <w:right w:val="single" w:color="auto" w:sz="4" w:space="0"/>
            </w:tcBorders>
            <w:vAlign w:val="center"/>
          </w:tcPr>
          <w:p>
            <w:pPr>
              <w:spacing w:line="360" w:lineRule="atLeast"/>
              <w:jc w:val="center"/>
              <w:rPr>
                <w:rFonts w:ascii="宋体"/>
                <w:sz w:val="18"/>
                <w:szCs w:val="18"/>
              </w:rPr>
            </w:pPr>
            <w:r>
              <w:rPr>
                <w:rFonts w:hint="eastAsia" w:ascii="宋体"/>
                <w:sz w:val="18"/>
                <w:szCs w:val="18"/>
              </w:rPr>
              <w:t>相应于以下公称最大粒径(mm)的最小VMA及VFA技术要求(％)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vAlign w:val="center"/>
          </w:tcPr>
          <w:p>
            <w:pPr>
              <w:autoSpaceDE w:val="0"/>
              <w:autoSpaceDN w:val="0"/>
              <w:adjustRightInd w:val="0"/>
              <w:spacing w:line="360" w:lineRule="atLeast"/>
              <w:jc w:val="center"/>
              <w:rPr>
                <w:rFonts w:ascii="宋体"/>
                <w:sz w:val="18"/>
                <w:szCs w:val="18"/>
              </w:rPr>
            </w:pPr>
          </w:p>
        </w:tc>
        <w:tc>
          <w:tcPr>
            <w:tcW w:w="1061" w:type="dxa"/>
            <w:vMerge w:val="continue"/>
            <w:tcBorders>
              <w:left w:val="nil"/>
            </w:tcBorders>
            <w:vAlign w:val="center"/>
          </w:tcPr>
          <w:p>
            <w:pPr>
              <w:autoSpaceDE w:val="0"/>
              <w:autoSpaceDN w:val="0"/>
              <w:adjustRightInd w:val="0"/>
              <w:spacing w:line="360" w:lineRule="atLeast"/>
              <w:jc w:val="center"/>
              <w:rPr>
                <w:rFonts w:ascii="宋体"/>
                <w:sz w:val="18"/>
                <w:szCs w:val="18"/>
              </w:rPr>
            </w:pPr>
          </w:p>
        </w:tc>
        <w:tc>
          <w:tcPr>
            <w:tcW w:w="1110" w:type="dxa"/>
            <w:gridSpan w:val="2"/>
            <w:vAlign w:val="center"/>
          </w:tcPr>
          <w:p>
            <w:pPr>
              <w:autoSpaceDE w:val="0"/>
              <w:autoSpaceDN w:val="0"/>
              <w:adjustRightInd w:val="0"/>
              <w:spacing w:line="360" w:lineRule="atLeast"/>
              <w:jc w:val="center"/>
              <w:rPr>
                <w:rFonts w:ascii="宋体"/>
                <w:sz w:val="18"/>
                <w:szCs w:val="18"/>
              </w:rPr>
            </w:pPr>
            <w:r>
              <w:rPr>
                <w:rFonts w:hint="eastAsia" w:ascii="宋体"/>
                <w:sz w:val="18"/>
                <w:szCs w:val="18"/>
              </w:rPr>
              <w:t>26.5</w:t>
            </w:r>
          </w:p>
        </w:tc>
        <w:tc>
          <w:tcPr>
            <w:tcW w:w="1110" w:type="dxa"/>
            <w:vAlign w:val="center"/>
          </w:tcPr>
          <w:p>
            <w:pPr>
              <w:autoSpaceDE w:val="0"/>
              <w:autoSpaceDN w:val="0"/>
              <w:adjustRightInd w:val="0"/>
              <w:spacing w:line="360" w:lineRule="atLeast"/>
              <w:jc w:val="center"/>
              <w:rPr>
                <w:rFonts w:ascii="宋体"/>
                <w:sz w:val="18"/>
                <w:szCs w:val="18"/>
              </w:rPr>
            </w:pPr>
            <w:r>
              <w:rPr>
                <w:rFonts w:ascii="宋体"/>
                <w:sz w:val="18"/>
                <w:szCs w:val="18"/>
              </w:rPr>
              <w:t>19</w:t>
            </w:r>
          </w:p>
        </w:tc>
        <w:tc>
          <w:tcPr>
            <w:tcW w:w="1110" w:type="dxa"/>
            <w:vAlign w:val="center"/>
          </w:tcPr>
          <w:p>
            <w:pPr>
              <w:autoSpaceDE w:val="0"/>
              <w:autoSpaceDN w:val="0"/>
              <w:adjustRightInd w:val="0"/>
              <w:spacing w:line="360" w:lineRule="atLeast"/>
              <w:jc w:val="center"/>
              <w:rPr>
                <w:rFonts w:ascii="宋体"/>
                <w:sz w:val="18"/>
                <w:szCs w:val="18"/>
              </w:rPr>
            </w:pPr>
            <w:r>
              <w:rPr>
                <w:rFonts w:ascii="宋体"/>
                <w:sz w:val="18"/>
                <w:szCs w:val="18"/>
              </w:rPr>
              <w:t>1</w:t>
            </w:r>
            <w:r>
              <w:rPr>
                <w:rFonts w:hint="eastAsia" w:ascii="宋体"/>
                <w:sz w:val="18"/>
                <w:szCs w:val="18"/>
              </w:rPr>
              <w:t>6</w:t>
            </w:r>
          </w:p>
        </w:tc>
        <w:tc>
          <w:tcPr>
            <w:tcW w:w="1110" w:type="dxa"/>
            <w:vAlign w:val="center"/>
          </w:tcPr>
          <w:p>
            <w:pPr>
              <w:autoSpaceDE w:val="0"/>
              <w:autoSpaceDN w:val="0"/>
              <w:adjustRightInd w:val="0"/>
              <w:spacing w:line="360" w:lineRule="atLeast"/>
              <w:jc w:val="center"/>
              <w:rPr>
                <w:rFonts w:ascii="宋体"/>
                <w:sz w:val="18"/>
                <w:szCs w:val="18"/>
              </w:rPr>
            </w:pPr>
            <w:r>
              <w:rPr>
                <w:rFonts w:ascii="宋体"/>
                <w:sz w:val="18"/>
                <w:szCs w:val="18"/>
              </w:rPr>
              <w:t>13.2</w:t>
            </w:r>
          </w:p>
        </w:tc>
        <w:tc>
          <w:tcPr>
            <w:tcW w:w="1110" w:type="dxa"/>
            <w:vAlign w:val="center"/>
          </w:tcPr>
          <w:p>
            <w:pPr>
              <w:autoSpaceDE w:val="0"/>
              <w:autoSpaceDN w:val="0"/>
              <w:adjustRightInd w:val="0"/>
              <w:spacing w:line="360" w:lineRule="atLeast"/>
              <w:jc w:val="center"/>
              <w:rPr>
                <w:rFonts w:ascii="宋体"/>
                <w:sz w:val="18"/>
                <w:szCs w:val="18"/>
              </w:rPr>
            </w:pPr>
            <w:r>
              <w:rPr>
                <w:rFonts w:ascii="宋体"/>
                <w:sz w:val="18"/>
                <w:szCs w:val="18"/>
              </w:rPr>
              <w:t>9.5</w:t>
            </w:r>
          </w:p>
        </w:tc>
        <w:tc>
          <w:tcPr>
            <w:tcW w:w="1115" w:type="dxa"/>
            <w:tcBorders>
              <w:right w:val="single" w:color="auto" w:sz="4" w:space="0"/>
            </w:tcBorders>
            <w:vAlign w:val="center"/>
          </w:tcPr>
          <w:p>
            <w:pPr>
              <w:autoSpaceDE w:val="0"/>
              <w:autoSpaceDN w:val="0"/>
              <w:adjustRightInd w:val="0"/>
              <w:spacing w:line="360" w:lineRule="atLeast"/>
              <w:jc w:val="center"/>
              <w:rPr>
                <w:rFonts w:ascii="宋体"/>
                <w:sz w:val="18"/>
                <w:szCs w:val="18"/>
              </w:rPr>
            </w:pPr>
            <w:r>
              <w:rPr>
                <w:rFonts w:ascii="宋体"/>
                <w:sz w:val="18"/>
                <w:szCs w:val="18"/>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pPr>
              <w:autoSpaceDE w:val="0"/>
              <w:autoSpaceDN w:val="0"/>
              <w:adjustRightInd w:val="0"/>
              <w:spacing w:line="360" w:lineRule="atLeast"/>
              <w:jc w:val="center"/>
              <w:rPr>
                <w:rFonts w:ascii="宋体"/>
                <w:sz w:val="18"/>
                <w:szCs w:val="18"/>
              </w:rPr>
            </w:pPr>
          </w:p>
        </w:tc>
        <w:tc>
          <w:tcPr>
            <w:tcW w:w="1061" w:type="dxa"/>
            <w:tcBorders>
              <w:left w:val="nil"/>
            </w:tcBorders>
          </w:tcPr>
          <w:p>
            <w:pPr>
              <w:autoSpaceDE w:val="0"/>
              <w:autoSpaceDN w:val="0"/>
              <w:adjustRightInd w:val="0"/>
              <w:spacing w:line="360" w:lineRule="atLeast"/>
              <w:jc w:val="center"/>
              <w:rPr>
                <w:rFonts w:ascii="宋体"/>
                <w:sz w:val="18"/>
                <w:szCs w:val="18"/>
              </w:rPr>
            </w:pPr>
            <w:r>
              <w:rPr>
                <w:rFonts w:ascii="宋体"/>
                <w:sz w:val="18"/>
                <w:szCs w:val="18"/>
              </w:rPr>
              <w:t>2</w:t>
            </w:r>
          </w:p>
        </w:tc>
        <w:tc>
          <w:tcPr>
            <w:tcW w:w="1110" w:type="dxa"/>
            <w:gridSpan w:val="2"/>
            <w:vAlign w:val="center"/>
          </w:tcPr>
          <w:p>
            <w:pPr>
              <w:autoSpaceDE w:val="0"/>
              <w:autoSpaceDN w:val="0"/>
              <w:adjustRightInd w:val="0"/>
              <w:jc w:val="center"/>
              <w:rPr>
                <w:rFonts w:ascii="宋体"/>
                <w:sz w:val="18"/>
                <w:szCs w:val="18"/>
              </w:rPr>
            </w:pPr>
            <w:r>
              <w:rPr>
                <w:rFonts w:hint="eastAsia" w:ascii="宋体"/>
                <w:sz w:val="18"/>
                <w:szCs w:val="18"/>
              </w:rPr>
              <w:t>9.5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0</w:t>
            </w:r>
          </w:p>
        </w:tc>
        <w:tc>
          <w:tcPr>
            <w:tcW w:w="1110" w:type="dxa"/>
            <w:vAlign w:val="center"/>
          </w:tcPr>
          <w:p>
            <w:pPr>
              <w:autoSpaceDE w:val="0"/>
              <w:autoSpaceDN w:val="0"/>
              <w:adjustRightInd w:val="0"/>
              <w:jc w:val="center"/>
              <w:rPr>
                <w:rFonts w:ascii="宋体"/>
                <w:sz w:val="18"/>
                <w:szCs w:val="18"/>
              </w:rPr>
            </w:pPr>
            <w:r>
              <w:rPr>
                <w:rFonts w:ascii="宋体"/>
                <w:sz w:val="18"/>
                <w:szCs w:val="18"/>
              </w:rPr>
              <w:t>11</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w:t>
            </w:r>
          </w:p>
        </w:tc>
        <w:tc>
          <w:tcPr>
            <w:tcW w:w="1115" w:type="dxa"/>
            <w:tcBorders>
              <w:right w:val="single" w:color="auto" w:sz="4" w:space="0"/>
            </w:tcBorders>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pPr>
              <w:autoSpaceDE w:val="0"/>
              <w:autoSpaceDN w:val="0"/>
              <w:adjustRightInd w:val="0"/>
              <w:spacing w:line="360" w:lineRule="atLeast"/>
              <w:jc w:val="center"/>
              <w:rPr>
                <w:rFonts w:ascii="宋体"/>
                <w:sz w:val="18"/>
                <w:szCs w:val="18"/>
              </w:rPr>
            </w:pPr>
          </w:p>
        </w:tc>
        <w:tc>
          <w:tcPr>
            <w:tcW w:w="1061" w:type="dxa"/>
            <w:tcBorders>
              <w:left w:val="nil"/>
            </w:tcBorders>
          </w:tcPr>
          <w:p>
            <w:pPr>
              <w:autoSpaceDE w:val="0"/>
              <w:autoSpaceDN w:val="0"/>
              <w:adjustRightInd w:val="0"/>
              <w:spacing w:line="360" w:lineRule="atLeast"/>
              <w:jc w:val="center"/>
              <w:rPr>
                <w:rFonts w:ascii="宋体"/>
                <w:sz w:val="18"/>
                <w:szCs w:val="18"/>
              </w:rPr>
            </w:pPr>
            <w:r>
              <w:rPr>
                <w:rFonts w:ascii="宋体"/>
                <w:sz w:val="18"/>
                <w:szCs w:val="18"/>
              </w:rPr>
              <w:t>3</w:t>
            </w:r>
          </w:p>
        </w:tc>
        <w:tc>
          <w:tcPr>
            <w:tcW w:w="1110" w:type="dxa"/>
            <w:gridSpan w:val="2"/>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0.5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w:t>
            </w:r>
          </w:p>
        </w:tc>
        <w:tc>
          <w:tcPr>
            <w:tcW w:w="1110" w:type="dxa"/>
            <w:vAlign w:val="center"/>
          </w:tcPr>
          <w:p>
            <w:pPr>
              <w:autoSpaceDE w:val="0"/>
              <w:autoSpaceDN w:val="0"/>
              <w:adjustRightInd w:val="0"/>
              <w:jc w:val="center"/>
              <w:rPr>
                <w:rFonts w:ascii="宋体"/>
                <w:sz w:val="18"/>
                <w:szCs w:val="18"/>
              </w:rPr>
            </w:pPr>
            <w:r>
              <w:rPr>
                <w:rFonts w:ascii="宋体"/>
                <w:sz w:val="18"/>
                <w:szCs w:val="18"/>
              </w:rPr>
              <w:t>12</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5" w:type="dxa"/>
            <w:tcBorders>
              <w:right w:val="single" w:color="auto" w:sz="4" w:space="0"/>
            </w:tcBorders>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pPr>
              <w:autoSpaceDE w:val="0"/>
              <w:autoSpaceDN w:val="0"/>
              <w:adjustRightInd w:val="0"/>
              <w:spacing w:line="360" w:lineRule="atLeast"/>
              <w:jc w:val="center"/>
              <w:rPr>
                <w:rFonts w:ascii="宋体"/>
                <w:sz w:val="18"/>
                <w:szCs w:val="18"/>
              </w:rPr>
            </w:pPr>
          </w:p>
        </w:tc>
        <w:tc>
          <w:tcPr>
            <w:tcW w:w="1061" w:type="dxa"/>
            <w:tcBorders>
              <w:left w:val="nil"/>
            </w:tcBorders>
          </w:tcPr>
          <w:p>
            <w:pPr>
              <w:autoSpaceDE w:val="0"/>
              <w:autoSpaceDN w:val="0"/>
              <w:adjustRightInd w:val="0"/>
              <w:spacing w:line="360" w:lineRule="atLeast"/>
              <w:jc w:val="center"/>
              <w:rPr>
                <w:rFonts w:ascii="宋体"/>
                <w:sz w:val="18"/>
                <w:szCs w:val="18"/>
              </w:rPr>
            </w:pPr>
            <w:r>
              <w:rPr>
                <w:rFonts w:ascii="宋体"/>
                <w:sz w:val="18"/>
                <w:szCs w:val="18"/>
              </w:rPr>
              <w:t>4</w:t>
            </w:r>
          </w:p>
        </w:tc>
        <w:tc>
          <w:tcPr>
            <w:tcW w:w="1110" w:type="dxa"/>
            <w:gridSpan w:val="2"/>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1.5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w:t>
            </w:r>
          </w:p>
        </w:tc>
        <w:tc>
          <w:tcPr>
            <w:tcW w:w="1115" w:type="dxa"/>
            <w:tcBorders>
              <w:right w:val="single" w:color="auto" w:sz="4" w:space="0"/>
            </w:tcBorders>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60" w:hRule="atLeast"/>
        </w:trPr>
        <w:tc>
          <w:tcPr>
            <w:tcW w:w="915" w:type="dxa"/>
            <w:vMerge w:val="continue"/>
            <w:tcBorders>
              <w:left w:val="single" w:color="auto" w:sz="4" w:space="0"/>
            </w:tcBorders>
          </w:tcPr>
          <w:p>
            <w:pPr>
              <w:autoSpaceDE w:val="0"/>
              <w:autoSpaceDN w:val="0"/>
              <w:adjustRightInd w:val="0"/>
              <w:spacing w:line="360" w:lineRule="atLeast"/>
              <w:jc w:val="center"/>
              <w:rPr>
                <w:rFonts w:ascii="宋体"/>
                <w:sz w:val="18"/>
                <w:szCs w:val="18"/>
              </w:rPr>
            </w:pPr>
          </w:p>
        </w:tc>
        <w:tc>
          <w:tcPr>
            <w:tcW w:w="1061" w:type="dxa"/>
            <w:tcBorders>
              <w:left w:val="nil"/>
            </w:tcBorders>
          </w:tcPr>
          <w:p>
            <w:pPr>
              <w:autoSpaceDE w:val="0"/>
              <w:autoSpaceDN w:val="0"/>
              <w:adjustRightInd w:val="0"/>
              <w:spacing w:line="360" w:lineRule="atLeast"/>
              <w:jc w:val="center"/>
              <w:rPr>
                <w:rFonts w:ascii="宋体"/>
                <w:sz w:val="18"/>
                <w:szCs w:val="18"/>
              </w:rPr>
            </w:pPr>
            <w:r>
              <w:rPr>
                <w:rFonts w:ascii="宋体"/>
                <w:sz w:val="18"/>
                <w:szCs w:val="18"/>
              </w:rPr>
              <w:t>5</w:t>
            </w:r>
          </w:p>
        </w:tc>
        <w:tc>
          <w:tcPr>
            <w:tcW w:w="1110" w:type="dxa"/>
            <w:gridSpan w:val="2"/>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2.5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3</w:t>
            </w:r>
          </w:p>
        </w:tc>
        <w:tc>
          <w:tcPr>
            <w:tcW w:w="1110" w:type="dxa"/>
            <w:vAlign w:val="center"/>
          </w:tcPr>
          <w:p>
            <w:pPr>
              <w:autoSpaceDE w:val="0"/>
              <w:autoSpaceDN w:val="0"/>
              <w:adjustRightInd w:val="0"/>
              <w:jc w:val="center"/>
              <w:rPr>
                <w:rFonts w:ascii="宋体"/>
                <w:sz w:val="18"/>
                <w:szCs w:val="18"/>
              </w:rPr>
            </w:pPr>
            <w:r>
              <w:rPr>
                <w:rFonts w:ascii="宋体"/>
                <w:sz w:val="18"/>
                <w:szCs w:val="18"/>
              </w:rPr>
              <w:t>14</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4.5</w:t>
            </w:r>
          </w:p>
        </w:tc>
        <w:tc>
          <w:tcPr>
            <w:tcW w:w="1110" w:type="dxa"/>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5</w:t>
            </w:r>
          </w:p>
        </w:tc>
        <w:tc>
          <w:tcPr>
            <w:tcW w:w="1115" w:type="dxa"/>
            <w:tcBorders>
              <w:right w:val="single" w:color="auto" w:sz="4" w:space="0"/>
            </w:tcBorders>
            <w:vAlign w:val="center"/>
          </w:tcPr>
          <w:p>
            <w:pPr>
              <w:autoSpaceDE w:val="0"/>
              <w:autoSpaceDN w:val="0"/>
              <w:adjustRightInd w:val="0"/>
              <w:jc w:val="center"/>
              <w:rPr>
                <w:rFonts w:ascii="宋体"/>
                <w:sz w:val="18"/>
                <w:szCs w:val="18"/>
              </w:rPr>
            </w:pPr>
            <w:r>
              <w:rPr>
                <w:rFonts w:ascii="宋体"/>
                <w:sz w:val="18"/>
                <w:szCs w:val="18"/>
              </w:rPr>
              <w:t>1</w:t>
            </w:r>
            <w:r>
              <w:rPr>
                <w:rFonts w:hint="eastAsia" w:ascii="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trPr>
        <w:tc>
          <w:tcPr>
            <w:tcW w:w="1976" w:type="dxa"/>
            <w:gridSpan w:val="2"/>
            <w:tcBorders>
              <w:left w:val="single" w:color="auto" w:sz="4" w:space="0"/>
            </w:tcBorders>
            <w:vAlign w:val="center"/>
          </w:tcPr>
          <w:p>
            <w:pPr>
              <w:autoSpaceDE w:val="0"/>
              <w:autoSpaceDN w:val="0"/>
              <w:adjustRightInd w:val="0"/>
              <w:spacing w:line="360" w:lineRule="atLeast"/>
              <w:jc w:val="center"/>
              <w:rPr>
                <w:rFonts w:ascii="宋体"/>
                <w:sz w:val="18"/>
                <w:szCs w:val="18"/>
              </w:rPr>
            </w:pPr>
            <w:r>
              <w:rPr>
                <w:rFonts w:hint="eastAsia" w:ascii="宋体"/>
                <w:sz w:val="18"/>
                <w:szCs w:val="18"/>
              </w:rPr>
              <w:t>沥青饱和度VFA(％)</w:t>
            </w:r>
          </w:p>
        </w:tc>
        <w:tc>
          <w:tcPr>
            <w:tcW w:w="1110" w:type="dxa"/>
            <w:gridSpan w:val="2"/>
            <w:vAlign w:val="center"/>
          </w:tcPr>
          <w:p>
            <w:pPr>
              <w:autoSpaceDE w:val="0"/>
              <w:autoSpaceDN w:val="0"/>
              <w:adjustRightInd w:val="0"/>
              <w:spacing w:line="360" w:lineRule="atLeast"/>
              <w:jc w:val="center"/>
              <w:rPr>
                <w:rFonts w:ascii="宋体"/>
                <w:sz w:val="18"/>
                <w:szCs w:val="18"/>
              </w:rPr>
            </w:pPr>
            <w:r>
              <w:rPr>
                <w:rFonts w:hint="eastAsia" w:ascii="宋体"/>
                <w:sz w:val="18"/>
                <w:szCs w:val="18"/>
              </w:rPr>
              <w:t>55～75</w:t>
            </w:r>
          </w:p>
        </w:tc>
        <w:tc>
          <w:tcPr>
            <w:tcW w:w="3330" w:type="dxa"/>
            <w:gridSpan w:val="3"/>
            <w:vAlign w:val="center"/>
          </w:tcPr>
          <w:p>
            <w:pPr>
              <w:autoSpaceDE w:val="0"/>
              <w:autoSpaceDN w:val="0"/>
              <w:adjustRightInd w:val="0"/>
              <w:spacing w:line="360" w:lineRule="atLeast"/>
              <w:jc w:val="center"/>
              <w:rPr>
                <w:rFonts w:ascii="宋体"/>
                <w:sz w:val="18"/>
                <w:szCs w:val="18"/>
              </w:rPr>
            </w:pPr>
            <w:r>
              <w:rPr>
                <w:rFonts w:hint="eastAsia" w:ascii="宋体"/>
                <w:sz w:val="18"/>
                <w:szCs w:val="18"/>
              </w:rPr>
              <w:t>65～85</w:t>
            </w:r>
          </w:p>
        </w:tc>
        <w:tc>
          <w:tcPr>
            <w:tcW w:w="2225" w:type="dxa"/>
            <w:gridSpan w:val="2"/>
            <w:vAlign w:val="center"/>
          </w:tcPr>
          <w:p>
            <w:pPr>
              <w:autoSpaceDE w:val="0"/>
              <w:autoSpaceDN w:val="0"/>
              <w:adjustRightInd w:val="0"/>
              <w:spacing w:line="360" w:lineRule="atLeast"/>
              <w:jc w:val="center"/>
              <w:rPr>
                <w:rFonts w:ascii="宋体"/>
                <w:sz w:val="18"/>
                <w:szCs w:val="18"/>
              </w:rPr>
            </w:pPr>
            <w:r>
              <w:rPr>
                <w:rFonts w:hint="eastAsia" w:ascii="宋体"/>
                <w:sz w:val="18"/>
                <w:szCs w:val="18"/>
              </w:rPr>
              <w:t>70～90</w:t>
            </w:r>
          </w:p>
        </w:tc>
      </w:tr>
    </w:tbl>
    <w:p>
      <w:pPr>
        <w:pStyle w:val="20"/>
        <w:numPr>
          <w:ilvl w:val="0"/>
          <w:numId w:val="0"/>
        </w:numPr>
        <w:spacing w:before="156" w:beforeLines="50" w:after="156" w:afterLines="50" w:line="400" w:lineRule="exact"/>
        <w:ind w:left="420" w:leftChars="200"/>
        <w:rPr>
          <w:rFonts w:ascii="Times New Roman" w:hAnsi="Times New Roman" w:eastAsiaTheme="minorEastAsia"/>
          <w:kern w:val="2"/>
          <w:sz w:val="32"/>
          <w:szCs w:val="32"/>
          <w:lang w:eastAsia="zh-Hans"/>
        </w:rPr>
      </w:pPr>
      <w:r>
        <w:rPr>
          <w:rFonts w:hint="eastAsia" w:ascii="Times New Roman" w:hAnsi="Times New Roman" w:eastAsiaTheme="minorEastAsia"/>
          <w:kern w:val="2"/>
          <w:sz w:val="32"/>
          <w:szCs w:val="32"/>
          <w:lang w:eastAsia="zh-Hans"/>
        </w:rPr>
        <w:t>SMA沥青混合料配合比设计技术要求应符合下表规定。</w:t>
      </w:r>
    </w:p>
    <w:p>
      <w:pPr>
        <w:pStyle w:val="18"/>
        <w:numPr>
          <w:ilvl w:val="0"/>
          <w:numId w:val="0"/>
        </w:numPr>
        <w:tabs>
          <w:tab w:val="left" w:pos="360"/>
        </w:tabs>
        <w:spacing w:before="156" w:line="400" w:lineRule="exact"/>
        <w:rPr>
          <w:color w:val="000000"/>
        </w:rPr>
      </w:pPr>
      <w:r>
        <w:rPr>
          <w:rFonts w:hint="eastAsia"/>
          <w:color w:val="000000"/>
        </w:rPr>
        <w:t>SMA沥青混合料配合比设计技术要求</w:t>
      </w:r>
    </w:p>
    <w:tbl>
      <w:tblPr>
        <w:tblStyle w:val="11"/>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Layout w:type="fixed"/>
        <w:tblCellMar>
          <w:top w:w="0" w:type="dxa"/>
          <w:left w:w="108" w:type="dxa"/>
          <w:bottom w:w="0" w:type="dxa"/>
          <w:right w:w="108" w:type="dxa"/>
        </w:tblCellMar>
      </w:tblPr>
      <w:tblGrid>
        <w:gridCol w:w="3149"/>
        <w:gridCol w:w="1076"/>
        <w:gridCol w:w="2217"/>
        <w:gridCol w:w="20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609" w:hRule="atLeast"/>
          <w:jc w:val="center"/>
        </w:trPr>
        <w:tc>
          <w:tcPr>
            <w:tcW w:w="1848" w:type="pct"/>
            <w:tcBorders>
              <w:top w:val="single" w:color="auto" w:sz="8" w:space="0"/>
            </w:tcBorders>
            <w:vAlign w:val="center"/>
          </w:tcPr>
          <w:p>
            <w:pPr>
              <w:adjustRightInd w:val="0"/>
              <w:snapToGrid w:val="0"/>
              <w:spacing w:line="400" w:lineRule="exact"/>
              <w:jc w:val="center"/>
              <w:rPr>
                <w:rFonts w:ascii="宋体" w:hAnsi="宋体"/>
                <w:sz w:val="18"/>
              </w:rPr>
            </w:pPr>
            <w:r>
              <w:rPr>
                <w:rFonts w:hint="eastAsia" w:ascii="宋体" w:hAnsi="宋体"/>
                <w:sz w:val="18"/>
              </w:rPr>
              <w:t>试验项目</w:t>
            </w:r>
          </w:p>
        </w:tc>
        <w:tc>
          <w:tcPr>
            <w:tcW w:w="631" w:type="pct"/>
            <w:tcBorders>
              <w:top w:val="single" w:color="auto" w:sz="8" w:space="0"/>
            </w:tcBorders>
            <w:vAlign w:val="center"/>
          </w:tcPr>
          <w:p>
            <w:pPr>
              <w:adjustRightInd w:val="0"/>
              <w:snapToGrid w:val="0"/>
              <w:spacing w:line="400" w:lineRule="exact"/>
              <w:jc w:val="center"/>
              <w:rPr>
                <w:rFonts w:ascii="宋体" w:hAnsi="宋体"/>
                <w:sz w:val="18"/>
              </w:rPr>
            </w:pPr>
            <w:r>
              <w:rPr>
                <w:rFonts w:ascii="宋体" w:hAnsi="宋体"/>
                <w:sz w:val="18"/>
              </w:rPr>
              <w:t>单位</w:t>
            </w:r>
          </w:p>
        </w:tc>
        <w:tc>
          <w:tcPr>
            <w:tcW w:w="1301" w:type="pct"/>
            <w:tcBorders>
              <w:left w:val="single" w:color="auto" w:sz="4" w:space="0"/>
              <w:bottom w:val="single" w:color="auto" w:sz="2" w:space="0"/>
            </w:tcBorders>
            <w:vAlign w:val="center"/>
          </w:tcPr>
          <w:p>
            <w:pPr>
              <w:adjustRightInd w:val="0"/>
              <w:snapToGrid w:val="0"/>
              <w:spacing w:line="400" w:lineRule="exact"/>
              <w:jc w:val="center"/>
              <w:rPr>
                <w:rFonts w:ascii="宋体" w:hAnsi="宋体"/>
                <w:sz w:val="18"/>
              </w:rPr>
            </w:pPr>
            <w:r>
              <w:rPr>
                <w:rFonts w:hint="eastAsia" w:ascii="宋体" w:hAnsi="宋体"/>
                <w:sz w:val="18"/>
              </w:rPr>
              <w:t>技术要求</w:t>
            </w:r>
          </w:p>
        </w:tc>
        <w:tc>
          <w:tcPr>
            <w:tcW w:w="1219" w:type="pct"/>
            <w:tcBorders>
              <w:top w:val="single" w:color="auto" w:sz="8" w:space="0"/>
            </w:tcBorders>
            <w:vAlign w:val="center"/>
          </w:tcPr>
          <w:p>
            <w:pPr>
              <w:adjustRightInd w:val="0"/>
              <w:snapToGrid w:val="0"/>
              <w:spacing w:line="400" w:lineRule="exact"/>
              <w:jc w:val="center"/>
              <w:rPr>
                <w:rFonts w:ascii="宋体" w:hAnsi="宋体"/>
                <w:sz w:val="18"/>
              </w:rPr>
            </w:pPr>
            <w:r>
              <w:rPr>
                <w:rFonts w:hint="eastAsia" w:ascii="宋体" w:hAnsi="宋体"/>
                <w:sz w:val="18"/>
              </w:rPr>
              <w:t>试验方法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tcBorders>
              <w:top w:val="single" w:color="auto" w:sz="2" w:space="0"/>
              <w:bottom w:val="single" w:color="auto" w:sz="4" w:space="0"/>
            </w:tcBorders>
            <w:vAlign w:val="center"/>
          </w:tcPr>
          <w:p>
            <w:pPr>
              <w:adjustRightInd w:val="0"/>
              <w:snapToGrid w:val="0"/>
              <w:spacing w:line="400" w:lineRule="exact"/>
              <w:jc w:val="center"/>
              <w:rPr>
                <w:rFonts w:ascii="宋体" w:hAnsi="宋体"/>
                <w:sz w:val="18"/>
              </w:rPr>
            </w:pPr>
            <w:r>
              <w:rPr>
                <w:rFonts w:ascii="宋体" w:hAnsi="宋体"/>
                <w:sz w:val="18"/>
              </w:rPr>
              <w:t>马歇尔试件尺寸</w:t>
            </w:r>
          </w:p>
        </w:tc>
        <w:tc>
          <w:tcPr>
            <w:tcW w:w="631" w:type="pct"/>
            <w:tcBorders>
              <w:top w:val="single" w:color="auto" w:sz="2" w:space="0"/>
              <w:bottom w:val="single" w:color="auto" w:sz="4" w:space="0"/>
            </w:tcBorders>
            <w:vAlign w:val="center"/>
          </w:tcPr>
          <w:p>
            <w:pPr>
              <w:adjustRightInd w:val="0"/>
              <w:snapToGrid w:val="0"/>
              <w:spacing w:line="400" w:lineRule="exact"/>
              <w:jc w:val="center"/>
              <w:rPr>
                <w:rFonts w:ascii="宋体" w:hAnsi="宋体"/>
                <w:sz w:val="18"/>
              </w:rPr>
            </w:pPr>
            <w:r>
              <w:rPr>
                <w:rFonts w:ascii="宋体" w:hAnsi="宋体"/>
                <w:sz w:val="18"/>
              </w:rPr>
              <w:t>mm</w:t>
            </w:r>
          </w:p>
        </w:tc>
        <w:tc>
          <w:tcPr>
            <w:tcW w:w="1301" w:type="pct"/>
            <w:tcBorders>
              <w:top w:val="single" w:color="auto" w:sz="2" w:space="0"/>
            </w:tcBorders>
            <w:vAlign w:val="center"/>
          </w:tcPr>
          <w:p>
            <w:pPr>
              <w:adjustRightInd w:val="0"/>
              <w:snapToGrid w:val="0"/>
              <w:spacing w:line="400" w:lineRule="exact"/>
              <w:jc w:val="center"/>
              <w:rPr>
                <w:rFonts w:ascii="宋体" w:hAnsi="宋体"/>
                <w:sz w:val="18"/>
              </w:rPr>
            </w:pPr>
            <w:r>
              <w:rPr>
                <w:rFonts w:ascii="宋体" w:hAnsi="宋体"/>
                <w:sz w:val="18"/>
              </w:rPr>
              <w:t>Ф101.6×63.5</w:t>
            </w:r>
          </w:p>
        </w:tc>
        <w:tc>
          <w:tcPr>
            <w:tcW w:w="1219" w:type="pct"/>
            <w:tcBorders>
              <w:top w:val="single" w:color="auto" w:sz="2" w:space="0"/>
              <w:bottom w:val="single" w:color="auto" w:sz="4" w:space="0"/>
            </w:tcBorders>
            <w:vAlign w:val="center"/>
          </w:tcPr>
          <w:p>
            <w:pPr>
              <w:adjustRightInd w:val="0"/>
              <w:snapToGrid w:val="0"/>
              <w:spacing w:line="400" w:lineRule="exact"/>
              <w:jc w:val="center"/>
              <w:rPr>
                <w:rFonts w:ascii="宋体" w:hAnsi="宋体"/>
                <w:sz w:val="18"/>
              </w:rPr>
            </w:pPr>
            <w:r>
              <w:rPr>
                <w:rFonts w:hint="eastAsia" w:ascii="宋体" w:hAnsi="宋体"/>
                <w:sz w:val="18"/>
              </w:rPr>
              <w:t>JTG E20 T 0702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tcBorders>
              <w:top w:val="single" w:color="auto" w:sz="4" w:space="0"/>
            </w:tcBorders>
            <w:vAlign w:val="center"/>
          </w:tcPr>
          <w:p>
            <w:pPr>
              <w:adjustRightInd w:val="0"/>
              <w:snapToGrid w:val="0"/>
              <w:spacing w:line="400" w:lineRule="exact"/>
              <w:jc w:val="center"/>
              <w:rPr>
                <w:rFonts w:ascii="宋体" w:hAnsi="宋体"/>
                <w:sz w:val="18"/>
              </w:rPr>
            </w:pPr>
            <w:r>
              <w:rPr>
                <w:rFonts w:ascii="宋体" w:hAnsi="宋体"/>
                <w:sz w:val="18"/>
              </w:rPr>
              <w:t>击实次数</w:t>
            </w:r>
            <w:r>
              <w:rPr>
                <w:rFonts w:hint="eastAsia" w:ascii="宋体" w:hAnsi="宋体"/>
                <w:sz w:val="18"/>
              </w:rPr>
              <w:t>（双面）</w:t>
            </w:r>
          </w:p>
        </w:tc>
        <w:tc>
          <w:tcPr>
            <w:tcW w:w="631" w:type="pct"/>
            <w:tcBorders>
              <w:top w:val="single" w:color="auto" w:sz="4" w:space="0"/>
            </w:tcBorders>
            <w:vAlign w:val="center"/>
          </w:tcPr>
          <w:p>
            <w:pPr>
              <w:adjustRightInd w:val="0"/>
              <w:snapToGrid w:val="0"/>
              <w:spacing w:line="400" w:lineRule="exact"/>
              <w:jc w:val="center"/>
              <w:rPr>
                <w:rFonts w:ascii="宋体" w:hAnsi="宋体"/>
                <w:sz w:val="18"/>
              </w:rPr>
            </w:pPr>
            <w:r>
              <w:rPr>
                <w:rFonts w:ascii="宋体" w:hAnsi="宋体"/>
                <w:sz w:val="18"/>
              </w:rPr>
              <w:t>次</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75</w:t>
            </w:r>
          </w:p>
        </w:tc>
        <w:tc>
          <w:tcPr>
            <w:tcW w:w="1219" w:type="pct"/>
            <w:tcBorders>
              <w:top w:val="single" w:color="auto" w:sz="4" w:space="0"/>
            </w:tcBorders>
            <w:vAlign w:val="center"/>
          </w:tcPr>
          <w:p>
            <w:pPr>
              <w:adjustRightInd w:val="0"/>
              <w:snapToGrid w:val="0"/>
              <w:spacing w:line="400" w:lineRule="exact"/>
              <w:jc w:val="center"/>
              <w:rPr>
                <w:rFonts w:ascii="宋体" w:hAnsi="宋体"/>
                <w:sz w:val="18"/>
              </w:rPr>
            </w:pPr>
            <w:r>
              <w:rPr>
                <w:rFonts w:hint="eastAsia" w:ascii="宋体" w:hAnsi="宋体"/>
                <w:sz w:val="18"/>
              </w:rPr>
              <w:t>JTG E20 T 0702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spacing w:line="400" w:lineRule="exact"/>
              <w:jc w:val="center"/>
              <w:rPr>
                <w:rFonts w:ascii="宋体" w:hAnsi="宋体"/>
                <w:sz w:val="18"/>
              </w:rPr>
            </w:pPr>
            <w:r>
              <w:rPr>
                <w:rFonts w:ascii="宋体" w:hAnsi="宋体"/>
                <w:sz w:val="18"/>
              </w:rPr>
              <w:t>空隙率</w:t>
            </w:r>
            <w:r>
              <w:rPr>
                <w:rFonts w:hint="eastAsia" w:ascii="宋体" w:hAnsi="宋体"/>
                <w:sz w:val="18"/>
              </w:rPr>
              <w:t>VV</w:t>
            </w:r>
          </w:p>
        </w:tc>
        <w:tc>
          <w:tcPr>
            <w:tcW w:w="631" w:type="pct"/>
            <w:vAlign w:val="center"/>
          </w:tcPr>
          <w:p>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2</w:t>
            </w:r>
            <w:r>
              <w:rPr>
                <w:rFonts w:ascii="宋体" w:hAnsi="宋体"/>
                <w:sz w:val="18"/>
              </w:rPr>
              <w:t>～</w:t>
            </w:r>
            <w:r>
              <w:rPr>
                <w:rFonts w:hint="eastAsia" w:ascii="宋体" w:hAnsi="宋体"/>
                <w:sz w:val="18"/>
              </w:rPr>
              <w:t>4</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矿料间隙率</w:t>
            </w:r>
            <w:r>
              <w:rPr>
                <w:rFonts w:hint="eastAsia" w:ascii="宋体" w:hAnsi="宋体"/>
                <w:sz w:val="18"/>
              </w:rPr>
              <w:t>VMA</w:t>
            </w:r>
            <w:r>
              <w:rPr>
                <w:rFonts w:cs="Calibri"/>
                <w:sz w:val="18"/>
                <w:szCs w:val="18"/>
                <w:vertAlign w:val="superscript"/>
              </w:rPr>
              <w:t>①</w:t>
            </w:r>
            <w:r>
              <w:rPr>
                <w:rFonts w:hint="eastAsia" w:ascii="宋体" w:hAnsi="宋体"/>
                <w:sz w:val="18"/>
              </w:rPr>
              <w:t>，</w:t>
            </w:r>
          </w:p>
          <w:p>
            <w:pPr>
              <w:adjustRightInd w:val="0"/>
              <w:snapToGrid w:val="0"/>
              <w:jc w:val="center"/>
              <w:rPr>
                <w:rFonts w:ascii="宋体" w:hAnsi="宋体"/>
                <w:sz w:val="18"/>
              </w:rPr>
            </w:pPr>
            <w:r>
              <w:rPr>
                <w:rFonts w:hint="eastAsia" w:ascii="宋体" w:hAnsi="宋体"/>
                <w:sz w:val="18"/>
              </w:rPr>
              <w:t>不小于</w:t>
            </w:r>
          </w:p>
        </w:tc>
        <w:tc>
          <w:tcPr>
            <w:tcW w:w="631" w:type="pct"/>
            <w:vAlign w:val="center"/>
          </w:tcPr>
          <w:p>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14</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沥青饱和度</w:t>
            </w:r>
            <w:r>
              <w:rPr>
                <w:rFonts w:hint="eastAsia" w:ascii="宋体" w:hAnsi="宋体"/>
                <w:sz w:val="18"/>
              </w:rPr>
              <w:t>VFA</w:t>
            </w:r>
          </w:p>
        </w:tc>
        <w:tc>
          <w:tcPr>
            <w:tcW w:w="631" w:type="pct"/>
            <w:vAlign w:val="center"/>
          </w:tcPr>
          <w:p>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75</w:t>
            </w:r>
            <w:r>
              <w:rPr>
                <w:rFonts w:ascii="宋体" w:hAnsi="宋体"/>
                <w:sz w:val="18"/>
              </w:rPr>
              <w:t>～</w:t>
            </w:r>
            <w:r>
              <w:rPr>
                <w:rFonts w:hint="eastAsia" w:ascii="宋体" w:hAnsi="宋体"/>
                <w:sz w:val="18"/>
              </w:rPr>
              <w:t>90</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hint="eastAsia" w:ascii="宋体" w:hAnsi="宋体"/>
                <w:sz w:val="18"/>
              </w:rPr>
              <w:t>粗集料骨架间隙率</w:t>
            </w:r>
            <w:r>
              <w:rPr>
                <w:rFonts w:ascii="宋体" w:hAnsi="宋体"/>
                <w:sz w:val="18"/>
              </w:rPr>
              <w:t>VCA</w:t>
            </w:r>
            <w:r>
              <w:rPr>
                <w:rFonts w:ascii="宋体"/>
                <w:vertAlign w:val="subscript"/>
              </w:rPr>
              <w:t>mix</w:t>
            </w:r>
            <w:r>
              <w:rPr>
                <w:rFonts w:cs="Calibri"/>
                <w:sz w:val="18"/>
                <w:szCs w:val="18"/>
                <w:vertAlign w:val="superscript"/>
              </w:rPr>
              <w:t>②</w:t>
            </w:r>
            <w:r>
              <w:rPr>
                <w:rFonts w:hint="eastAsia" w:ascii="宋体" w:hAnsi="宋体"/>
                <w:sz w:val="18"/>
              </w:rPr>
              <w:t>，不大于</w:t>
            </w:r>
          </w:p>
        </w:tc>
        <w:tc>
          <w:tcPr>
            <w:tcW w:w="631" w:type="pct"/>
            <w:vAlign w:val="center"/>
          </w:tcPr>
          <w:p>
            <w:pPr>
              <w:adjustRightInd w:val="0"/>
              <w:snapToGrid w:val="0"/>
              <w:spacing w:line="400" w:lineRule="exact"/>
              <w:jc w:val="center"/>
              <w:rPr>
                <w:rFonts w:ascii="宋体" w:hAnsi="宋体"/>
                <w:sz w:val="18"/>
              </w:rPr>
            </w:pPr>
            <w:r>
              <w:rPr>
                <w:rFonts w:hint="eastAsia"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ascii="宋体" w:hAnsi="宋体"/>
                <w:sz w:val="18"/>
              </w:rPr>
              <w:t>VCA</w:t>
            </w:r>
            <w:r>
              <w:rPr>
                <w:rFonts w:ascii="宋体" w:hAnsi="宋体"/>
                <w:sz w:val="10"/>
                <w:szCs w:val="15"/>
              </w:rPr>
              <w:t>DR</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稳定度</w:t>
            </w:r>
            <w:r>
              <w:rPr>
                <w:rFonts w:hint="eastAsia" w:ascii="宋体" w:hAnsi="宋体"/>
                <w:sz w:val="18"/>
              </w:rPr>
              <w:t>，</w:t>
            </w:r>
            <w:r>
              <w:rPr>
                <w:rFonts w:ascii="宋体" w:hAnsi="宋体"/>
                <w:sz w:val="18"/>
              </w:rPr>
              <w:t>不小于</w:t>
            </w:r>
          </w:p>
        </w:tc>
        <w:tc>
          <w:tcPr>
            <w:tcW w:w="631" w:type="pct"/>
            <w:vAlign w:val="center"/>
          </w:tcPr>
          <w:p>
            <w:pPr>
              <w:adjustRightInd w:val="0"/>
              <w:snapToGrid w:val="0"/>
              <w:spacing w:line="400" w:lineRule="exact"/>
              <w:jc w:val="center"/>
              <w:rPr>
                <w:rFonts w:ascii="宋体" w:hAnsi="宋体"/>
                <w:sz w:val="18"/>
              </w:rPr>
            </w:pPr>
            <w:r>
              <w:rPr>
                <w:rFonts w:ascii="宋体" w:hAnsi="宋体"/>
                <w:sz w:val="18"/>
              </w:rPr>
              <w:t>kN</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8</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流值</w:t>
            </w:r>
          </w:p>
        </w:tc>
        <w:tc>
          <w:tcPr>
            <w:tcW w:w="631" w:type="pct"/>
            <w:vAlign w:val="center"/>
          </w:tcPr>
          <w:p>
            <w:pPr>
              <w:adjustRightInd w:val="0"/>
              <w:snapToGrid w:val="0"/>
              <w:spacing w:line="400" w:lineRule="exact"/>
              <w:jc w:val="center"/>
              <w:rPr>
                <w:rFonts w:ascii="宋体" w:hAnsi="宋体"/>
                <w:sz w:val="18"/>
              </w:rPr>
            </w:pPr>
            <w:r>
              <w:rPr>
                <w:rFonts w:ascii="宋体" w:hAnsi="宋体"/>
                <w:sz w:val="18"/>
              </w:rPr>
              <w:t>mm</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2</w:t>
            </w:r>
            <w:r>
              <w:rPr>
                <w:rFonts w:ascii="宋体" w:hAnsi="宋体"/>
                <w:sz w:val="18"/>
              </w:rPr>
              <w:t>～</w:t>
            </w:r>
            <w:r>
              <w:rPr>
                <w:rFonts w:hint="eastAsia" w:ascii="宋体" w:hAnsi="宋体"/>
                <w:sz w:val="18"/>
              </w:rPr>
              <w:t>5</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析漏试验的结合料损失</w:t>
            </w:r>
            <w:r>
              <w:rPr>
                <w:rFonts w:hint="eastAsia" w:ascii="宋体" w:hAnsi="宋体"/>
                <w:sz w:val="18"/>
              </w:rPr>
              <w:t>，</w:t>
            </w:r>
            <w:r>
              <w:rPr>
                <w:rFonts w:ascii="宋体" w:hAnsi="宋体"/>
                <w:sz w:val="18"/>
              </w:rPr>
              <w:t>不大于</w:t>
            </w:r>
          </w:p>
        </w:tc>
        <w:tc>
          <w:tcPr>
            <w:tcW w:w="631" w:type="pct"/>
            <w:vAlign w:val="center"/>
          </w:tcPr>
          <w:p>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0.1</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2" w:space="0"/>
          </w:tblBorders>
          <w:tblCellMar>
            <w:top w:w="0" w:type="dxa"/>
            <w:left w:w="108" w:type="dxa"/>
            <w:bottom w:w="0" w:type="dxa"/>
            <w:right w:w="108" w:type="dxa"/>
          </w:tblCellMar>
        </w:tblPrEx>
        <w:trPr>
          <w:trHeight w:val="363" w:hRule="atLeast"/>
          <w:jc w:val="center"/>
        </w:trPr>
        <w:tc>
          <w:tcPr>
            <w:tcW w:w="1848" w:type="pct"/>
            <w:vAlign w:val="center"/>
          </w:tcPr>
          <w:p>
            <w:pPr>
              <w:adjustRightInd w:val="0"/>
              <w:snapToGrid w:val="0"/>
              <w:jc w:val="center"/>
              <w:rPr>
                <w:rFonts w:ascii="宋体" w:hAnsi="宋体"/>
                <w:sz w:val="18"/>
              </w:rPr>
            </w:pPr>
            <w:r>
              <w:rPr>
                <w:rFonts w:ascii="宋体" w:hAnsi="宋体"/>
                <w:sz w:val="18"/>
              </w:rPr>
              <w:t>浸水飞散试验的混合料损失</w:t>
            </w:r>
            <w:r>
              <w:rPr>
                <w:rFonts w:hint="eastAsia" w:ascii="宋体" w:hAnsi="宋体"/>
                <w:sz w:val="18"/>
              </w:rPr>
              <w:t>，</w:t>
            </w:r>
            <w:r>
              <w:rPr>
                <w:rFonts w:ascii="宋体" w:hAnsi="宋体"/>
                <w:sz w:val="18"/>
              </w:rPr>
              <w:t>不大于</w:t>
            </w:r>
          </w:p>
        </w:tc>
        <w:tc>
          <w:tcPr>
            <w:tcW w:w="631" w:type="pct"/>
            <w:vAlign w:val="center"/>
          </w:tcPr>
          <w:p>
            <w:pPr>
              <w:adjustRightInd w:val="0"/>
              <w:snapToGrid w:val="0"/>
              <w:spacing w:line="400" w:lineRule="exact"/>
              <w:jc w:val="center"/>
              <w:rPr>
                <w:rFonts w:ascii="宋体" w:hAnsi="宋体"/>
                <w:sz w:val="18"/>
              </w:rPr>
            </w:pPr>
            <w:r>
              <w:rPr>
                <w:rFonts w:ascii="宋体" w:hAnsi="宋体"/>
                <w:sz w:val="18"/>
              </w:rPr>
              <w:t>％</w:t>
            </w:r>
          </w:p>
        </w:tc>
        <w:tc>
          <w:tcPr>
            <w:tcW w:w="1301" w:type="pct"/>
            <w:vAlign w:val="center"/>
          </w:tcPr>
          <w:p>
            <w:pPr>
              <w:adjustRightInd w:val="0"/>
              <w:snapToGrid w:val="0"/>
              <w:spacing w:line="400" w:lineRule="exact"/>
              <w:jc w:val="center"/>
              <w:rPr>
                <w:rFonts w:ascii="宋体" w:hAnsi="宋体"/>
                <w:sz w:val="18"/>
              </w:rPr>
            </w:pPr>
            <w:r>
              <w:rPr>
                <w:rFonts w:hint="eastAsia" w:ascii="宋体" w:hAnsi="宋体"/>
                <w:sz w:val="18"/>
              </w:rPr>
              <w:t>10</w:t>
            </w:r>
          </w:p>
        </w:tc>
        <w:tc>
          <w:tcPr>
            <w:tcW w:w="1219" w:type="pct"/>
            <w:vAlign w:val="center"/>
          </w:tcPr>
          <w:p>
            <w:pPr>
              <w:adjustRightInd w:val="0"/>
              <w:snapToGrid w:val="0"/>
              <w:spacing w:line="400" w:lineRule="exact"/>
              <w:jc w:val="center"/>
              <w:rPr>
                <w:rFonts w:ascii="宋体" w:hAnsi="宋体"/>
                <w:sz w:val="18"/>
              </w:rPr>
            </w:pPr>
            <w:r>
              <w:rPr>
                <w:rFonts w:hint="eastAsia" w:ascii="宋体" w:hAnsi="宋体"/>
                <w:sz w:val="18"/>
              </w:rPr>
              <w:t>JTG E20 T 0733</w:t>
            </w:r>
          </w:p>
        </w:tc>
      </w:tr>
    </w:tbl>
    <w:p>
      <w:pPr>
        <w:pStyle w:val="9"/>
        <w:spacing w:line="400" w:lineRule="atLeast"/>
        <w:ind w:left="1050" w:leftChars="200" w:hanging="630" w:hangingChars="350"/>
        <w:rPr>
          <w:rFonts w:ascii="黑体" w:hAnsi="黑体" w:eastAsia="黑体"/>
          <w:sz w:val="18"/>
          <w:szCs w:val="18"/>
        </w:rPr>
      </w:pPr>
      <w:r>
        <w:rPr>
          <w:rFonts w:hint="eastAsia" w:ascii="黑体" w:hAnsi="黑体" w:eastAsia="黑体"/>
          <w:color w:val="000000"/>
          <w:sz w:val="18"/>
          <w:szCs w:val="18"/>
        </w:rPr>
        <w:t>注：</w:t>
      </w:r>
      <w:r>
        <w:rPr>
          <w:rFonts w:hint="eastAsia" w:ascii="黑体" w:hAnsi="黑体" w:eastAsia="黑体"/>
          <w:color w:val="000000"/>
          <w:sz w:val="18"/>
          <w:szCs w:val="18"/>
        </w:rPr>
        <w:fldChar w:fldCharType="begin"/>
      </w:r>
      <w:r>
        <w:rPr>
          <w:rFonts w:hint="eastAsia" w:ascii="黑体" w:hAnsi="黑体" w:eastAsia="黑体"/>
          <w:color w:val="000000"/>
          <w:sz w:val="18"/>
          <w:szCs w:val="18"/>
        </w:rPr>
        <w:instrText xml:space="preserve"> = 1 \* GB3 \* MERGEFORMAT </w:instrText>
      </w:r>
      <w:r>
        <w:rPr>
          <w:rFonts w:hint="eastAsia" w:ascii="黑体" w:hAnsi="黑体" w:eastAsia="黑体"/>
          <w:color w:val="000000"/>
          <w:sz w:val="18"/>
          <w:szCs w:val="18"/>
        </w:rPr>
        <w:fldChar w:fldCharType="separate"/>
      </w:r>
      <w:r>
        <w:rPr>
          <w:rFonts w:hint="eastAsia" w:ascii="黑体" w:hAnsi="黑体" w:eastAsia="黑体"/>
          <w:color w:val="000000"/>
          <w:sz w:val="18"/>
          <w:szCs w:val="18"/>
        </w:rPr>
        <w:t>①</w:t>
      </w:r>
      <w:r>
        <w:rPr>
          <w:rFonts w:hint="eastAsia" w:ascii="黑体" w:hAnsi="黑体" w:eastAsia="黑体"/>
          <w:color w:val="000000"/>
          <w:sz w:val="18"/>
          <w:szCs w:val="18"/>
        </w:rPr>
        <w:fldChar w:fldCharType="end"/>
      </w:r>
      <w:r>
        <w:rPr>
          <w:rFonts w:hint="eastAsia" w:ascii="黑体" w:hAnsi="黑体" w:eastAsia="黑体"/>
          <w:sz w:val="18"/>
          <w:szCs w:val="18"/>
        </w:rPr>
        <w:t xml:space="preserve"> 对絮状矿物纤维的SMA混合料，VMA可放宽到16%，析漏试验的结合料损失可放宽0.3%。粒状木质纤维的SMA析漏试验的结合料损失可放宽0.2%。</w:t>
      </w:r>
    </w:p>
    <w:p>
      <w:pPr>
        <w:pStyle w:val="9"/>
        <w:spacing w:after="100" w:afterAutospacing="1" w:line="400" w:lineRule="atLeast"/>
        <w:ind w:left="1066" w:leftChars="379" w:hanging="270" w:hangingChars="150"/>
        <w:rPr>
          <w:rFonts w:ascii="黑体" w:hAnsi="黑体" w:eastAsia="黑体"/>
          <w:sz w:val="18"/>
          <w:szCs w:val="18"/>
        </w:rPr>
      </w:pPr>
      <w:r>
        <w:rPr>
          <w:rFonts w:hint="eastAsia" w:ascii="黑体" w:hAnsi="黑体" w:eastAsia="黑体"/>
          <w:color w:val="000000"/>
          <w:sz w:val="18"/>
          <w:szCs w:val="18"/>
        </w:rPr>
        <w:t>②</w:t>
      </w:r>
      <w:r>
        <w:rPr>
          <w:rFonts w:hint="eastAsia" w:ascii="黑体" w:hAnsi="黑体" w:eastAsia="黑体"/>
          <w:sz w:val="18"/>
          <w:szCs w:val="18"/>
        </w:rPr>
        <w:t xml:space="preserve"> 粗骨料骨架间隙率VCA</w:t>
      </w:r>
      <w:r>
        <w:rPr>
          <w:rFonts w:hint="eastAsia" w:ascii="黑体" w:hAnsi="黑体" w:eastAsia="黑体"/>
          <w:sz w:val="18"/>
          <w:szCs w:val="18"/>
          <w:vertAlign w:val="subscript"/>
        </w:rPr>
        <w:t>mix</w:t>
      </w:r>
      <w:r>
        <w:rPr>
          <w:rFonts w:hint="eastAsia" w:ascii="黑体" w:hAnsi="黑体" w:eastAsia="黑体"/>
          <w:sz w:val="18"/>
          <w:szCs w:val="18"/>
        </w:rPr>
        <w:t>的关键性筛孔，对SMA-19、SMA-16及SMA-13为4.75mm,对SMA-10为2.36mm;若混合料合成针片状颗粒含量小于10%时，当混合料性能满足要求时，VCA</w:t>
      </w:r>
      <w:r>
        <w:rPr>
          <w:rFonts w:hint="eastAsia" w:ascii="黑体" w:hAnsi="黑体" w:eastAsia="黑体"/>
          <w:sz w:val="18"/>
          <w:szCs w:val="18"/>
          <w:vertAlign w:val="subscript"/>
        </w:rPr>
        <w:t>mix</w:t>
      </w:r>
      <w:r>
        <w:rPr>
          <w:rFonts w:hint="eastAsia" w:ascii="黑体" w:hAnsi="黑体" w:eastAsia="黑体"/>
          <w:sz w:val="18"/>
          <w:szCs w:val="18"/>
        </w:rPr>
        <w:t>指标可不予要求。</w:t>
      </w:r>
    </w:p>
    <w:p>
      <w:pPr>
        <w:spacing w:line="360" w:lineRule="auto"/>
        <w:ind w:firstLine="480"/>
        <w:rPr>
          <w:sz w:val="24"/>
        </w:rPr>
      </w:pPr>
      <w:r>
        <w:rPr>
          <w:rFonts w:hint="eastAsia" w:ascii="Times New Roman" w:hAnsi="Times New Roman" w:cs="Times New Roman"/>
          <w:sz w:val="32"/>
          <w:szCs w:val="32"/>
          <w:lang w:eastAsia="zh-Hans"/>
        </w:rPr>
        <w:t>4.</w:t>
      </w:r>
      <w:r>
        <w:rPr>
          <w:rFonts w:hint="eastAsia" w:ascii="Times New Roman" w:hAnsi="Times New Roman" w:cs="Times New Roman"/>
          <w:sz w:val="32"/>
          <w:szCs w:val="32"/>
        </w:rPr>
        <w:t>6.4</w:t>
      </w:r>
      <w:r>
        <w:rPr>
          <w:rFonts w:hint="eastAsia" w:ascii="Times New Roman" w:hAnsi="Times New Roman" w:cs="Times New Roman"/>
          <w:sz w:val="32"/>
          <w:szCs w:val="32"/>
          <w:lang w:eastAsia="zh-Hans"/>
        </w:rPr>
        <w:t>无车辙（维修）沥青路面沥青混合料性能检验应符合如下要求。</w:t>
      </w:r>
    </w:p>
    <w:p>
      <w:pPr>
        <w:spacing w:line="360" w:lineRule="auto"/>
        <w:ind w:firstLine="480"/>
        <w:jc w:val="center"/>
        <w:rPr>
          <w:sz w:val="24"/>
        </w:rPr>
      </w:pPr>
      <w:r>
        <w:rPr>
          <w:rFonts w:hint="eastAsia"/>
          <w:sz w:val="24"/>
          <w:lang w:eastAsia="zh-Hans"/>
        </w:rPr>
        <w:t>无车辙（维修）沥青路面沥青混合料</w:t>
      </w:r>
      <w:r>
        <w:rPr>
          <w:rFonts w:hint="eastAsia"/>
          <w:sz w:val="24"/>
        </w:rPr>
        <w:t>性能检验要求</w:t>
      </w:r>
    </w:p>
    <w:tbl>
      <w:tblPr>
        <w:tblStyle w:val="11"/>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9"/>
        <w:gridCol w:w="1036"/>
        <w:gridCol w:w="3083"/>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60" w:lineRule="auto"/>
              <w:contextualSpacing/>
              <w:jc w:val="center"/>
              <w:rPr>
                <w:sz w:val="18"/>
                <w:szCs w:val="18"/>
              </w:rPr>
            </w:pPr>
            <w:r>
              <w:rPr>
                <w:sz w:val="18"/>
                <w:szCs w:val="18"/>
              </w:rPr>
              <w:t>项目</w:t>
            </w:r>
          </w:p>
        </w:tc>
        <w:tc>
          <w:tcPr>
            <w:tcW w:w="1036" w:type="dxa"/>
            <w:vAlign w:val="center"/>
          </w:tcPr>
          <w:p>
            <w:pPr>
              <w:spacing w:line="360" w:lineRule="auto"/>
              <w:contextualSpacing/>
              <w:jc w:val="center"/>
              <w:rPr>
                <w:sz w:val="18"/>
                <w:szCs w:val="18"/>
              </w:rPr>
            </w:pPr>
            <w:r>
              <w:rPr>
                <w:sz w:val="18"/>
                <w:szCs w:val="18"/>
              </w:rPr>
              <w:t>单位</w:t>
            </w:r>
          </w:p>
        </w:tc>
        <w:tc>
          <w:tcPr>
            <w:tcW w:w="3083" w:type="dxa"/>
            <w:vAlign w:val="center"/>
          </w:tcPr>
          <w:p>
            <w:pPr>
              <w:spacing w:line="360" w:lineRule="auto"/>
              <w:contextualSpacing/>
              <w:jc w:val="center"/>
              <w:rPr>
                <w:sz w:val="18"/>
                <w:szCs w:val="18"/>
              </w:rPr>
            </w:pPr>
            <w:r>
              <w:rPr>
                <w:sz w:val="18"/>
                <w:szCs w:val="18"/>
              </w:rPr>
              <w:t>技术要求</w:t>
            </w:r>
          </w:p>
        </w:tc>
        <w:tc>
          <w:tcPr>
            <w:tcW w:w="1088" w:type="dxa"/>
            <w:vAlign w:val="center"/>
          </w:tcPr>
          <w:p>
            <w:pPr>
              <w:spacing w:line="360" w:lineRule="auto"/>
              <w:contextualSpacing/>
              <w:jc w:val="center"/>
              <w:rPr>
                <w:sz w:val="18"/>
                <w:szCs w:val="18"/>
              </w:rPr>
            </w:pPr>
            <w:r>
              <w:rPr>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60" w:lineRule="auto"/>
              <w:contextualSpacing/>
              <w:jc w:val="center"/>
              <w:rPr>
                <w:sz w:val="18"/>
                <w:szCs w:val="18"/>
              </w:rPr>
            </w:pPr>
            <w:r>
              <w:rPr>
                <w:rFonts w:hint="eastAsia"/>
                <w:sz w:val="18"/>
                <w:szCs w:val="18"/>
              </w:rPr>
              <w:t>动稳定度（70℃、0.7MPa）</w:t>
            </w:r>
          </w:p>
        </w:tc>
        <w:tc>
          <w:tcPr>
            <w:tcW w:w="1036" w:type="dxa"/>
            <w:vAlign w:val="center"/>
          </w:tcPr>
          <w:p>
            <w:pPr>
              <w:spacing w:line="360" w:lineRule="auto"/>
              <w:contextualSpacing/>
              <w:jc w:val="center"/>
              <w:rPr>
                <w:sz w:val="18"/>
                <w:szCs w:val="18"/>
              </w:rPr>
            </w:pPr>
            <w:r>
              <w:rPr>
                <w:sz w:val="18"/>
                <w:szCs w:val="18"/>
              </w:rPr>
              <w:t>次/mm</w:t>
            </w:r>
          </w:p>
        </w:tc>
        <w:tc>
          <w:tcPr>
            <w:tcW w:w="3083" w:type="dxa"/>
            <w:vAlign w:val="center"/>
          </w:tcPr>
          <w:p>
            <w:pPr>
              <w:pStyle w:val="10"/>
              <w:ind w:firstLine="0" w:firstLineChars="0"/>
              <w:jc w:val="center"/>
              <w:rPr>
                <w:sz w:val="18"/>
                <w:szCs w:val="18"/>
              </w:rPr>
            </w:pPr>
            <w:r>
              <w:rPr>
                <w:rFonts w:hint="eastAsia"/>
                <w:sz w:val="18"/>
                <w:szCs w:val="18"/>
              </w:rPr>
              <w:t>≥10000</w:t>
            </w:r>
          </w:p>
        </w:tc>
        <w:tc>
          <w:tcPr>
            <w:tcW w:w="1088" w:type="dxa"/>
            <w:vAlign w:val="center"/>
          </w:tcPr>
          <w:p>
            <w:pPr>
              <w:spacing w:line="360" w:lineRule="auto"/>
              <w:contextualSpacing/>
              <w:jc w:val="center"/>
              <w:rPr>
                <w:sz w:val="18"/>
                <w:szCs w:val="18"/>
              </w:rPr>
            </w:pPr>
            <w:r>
              <w:rPr>
                <w:sz w:val="18"/>
                <w:szCs w:val="18"/>
              </w:rPr>
              <w:t>T 0719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60" w:lineRule="auto"/>
              <w:contextualSpacing/>
              <w:jc w:val="center"/>
              <w:rPr>
                <w:rFonts w:ascii="Times New Roman" w:hAnsi="Times New Roman"/>
                <w:sz w:val="18"/>
                <w:szCs w:val="18"/>
              </w:rPr>
            </w:pPr>
            <w:r>
              <w:rPr>
                <w:rFonts w:hint="eastAsia"/>
                <w:sz w:val="18"/>
                <w:szCs w:val="18"/>
              </w:rPr>
              <w:t>低温弯曲</w:t>
            </w:r>
            <w:r>
              <w:rPr>
                <w:sz w:val="18"/>
                <w:szCs w:val="18"/>
              </w:rPr>
              <w:t>极限破坏应变（-10</w:t>
            </w:r>
            <w:r>
              <w:rPr>
                <w:rFonts w:hint="eastAsia" w:ascii="宋体" w:hAnsi="宋体" w:cs="宋体"/>
                <w:sz w:val="18"/>
                <w:szCs w:val="18"/>
              </w:rPr>
              <w:t>℃</w:t>
            </w:r>
            <w:r>
              <w:rPr>
                <w:sz w:val="18"/>
                <w:szCs w:val="18"/>
              </w:rPr>
              <w:t>）</w:t>
            </w:r>
          </w:p>
        </w:tc>
        <w:tc>
          <w:tcPr>
            <w:tcW w:w="1036" w:type="dxa"/>
            <w:vAlign w:val="center"/>
          </w:tcPr>
          <w:p>
            <w:pPr>
              <w:spacing w:line="360" w:lineRule="auto"/>
              <w:contextualSpacing/>
              <w:jc w:val="center"/>
              <w:rPr>
                <w:rFonts w:ascii="Times New Roman" w:hAnsi="Times New Roman"/>
                <w:sz w:val="18"/>
                <w:szCs w:val="18"/>
              </w:rPr>
            </w:pPr>
            <w:r>
              <w:rPr>
                <w:sz w:val="18"/>
                <w:szCs w:val="18"/>
              </w:rPr>
              <w:t>με</w:t>
            </w:r>
          </w:p>
        </w:tc>
        <w:tc>
          <w:tcPr>
            <w:tcW w:w="3083" w:type="dxa"/>
            <w:vAlign w:val="center"/>
          </w:tcPr>
          <w:p>
            <w:pPr>
              <w:spacing w:line="360" w:lineRule="auto"/>
              <w:contextualSpacing/>
              <w:jc w:val="center"/>
              <w:rPr>
                <w:rFonts w:ascii="Times New Roman" w:hAnsi="Times New Roman"/>
                <w:sz w:val="18"/>
                <w:szCs w:val="18"/>
              </w:rPr>
            </w:pPr>
            <w:r>
              <w:rPr>
                <w:rFonts w:hint="eastAsia"/>
                <w:kern w:val="0"/>
                <w:sz w:val="18"/>
                <w:szCs w:val="18"/>
              </w:rPr>
              <w:t>≥</w:t>
            </w:r>
            <w:r>
              <w:rPr>
                <w:rFonts w:hint="eastAsia"/>
                <w:sz w:val="18"/>
                <w:szCs w:val="18"/>
              </w:rPr>
              <w:t>25</w:t>
            </w:r>
            <w:r>
              <w:rPr>
                <w:sz w:val="18"/>
                <w:szCs w:val="18"/>
              </w:rPr>
              <w:t>00</w:t>
            </w:r>
          </w:p>
        </w:tc>
        <w:tc>
          <w:tcPr>
            <w:tcW w:w="1088" w:type="dxa"/>
            <w:vAlign w:val="center"/>
          </w:tcPr>
          <w:p>
            <w:pPr>
              <w:spacing w:line="360" w:lineRule="auto"/>
              <w:contextualSpacing/>
              <w:jc w:val="center"/>
              <w:rPr>
                <w:rFonts w:ascii="Times New Roman" w:hAnsi="Times New Roman"/>
                <w:sz w:val="18"/>
                <w:szCs w:val="18"/>
              </w:rPr>
            </w:pPr>
            <w:r>
              <w:rPr>
                <w:sz w:val="18"/>
                <w:szCs w:val="18"/>
              </w:rPr>
              <w:t>T 0715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40" w:lineRule="exact"/>
              <w:contextualSpacing/>
              <w:jc w:val="center"/>
              <w:rPr>
                <w:sz w:val="18"/>
                <w:szCs w:val="18"/>
              </w:rPr>
            </w:pPr>
            <w:r>
              <w:rPr>
                <w:sz w:val="18"/>
                <w:szCs w:val="18"/>
              </w:rPr>
              <w:t>浸水马歇尔残留稳定度</w:t>
            </w:r>
          </w:p>
        </w:tc>
        <w:tc>
          <w:tcPr>
            <w:tcW w:w="1036" w:type="dxa"/>
            <w:vAlign w:val="center"/>
          </w:tcPr>
          <w:p>
            <w:pPr>
              <w:spacing w:line="340" w:lineRule="exact"/>
              <w:contextualSpacing/>
              <w:jc w:val="center"/>
              <w:rPr>
                <w:sz w:val="18"/>
                <w:szCs w:val="18"/>
              </w:rPr>
            </w:pPr>
            <w:r>
              <w:rPr>
                <w:sz w:val="18"/>
                <w:szCs w:val="18"/>
              </w:rPr>
              <w:t>%</w:t>
            </w:r>
          </w:p>
        </w:tc>
        <w:tc>
          <w:tcPr>
            <w:tcW w:w="3083" w:type="dxa"/>
            <w:vAlign w:val="center"/>
          </w:tcPr>
          <w:p>
            <w:pPr>
              <w:spacing w:line="340" w:lineRule="exact"/>
              <w:contextualSpacing/>
              <w:jc w:val="center"/>
              <w:rPr>
                <w:sz w:val="18"/>
                <w:szCs w:val="18"/>
              </w:rPr>
            </w:pPr>
            <w:r>
              <w:rPr>
                <w:rFonts w:hint="eastAsia"/>
                <w:sz w:val="18"/>
                <w:szCs w:val="18"/>
              </w:rPr>
              <w:t>≥80（半干区、干旱区）</w:t>
            </w:r>
          </w:p>
          <w:p>
            <w:pPr>
              <w:spacing w:line="340" w:lineRule="exact"/>
              <w:contextualSpacing/>
              <w:jc w:val="center"/>
              <w:rPr>
                <w:sz w:val="18"/>
                <w:szCs w:val="18"/>
              </w:rPr>
            </w:pPr>
            <w:r>
              <w:rPr>
                <w:rFonts w:hint="eastAsia"/>
                <w:sz w:val="18"/>
                <w:szCs w:val="18"/>
              </w:rPr>
              <w:t>≥85（潮湿区、湿润区）</w:t>
            </w:r>
          </w:p>
        </w:tc>
        <w:tc>
          <w:tcPr>
            <w:tcW w:w="1088" w:type="dxa"/>
            <w:vAlign w:val="center"/>
          </w:tcPr>
          <w:p>
            <w:pPr>
              <w:spacing w:line="360" w:lineRule="auto"/>
              <w:contextualSpacing/>
              <w:jc w:val="center"/>
              <w:rPr>
                <w:sz w:val="18"/>
                <w:szCs w:val="18"/>
              </w:rPr>
            </w:pPr>
            <w:r>
              <w:rPr>
                <w:sz w:val="18"/>
                <w:szCs w:val="18"/>
              </w:rPr>
              <w:t>T 0709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40" w:lineRule="exact"/>
              <w:contextualSpacing/>
              <w:jc w:val="center"/>
              <w:rPr>
                <w:sz w:val="18"/>
                <w:szCs w:val="18"/>
              </w:rPr>
            </w:pPr>
            <w:r>
              <w:rPr>
                <w:sz w:val="18"/>
                <w:szCs w:val="18"/>
              </w:rPr>
              <w:t>冻融劈裂残留强度比</w:t>
            </w:r>
          </w:p>
        </w:tc>
        <w:tc>
          <w:tcPr>
            <w:tcW w:w="1036" w:type="dxa"/>
            <w:vAlign w:val="center"/>
          </w:tcPr>
          <w:p>
            <w:pPr>
              <w:spacing w:line="340" w:lineRule="exact"/>
              <w:contextualSpacing/>
              <w:jc w:val="center"/>
              <w:rPr>
                <w:sz w:val="18"/>
                <w:szCs w:val="18"/>
              </w:rPr>
            </w:pPr>
            <w:r>
              <w:rPr>
                <w:sz w:val="18"/>
                <w:szCs w:val="18"/>
              </w:rPr>
              <w:t>%</w:t>
            </w:r>
          </w:p>
        </w:tc>
        <w:tc>
          <w:tcPr>
            <w:tcW w:w="3083" w:type="dxa"/>
            <w:vAlign w:val="center"/>
          </w:tcPr>
          <w:p>
            <w:pPr>
              <w:spacing w:line="340" w:lineRule="exact"/>
              <w:contextualSpacing/>
              <w:jc w:val="center"/>
              <w:rPr>
                <w:sz w:val="18"/>
                <w:szCs w:val="18"/>
              </w:rPr>
            </w:pPr>
            <w:r>
              <w:rPr>
                <w:rFonts w:hint="eastAsia"/>
                <w:sz w:val="18"/>
                <w:szCs w:val="18"/>
              </w:rPr>
              <w:t>≥75（半干区、干旱区）</w:t>
            </w:r>
          </w:p>
          <w:p>
            <w:pPr>
              <w:spacing w:line="340" w:lineRule="exact"/>
              <w:contextualSpacing/>
              <w:jc w:val="center"/>
              <w:rPr>
                <w:sz w:val="18"/>
                <w:szCs w:val="18"/>
              </w:rPr>
            </w:pPr>
            <w:r>
              <w:rPr>
                <w:rFonts w:hint="eastAsia"/>
                <w:sz w:val="18"/>
                <w:szCs w:val="18"/>
              </w:rPr>
              <w:t>≥80（潮湿区、湿润区）</w:t>
            </w:r>
          </w:p>
        </w:tc>
        <w:tc>
          <w:tcPr>
            <w:tcW w:w="1088" w:type="dxa"/>
            <w:vAlign w:val="center"/>
          </w:tcPr>
          <w:p>
            <w:pPr>
              <w:spacing w:line="360" w:lineRule="auto"/>
              <w:contextualSpacing/>
              <w:jc w:val="center"/>
              <w:rPr>
                <w:sz w:val="18"/>
                <w:szCs w:val="18"/>
              </w:rPr>
            </w:pPr>
            <w:r>
              <w:rPr>
                <w:sz w:val="18"/>
                <w:szCs w:val="18"/>
              </w:rPr>
              <w:t>T 0729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spacing w:line="340" w:lineRule="exact"/>
              <w:contextualSpacing/>
              <w:jc w:val="center"/>
              <w:rPr>
                <w:sz w:val="18"/>
                <w:szCs w:val="18"/>
              </w:rPr>
            </w:pPr>
            <w:r>
              <w:rPr>
                <w:rFonts w:hint="eastAsia"/>
                <w:sz w:val="18"/>
                <w:szCs w:val="18"/>
              </w:rPr>
              <w:t>沥青混合料抗车辙寿命荷载作用次数</w:t>
            </w:r>
          </w:p>
          <w:p>
            <w:pPr>
              <w:spacing w:line="340" w:lineRule="exact"/>
              <w:contextualSpacing/>
              <w:jc w:val="center"/>
              <w:rPr>
                <w:sz w:val="18"/>
                <w:szCs w:val="18"/>
              </w:rPr>
            </w:pPr>
            <w:r>
              <w:rPr>
                <w:rFonts w:hint="eastAsia"/>
                <w:sz w:val="18"/>
                <w:szCs w:val="18"/>
              </w:rPr>
              <w:t>（70℃、1.4MPa）</w:t>
            </w:r>
          </w:p>
        </w:tc>
        <w:tc>
          <w:tcPr>
            <w:tcW w:w="1036" w:type="dxa"/>
            <w:vAlign w:val="center"/>
          </w:tcPr>
          <w:p>
            <w:pPr>
              <w:spacing w:line="340" w:lineRule="exact"/>
              <w:contextualSpacing/>
              <w:jc w:val="center"/>
              <w:rPr>
                <w:sz w:val="18"/>
                <w:szCs w:val="18"/>
              </w:rPr>
            </w:pPr>
            <w:r>
              <w:rPr>
                <w:rFonts w:hint="eastAsia"/>
                <w:sz w:val="18"/>
                <w:szCs w:val="18"/>
              </w:rPr>
              <w:t>次</w:t>
            </w:r>
          </w:p>
        </w:tc>
        <w:tc>
          <w:tcPr>
            <w:tcW w:w="3083" w:type="dxa"/>
            <w:vAlign w:val="center"/>
          </w:tcPr>
          <w:p>
            <w:pPr>
              <w:pStyle w:val="10"/>
              <w:spacing w:line="340" w:lineRule="exact"/>
              <w:ind w:firstLine="0" w:firstLineChars="0"/>
              <w:jc w:val="center"/>
              <w:rPr>
                <w:sz w:val="18"/>
                <w:szCs w:val="18"/>
              </w:rPr>
            </w:pPr>
            <w:r>
              <w:rPr>
                <w:rFonts w:hint="eastAsia"/>
                <w:sz w:val="18"/>
                <w:szCs w:val="18"/>
              </w:rPr>
              <w:t>≥10000</w:t>
            </w:r>
          </w:p>
        </w:tc>
        <w:tc>
          <w:tcPr>
            <w:tcW w:w="1088" w:type="dxa"/>
            <w:vAlign w:val="center"/>
          </w:tcPr>
          <w:p>
            <w:pPr>
              <w:spacing w:line="360" w:lineRule="auto"/>
              <w:contextualSpacing/>
              <w:jc w:val="center"/>
              <w:rPr>
                <w:sz w:val="18"/>
                <w:szCs w:val="18"/>
              </w:rPr>
            </w:pPr>
            <w:r>
              <w:rPr>
                <w:sz w:val="18"/>
                <w:szCs w:val="18"/>
              </w:rPr>
              <w:t>T 0719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09" w:type="dxa"/>
            <w:vAlign w:val="center"/>
          </w:tcPr>
          <w:p>
            <w:pPr>
              <w:contextualSpacing/>
              <w:jc w:val="center"/>
              <w:rPr>
                <w:sz w:val="18"/>
                <w:szCs w:val="18"/>
              </w:rPr>
            </w:pPr>
            <w:r>
              <w:rPr>
                <w:rFonts w:hint="eastAsia"/>
                <w:sz w:val="18"/>
                <w:szCs w:val="18"/>
              </w:rPr>
              <w:t>沥青混合料抗车辙能力提升系数</w:t>
            </w:r>
          </w:p>
        </w:tc>
        <w:tc>
          <w:tcPr>
            <w:tcW w:w="1036" w:type="dxa"/>
            <w:vAlign w:val="center"/>
          </w:tcPr>
          <w:p>
            <w:pPr>
              <w:spacing w:line="360" w:lineRule="auto"/>
              <w:contextualSpacing/>
              <w:jc w:val="center"/>
              <w:rPr>
                <w:sz w:val="18"/>
                <w:szCs w:val="18"/>
              </w:rPr>
            </w:pPr>
            <w:r>
              <w:rPr>
                <w:rFonts w:hint="eastAsia"/>
                <w:sz w:val="18"/>
                <w:szCs w:val="18"/>
              </w:rPr>
              <w:t>倍</w:t>
            </w:r>
          </w:p>
        </w:tc>
        <w:tc>
          <w:tcPr>
            <w:tcW w:w="3083" w:type="dxa"/>
            <w:vAlign w:val="center"/>
          </w:tcPr>
          <w:p>
            <w:pPr>
              <w:pStyle w:val="10"/>
              <w:ind w:firstLine="0" w:firstLineChars="0"/>
              <w:jc w:val="center"/>
              <w:rPr>
                <w:sz w:val="18"/>
                <w:szCs w:val="18"/>
              </w:rPr>
            </w:pPr>
            <w:r>
              <w:rPr>
                <w:rFonts w:hint="eastAsia"/>
                <w:sz w:val="18"/>
                <w:szCs w:val="18"/>
              </w:rPr>
              <w:t>≥10</w:t>
            </w:r>
          </w:p>
        </w:tc>
        <w:tc>
          <w:tcPr>
            <w:tcW w:w="1088" w:type="dxa"/>
            <w:vAlign w:val="center"/>
          </w:tcPr>
          <w:p>
            <w:pPr>
              <w:spacing w:line="360" w:lineRule="auto"/>
              <w:contextualSpacing/>
              <w:jc w:val="center"/>
              <w:rPr>
                <w:sz w:val="18"/>
                <w:szCs w:val="18"/>
              </w:rPr>
            </w:pPr>
            <w:r>
              <w:rPr>
                <w:sz w:val="18"/>
                <w:szCs w:val="18"/>
              </w:rPr>
              <w:t>T 0719</w:t>
            </w:r>
          </w:p>
        </w:tc>
      </w:tr>
    </w:tbl>
    <w:p/>
    <w:p/>
    <w:p/>
    <w:p/>
    <w:p/>
    <w:p/>
    <w:p/>
    <w:p/>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采购清单</w:t>
      </w:r>
    </w:p>
    <w:p/>
    <w:p>
      <w:pPr>
        <w:spacing w:line="520" w:lineRule="exact"/>
        <w:ind w:firstLine="562" w:firstLineChars="200"/>
        <w:rPr>
          <w:rFonts w:ascii="Times New Roman" w:hAnsi="Times New Roman" w:eastAsia="仿宋_GB2312" w:cs="Times New Roman"/>
          <w:b/>
          <w:bCs/>
          <w:sz w:val="28"/>
          <w:szCs w:val="28"/>
          <w:lang w:val="zh-CN"/>
        </w:rPr>
      </w:pPr>
    </w:p>
    <w:tbl>
      <w:tblPr>
        <w:tblStyle w:val="11"/>
        <w:tblW w:w="10036" w:type="dxa"/>
        <w:jc w:val="center"/>
        <w:tblLayout w:type="fixed"/>
        <w:tblCellMar>
          <w:top w:w="15" w:type="dxa"/>
          <w:left w:w="15" w:type="dxa"/>
          <w:bottom w:w="15" w:type="dxa"/>
          <w:right w:w="15" w:type="dxa"/>
        </w:tblCellMar>
      </w:tblPr>
      <w:tblGrid>
        <w:gridCol w:w="1000"/>
        <w:gridCol w:w="1540"/>
        <w:gridCol w:w="2345"/>
        <w:gridCol w:w="1005"/>
        <w:gridCol w:w="885"/>
        <w:gridCol w:w="1260"/>
        <w:gridCol w:w="1260"/>
        <w:gridCol w:w="741"/>
      </w:tblGrid>
      <w:tr>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县区</w:t>
            </w:r>
          </w:p>
        </w:tc>
        <w:tc>
          <w:tcPr>
            <w:tcW w:w="154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材料名称</w:t>
            </w:r>
          </w:p>
        </w:tc>
        <w:tc>
          <w:tcPr>
            <w:tcW w:w="234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规格及型号</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eastAsia="仿宋" w:cs="Times New Roman"/>
                <w:b/>
                <w:sz w:val="24"/>
              </w:rPr>
              <w:t>单位</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暂定</w:t>
            </w:r>
            <w:r>
              <w:rPr>
                <w:rFonts w:eastAsia="仿宋" w:cs="Times New Roman"/>
                <w:b/>
                <w:sz w:val="24"/>
              </w:rPr>
              <w:t>数量</w:t>
            </w:r>
          </w:p>
        </w:tc>
        <w:tc>
          <w:tcPr>
            <w:tcW w:w="1260" w:type="dxa"/>
            <w:tcBorders>
              <w:top w:val="single" w:color="000000" w:sz="4" w:space="0"/>
              <w:left w:val="single" w:color="000000" w:sz="4" w:space="0"/>
              <w:bottom w:val="single" w:color="000000" w:sz="4" w:space="0"/>
              <w:right w:val="single" w:color="000000" w:sz="4" w:space="0"/>
            </w:tcBorders>
            <w:vAlign w:val="center"/>
          </w:tcPr>
          <w:p>
            <w:pPr>
              <w:ind w:left="241" w:hanging="241" w:hangingChars="100"/>
              <w:jc w:val="center"/>
              <w:textAlignment w:val="baseline"/>
              <w:rPr>
                <w:rFonts w:eastAsia="仿宋" w:cs="Times New Roman"/>
                <w:b/>
                <w:sz w:val="24"/>
              </w:rPr>
            </w:pPr>
            <w:r>
              <w:rPr>
                <w:rFonts w:hint="eastAsia" w:eastAsia="仿宋" w:cs="Times New Roman"/>
                <w:b/>
                <w:sz w:val="24"/>
              </w:rPr>
              <w:t>不含税单价限价</w:t>
            </w:r>
            <w:r>
              <w:rPr>
                <w:rFonts w:eastAsia="仿宋" w:cs="Times New Roman"/>
                <w:b/>
                <w:sz w:val="24"/>
              </w:rPr>
              <w:t>（元）</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不含税</w:t>
            </w:r>
            <w:r>
              <w:rPr>
                <w:rFonts w:eastAsia="仿宋" w:cs="Times New Roman"/>
                <w:b/>
                <w:sz w:val="24"/>
              </w:rPr>
              <w:t>总价</w:t>
            </w:r>
            <w:r>
              <w:rPr>
                <w:rFonts w:hint="eastAsia" w:eastAsia="仿宋" w:cs="Times New Roman"/>
                <w:b/>
                <w:sz w:val="24"/>
              </w:rPr>
              <w:t>限价</w:t>
            </w:r>
            <w:r>
              <w:rPr>
                <w:rFonts w:eastAsia="仿宋" w:cs="Times New Roman"/>
                <w:b/>
                <w:sz w:val="24"/>
              </w:rPr>
              <w:t>（元）</w:t>
            </w: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eastAsia="仿宋" w:cs="Times New Roman"/>
                <w:b/>
                <w:sz w:val="24"/>
              </w:rPr>
              <w:t>税率</w:t>
            </w:r>
          </w:p>
        </w:tc>
      </w:tr>
      <w:tr>
        <w:tblPrEx>
          <w:tblCellMar>
            <w:top w:w="15" w:type="dxa"/>
            <w:left w:w="15" w:type="dxa"/>
            <w:bottom w:w="15" w:type="dxa"/>
            <w:right w:w="15" w:type="dxa"/>
          </w:tblCellMar>
        </w:tblPrEx>
        <w:trPr>
          <w:trHeight w:val="663" w:hRule="atLeast"/>
          <w:tblHeader/>
          <w:jc w:val="center"/>
        </w:trPr>
        <w:tc>
          <w:tcPr>
            <w:tcW w:w="10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kern w:val="0"/>
                <w:sz w:val="24"/>
                <w:lang w:bidi="ar"/>
              </w:rPr>
              <w:t>蒙城县</w:t>
            </w:r>
          </w:p>
          <w:p>
            <w:pPr>
              <w:widowControl/>
              <w:jc w:val="center"/>
              <w:textAlignment w:val="center"/>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仿宋_GB2312" w:eastAsia="仿宋_GB2312" w:cs="仿宋_GB2312"/>
                <w:sz w:val="24"/>
              </w:rPr>
            </w:pPr>
            <w:r>
              <w:rPr>
                <w:rFonts w:hint="eastAsia" w:ascii="仿宋_GB2312" w:hAnsi="仿宋_GB2312" w:eastAsia="仿宋_GB2312" w:cs="仿宋_GB2312"/>
                <w:sz w:val="24"/>
              </w:rPr>
              <w:t>沥青混合料</w:t>
            </w:r>
          </w:p>
          <w:p>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color w:val="FF0000"/>
                <w:sz w:val="24"/>
              </w:rPr>
            </w:pPr>
            <w:r>
              <w:rPr>
                <w:rFonts w:hint="eastAsia" w:ascii="仿宋_GB2312" w:hAnsi="仿宋_GB2312" w:eastAsia="仿宋_GB2312" w:cs="仿宋_GB2312"/>
                <w:color w:val="FF0000"/>
                <w:kern w:val="0"/>
                <w:sz w:val="24"/>
                <w:lang w:val="en-US" w:eastAsia="zh-CN" w:bidi="ar"/>
              </w:rPr>
              <w:t>100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390</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color w:val="FF0000"/>
                <w:sz w:val="24"/>
              </w:rPr>
            </w:pPr>
            <w:r>
              <w:rPr>
                <w:rFonts w:hint="eastAsia" w:ascii="仿宋_GB2312" w:hAnsi="仿宋_GB2312" w:eastAsia="仿宋_GB2312" w:cs="仿宋_GB2312"/>
                <w:color w:val="FF0000"/>
                <w:kern w:val="0"/>
                <w:sz w:val="24"/>
                <w:lang w:bidi="ar"/>
              </w:rPr>
              <w:t>130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345</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eastAsia="仿宋_GB2312" w:cs="仿宋_GB2312"/>
                <w:sz w:val="24"/>
              </w:rPr>
            </w:pPr>
            <w:r>
              <w:rPr>
                <w:rFonts w:hint="eastAsia" w:ascii="仿宋_GB2312" w:hAnsi="仿宋_GB2312" w:eastAsia="仿宋_GB2312" w:cs="仿宋_GB2312"/>
                <w:color w:val="000000"/>
                <w:kern w:val="0"/>
                <w:sz w:val="24"/>
                <w:lang w:bidi="ar"/>
              </w:rPr>
              <w:t>SBS+抗车辙剂掺量0.4%</w:t>
            </w:r>
          </w:p>
          <w:p>
            <w:pPr>
              <w:widowControl/>
              <w:jc w:val="center"/>
              <w:textAlignment w:val="center"/>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AC-13C</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color w:val="FF0000"/>
                <w:sz w:val="24"/>
              </w:rPr>
            </w:pPr>
            <w:r>
              <w:rPr>
                <w:rFonts w:hint="eastAsia" w:ascii="仿宋_GB2312" w:hAnsi="仿宋_GB2312" w:eastAsia="仿宋_GB2312" w:cs="仿宋_GB2312"/>
                <w:color w:val="FF0000"/>
                <w:kern w:val="0"/>
                <w:sz w:val="24"/>
                <w:lang w:bidi="ar"/>
              </w:rPr>
              <w:t>330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416</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AC-20C</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color w:val="FF0000"/>
                <w:sz w:val="24"/>
              </w:rPr>
            </w:pPr>
            <w:r>
              <w:rPr>
                <w:rFonts w:hint="eastAsia" w:ascii="仿宋_GB2312" w:hAnsi="仿宋_GB2312" w:eastAsia="仿宋_GB2312" w:cs="仿宋_GB2312"/>
                <w:color w:val="FF0000"/>
                <w:kern w:val="0"/>
                <w:sz w:val="24"/>
                <w:lang w:val="en-US" w:eastAsia="zh-CN" w:bidi="ar"/>
              </w:rPr>
              <w:t>500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380</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vMerge w:val="continue"/>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AC-25C</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吨</w:t>
            </w:r>
          </w:p>
        </w:tc>
        <w:tc>
          <w:tcPr>
            <w:tcW w:w="8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color w:val="FF0000"/>
                <w:sz w:val="24"/>
              </w:rPr>
            </w:pPr>
            <w:r>
              <w:rPr>
                <w:rFonts w:hint="eastAsia" w:ascii="仿宋_GB2312" w:hAnsi="仿宋_GB2312" w:eastAsia="仿宋_GB2312" w:cs="仿宋_GB2312"/>
                <w:color w:val="FF0000"/>
                <w:kern w:val="0"/>
                <w:sz w:val="24"/>
                <w:lang w:bidi="ar"/>
              </w:rPr>
              <w:t>80</w:t>
            </w:r>
          </w:p>
        </w:tc>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宋体" w:hAnsi="宋体" w:eastAsia="宋体" w:cs="宋体"/>
                <w:color w:val="000000"/>
                <w:kern w:val="0"/>
                <w:sz w:val="22"/>
                <w:szCs w:val="22"/>
                <w:lang w:bidi="ar"/>
              </w:rPr>
              <w:t>354</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ascii="仿宋_GB2312" w:hAnsi="宋体" w:eastAsia="仿宋_GB2312" w:cs="仿宋_GB2312"/>
                <w:color w:val="000000"/>
                <w:kern w:val="0"/>
                <w:sz w:val="24"/>
                <w:lang w:bidi="ar"/>
              </w:rPr>
              <w:t>粘层</w:t>
            </w: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采用阳离子改性乳化沥青</w:t>
            </w:r>
            <w:r>
              <w:rPr>
                <w:rFonts w:ascii="仿宋_GB2312" w:hAnsi="仿宋_GB2312" w:eastAsia="仿宋_GB2312" w:cs="仿宋_GB2312"/>
                <w:color w:val="000000"/>
                <w:kern w:val="0"/>
                <w:sz w:val="24"/>
                <w:lang w:bidi="ar"/>
              </w:rPr>
              <w:t>(PCR)</w:t>
            </w:r>
            <w:r>
              <w:rPr>
                <w:rFonts w:hint="eastAsia" w:ascii="仿宋_GB2312" w:hAnsi="仿宋_GB2312" w:eastAsia="仿宋_GB2312" w:cs="仿宋_GB2312"/>
                <w:color w:val="000000"/>
                <w:kern w:val="0"/>
                <w:sz w:val="24"/>
                <w:lang w:bidi="ar"/>
              </w:rPr>
              <w:t xml:space="preserve">，用量宜为 </w:t>
            </w:r>
            <w:r>
              <w:rPr>
                <w:rFonts w:ascii="仿宋_GB2312" w:hAnsi="仿宋_GB2312" w:eastAsia="仿宋_GB2312" w:cs="仿宋_GB2312"/>
                <w:color w:val="000000"/>
                <w:kern w:val="0"/>
                <w:sz w:val="24"/>
                <w:lang w:bidi="ar"/>
              </w:rPr>
              <w:t>0.3</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0.6L/m2</w:t>
            </w:r>
            <w:r>
              <w:rPr>
                <w:rFonts w:hint="eastAsia" w:ascii="仿宋_GB2312" w:hAnsi="仿宋_GB2312" w:eastAsia="仿宋_GB2312" w:cs="仿宋_GB2312"/>
                <w:color w:val="000000"/>
                <w:kern w:val="0"/>
                <w:sz w:val="24"/>
                <w:lang w:bidi="ar"/>
              </w:rPr>
              <w:t>。</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color w:val="FF0000"/>
                <w:sz w:val="24"/>
              </w:rPr>
            </w:pPr>
            <w:r>
              <w:rPr>
                <w:rFonts w:hint="eastAsia" w:ascii="仿宋_GB2312" w:hAnsi="仿宋_GB2312" w:eastAsia="仿宋_GB2312" w:cs="仿宋_GB2312"/>
                <w:color w:val="FF0000"/>
                <w:sz w:val="24"/>
                <w:lang w:val="en-US" w:eastAsia="zh-CN"/>
              </w:rPr>
              <w:t>8010</w:t>
            </w:r>
          </w:p>
        </w:tc>
        <w:tc>
          <w:tcPr>
            <w:tcW w:w="1260" w:type="dxa"/>
            <w:tcBorders>
              <w:top w:val="single" w:color="000000" w:sz="4" w:space="0"/>
              <w:left w:val="single" w:color="000000" w:sz="4" w:space="0"/>
              <w:bottom w:val="single" w:color="000000" w:sz="4" w:space="0"/>
              <w:right w:val="single" w:color="000000" w:sz="4" w:space="0"/>
            </w:tcBorders>
            <w:vAlign w:val="center"/>
          </w:tcPr>
          <w:p>
            <w:pPr>
              <w:ind w:left="240" w:hanging="240" w:hangingChars="100"/>
              <w:jc w:val="center"/>
              <w:textAlignment w:val="baseline"/>
              <w:rPr>
                <w:rFonts w:eastAsia="仿宋" w:cs="Times New Roman"/>
                <w:sz w:val="24"/>
              </w:rPr>
            </w:pPr>
            <w:r>
              <w:rPr>
                <w:rFonts w:hint="eastAsia" w:ascii="仿宋_GB2312" w:hAnsi="仿宋_GB2312" w:eastAsia="仿宋_GB2312" w:cs="仿宋_GB2312"/>
                <w:sz w:val="24"/>
              </w:rPr>
              <w:t>1</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ascii="仿宋_GB2312" w:hAnsi="宋体" w:eastAsia="仿宋_GB2312" w:cs="仿宋_GB2312"/>
                <w:color w:val="000000"/>
                <w:kern w:val="0"/>
                <w:sz w:val="24"/>
                <w:lang w:bidi="ar"/>
              </w:rPr>
              <w:t>透层油</w:t>
            </w:r>
          </w:p>
        </w:tc>
        <w:tc>
          <w:tcPr>
            <w:tcW w:w="23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eastAsia="仿宋" w:cs="Times New Roman"/>
                <w:sz w:val="24"/>
              </w:rPr>
            </w:pPr>
            <w:r>
              <w:rPr>
                <w:rFonts w:hint="eastAsia" w:ascii="仿宋_GB2312" w:hAnsi="仿宋_GB2312" w:eastAsia="仿宋_GB2312" w:cs="仿宋_GB2312"/>
                <w:color w:val="000000"/>
                <w:kern w:val="0"/>
                <w:sz w:val="24"/>
                <w:lang w:bidi="ar"/>
              </w:rPr>
              <w:t>采用慢裂乳化沥青（</w:t>
            </w:r>
            <w:r>
              <w:rPr>
                <w:rFonts w:ascii="仿宋_GB2312" w:hAnsi="仿宋_GB2312" w:eastAsia="仿宋_GB2312" w:cs="仿宋_GB2312"/>
                <w:color w:val="000000"/>
                <w:kern w:val="0"/>
                <w:sz w:val="24"/>
                <w:lang w:bidi="ar"/>
              </w:rPr>
              <w:t>PC-2</w:t>
            </w:r>
            <w:r>
              <w:rPr>
                <w:rFonts w:hint="eastAsia" w:ascii="仿宋_GB2312" w:hAnsi="仿宋_GB2312" w:eastAsia="仿宋_GB2312" w:cs="仿宋_GB2312"/>
                <w:color w:val="000000"/>
                <w:kern w:val="0"/>
                <w:sz w:val="24"/>
                <w:lang w:bidi="ar"/>
              </w:rPr>
              <w:t>）。总用量控制在</w:t>
            </w:r>
            <w:r>
              <w:rPr>
                <w:rFonts w:ascii="仿宋_GB2312" w:hAnsi="仿宋_GB2312" w:eastAsia="仿宋_GB2312" w:cs="仿宋_GB2312"/>
                <w:color w:val="000000"/>
                <w:kern w:val="0"/>
                <w:sz w:val="24"/>
                <w:lang w:bidi="ar"/>
              </w:rPr>
              <w:t>0.7</w:t>
            </w:r>
            <w:r>
              <w:rPr>
                <w:rFonts w:hint="eastAsia" w:ascii="仿宋_GB2312" w:hAnsi="仿宋_GB2312" w:eastAsia="仿宋_GB2312" w:cs="仿宋_GB2312"/>
                <w:color w:val="000000"/>
                <w:kern w:val="0"/>
                <w:sz w:val="24"/>
                <w:lang w:bidi="ar"/>
              </w:rPr>
              <w:t>～</w:t>
            </w:r>
            <w:r>
              <w:rPr>
                <w:rFonts w:ascii="仿宋_GB2312" w:hAnsi="仿宋_GB2312" w:eastAsia="仿宋_GB2312" w:cs="仿宋_GB2312"/>
                <w:color w:val="000000"/>
                <w:kern w:val="0"/>
                <w:sz w:val="24"/>
                <w:lang w:bidi="ar"/>
              </w:rPr>
              <w:t>1.5L/m2</w:t>
            </w: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r>
              <w:rPr>
                <w:rFonts w:hint="eastAsia" w:ascii="仿宋_GB2312" w:hAnsi="仿宋_GB2312" w:eastAsia="仿宋_GB2312" w:cs="仿宋_GB2312"/>
                <w:sz w:val="24"/>
              </w:rPr>
              <w:t>平方米</w:t>
            </w: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hint="default" w:eastAsia="仿宋" w:cs="Times New Roman"/>
                <w:color w:val="FF0000"/>
                <w:sz w:val="24"/>
                <w:lang w:val="en-US" w:eastAsia="zh-CN"/>
              </w:rPr>
            </w:pPr>
            <w:r>
              <w:rPr>
                <w:rFonts w:hint="eastAsia" w:eastAsia="仿宋" w:cs="Times New Roman"/>
                <w:color w:val="FF0000"/>
                <w:sz w:val="24"/>
                <w:lang w:val="en-US" w:eastAsia="zh-CN"/>
              </w:rPr>
              <w:t>450</w:t>
            </w:r>
          </w:p>
        </w:tc>
        <w:tc>
          <w:tcPr>
            <w:tcW w:w="1260" w:type="dxa"/>
            <w:tcBorders>
              <w:top w:val="single" w:color="000000" w:sz="4" w:space="0"/>
              <w:left w:val="single" w:color="000000" w:sz="4" w:space="0"/>
              <w:bottom w:val="single" w:color="000000" w:sz="4" w:space="0"/>
              <w:right w:val="single" w:color="000000" w:sz="4" w:space="0"/>
            </w:tcBorders>
            <w:vAlign w:val="center"/>
          </w:tcPr>
          <w:p>
            <w:pPr>
              <w:ind w:left="240" w:hanging="240" w:hangingChars="100"/>
              <w:jc w:val="center"/>
              <w:textAlignment w:val="baseline"/>
              <w:rPr>
                <w:rFonts w:eastAsia="仿宋" w:cs="Times New Roman"/>
                <w:sz w:val="24"/>
              </w:rPr>
            </w:pPr>
            <w:r>
              <w:rPr>
                <w:rFonts w:hint="eastAsia" w:ascii="仿宋_GB2312" w:hAnsi="仿宋_GB2312" w:eastAsia="仿宋_GB2312" w:cs="仿宋_GB2312"/>
                <w:sz w:val="24"/>
              </w:rPr>
              <w:t>2</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sz w:val="24"/>
              </w:rPr>
            </w:pP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r>
        <w:tblPrEx>
          <w:tblCellMar>
            <w:top w:w="15" w:type="dxa"/>
            <w:left w:w="15" w:type="dxa"/>
            <w:bottom w:w="15" w:type="dxa"/>
            <w:right w:w="15" w:type="dxa"/>
          </w:tblCellMar>
        </w:tblPrEx>
        <w:trPr>
          <w:trHeight w:val="663" w:hRule="atLeast"/>
          <w:tblHeader/>
          <w:jc w:val="center"/>
        </w:trPr>
        <w:tc>
          <w:tcPr>
            <w:tcW w:w="100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54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234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pPr>
              <w:ind w:left="241" w:hanging="241" w:hangingChars="100"/>
              <w:jc w:val="center"/>
              <w:textAlignment w:val="baseline"/>
              <w:rPr>
                <w:rFonts w:eastAsia="仿宋" w:cs="Times New Roman"/>
                <w:b/>
                <w:sz w:val="24"/>
              </w:rPr>
            </w:pPr>
            <w:r>
              <w:rPr>
                <w:rFonts w:hint="eastAsia" w:ascii="仿宋_GB2312" w:hAnsi="仿宋_GB2312" w:eastAsia="仿宋_GB2312" w:cs="仿宋_GB2312"/>
                <w:b/>
                <w:sz w:val="24"/>
              </w:rPr>
              <w:t>合计</w:t>
            </w:r>
          </w:p>
        </w:tc>
        <w:tc>
          <w:tcPr>
            <w:tcW w:w="1260"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r>
              <w:rPr>
                <w:rFonts w:hint="eastAsia" w:ascii="Times New Roman" w:hAnsi="Times New Roman" w:cs="Times New Roman"/>
                <w:sz w:val="32"/>
                <w:szCs w:val="32"/>
              </w:rPr>
              <w:t>448360</w:t>
            </w:r>
          </w:p>
        </w:tc>
        <w:tc>
          <w:tcPr>
            <w:tcW w:w="741"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eastAsia="仿宋" w:cs="Times New Roman"/>
                <w:b/>
                <w:sz w:val="24"/>
              </w:rPr>
            </w:pPr>
          </w:p>
        </w:tc>
      </w:tr>
    </w:tbl>
    <w:p>
      <w:pPr>
        <w:spacing w:line="520" w:lineRule="exact"/>
        <w:rPr>
          <w:rFonts w:ascii="Times New Roman" w:hAnsi="Times New Roman" w:eastAsia="仿宋_GB2312" w:cs="Times New Roman"/>
          <w:b/>
          <w:bCs/>
          <w:sz w:val="28"/>
          <w:szCs w:val="28"/>
          <w:lang w:val="zh-CN"/>
        </w:rPr>
      </w:pPr>
    </w:p>
    <w:p>
      <w:pPr>
        <w:spacing w:line="520" w:lineRule="exact"/>
        <w:ind w:firstLine="562" w:firstLineChars="200"/>
        <w:rPr>
          <w:rFonts w:ascii="Times New Roman" w:hAnsi="Times New Roman" w:cs="Times New Roman"/>
          <w:sz w:val="32"/>
          <w:szCs w:val="32"/>
        </w:rPr>
      </w:pPr>
      <w:r>
        <w:rPr>
          <w:rFonts w:hint="eastAsia" w:ascii="Times New Roman" w:hAnsi="Times New Roman" w:eastAsia="仿宋_GB2312" w:cs="Times New Roman"/>
          <w:b/>
          <w:bCs/>
          <w:sz w:val="28"/>
          <w:szCs w:val="28"/>
          <w:lang w:val="zh-CN"/>
        </w:rPr>
        <w:t>货物名称、规格、数量、</w:t>
      </w:r>
      <w:r>
        <w:rPr>
          <w:rFonts w:hint="eastAsia" w:ascii="Times New Roman" w:hAnsi="Times New Roman" w:eastAsia="仿宋_GB2312" w:cs="Times New Roman"/>
          <w:b/>
          <w:bCs/>
          <w:sz w:val="28"/>
          <w:szCs w:val="28"/>
        </w:rPr>
        <w:t>交货地点</w:t>
      </w:r>
      <w:r>
        <w:rPr>
          <w:rFonts w:hint="eastAsia" w:ascii="Times New Roman" w:hAnsi="Times New Roman" w:eastAsia="仿宋_GB2312" w:cs="Times New Roman"/>
          <w:b/>
          <w:bCs/>
          <w:sz w:val="28"/>
          <w:szCs w:val="28"/>
          <w:lang w:val="zh-CN"/>
        </w:rPr>
        <w:t>及</w:t>
      </w:r>
      <w:r>
        <w:rPr>
          <w:rFonts w:hint="eastAsia" w:ascii="Times New Roman" w:hAnsi="Times New Roman" w:eastAsia="仿宋_GB2312" w:cs="Times New Roman"/>
          <w:b/>
          <w:bCs/>
          <w:sz w:val="28"/>
          <w:szCs w:val="28"/>
        </w:rPr>
        <w:t>综合</w:t>
      </w:r>
      <w:r>
        <w:rPr>
          <w:rFonts w:hint="eastAsia" w:ascii="Times New Roman" w:hAnsi="Times New Roman" w:eastAsia="仿宋_GB2312" w:cs="Times New Roman"/>
          <w:b/>
          <w:bCs/>
          <w:sz w:val="28"/>
          <w:szCs w:val="28"/>
          <w:lang w:val="zh-CN"/>
        </w:rPr>
        <w:t>（</w:t>
      </w:r>
      <w:r>
        <w:rPr>
          <w:rFonts w:hint="eastAsia" w:ascii="Times New Roman" w:hAnsi="Times New Roman" w:eastAsia="仿宋_GB2312" w:cs="Times New Roman"/>
          <w:b/>
          <w:bCs/>
          <w:sz w:val="28"/>
          <w:szCs w:val="28"/>
        </w:rPr>
        <w:t>最高限价</w:t>
      </w:r>
      <w:r>
        <w:rPr>
          <w:rFonts w:hint="eastAsia" w:ascii="Times New Roman" w:hAnsi="Times New Roman" w:eastAsia="仿宋_GB2312" w:cs="Times New Roman"/>
          <w:b/>
          <w:bCs/>
          <w:sz w:val="28"/>
          <w:szCs w:val="28"/>
          <w:lang w:val="zh-CN"/>
        </w:rPr>
        <w:t>）：</w:t>
      </w:r>
    </w:p>
    <w:p>
      <w:pPr>
        <w:spacing w:line="360" w:lineRule="auto"/>
        <w:textAlignment w:val="baseline"/>
        <w:rPr>
          <w:rFonts w:hint="eastAsia" w:ascii="Times New Roman" w:hAnsi="Times New Roman" w:cs="Times New Roman"/>
          <w:sz w:val="32"/>
          <w:szCs w:val="32"/>
        </w:rPr>
      </w:pPr>
      <w:r>
        <w:rPr>
          <w:rFonts w:hint="eastAsia" w:ascii="Times New Roman" w:hAnsi="Times New Roman" w:cs="Times New Roman"/>
          <w:sz w:val="32"/>
          <w:szCs w:val="32"/>
        </w:rPr>
        <w:t>注：</w:t>
      </w:r>
      <w:bookmarkStart w:id="0" w:name="_GoBack"/>
      <w:bookmarkEnd w:id="0"/>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1、数量为暂估量，实际供货数量及规格型号以</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提供的供货计划为准，具体结算数量按现场实际交货并经试验检测检验合格的数量计算。实际供货数量可能与合同数量存在差异，供方不能据此向需方提出任何补偿。</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2、如本合同执行过程中实际供应数量超出上表所列暂估量，则甲</w:t>
      </w:r>
      <w:r>
        <w:rPr>
          <w:rFonts w:hint="eastAsia" w:ascii="Times New Roman" w:hAnsi="Times New Roman" w:cs="Times New Roman"/>
          <w:sz w:val="32"/>
          <w:szCs w:val="32"/>
          <w:lang w:val="en-US" w:eastAsia="zh-CN"/>
        </w:rPr>
        <w:t>采购人及成交人</w:t>
      </w:r>
      <w:r>
        <w:rPr>
          <w:rFonts w:hint="eastAsia" w:ascii="Times New Roman" w:hAnsi="Times New Roman" w:cs="Times New Roman"/>
          <w:sz w:val="32"/>
          <w:szCs w:val="32"/>
        </w:rPr>
        <w:t>需重新签订补充协议，否则</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所提供的多余货物，</w:t>
      </w:r>
      <w:r>
        <w:rPr>
          <w:rFonts w:hint="eastAsia" w:ascii="Times New Roman" w:hAnsi="Times New Roman" w:cs="Times New Roman"/>
          <w:sz w:val="32"/>
          <w:szCs w:val="32"/>
          <w:lang w:eastAsia="zh-CN"/>
        </w:rPr>
        <w:t>采购人</w:t>
      </w:r>
      <w:r>
        <w:rPr>
          <w:rFonts w:hint="eastAsia" w:ascii="Times New Roman" w:hAnsi="Times New Roman" w:cs="Times New Roman"/>
          <w:sz w:val="32"/>
          <w:szCs w:val="32"/>
        </w:rPr>
        <w:t>不予结算，如造成损失，</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承担全部责任。</w:t>
      </w:r>
    </w:p>
    <w:p>
      <w:pPr>
        <w:spacing w:line="360" w:lineRule="auto"/>
        <w:textAlignment w:val="baseline"/>
        <w:rPr>
          <w:rFonts w:ascii="Times New Roman" w:hAnsi="Times New Roman" w:cs="Times New Roman"/>
          <w:b/>
          <w:bCs/>
          <w:sz w:val="32"/>
          <w:szCs w:val="32"/>
        </w:rPr>
      </w:pPr>
      <w:r>
        <w:rPr>
          <w:rFonts w:hint="eastAsia" w:ascii="Times New Roman" w:hAnsi="Times New Roman" w:cs="Times New Roman"/>
          <w:b/>
          <w:bCs/>
          <w:sz w:val="32"/>
          <w:szCs w:val="32"/>
        </w:rPr>
        <w:t>特别说明：</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1、请潜在收到</w:t>
      </w:r>
      <w:r>
        <w:rPr>
          <w:rFonts w:hint="eastAsia" w:ascii="Times New Roman" w:hAnsi="Times New Roman" w:cs="Times New Roman"/>
          <w:sz w:val="32"/>
          <w:szCs w:val="32"/>
          <w:lang w:val="en-US" w:eastAsia="zh-CN"/>
        </w:rPr>
        <w:t>采购</w:t>
      </w:r>
      <w:r>
        <w:rPr>
          <w:rFonts w:ascii="Times New Roman" w:hAnsi="Times New Roman" w:cs="Times New Roman"/>
          <w:sz w:val="32"/>
          <w:szCs w:val="32"/>
        </w:rPr>
        <w:t>文件后综合考虑沥青混合料配合比掺配时间和原材料检测时间。</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2、潜在</w:t>
      </w:r>
      <w:r>
        <w:rPr>
          <w:rFonts w:hint="eastAsia" w:ascii="Times New Roman" w:hAnsi="Times New Roman" w:cs="Times New Roman"/>
          <w:sz w:val="32"/>
          <w:szCs w:val="32"/>
          <w:lang w:eastAsia="zh-CN"/>
        </w:rPr>
        <w:t>成交人</w:t>
      </w:r>
      <w:r>
        <w:rPr>
          <w:rFonts w:ascii="Times New Roman" w:hAnsi="Times New Roman" w:cs="Times New Roman"/>
          <w:sz w:val="32"/>
          <w:szCs w:val="32"/>
        </w:rPr>
        <w:t xml:space="preserve">应具备日常检测能力，每天需进行混合料检测试验和按照规范要求的检测频率进行原材料检验，详细记录试验情况，并将试验成果次日提交我单位存档。 </w:t>
      </w:r>
    </w:p>
    <w:p>
      <w:pPr>
        <w:spacing w:line="360" w:lineRule="auto"/>
        <w:ind w:firstLine="640" w:firstLineChars="200"/>
        <w:textAlignment w:val="baseline"/>
        <w:rPr>
          <w:rFonts w:ascii="Times New Roman" w:hAnsi="Times New Roman" w:cs="Times New Roman"/>
          <w:sz w:val="32"/>
          <w:szCs w:val="32"/>
        </w:rPr>
      </w:pPr>
      <w:r>
        <w:rPr>
          <w:rFonts w:ascii="Times New Roman" w:hAnsi="Times New Roman" w:cs="Times New Roman"/>
          <w:sz w:val="32"/>
          <w:szCs w:val="32"/>
        </w:rPr>
        <w:t>3、</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lang w:val="en-US" w:eastAsia="zh-CN"/>
        </w:rPr>
        <w:t>签订合同</w:t>
      </w:r>
      <w:r>
        <w:rPr>
          <w:rFonts w:ascii="Times New Roman" w:hAnsi="Times New Roman" w:cs="Times New Roman"/>
          <w:sz w:val="32"/>
          <w:szCs w:val="32"/>
        </w:rPr>
        <w:t>后需在</w:t>
      </w:r>
      <w:r>
        <w:rPr>
          <w:rFonts w:hint="eastAsia" w:ascii="Times New Roman" w:hAnsi="Times New Roman" w:cs="Times New Roman"/>
          <w:sz w:val="32"/>
          <w:szCs w:val="32"/>
        </w:rPr>
        <w:t>10</w:t>
      </w:r>
      <w:r>
        <w:rPr>
          <w:rFonts w:ascii="Times New Roman" w:hAnsi="Times New Roman" w:cs="Times New Roman"/>
          <w:sz w:val="32"/>
          <w:szCs w:val="32"/>
        </w:rPr>
        <w:t>个工作日内提交沥青混合料配合比报告及各原材料检测报告，以备我单位验证试验成果。</w:t>
      </w:r>
      <w:r>
        <w:rPr>
          <w:rFonts w:hint="eastAsia" w:ascii="Times New Roman" w:hAnsi="Times New Roman" w:cs="Times New Roman"/>
          <w:sz w:val="32"/>
          <w:szCs w:val="32"/>
        </w:rPr>
        <w:t>如限期内提供不了沥青配合比报告，</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人将有权利按照每延期1天处罚2000元，延期超过5天</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人有权以</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人名义委托第三方检测单位出具沥青混合料配合比，相关延期罚款及配合比报告</w:t>
      </w:r>
      <w:r>
        <w:rPr>
          <w:rFonts w:hint="eastAsia" w:ascii="Times New Roman" w:hAnsi="Times New Roman" w:cs="Times New Roman"/>
          <w:sz w:val="32"/>
          <w:szCs w:val="32"/>
          <w:lang w:val="en-US" w:eastAsia="zh-CN"/>
        </w:rPr>
        <w:t>咨询</w:t>
      </w:r>
      <w:r>
        <w:rPr>
          <w:rFonts w:hint="eastAsia" w:ascii="Times New Roman" w:hAnsi="Times New Roman" w:cs="Times New Roman"/>
          <w:sz w:val="32"/>
          <w:szCs w:val="32"/>
        </w:rPr>
        <w:t>费用</w:t>
      </w:r>
      <w:r>
        <w:rPr>
          <w:rFonts w:hint="eastAsia" w:ascii="Times New Roman" w:hAnsi="Times New Roman" w:cs="Times New Roman"/>
          <w:sz w:val="32"/>
          <w:szCs w:val="32"/>
          <w:lang w:val="en-US" w:eastAsia="zh-CN"/>
        </w:rPr>
        <w:t>采购</w:t>
      </w:r>
      <w:r>
        <w:rPr>
          <w:rFonts w:hint="eastAsia" w:ascii="Times New Roman" w:hAnsi="Times New Roman" w:cs="Times New Roman"/>
          <w:sz w:val="32"/>
          <w:szCs w:val="32"/>
        </w:rPr>
        <w:t>人在第一期沥青混合料材料款中据实扣除，</w:t>
      </w:r>
      <w:r>
        <w:rPr>
          <w:rFonts w:hint="eastAsia" w:ascii="Times New Roman" w:hAnsi="Times New Roman" w:cs="Times New Roman"/>
          <w:sz w:val="32"/>
          <w:szCs w:val="32"/>
          <w:lang w:val="en-US" w:eastAsia="zh-CN"/>
        </w:rPr>
        <w:t>供应商</w:t>
      </w:r>
      <w:r>
        <w:rPr>
          <w:rFonts w:hint="eastAsia" w:ascii="Times New Roman" w:hAnsi="Times New Roman" w:cs="Times New Roman"/>
          <w:sz w:val="32"/>
          <w:szCs w:val="32"/>
        </w:rPr>
        <w:t>需无条件同意。</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4、</w:t>
      </w:r>
      <w:r>
        <w:rPr>
          <w:rFonts w:hint="eastAsia" w:ascii="Times New Roman" w:hAnsi="Times New Roman" w:cs="Times New Roman"/>
          <w:sz w:val="32"/>
          <w:szCs w:val="32"/>
          <w:lang w:val="en-US" w:eastAsia="zh-CN"/>
        </w:rPr>
        <w:t>采购人</w:t>
      </w:r>
      <w:r>
        <w:rPr>
          <w:rFonts w:hint="eastAsia" w:ascii="Times New Roman" w:hAnsi="Times New Roman" w:cs="Times New Roman"/>
          <w:sz w:val="32"/>
          <w:szCs w:val="32"/>
        </w:rPr>
        <w:t>在发放</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通知书前对拟</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rPr>
        <w:t>进行约谈和考察，对其提供的业绩等进行复核，如发现提供虚假材料骗取</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，将取消其</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资格，并扣除其</w:t>
      </w:r>
      <w:r>
        <w:rPr>
          <w:rFonts w:hint="eastAsia" w:ascii="Times New Roman" w:hAnsi="Times New Roman" w:cs="Times New Roman"/>
          <w:sz w:val="32"/>
          <w:szCs w:val="32"/>
          <w:lang w:val="en-US" w:eastAsia="zh-CN"/>
        </w:rPr>
        <w:t>响应</w:t>
      </w:r>
      <w:r>
        <w:rPr>
          <w:rFonts w:hint="eastAsia" w:ascii="Times New Roman" w:hAnsi="Times New Roman" w:cs="Times New Roman"/>
          <w:sz w:val="32"/>
          <w:szCs w:val="32"/>
        </w:rPr>
        <w:t>保证金。</w:t>
      </w:r>
    </w:p>
    <w:p>
      <w:pPr>
        <w:spacing w:line="360" w:lineRule="auto"/>
        <w:ind w:firstLine="640" w:firstLineChars="200"/>
        <w:textAlignment w:val="baseline"/>
        <w:rPr>
          <w:rFonts w:ascii="Times New Roman" w:hAnsi="Times New Roman" w:cs="Times New Roman"/>
          <w:sz w:val="32"/>
          <w:szCs w:val="32"/>
        </w:rPr>
      </w:pPr>
      <w:r>
        <w:rPr>
          <w:rFonts w:hint="eastAsia" w:ascii="Times New Roman" w:hAnsi="Times New Roman" w:cs="Times New Roman"/>
          <w:sz w:val="32"/>
          <w:szCs w:val="32"/>
        </w:rPr>
        <w:t>5、</w:t>
      </w:r>
      <w:r>
        <w:rPr>
          <w:rFonts w:hint="eastAsia" w:ascii="Times New Roman" w:hAnsi="Times New Roman" w:cs="Times New Roman"/>
          <w:sz w:val="32"/>
          <w:szCs w:val="32"/>
          <w:lang w:eastAsia="zh-CN"/>
        </w:rPr>
        <w:t>成交人</w:t>
      </w:r>
      <w:r>
        <w:rPr>
          <w:rFonts w:hint="eastAsia" w:ascii="Times New Roman" w:hAnsi="Times New Roman" w:cs="Times New Roman"/>
          <w:sz w:val="32"/>
          <w:szCs w:val="32"/>
          <w:lang w:val="en-US" w:eastAsia="zh-CN"/>
        </w:rPr>
        <w:t>成交</w:t>
      </w:r>
      <w:r>
        <w:rPr>
          <w:rFonts w:hint="eastAsia" w:ascii="Times New Roman" w:hAnsi="Times New Roman" w:cs="Times New Roman"/>
          <w:sz w:val="32"/>
          <w:szCs w:val="32"/>
        </w:rPr>
        <w:t>后需提供一名项目负责人，负责沥青材料的生产、调度及运输</w:t>
      </w:r>
      <w:r>
        <w:rPr>
          <w:rFonts w:hint="eastAsia" w:ascii="Times New Roman" w:hAnsi="Times New Roman" w:cs="Times New Roman"/>
          <w:sz w:val="32"/>
          <w:szCs w:val="32"/>
          <w:lang w:val="en-US" w:eastAsia="zh-CN"/>
        </w:rPr>
        <w:t>、供应</w:t>
      </w:r>
      <w:r>
        <w:rPr>
          <w:rFonts w:hint="eastAsia" w:ascii="Times New Roman" w:hAnsi="Times New Roman" w:cs="Times New Roman"/>
          <w:sz w:val="32"/>
          <w:szCs w:val="32"/>
        </w:rPr>
        <w:t>。</w:t>
      </w:r>
    </w:p>
    <w:p>
      <w:pPr>
        <w:spacing w:line="360" w:lineRule="auto"/>
        <w:ind w:firstLine="640" w:firstLineChars="200"/>
        <w:textAlignment w:val="baseline"/>
        <w:rPr>
          <w:rFonts w:hint="eastAsia" w:ascii="Times New Roman" w:hAnsi="Times New Roman" w:cs="Times New Roman"/>
          <w:sz w:val="32"/>
          <w:szCs w:val="32"/>
          <w:lang w:val="en-US" w:eastAsia="zh-CN"/>
        </w:rPr>
      </w:pPr>
      <w:r>
        <w:rPr>
          <w:rFonts w:hint="eastAsia" w:ascii="Times New Roman" w:hAnsi="Times New Roman" w:cs="Times New Roman"/>
          <w:sz w:val="32"/>
          <w:szCs w:val="32"/>
        </w:rPr>
        <w:t>6、沥青混凝土到货时间以项目经理部通知到达时间为准，</w:t>
      </w:r>
      <w:r>
        <w:rPr>
          <w:rFonts w:hint="eastAsia" w:ascii="Times New Roman" w:hAnsi="Times New Roman" w:cs="Times New Roman"/>
          <w:sz w:val="32"/>
          <w:szCs w:val="32"/>
          <w:lang w:val="en-US" w:eastAsia="zh-CN"/>
        </w:rPr>
        <w:t>成交人未能按时交付工程货物的，应向采购人支付迟延交付违约金，每迟延交付一天，违约金为迟交工程货物价格的 2%。</w:t>
      </w:r>
    </w:p>
    <w:p>
      <w:pPr>
        <w:spacing w:line="52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lang w:val="en-US" w:eastAsia="zh-CN"/>
        </w:rPr>
        <w:t>7、</w:t>
      </w:r>
      <w:r>
        <w:rPr>
          <w:rFonts w:hint="eastAsia" w:ascii="Times New Roman" w:hAnsi="Times New Roman" w:cs="Times New Roman"/>
          <w:sz w:val="32"/>
          <w:szCs w:val="32"/>
          <w:lang w:eastAsia="zh-Hans"/>
        </w:rPr>
        <w:t>设计寿命期无车辙（维修）沥青路面改性剂（简称无车辙沥青路面改性剂，NRP）</w:t>
      </w:r>
      <w:r>
        <w:rPr>
          <w:rFonts w:hint="eastAsia" w:ascii="Times New Roman" w:hAnsi="Times New Roman" w:cs="Times New Roman"/>
          <w:sz w:val="32"/>
          <w:szCs w:val="32"/>
        </w:rPr>
        <w:t>暂定数量10吨，每吨价格按照30000元（不含税）结算，此项费用作为不可竞争费用，项目完工后根据实际用量据实结算。</w:t>
      </w:r>
    </w:p>
    <w:p>
      <w:pPr>
        <w:numPr>
          <w:ilvl w:val="-1"/>
          <w:numId w:val="0"/>
        </w:numPr>
        <w:spacing w:line="520" w:lineRule="exact"/>
        <w:rPr>
          <w:rFonts w:hint="default" w:ascii="Times New Roman" w:hAnsi="Times New Roman" w:cs="Times New Roman" w:eastAsiaTheme="minorEastAsia"/>
          <w:sz w:val="32"/>
          <w:szCs w:val="32"/>
          <w:lang w:val="en-US" w:eastAsia="zh-CN"/>
        </w:rPr>
      </w:pPr>
    </w:p>
    <w:p>
      <w:pPr>
        <w:spacing w:line="360" w:lineRule="auto"/>
        <w:textAlignment w:val="baseline"/>
        <w:rPr>
          <w:rFonts w:hint="default" w:ascii="Times New Roman" w:hAnsi="Times New Roman" w:cs="Times New Roman" w:eastAsia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i w:val="0"/>
          <w:iCs w:val="0"/>
          <w:color w:val="auto"/>
          <w:sz w:val="28"/>
          <w:szCs w:val="28"/>
          <w:highlight w:val="none"/>
          <w:u w:val="none"/>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2"/>
      <w:suff w:val="nothing"/>
      <w:lvlText w:val="%1.%2　"/>
      <w:lvlJc w:val="left"/>
      <w:pPr>
        <w:ind w:left="42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1"/>
      <w:suff w:val="nothing"/>
      <w:lvlText w:val="%1.%2.%3　"/>
      <w:lvlJc w:val="left"/>
      <w:pPr>
        <w:ind w:left="283" w:firstLine="0"/>
      </w:pPr>
      <w:rPr>
        <w:rFonts w:hint="eastAsia" w:ascii="黑体" w:hAnsi="Times New Roman" w:eastAsia="黑体"/>
        <w:b w:val="0"/>
        <w:i w:val="0"/>
        <w:sz w:val="21"/>
      </w:rPr>
    </w:lvl>
    <w:lvl w:ilvl="3" w:tentative="0">
      <w:start w:val="1"/>
      <w:numFmt w:val="decimal"/>
      <w:suff w:val="nothing"/>
      <w:lvlText w:val="%1.%2.%3.%4　"/>
      <w:lvlJc w:val="left"/>
      <w:pPr>
        <w:ind w:left="2552"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46260FA"/>
    <w:multiLevelType w:val="multilevel"/>
    <w:tmpl w:val="646260FA"/>
    <w:lvl w:ilvl="0" w:tentative="0">
      <w:start w:val="1"/>
      <w:numFmt w:val="decimal"/>
      <w:pStyle w:val="1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 w:name="KSO_WPS_MARK_KEY" w:val="fb6fd6f6-d7c1-430f-9e86-a7c3d7034e1f"/>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5042774"/>
    <w:rsid w:val="066824AC"/>
    <w:rsid w:val="066F1D0E"/>
    <w:rsid w:val="06AE3E0A"/>
    <w:rsid w:val="07216532"/>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B137D6"/>
    <w:rsid w:val="19FF0946"/>
    <w:rsid w:val="1A1447F7"/>
    <w:rsid w:val="1A29745A"/>
    <w:rsid w:val="1B6F2087"/>
    <w:rsid w:val="1B862808"/>
    <w:rsid w:val="1BA50EE0"/>
    <w:rsid w:val="1BBC447B"/>
    <w:rsid w:val="1C2A3722"/>
    <w:rsid w:val="1D767BB9"/>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9E90B31"/>
    <w:rsid w:val="2B7D1B09"/>
    <w:rsid w:val="2CA862FE"/>
    <w:rsid w:val="2CBF5B79"/>
    <w:rsid w:val="2DB72D51"/>
    <w:rsid w:val="2E4742E8"/>
    <w:rsid w:val="2EA72D69"/>
    <w:rsid w:val="2FA81E31"/>
    <w:rsid w:val="3025488D"/>
    <w:rsid w:val="323435E7"/>
    <w:rsid w:val="326E7E26"/>
    <w:rsid w:val="32DD707A"/>
    <w:rsid w:val="335A6BD0"/>
    <w:rsid w:val="34D348B8"/>
    <w:rsid w:val="35F951F0"/>
    <w:rsid w:val="35FC6972"/>
    <w:rsid w:val="3660217B"/>
    <w:rsid w:val="36C559EE"/>
    <w:rsid w:val="388008B3"/>
    <w:rsid w:val="39A9599C"/>
    <w:rsid w:val="39E15381"/>
    <w:rsid w:val="3A2B6F44"/>
    <w:rsid w:val="3B2A0FAA"/>
    <w:rsid w:val="3B8406BA"/>
    <w:rsid w:val="3C2F4ACA"/>
    <w:rsid w:val="3D424389"/>
    <w:rsid w:val="3DBC7F10"/>
    <w:rsid w:val="3ED01E68"/>
    <w:rsid w:val="3EE50186"/>
    <w:rsid w:val="4019701E"/>
    <w:rsid w:val="407C4056"/>
    <w:rsid w:val="40B55684"/>
    <w:rsid w:val="4162149D"/>
    <w:rsid w:val="421649E1"/>
    <w:rsid w:val="43313FC3"/>
    <w:rsid w:val="439E2535"/>
    <w:rsid w:val="43CC0E50"/>
    <w:rsid w:val="44C2414A"/>
    <w:rsid w:val="44FC2928"/>
    <w:rsid w:val="452A0524"/>
    <w:rsid w:val="459359FA"/>
    <w:rsid w:val="46A12F7F"/>
    <w:rsid w:val="47217705"/>
    <w:rsid w:val="47361E51"/>
    <w:rsid w:val="47564260"/>
    <w:rsid w:val="485C16FE"/>
    <w:rsid w:val="489A45C2"/>
    <w:rsid w:val="49247038"/>
    <w:rsid w:val="4932021F"/>
    <w:rsid w:val="494444F5"/>
    <w:rsid w:val="4BCE6E1F"/>
    <w:rsid w:val="4BED10E7"/>
    <w:rsid w:val="4CA26BF2"/>
    <w:rsid w:val="4D047E1C"/>
    <w:rsid w:val="4D4E1987"/>
    <w:rsid w:val="4D6311BC"/>
    <w:rsid w:val="4D9A16A2"/>
    <w:rsid w:val="4EC40452"/>
    <w:rsid w:val="4F2C6C47"/>
    <w:rsid w:val="4F3D0E54"/>
    <w:rsid w:val="4F691C49"/>
    <w:rsid w:val="502A587C"/>
    <w:rsid w:val="504D489E"/>
    <w:rsid w:val="50C255CE"/>
    <w:rsid w:val="514364CA"/>
    <w:rsid w:val="51D72884"/>
    <w:rsid w:val="53174839"/>
    <w:rsid w:val="537E791D"/>
    <w:rsid w:val="54372316"/>
    <w:rsid w:val="546122D3"/>
    <w:rsid w:val="54E86C03"/>
    <w:rsid w:val="54FB1595"/>
    <w:rsid w:val="554C4DB4"/>
    <w:rsid w:val="56026953"/>
    <w:rsid w:val="56A936C4"/>
    <w:rsid w:val="56FE3F90"/>
    <w:rsid w:val="57CB7BCB"/>
    <w:rsid w:val="58044C05"/>
    <w:rsid w:val="580F7106"/>
    <w:rsid w:val="58600F69"/>
    <w:rsid w:val="591B0458"/>
    <w:rsid w:val="59590F26"/>
    <w:rsid w:val="5A1A187F"/>
    <w:rsid w:val="5B193FAC"/>
    <w:rsid w:val="5BFB1E7B"/>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390E6D"/>
    <w:rsid w:val="69766FE4"/>
    <w:rsid w:val="69A02DFB"/>
    <w:rsid w:val="6A0327F2"/>
    <w:rsid w:val="6A162110"/>
    <w:rsid w:val="6A7603B2"/>
    <w:rsid w:val="6B827EC3"/>
    <w:rsid w:val="6BBC75A6"/>
    <w:rsid w:val="6BC730D8"/>
    <w:rsid w:val="6BDD159D"/>
    <w:rsid w:val="6BF568E6"/>
    <w:rsid w:val="6C8D2FC3"/>
    <w:rsid w:val="6DD34233"/>
    <w:rsid w:val="6F1D7FA9"/>
    <w:rsid w:val="71E76CD1"/>
    <w:rsid w:val="7279151A"/>
    <w:rsid w:val="72802C82"/>
    <w:rsid w:val="731E270E"/>
    <w:rsid w:val="73C61A83"/>
    <w:rsid w:val="7439758C"/>
    <w:rsid w:val="74624D35"/>
    <w:rsid w:val="75906146"/>
    <w:rsid w:val="75BD0595"/>
    <w:rsid w:val="7608705F"/>
    <w:rsid w:val="76984A3E"/>
    <w:rsid w:val="77471FC0"/>
    <w:rsid w:val="777FA5D6"/>
    <w:rsid w:val="77B42785"/>
    <w:rsid w:val="787E1A12"/>
    <w:rsid w:val="78A5543C"/>
    <w:rsid w:val="78D45AD6"/>
    <w:rsid w:val="79D83AC2"/>
    <w:rsid w:val="79ED0CED"/>
    <w:rsid w:val="7B821819"/>
    <w:rsid w:val="7CA43B83"/>
    <w:rsid w:val="7DE41F56"/>
    <w:rsid w:val="7DEB2335"/>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basedOn w:val="1"/>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6">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17">
    <w:name w:val="图标说明"/>
    <w:basedOn w:val="1"/>
    <w:qFormat/>
    <w:uiPriority w:val="0"/>
    <w:pPr>
      <w:snapToGrid w:val="0"/>
      <w:jc w:val="center"/>
    </w:pPr>
    <w:rPr>
      <w:rFonts w:ascii="宋体" w:hAnsi="宋体"/>
      <w:b/>
      <w:color w:val="0000FF"/>
      <w:sz w:val="24"/>
      <w:szCs w:val="20"/>
    </w:rPr>
  </w:style>
  <w:style w:type="paragraph" w:customStyle="1" w:styleId="18">
    <w:name w:val="正文表标题"/>
    <w:next w:val="19"/>
    <w:qFormat/>
    <w:uiPriority w:val="0"/>
    <w:pPr>
      <w:numPr>
        <w:ilvl w:val="0"/>
        <w:numId w:val="1"/>
      </w:numPr>
      <w:spacing w:beforeLines="50" w:after="156" w:afterLines="50"/>
      <w:jc w:val="center"/>
    </w:pPr>
    <w:rPr>
      <w:rFonts w:ascii="黑体" w:hAnsi="Times New Roman" w:eastAsia="黑体" w:cs="Times New Roman"/>
      <w:sz w:val="21"/>
      <w:lang w:val="en-US" w:eastAsia="zh-CN" w:bidi="ar-SA"/>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0">
    <w:name w:val="二级无"/>
    <w:basedOn w:val="21"/>
    <w:qFormat/>
    <w:uiPriority w:val="0"/>
    <w:pPr>
      <w:spacing w:beforeLines="0" w:afterLines="0"/>
    </w:pPr>
    <w:rPr>
      <w:rFonts w:ascii="宋体" w:eastAsia="宋体"/>
    </w:rPr>
  </w:style>
  <w:style w:type="paragraph" w:customStyle="1" w:styleId="21">
    <w:name w:val="二级条标题"/>
    <w:basedOn w:val="22"/>
    <w:next w:val="19"/>
    <w:qFormat/>
    <w:uiPriority w:val="0"/>
    <w:pPr>
      <w:numPr>
        <w:ilvl w:val="2"/>
      </w:numPr>
      <w:ind w:left="1838"/>
      <w:outlineLvl w:val="3"/>
    </w:pPr>
  </w:style>
  <w:style w:type="paragraph" w:customStyle="1" w:styleId="22">
    <w:name w:val="一级条标题"/>
    <w:next w:val="19"/>
    <w:qFormat/>
    <w:uiPriority w:val="0"/>
    <w:pPr>
      <w:numPr>
        <w:ilvl w:val="1"/>
        <w:numId w:val="2"/>
      </w:numPr>
      <w:spacing w:before="50" w:beforeLines="50" w:after="50" w:afterLines="50"/>
      <w:ind w:left="0"/>
      <w:outlineLvl w:val="2"/>
    </w:pPr>
    <w:rPr>
      <w:rFonts w:ascii="黑体" w:hAnsi="黑体"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4288</Words>
  <Characters>5096</Characters>
  <Lines>22</Lines>
  <Paragraphs>6</Paragraphs>
  <TotalTime>22</TotalTime>
  <ScaleCrop>false</ScaleCrop>
  <LinksUpToDate>false</LinksUpToDate>
  <CharactersWithSpaces>5235</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亦旧.</cp:lastModifiedBy>
  <cp:lastPrinted>2024-11-19T07:24:20Z</cp:lastPrinted>
  <dcterms:modified xsi:type="dcterms:W3CDTF">2024-11-19T08:02:42Z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805CB691938A4E5281BAA1991C1C7D60</vt:lpwstr>
  </property>
</Properties>
</file>