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93AE430">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楷体_GB2312" w:hAnsi="方正楷体_GB2312" w:eastAsia="方正楷体_GB2312" w:cs="方正楷体_GB2312"/>
          <w:kern w:val="0"/>
          <w:sz w:val="32"/>
          <w:szCs w:val="32"/>
          <w:highlight w:val="none"/>
          <w:lang w:val="en-US" w:eastAsia="zh-CN"/>
        </w:rPr>
      </w:pPr>
    </w:p>
    <w:p w14:paraId="7A3F5AC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亳州逸合府一期施工总承包项目保温工程专业分包（二次）</w:t>
      </w:r>
      <w:permEnd w:id="0"/>
    </w:p>
    <w:p w14:paraId="20F0329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59909D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default" w:ascii="Times New Roman" w:hAnsi="Times New Roman" w:eastAsia="方正小标宋简体" w:cs="Times New Roman"/>
          <w:kern w:val="0"/>
          <w:sz w:val="84"/>
          <w:szCs w:val="84"/>
          <w:highlight w:val="none"/>
          <w:lang w:val="en-US" w:eastAsia="zh-CN"/>
        </w:rPr>
        <w:t>招</w:t>
      </w:r>
    </w:p>
    <w:p w14:paraId="76D4C0A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2F65B635">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225B0B0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429E9145">
      <w:pPr>
        <w:pStyle w:val="13"/>
        <w:jc w:val="center"/>
        <w:rPr>
          <w:rFonts w:hint="default"/>
          <w:sz w:val="32"/>
          <w:szCs w:val="32"/>
          <w:lang w:val="en-US" w:eastAsia="zh-CN"/>
        </w:rPr>
      </w:pPr>
      <w:r>
        <w:rPr>
          <w:rFonts w:hint="eastAsia" w:ascii="楷体" w:hAnsi="楷体" w:eastAsia="楷体" w:cs="楷体"/>
          <w:sz w:val="32"/>
          <w:szCs w:val="32"/>
          <w:lang w:val="en-US" w:eastAsia="zh-CN"/>
        </w:rPr>
        <w:t>（工程类）</w:t>
      </w:r>
    </w:p>
    <w:p w14:paraId="29D5149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2F7CAE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788051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070</w:t>
      </w:r>
      <w:r>
        <w:rPr>
          <w:rFonts w:hint="default" w:ascii="Times New Roman" w:hAnsi="Times New Roman" w:eastAsia="楷体" w:cs="Times New Roman"/>
          <w:kern w:val="0"/>
          <w:sz w:val="28"/>
          <w:szCs w:val="28"/>
          <w:highlight w:val="none"/>
          <w:shd w:val="clear" w:color="auto" w:fill="auto"/>
          <w:lang w:val="en-US" w:eastAsia="zh-CN"/>
        </w:rPr>
        <w:t>号</w:t>
      </w:r>
    </w:p>
    <w:permEnd w:id="1"/>
    <w:p w14:paraId="3F58AB57">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4AC5E38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65896347">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w:t>
      </w:r>
      <w:permStart w:id="2" w:edGrp="everyone"/>
      <w:r>
        <w:rPr>
          <w:rFonts w:hint="default" w:ascii="Times New Roman" w:hAnsi="Times New Roman" w:eastAsia="楷体" w:cs="Times New Roman"/>
          <w:kern w:val="0"/>
          <w:sz w:val="32"/>
          <w:szCs w:val="32"/>
          <w:highlight w:val="none"/>
          <w:shd w:val="clear" w:color="auto" w:fill="auto"/>
          <w:lang w:val="en-US" w:eastAsia="zh-CN"/>
        </w:rPr>
        <w:t>安徽通康建设工程有限公司</w:t>
      </w:r>
    </w:p>
    <w:permEnd w:id="2"/>
    <w:p w14:paraId="2A87551D">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3" w:edGrp="everyone"/>
      <w:r>
        <w:rPr>
          <w:rFonts w:hint="eastAsia" w:ascii="Times New Roman" w:hAnsi="Times New Roman" w:eastAsia="楷体" w:cs="Times New Roman"/>
          <w:kern w:val="0"/>
          <w:sz w:val="32"/>
          <w:szCs w:val="32"/>
          <w:highlight w:val="none"/>
          <w:shd w:val="clear" w:color="auto" w:fill="auto"/>
          <w:lang w:val="en-US" w:eastAsia="zh-CN"/>
        </w:rPr>
        <w:t>2024年11</w:t>
      </w:r>
      <w:r>
        <w:rPr>
          <w:rFonts w:hint="eastAsia" w:ascii="Times New Roman" w:hAnsi="Times New Roman" w:eastAsia="楷体" w:cs="Times New Roman"/>
          <w:kern w:val="0"/>
          <w:sz w:val="32"/>
          <w:szCs w:val="32"/>
          <w:highlight w:val="none"/>
          <w:u w:val="none"/>
          <w:shd w:val="clear" w:color="auto" w:fill="auto"/>
          <w:lang w:val="en-US" w:eastAsia="zh-CN"/>
        </w:rPr>
        <w:t>月5日</w:t>
      </w:r>
    </w:p>
    <w:permEnd w:id="3"/>
    <w:p w14:paraId="7CE6575F">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6A42E50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31AF4B0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D9CF46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ermStart w:id="4" w:edGrp="everyone"/>
      <w:r>
        <w:rPr>
          <w:rFonts w:hint="default" w:ascii="Times New Roman" w:hAnsi="Times New Roman" w:eastAsia="黑体" w:cs="Times New Roman"/>
          <w:kern w:val="0"/>
          <w:sz w:val="32"/>
          <w:szCs w:val="32"/>
          <w:highlight w:val="none"/>
          <w:lang w:val="en-US" w:eastAsia="zh-CN"/>
        </w:rPr>
        <w:t>第一章 招标公告.......................................................................1</w:t>
      </w:r>
    </w:p>
    <w:p w14:paraId="76D5E79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14:paraId="1E70D2A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（经评审的最低投标价法）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20</w:t>
      </w:r>
    </w:p>
    <w:p w14:paraId="682D5A9B">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23</w:t>
      </w:r>
    </w:p>
    <w:p w14:paraId="31C1004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工程量清单</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25</w:t>
      </w:r>
    </w:p>
    <w:p w14:paraId="3DAFECD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图纸</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26</w:t>
      </w:r>
    </w:p>
    <w:p w14:paraId="247F8BB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七</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技术标准和要求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 w14:paraId="42703C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八</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投标文件格式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30</w:t>
      </w:r>
    </w:p>
    <w:permEnd w:id="4"/>
    <w:p w14:paraId="0A6A6492">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12DD15E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56A0C70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CB226D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4BB82BA9">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678B4CDD">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774EB8">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3F82FD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A2051BF">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方正仿宋_GB2312" w:cs="Times New Roman"/>
          <w:kern w:val="0"/>
          <w:sz w:val="32"/>
          <w:szCs w:val="32"/>
          <w:highlight w:val="none"/>
          <w:lang w:val="en-US" w:eastAsia="zh-CN"/>
        </w:rPr>
      </w:pPr>
    </w:p>
    <w:p w14:paraId="0052904B">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方正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6AA6636D">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招标公告</w:t>
      </w:r>
    </w:p>
    <w:p w14:paraId="5906E03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p>
    <w:p w14:paraId="39E886B2">
      <w:pPr>
        <w:keepNext w:val="0"/>
        <w:keepLines w:val="0"/>
        <w:pageBreakBefore w:val="0"/>
        <w:widowControl w:val="0"/>
        <w:kinsoku/>
        <w:wordWrap w:val="0"/>
        <w:overflowPunct/>
        <w:topLinePunct w:val="0"/>
        <w:autoSpaceDE/>
        <w:autoSpaceDN/>
        <w:bidi w:val="0"/>
        <w:adjustRightInd/>
        <w:snapToGrid/>
        <w:spacing w:line="460" w:lineRule="exact"/>
        <w:jc w:val="center"/>
        <w:textAlignment w:val="auto"/>
        <w:rPr>
          <w:rFonts w:hint="default" w:ascii="Times New Roman" w:hAnsi="Times New Roman" w:eastAsia="黑体" w:cs="Times New Roman"/>
          <w:sz w:val="28"/>
          <w:szCs w:val="28"/>
          <w:highlight w:val="none"/>
          <w:lang w:val="en-US" w:eastAsia="zh-CN"/>
        </w:rPr>
      </w:pPr>
      <w:permStart w:id="5" w:edGrp="everyone"/>
      <w:r>
        <w:rPr>
          <w:rFonts w:hint="eastAsia" w:ascii="Times New Roman" w:hAnsi="Times New Roman" w:eastAsia="黑体" w:cs="Times New Roman"/>
          <w:sz w:val="28"/>
          <w:szCs w:val="28"/>
          <w:highlight w:val="none"/>
          <w:u w:val="none"/>
          <w:lang w:val="en-US" w:eastAsia="zh-CN"/>
        </w:rPr>
        <w:t>亳州逸合府一期施工总承包项目保温工程专业分包（二次）</w:t>
      </w:r>
      <w:permEnd w:id="5"/>
      <w:r>
        <w:rPr>
          <w:rFonts w:hint="eastAsia" w:ascii="Times New Roman" w:hAnsi="Times New Roman" w:eastAsia="黑体" w:cs="Times New Roman"/>
          <w:sz w:val="28"/>
          <w:szCs w:val="28"/>
          <w:highlight w:val="none"/>
          <w:lang w:val="en-US" w:eastAsia="zh-CN"/>
        </w:rPr>
        <w:t>招标公告</w:t>
      </w:r>
      <w:bookmarkStart w:id="0" w:name="_Toc152045519"/>
      <w:bookmarkStart w:id="1" w:name="_Toc246996909"/>
      <w:bookmarkStart w:id="2" w:name="_Toc179632536"/>
      <w:bookmarkStart w:id="3" w:name="_Toc246996166"/>
      <w:bookmarkStart w:id="4" w:name="_Toc144974487"/>
      <w:bookmarkStart w:id="5" w:name="_Toc152042295"/>
      <w:bookmarkStart w:id="6" w:name="_Toc247085680"/>
      <w:bookmarkStart w:id="7" w:name="_Toc296602410"/>
    </w:p>
    <w:p w14:paraId="41AAB9A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p>
    <w:p w14:paraId="088E4069">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一、招标条件</w:t>
      </w:r>
      <w:bookmarkEnd w:id="0"/>
      <w:bookmarkEnd w:id="1"/>
      <w:bookmarkEnd w:id="2"/>
      <w:bookmarkEnd w:id="3"/>
      <w:bookmarkEnd w:id="4"/>
      <w:bookmarkEnd w:id="5"/>
      <w:bookmarkEnd w:id="6"/>
      <w:bookmarkEnd w:id="7"/>
      <w:r>
        <w:rPr>
          <w:rFonts w:hint="default" w:ascii="Times New Roman" w:hAnsi="Times New Roman" w:eastAsia="方正仿宋_GB2312" w:cs="Times New Roman"/>
          <w:sz w:val="28"/>
          <w:szCs w:val="28"/>
          <w:highlight w:val="none"/>
          <w:lang w:val="en-US" w:eastAsia="zh-CN"/>
        </w:rPr>
        <w:tab/>
      </w:r>
    </w:p>
    <w:p w14:paraId="0878AE1D">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bookmarkStart w:id="8" w:name="_Toc246996167"/>
      <w:bookmarkStart w:id="9" w:name="_Toc152042296"/>
      <w:bookmarkStart w:id="10" w:name="_Toc246996910"/>
      <w:bookmarkStart w:id="11" w:name="_Toc179632537"/>
      <w:bookmarkStart w:id="12" w:name="_Toc296602411"/>
      <w:bookmarkStart w:id="13" w:name="_Toc247085681"/>
      <w:bookmarkStart w:id="14" w:name="_Toc152045520"/>
      <w:bookmarkStart w:id="15" w:name="_Toc144974488"/>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6" w:edGrp="everyone"/>
      <w:r>
        <w:rPr>
          <w:rFonts w:hint="eastAsia" w:asciiTheme="minorEastAsia" w:hAnsiTheme="minorEastAsia" w:eastAsiaTheme="minorEastAsia" w:cstheme="minorEastAsia"/>
          <w:sz w:val="28"/>
          <w:szCs w:val="28"/>
          <w:highlight w:val="none"/>
          <w:lang w:val="en-US" w:eastAsia="zh-CN"/>
        </w:rPr>
        <w:t>亳州逸合府一期施工总承包项目保温工程专业分包</w:t>
      </w:r>
      <w:r>
        <w:rPr>
          <w:rFonts w:hint="eastAsia" w:asciiTheme="minorEastAsia" w:hAnsiTheme="minorEastAsia" w:cstheme="minorEastAsia"/>
          <w:sz w:val="28"/>
          <w:szCs w:val="28"/>
          <w:highlight w:val="none"/>
          <w:lang w:val="en-US" w:eastAsia="zh-CN"/>
        </w:rPr>
        <w:t>（二次）</w:t>
      </w:r>
    </w:p>
    <w:permEnd w:id="6"/>
    <w:p w14:paraId="4F224A3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7" w:edGrp="everyone"/>
      <w:r>
        <w:rPr>
          <w:rFonts w:hint="eastAsia" w:asciiTheme="minorEastAsia" w:hAnsiTheme="minorEastAsia" w:eastAsiaTheme="minorEastAsia" w:cstheme="minorEastAsia"/>
          <w:sz w:val="28"/>
          <w:szCs w:val="28"/>
          <w:highlight w:val="none"/>
          <w:lang w:val="en-US" w:eastAsia="zh-CN"/>
        </w:rPr>
        <w:t>BZJK-2024-</w:t>
      </w:r>
      <w:r>
        <w:rPr>
          <w:rFonts w:hint="eastAsia" w:asciiTheme="minorEastAsia" w:hAnsiTheme="minorEastAsia" w:cstheme="minorEastAsia"/>
          <w:sz w:val="28"/>
          <w:szCs w:val="28"/>
          <w:highlight w:val="none"/>
          <w:lang w:val="en-US" w:eastAsia="zh-CN"/>
        </w:rPr>
        <w:t>070</w:t>
      </w:r>
      <w:r>
        <w:rPr>
          <w:rFonts w:hint="eastAsia" w:asciiTheme="minorEastAsia" w:hAnsiTheme="minorEastAsia" w:eastAsiaTheme="minorEastAsia" w:cstheme="minorEastAsia"/>
          <w:sz w:val="28"/>
          <w:szCs w:val="28"/>
          <w:highlight w:val="none"/>
          <w:lang w:val="en-US" w:eastAsia="zh-CN"/>
        </w:rPr>
        <w:t>号</w:t>
      </w:r>
    </w:p>
    <w:permEnd w:id="7"/>
    <w:p w14:paraId="4B92AB58">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资金来源：</w:t>
      </w:r>
      <w:permStart w:id="8" w:edGrp="everyone"/>
      <w:r>
        <w:rPr>
          <w:rFonts w:hint="eastAsia" w:asciiTheme="minorEastAsia" w:hAnsiTheme="minorEastAsia" w:cstheme="minorEastAsia"/>
          <w:sz w:val="28"/>
          <w:szCs w:val="28"/>
          <w:highlight w:val="none"/>
          <w:lang w:val="en-US" w:eastAsia="zh-CN"/>
        </w:rPr>
        <w:t>企业自筹</w:t>
      </w:r>
    </w:p>
    <w:permEnd w:id="8"/>
    <w:p w14:paraId="13FC4968">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招标人：</w:t>
      </w:r>
      <w:permStart w:id="9" w:edGrp="everyone"/>
      <w:r>
        <w:rPr>
          <w:rFonts w:hint="eastAsia" w:asciiTheme="minorEastAsia" w:hAnsiTheme="minorEastAsia" w:eastAsiaTheme="minorEastAsia" w:cstheme="minorEastAsia"/>
          <w:sz w:val="28"/>
          <w:szCs w:val="28"/>
          <w:highlight w:val="none"/>
          <w:lang w:val="en-US" w:eastAsia="zh-CN"/>
        </w:rPr>
        <w:t>安徽通康建设工程有限公司</w:t>
      </w:r>
    </w:p>
    <w:permEnd w:id="9"/>
    <w:p w14:paraId="77716804">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项目已具备招标条件，现对该项目的施工进行公开招标</w:t>
      </w:r>
      <w:r>
        <w:rPr>
          <w:rFonts w:hint="eastAsia" w:asciiTheme="minorEastAsia" w:hAnsiTheme="minorEastAsia" w:cstheme="minorEastAsia"/>
          <w:sz w:val="28"/>
          <w:szCs w:val="28"/>
          <w:highlight w:val="none"/>
          <w:lang w:val="en-US" w:eastAsia="zh-CN"/>
        </w:rPr>
        <w:t>。</w:t>
      </w:r>
    </w:p>
    <w:p w14:paraId="54393B69">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default" w:ascii="黑体" w:hAnsi="黑体" w:eastAsia="黑体" w:cs="黑体"/>
          <w:sz w:val="28"/>
          <w:szCs w:val="28"/>
          <w:highlight w:val="none"/>
          <w:lang w:val="en-US" w:eastAsia="zh-CN"/>
        </w:rPr>
        <w:t>二、项目概况与招标范围</w:t>
      </w:r>
      <w:bookmarkEnd w:id="8"/>
      <w:bookmarkEnd w:id="9"/>
      <w:bookmarkEnd w:id="10"/>
      <w:bookmarkEnd w:id="11"/>
      <w:bookmarkEnd w:id="12"/>
      <w:bookmarkEnd w:id="13"/>
      <w:bookmarkEnd w:id="14"/>
      <w:bookmarkEnd w:id="15"/>
    </w:p>
    <w:p w14:paraId="277DAC71">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亳州逸合府一期施工项目位于亳州市谯城区利辛路北侧、庄周路东侧、和平西路南侧、华佗大道西侧，本项目总建筑面积约180680平方米，总造价约3.94亿元，总用地面积为87944.71㎡（131.92亩），施工内容包含场区内建筑单体29栋，其中：17栋住宅（5栋17层，2栋15层，10栋10层），3栋设备房（地上1层）、6栋商铺、1栋幼儿园以及2栋门房。</w:t>
      </w:r>
    </w:p>
    <w:p w14:paraId="58047814">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招标范围：本次招标的范围是亳州逸合府一期施工总承包项目保温工程，按照图纸、工程量清单及招标人的要求完成所有工作任务。具体工程量以实际完成合格工程量为准。投标单位投标前请认真看阅施工图、并现场勘察了解情况，投标时</w:t>
      </w:r>
      <w:r>
        <w:rPr>
          <w:rFonts w:hint="eastAsia" w:asciiTheme="minorEastAsia" w:hAnsiTheme="minorEastAsia" w:cstheme="minorEastAsia"/>
          <w:sz w:val="28"/>
          <w:szCs w:val="28"/>
          <w:highlight w:val="none"/>
          <w:lang w:val="en-US" w:eastAsia="zh-CN"/>
        </w:rPr>
        <w:t>招标人</w:t>
      </w:r>
      <w:r>
        <w:rPr>
          <w:rFonts w:hint="eastAsia" w:asciiTheme="minorEastAsia" w:hAnsiTheme="minorEastAsia" w:eastAsiaTheme="minorEastAsia" w:cstheme="minorEastAsia"/>
          <w:sz w:val="28"/>
          <w:szCs w:val="28"/>
          <w:highlight w:val="none"/>
          <w:lang w:val="en-US" w:eastAsia="zh-CN"/>
        </w:rPr>
        <w:t>认为投标单位已充分了解工程概况及工作范围。</w:t>
      </w:r>
    </w:p>
    <w:p w14:paraId="4DABDCEC">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（三）质量标准：</w:t>
      </w:r>
      <w:permStart w:id="10" w:edGrp="everyone"/>
      <w:r>
        <w:rPr>
          <w:rFonts w:hint="eastAsia" w:asciiTheme="minorEastAsia" w:hAnsiTheme="minorEastAsia" w:eastAsiaTheme="minorEastAsia" w:cstheme="minorEastAsia"/>
          <w:sz w:val="28"/>
          <w:szCs w:val="28"/>
          <w:highlight w:val="none"/>
          <w:lang w:val="en-US" w:eastAsia="zh-CN"/>
        </w:rPr>
        <w:t>符合国家、地方、行业现行相关规范合格标准</w:t>
      </w:r>
      <w:r>
        <w:rPr>
          <w:rFonts w:hint="eastAsia" w:asciiTheme="minorEastAsia" w:hAnsiTheme="minorEastAsia" w:cstheme="minorEastAsia"/>
          <w:sz w:val="28"/>
          <w:szCs w:val="28"/>
          <w:highlight w:val="none"/>
          <w:lang w:val="en-US" w:eastAsia="zh-CN"/>
        </w:rPr>
        <w:t>。</w:t>
      </w:r>
    </w:p>
    <w:permEnd w:id="10"/>
    <w:p w14:paraId="6B8A8227">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（四）计划工期：</w:t>
      </w:r>
      <w:permStart w:id="11" w:edGrp="everyone"/>
      <w:r>
        <w:rPr>
          <w:rFonts w:hint="eastAsia" w:asciiTheme="minorEastAsia" w:hAnsiTheme="minorEastAsia" w:eastAsiaTheme="minorEastAsia" w:cstheme="minorEastAsia"/>
          <w:sz w:val="28"/>
          <w:szCs w:val="28"/>
          <w:highlight w:val="none"/>
          <w:lang w:val="en-US" w:eastAsia="zh-CN"/>
        </w:rPr>
        <w:t>自招标人下达开工指令起3个月</w:t>
      </w:r>
      <w:r>
        <w:rPr>
          <w:rFonts w:hint="eastAsia" w:asciiTheme="minorEastAsia" w:hAnsiTheme="minorEastAsia" w:cstheme="minorEastAsia"/>
          <w:sz w:val="28"/>
          <w:szCs w:val="28"/>
          <w:highlight w:val="none"/>
          <w:lang w:val="en-US" w:eastAsia="zh-CN"/>
        </w:rPr>
        <w:t>。</w:t>
      </w:r>
      <w:permEnd w:id="11"/>
    </w:p>
    <w:p w14:paraId="2830F811">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（五）最高投标限价</w:t>
      </w:r>
      <w:permStart w:id="12" w:edGrp="everyone"/>
      <w:r>
        <w:rPr>
          <w:rFonts w:hint="eastAsia" w:asciiTheme="minorEastAsia" w:hAnsiTheme="minorEastAsia" w:eastAsiaTheme="minorEastAsia" w:cstheme="minorEastAsia"/>
          <w:sz w:val="28"/>
          <w:szCs w:val="28"/>
          <w:highlight w:val="none"/>
          <w:lang w:val="en-US" w:eastAsia="zh-CN"/>
        </w:rPr>
        <w:t>（含税：9%）</w:t>
      </w:r>
      <w:permEnd w:id="12"/>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1518926.43</w:t>
      </w:r>
      <w:r>
        <w:rPr>
          <w:rFonts w:hint="default" w:asciiTheme="minorEastAsia" w:hAnsiTheme="minorEastAsia" w:cstheme="minorEastAsia"/>
          <w:sz w:val="28"/>
          <w:szCs w:val="28"/>
          <w:highlight w:val="none"/>
          <w:lang w:val="en-US" w:eastAsia="zh-CN"/>
        </w:rPr>
        <w:t>元</w:t>
      </w:r>
      <w:r>
        <w:rPr>
          <w:rFonts w:hint="eastAsia" w:asciiTheme="minorEastAsia" w:hAnsiTheme="minorEastAsia" w:cstheme="minorEastAsia"/>
          <w:sz w:val="28"/>
          <w:szCs w:val="28"/>
          <w:highlight w:val="none"/>
          <w:lang w:val="en-US" w:eastAsia="zh-CN"/>
        </w:rPr>
        <w:t>，</w:t>
      </w:r>
      <w:r>
        <w:rPr>
          <w:rFonts w:hint="default" w:asciiTheme="minorEastAsia" w:hAnsiTheme="minorEastAsia" w:cstheme="minorEastAsia"/>
          <w:sz w:val="28"/>
          <w:szCs w:val="28"/>
          <w:highlight w:val="none"/>
          <w:lang w:val="en-US" w:eastAsia="zh-CN"/>
        </w:rPr>
        <w:t>投标人</w:t>
      </w:r>
      <w:r>
        <w:rPr>
          <w:rFonts w:hint="eastAsia" w:asciiTheme="minorEastAsia" w:hAnsiTheme="minorEastAsia" w:cstheme="minorEastAsia"/>
          <w:sz w:val="28"/>
          <w:szCs w:val="28"/>
          <w:highlight w:val="none"/>
          <w:lang w:val="en-US" w:eastAsia="zh-CN"/>
        </w:rPr>
        <w:t>根据附件清单，</w:t>
      </w:r>
      <w:r>
        <w:rPr>
          <w:rFonts w:hint="default" w:asciiTheme="minorEastAsia" w:hAnsiTheme="minorEastAsia" w:cstheme="minorEastAsia"/>
          <w:sz w:val="28"/>
          <w:szCs w:val="28"/>
          <w:highlight w:val="none"/>
          <w:lang w:val="en-US" w:eastAsia="zh-CN"/>
        </w:rPr>
        <w:t>按固定</w:t>
      </w:r>
      <w:r>
        <w:rPr>
          <w:rFonts w:hint="eastAsia" w:asciiTheme="minorEastAsia" w:hAnsiTheme="minorEastAsia" w:cstheme="minorEastAsia"/>
          <w:sz w:val="28"/>
          <w:szCs w:val="28"/>
          <w:highlight w:val="none"/>
          <w:lang w:val="en-US" w:eastAsia="zh-CN"/>
        </w:rPr>
        <w:t>单</w:t>
      </w:r>
      <w:r>
        <w:rPr>
          <w:rFonts w:hint="default" w:asciiTheme="minorEastAsia" w:hAnsiTheme="minorEastAsia" w:cstheme="minorEastAsia"/>
          <w:sz w:val="28"/>
          <w:szCs w:val="28"/>
          <w:highlight w:val="none"/>
          <w:lang w:val="en-US" w:eastAsia="zh-CN"/>
        </w:rPr>
        <w:t>价投标报价。投标报价超出限价或为可能影响合同履约的异常低价的，按无效投标处理；投标报价应包括为完成本招标项目各阶段工作内容以及后期服务所需的全部费用及税金；不含税价格不因国家税率变化而改变，在合同履行期间，如遇国家税率调整，则价税合计的价格应相应调整，以开具发票的时间为准</w:t>
      </w:r>
      <w:r>
        <w:rPr>
          <w:rFonts w:hint="eastAsia" w:asciiTheme="minorEastAsia" w:hAnsiTheme="minorEastAsia" w:cstheme="minorEastAsia"/>
          <w:sz w:val="28"/>
          <w:szCs w:val="28"/>
          <w:highlight w:val="none"/>
          <w:lang w:val="en-US" w:eastAsia="zh-CN"/>
        </w:rPr>
        <w:t>。</w:t>
      </w:r>
    </w:p>
    <w:p w14:paraId="2631DD2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三、投标人资格要求</w:t>
      </w:r>
    </w:p>
    <w:p w14:paraId="3A1FD2CC">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（一）具有独立法人资格，并在人员、设备、资金等方面具有承担本工程施工的能力；</w:t>
      </w:r>
    </w:p>
    <w:p w14:paraId="072F87F1">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（二）具有防水防腐保温工程二级</w:t>
      </w:r>
      <w:r>
        <w:rPr>
          <w:rFonts w:hint="eastAsia" w:asciiTheme="minorEastAsia" w:hAnsiTheme="minorEastAsia" w:cstheme="minorEastAsia"/>
          <w:sz w:val="28"/>
          <w:szCs w:val="28"/>
          <w:highlight w:val="none"/>
          <w:lang w:val="en-US" w:eastAsia="zh-CN"/>
        </w:rPr>
        <w:t>及以上</w:t>
      </w:r>
      <w:r>
        <w:rPr>
          <w:rFonts w:hint="default" w:asciiTheme="minorEastAsia" w:hAnsiTheme="minorEastAsia" w:cstheme="minorEastAsia"/>
          <w:sz w:val="28"/>
          <w:szCs w:val="28"/>
          <w:highlight w:val="none"/>
          <w:lang w:val="en-US" w:eastAsia="zh-CN"/>
        </w:rPr>
        <w:t>专业承包资质和有效的安全生产许可证；</w:t>
      </w:r>
    </w:p>
    <w:p w14:paraId="1DB558D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（三）项目负责人具备建筑工程专业二级</w:t>
      </w:r>
      <w:r>
        <w:rPr>
          <w:rFonts w:hint="eastAsia" w:asciiTheme="minorEastAsia" w:hAnsiTheme="minorEastAsia" w:cstheme="minorEastAsia"/>
          <w:sz w:val="28"/>
          <w:szCs w:val="28"/>
          <w:highlight w:val="none"/>
          <w:lang w:val="en-US" w:eastAsia="zh-CN"/>
        </w:rPr>
        <w:t>及以上</w:t>
      </w:r>
      <w:r>
        <w:rPr>
          <w:rFonts w:hint="default" w:asciiTheme="minorEastAsia" w:hAnsiTheme="minorEastAsia" w:cstheme="minorEastAsia"/>
          <w:sz w:val="28"/>
          <w:szCs w:val="28"/>
          <w:highlight w:val="none"/>
          <w:lang w:val="en-US" w:eastAsia="zh-CN"/>
        </w:rPr>
        <w:t>建造师执业资格。</w:t>
      </w:r>
    </w:p>
    <w:p w14:paraId="584F183B">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项目负责人应附身份证、执业资格证（或注册证书）、有效的安全考核B证及缴纳养老保险的复印件。养老保险须提供2024年1月以来在投标单位已缴纳的任意3个月的养老保险证明（指养老保险管理单位出具的养老保险证明，加盖养老保险管理单位的公章或电子章；投标时将原件、复印件或扫描件制作在投标文件中）。</w:t>
      </w:r>
    </w:p>
    <w:p w14:paraId="6357ACAB">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（四）提供2021年</w:t>
      </w:r>
      <w:r>
        <w:rPr>
          <w:rFonts w:hint="eastAsia" w:asciiTheme="minorEastAsia" w:hAnsiTheme="minorEastAsia" w:cstheme="minorEastAsia"/>
          <w:sz w:val="28"/>
          <w:szCs w:val="28"/>
          <w:highlight w:val="none"/>
          <w:lang w:val="en-US" w:eastAsia="zh-CN"/>
        </w:rPr>
        <w:t>1月</w:t>
      </w:r>
      <w:r>
        <w:rPr>
          <w:rFonts w:hint="default" w:asciiTheme="minorEastAsia" w:hAnsiTheme="minorEastAsia" w:cstheme="minorEastAsia"/>
          <w:sz w:val="28"/>
          <w:szCs w:val="28"/>
          <w:highlight w:val="none"/>
          <w:lang w:val="en-US" w:eastAsia="zh-CN"/>
        </w:rPr>
        <w:t>至今企业类似项目业绩</w:t>
      </w:r>
      <w:r>
        <w:rPr>
          <w:rFonts w:hint="eastAsia" w:asciiTheme="minorEastAsia" w:hAnsiTheme="minorEastAsia" w:cstheme="minorEastAsia"/>
          <w:sz w:val="28"/>
          <w:szCs w:val="28"/>
          <w:highlight w:val="none"/>
          <w:lang w:val="en-US" w:eastAsia="zh-CN"/>
        </w:rPr>
        <w:t>至少</w:t>
      </w:r>
      <w:r>
        <w:rPr>
          <w:rFonts w:hint="default" w:asciiTheme="minorEastAsia" w:hAnsiTheme="minorEastAsia" w:cstheme="minorEastAsia"/>
          <w:sz w:val="28"/>
          <w:szCs w:val="28"/>
          <w:highlight w:val="none"/>
          <w:lang w:val="en-US" w:eastAsia="zh-CN"/>
        </w:rPr>
        <w:t>1个，以合同签订时间为准。类似项目业绩指：单项合同金额不低于150万元的保温工程专业承包业绩；</w:t>
      </w:r>
    </w:p>
    <w:p w14:paraId="5B71F03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w:t>
      </w:r>
      <w:permStart w:id="13" w:edGrp="everyone"/>
      <w:r>
        <w:rPr>
          <w:rFonts w:hint="default" w:asciiTheme="minorEastAsia" w:hAnsiTheme="minorEastAsia" w:cstheme="minorEastAsia"/>
          <w:sz w:val="28"/>
          <w:szCs w:val="28"/>
          <w:highlight w:val="none"/>
          <w:lang w:val="en-US" w:eastAsia="zh-CN"/>
        </w:rPr>
        <w:t>提供业绩合同、合同任意节点税务发票等复印件或扫描件加盖单位公章装订入投标文件中</w:t>
      </w:r>
      <w:r>
        <w:rPr>
          <w:rFonts w:hint="eastAsia" w:asciiTheme="minorEastAsia" w:hAnsiTheme="minorEastAsia" w:cstheme="minorEastAsia"/>
          <w:sz w:val="28"/>
          <w:szCs w:val="28"/>
          <w:highlight w:val="none"/>
          <w:lang w:val="en-US" w:eastAsia="zh-CN"/>
        </w:rPr>
        <w:t>，施工总承包业绩不予认可</w:t>
      </w:r>
      <w:permEnd w:id="13"/>
      <w:r>
        <w:rPr>
          <w:rFonts w:hint="default" w:asciiTheme="minorEastAsia" w:hAnsiTheme="minorEastAsia" w:cstheme="minorEastAsia"/>
          <w:sz w:val="28"/>
          <w:szCs w:val="28"/>
          <w:highlight w:val="none"/>
          <w:lang w:val="en-US" w:eastAsia="zh-CN"/>
        </w:rPr>
        <w:t>。</w:t>
      </w:r>
    </w:p>
    <w:p w14:paraId="2C0A4CF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（五）投标人（含分公司，不含子公司）存在以下不良信用记录情形之一的，不得推荐为中标候选人，不得确定为中标人。</w:t>
      </w:r>
    </w:p>
    <w:p w14:paraId="041F912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（1）投标人被人民法院列入失信被执行人的；</w:t>
      </w:r>
    </w:p>
    <w:p w14:paraId="0004827D">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（2）投标人被市场监督管理部门列入企业经营异常名录的；</w:t>
      </w:r>
    </w:p>
    <w:p w14:paraId="2E46D864">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（3）投标人被税务部门列入重大税收违法案件当事人名单的；</w:t>
      </w:r>
    </w:p>
    <w:p w14:paraId="22F53C16">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注：以上情形以“信用中国”（www.creditchina.gov.cn）发布的为准，有限制期限的按规定期限执行（以现场查询为准）。</w:t>
      </w:r>
    </w:p>
    <w:p w14:paraId="658C385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（六）投标人如在以往承接交控集团及下属企业项目过程中被记入“黑名单”，不得参加本次招标投标活动；</w:t>
      </w:r>
    </w:p>
    <w:p w14:paraId="009413B8">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（七）本次招标</w:t>
      </w:r>
      <w:permStart w:id="14" w:edGrp="everyone"/>
      <w:r>
        <w:rPr>
          <w:rFonts w:hint="default" w:asciiTheme="minorEastAsia" w:hAnsiTheme="minorEastAsia" w:cstheme="minorEastAsia"/>
          <w:sz w:val="28"/>
          <w:szCs w:val="28"/>
          <w:highlight w:val="none"/>
          <w:lang w:val="en-US" w:eastAsia="zh-CN"/>
        </w:rPr>
        <w:t>不接受</w:t>
      </w:r>
      <w:permEnd w:id="14"/>
      <w:r>
        <w:rPr>
          <w:rFonts w:hint="default" w:asciiTheme="minorEastAsia" w:hAnsiTheme="minorEastAsia" w:cstheme="minorEastAsia"/>
          <w:sz w:val="28"/>
          <w:szCs w:val="28"/>
          <w:highlight w:val="none"/>
          <w:lang w:val="en-US" w:eastAsia="zh-CN"/>
        </w:rPr>
        <w:t>联合体投标。</w:t>
      </w:r>
    </w:p>
    <w:p w14:paraId="43AA2EC7">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default" w:asciiTheme="minorEastAsia" w:hAnsiTheme="minorEastAsia" w:cstheme="minorEastAsia"/>
          <w:sz w:val="28"/>
          <w:szCs w:val="28"/>
          <w:highlight w:val="none"/>
          <w:lang w:val="en-US" w:eastAsia="zh-CN"/>
        </w:rPr>
        <w:t>（八）本项目委托代理人必须是投标单位正式人员，须提供投标单位公司为其缴纳的</w:t>
      </w:r>
      <w:permStart w:id="15" w:edGrp="everyone"/>
      <w:r>
        <w:rPr>
          <w:rFonts w:hint="default" w:asciiTheme="minorEastAsia" w:hAnsiTheme="minorEastAsia" w:cstheme="minorEastAsia"/>
          <w:sz w:val="28"/>
          <w:szCs w:val="28"/>
          <w:highlight w:val="none"/>
          <w:lang w:val="en-US" w:eastAsia="zh-CN"/>
        </w:rPr>
        <w:t>2024年1月</w:t>
      </w:r>
      <w:permEnd w:id="15"/>
      <w:r>
        <w:rPr>
          <w:rFonts w:hint="default" w:asciiTheme="minorEastAsia" w:hAnsiTheme="minorEastAsia" w:cstheme="minorEastAsia"/>
          <w:sz w:val="28"/>
          <w:szCs w:val="28"/>
          <w:highlight w:val="none"/>
          <w:lang w:val="en-US" w:eastAsia="zh-CN"/>
        </w:rPr>
        <w:t>起任意3个月及以上养老保险证明，否则按无效投标处理。</w:t>
      </w:r>
    </w:p>
    <w:p w14:paraId="5D0A4CB6">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四、招标文件的获取</w:t>
      </w:r>
    </w:p>
    <w:p w14:paraId="0E5CFBD1">
      <w:pPr>
        <w:keepNext w:val="0"/>
        <w:keepLines w:val="0"/>
        <w:pageBreakBefore w:val="0"/>
        <w:widowControl w:val="0"/>
        <w:numPr>
          <w:ilvl w:val="0"/>
          <w:numId w:val="0"/>
        </w:numPr>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凡有意参加投标者，请于投标文件递交截止时间前到</w:t>
      </w:r>
      <w:permStart w:id="16" w:edGrp="everyone"/>
      <w:r>
        <w:rPr>
          <w:rFonts w:hint="default" w:asciiTheme="minorEastAsia" w:hAnsiTheme="minorEastAsia" w:eastAsiaTheme="minorEastAsia" w:cstheme="minorEastAsia"/>
          <w:sz w:val="28"/>
          <w:szCs w:val="28"/>
          <w:highlight w:val="none"/>
          <w:lang w:val="en-US" w:eastAsia="zh-CN"/>
        </w:rPr>
        <w:t>亳州交通投资控股集团有限公司官网（www.bzjkjt.com）、安徽省招标投标信息网（www.ahtba.org.cn）或优质采云采购平台（www.youzhicai.com）自行下载电子招标文件及其他附件</w:t>
      </w:r>
      <w:r>
        <w:rPr>
          <w:rFonts w:hint="eastAsia" w:asciiTheme="minorEastAsia" w:hAnsiTheme="minorEastAsia" w:cstheme="minorEastAsia"/>
          <w:sz w:val="28"/>
          <w:szCs w:val="28"/>
          <w:highlight w:val="none"/>
          <w:lang w:val="en-US" w:eastAsia="zh-CN"/>
        </w:rPr>
        <w:t>。</w:t>
      </w:r>
      <w:permEnd w:id="16"/>
    </w:p>
    <w:p w14:paraId="6702EE4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五、投标文件的递交</w:t>
      </w:r>
    </w:p>
    <w:p w14:paraId="074A4277">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（一）开标时间（投标截止时间）</w:t>
      </w:r>
      <w:r>
        <w:rPr>
          <w:rFonts w:hint="eastAsia" w:asciiTheme="minorEastAsia" w:hAnsiTheme="minorEastAsia" w:cstheme="minorEastAsia"/>
          <w:sz w:val="28"/>
          <w:szCs w:val="28"/>
          <w:highlight w:val="none"/>
          <w:lang w:val="en-US" w:eastAsia="zh-CN"/>
        </w:rPr>
        <w:t>：</w:t>
      </w:r>
      <w:permStart w:id="17" w:edGrp="everyone"/>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2024</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11</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12</w:t>
      </w:r>
      <w:r>
        <w:rPr>
          <w:rFonts w:hint="eastAsia" w:asciiTheme="minorEastAsia" w:hAnsiTheme="minorEastAsia" w:eastAsiaTheme="minorEastAsia" w:cstheme="minorEastAsia"/>
          <w:b/>
          <w:bCs/>
          <w:i w:val="0"/>
          <w:iCs w:val="0"/>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9</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b/>
          <w:bCs/>
          <w:i w:val="0"/>
          <w:iCs w:val="0"/>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b/>
          <w:bCs/>
          <w:i w:val="0"/>
          <w:iCs w:val="0"/>
          <w:color w:val="000000" w:themeColor="text1"/>
          <w:sz w:val="28"/>
          <w:szCs w:val="28"/>
          <w:highlight w:val="none"/>
          <w:u w:val="none"/>
          <w:lang w:val="en-US" w:eastAsia="zh-CN"/>
          <w14:textFill>
            <w14:solidFill>
              <w14:schemeClr w14:val="tx1"/>
            </w14:solidFill>
          </w14:textFill>
        </w:rPr>
        <w:t>分</w:t>
      </w:r>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End w:id="17"/>
    </w:p>
    <w:p w14:paraId="4A2FB2B3">
      <w:pPr>
        <w:keepNext w:val="0"/>
        <w:keepLines w:val="0"/>
        <w:pageBreakBefore w:val="0"/>
        <w:widowControl w:val="0"/>
        <w:kinsoku/>
        <w:wordWrap/>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（二）开标</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18"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开标</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室（药都大道与希夷大道交叉口东北角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permEnd w:id="18"/>
      <w:r>
        <w:rPr>
          <w:rFonts w:hint="eastAsia" w:asciiTheme="minorEastAsia" w:hAnsiTheme="minorEastAsia" w:cstheme="minorEastAsia"/>
          <w:i w:val="0"/>
          <w:iCs w:val="0"/>
          <w:sz w:val="28"/>
          <w:szCs w:val="28"/>
          <w:highlight w:val="none"/>
          <w:lang w:val="en-US" w:eastAsia="zh-CN"/>
        </w:rPr>
        <w:t>；</w:t>
      </w:r>
    </w:p>
    <w:p w14:paraId="3519CC6E">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）逾期送达的、未送达指定地点的或者不按照招标文件要求密封的投标文件，招标人将予以拒收</w:t>
      </w:r>
      <w:r>
        <w:rPr>
          <w:rFonts w:hint="eastAsia" w:asciiTheme="minorEastAsia" w:hAnsiTheme="minorEastAsia" w:cstheme="minorEastAsia"/>
          <w:sz w:val="28"/>
          <w:szCs w:val="28"/>
          <w:highlight w:val="none"/>
          <w:lang w:val="en-US" w:eastAsia="zh-CN"/>
        </w:rPr>
        <w:t>；</w:t>
      </w:r>
    </w:p>
    <w:p w14:paraId="3FBF919D">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9" w:edGrp="everyone"/>
      <w:r>
        <w:rPr>
          <w:rFonts w:hint="eastAsia" w:asciiTheme="minorEastAsia" w:hAnsiTheme="minorEastAsia" w:cstheme="minorEastAsia"/>
          <w:color w:val="FF0000"/>
          <w:sz w:val="28"/>
          <w:szCs w:val="28"/>
          <w:highlight w:val="none"/>
          <w:u w:val="single"/>
          <w:lang w:val="en-US" w:eastAsia="zh-CN"/>
        </w:rPr>
        <w:t>不允许</w:t>
      </w:r>
      <w:r>
        <w:rPr>
          <w:rFonts w:hint="default" w:asciiTheme="minorEastAsia" w:hAnsiTheme="minorEastAsia" w:eastAsiaTheme="minorEastAsia" w:cstheme="minorEastAsia"/>
          <w:sz w:val="28"/>
          <w:szCs w:val="28"/>
          <w:highlight w:val="none"/>
          <w:lang w:val="en-US" w:eastAsia="zh-CN"/>
        </w:rPr>
        <w:t>投标人以邮寄方式递交投标文件</w:t>
      </w:r>
      <w:r>
        <w:rPr>
          <w:rFonts w:hint="eastAsia" w:asciiTheme="minorEastAsia" w:hAnsiTheme="minorEastAsia" w:cstheme="minorEastAsia"/>
          <w:sz w:val="28"/>
          <w:szCs w:val="28"/>
          <w:highlight w:val="none"/>
          <w:lang w:val="en-US" w:eastAsia="zh-CN"/>
        </w:rPr>
        <w:t>。</w:t>
      </w:r>
      <w:permEnd w:id="19"/>
    </w:p>
    <w:p w14:paraId="0AA7D27E">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六、投标担保</w:t>
      </w:r>
    </w:p>
    <w:p w14:paraId="78B1E912">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本项目投标保证金：</w:t>
      </w:r>
      <w:permStart w:id="20" w:edGrp="everyone"/>
      <w:r>
        <w:rPr>
          <w:rFonts w:hint="eastAsia" w:asciiTheme="minorEastAsia" w:hAnsiTheme="minorEastAsia" w:cstheme="minorEastAsia"/>
          <w:sz w:val="28"/>
          <w:szCs w:val="28"/>
          <w:highlight w:val="none"/>
          <w:u w:val="single"/>
          <w:lang w:val="en-US" w:eastAsia="zh-CN"/>
        </w:rPr>
        <w:t>30000元</w:t>
      </w:r>
      <w:r>
        <w:rPr>
          <w:rFonts w:hint="default" w:asciiTheme="minorEastAsia" w:hAnsiTheme="minorEastAsia" w:eastAsiaTheme="minorEastAsia" w:cstheme="minorEastAsia"/>
          <w:sz w:val="28"/>
          <w:szCs w:val="28"/>
          <w:highlight w:val="none"/>
          <w:lang w:val="en-US" w:eastAsia="zh-CN"/>
        </w:rPr>
        <w:t>（人民币）</w:t>
      </w:r>
      <w:permEnd w:id="20"/>
      <w:r>
        <w:rPr>
          <w:rFonts w:hint="default" w:asciiTheme="minorEastAsia" w:hAnsiTheme="minorEastAsia" w:eastAsiaTheme="minorEastAsia" w:cstheme="minorEastAsia"/>
          <w:sz w:val="28"/>
          <w:szCs w:val="28"/>
          <w:highlight w:val="none"/>
          <w:lang w:val="en-US" w:eastAsia="zh-CN"/>
        </w:rPr>
        <w:t>，缴纳方式详见招标文件</w:t>
      </w:r>
      <w:r>
        <w:rPr>
          <w:rFonts w:hint="eastAsia" w:asciiTheme="minorEastAsia" w:hAnsiTheme="minorEastAsia" w:cstheme="minorEastAsia"/>
          <w:sz w:val="28"/>
          <w:szCs w:val="28"/>
          <w:highlight w:val="none"/>
          <w:lang w:val="en-US" w:eastAsia="zh-CN"/>
        </w:rPr>
        <w:t>。</w:t>
      </w:r>
    </w:p>
    <w:p w14:paraId="71D00574">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6E8C42F3">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permStart w:id="21" w:edGrp="everyone"/>
      <w:r>
        <w:rPr>
          <w:rFonts w:hint="default" w:asciiTheme="minorEastAsia" w:hAnsiTheme="minorEastAsia" w:eastAsiaTheme="minorEastAsia" w:cstheme="minorEastAsia"/>
          <w:sz w:val="28"/>
          <w:szCs w:val="28"/>
          <w:highlight w:val="none"/>
          <w:lang w:val="en-US" w:eastAsia="zh-CN"/>
        </w:rPr>
        <w:t>招</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标</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人：安徽通康建设工程有限公司</w:t>
      </w:r>
    </w:p>
    <w:p w14:paraId="601C530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址：安徽省亳州市谯城区S309收费站</w:t>
      </w:r>
    </w:p>
    <w:p w14:paraId="70ABC1E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cstheme="minorEastAsia"/>
          <w:sz w:val="28"/>
          <w:szCs w:val="28"/>
          <w:highlight w:val="none"/>
          <w:lang w:val="en-US" w:eastAsia="zh-CN"/>
        </w:rPr>
        <w:t>李</w:t>
      </w:r>
      <w:r>
        <w:rPr>
          <w:rFonts w:hint="default" w:asciiTheme="minorEastAsia" w:hAnsiTheme="minorEastAsia" w:eastAsiaTheme="minorEastAsia" w:cstheme="minorEastAsia"/>
          <w:sz w:val="28"/>
          <w:szCs w:val="28"/>
          <w:highlight w:val="none"/>
          <w:lang w:val="en-US" w:eastAsia="zh-CN"/>
        </w:rPr>
        <w:t>经理</w:t>
      </w:r>
      <w:r>
        <w:rPr>
          <w:rFonts w:hint="eastAsia" w:asciiTheme="minorEastAsia" w:hAnsiTheme="minorEastAsia" w:cstheme="minorEastAsia"/>
          <w:sz w:val="28"/>
          <w:szCs w:val="28"/>
          <w:highlight w:val="none"/>
          <w:lang w:val="en-US" w:eastAsia="zh-CN"/>
        </w:rPr>
        <w:t xml:space="preserve"> </w:t>
      </w:r>
    </w:p>
    <w:p w14:paraId="59227B7F">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：15955497321</w:t>
      </w:r>
    </w:p>
    <w:permEnd w:id="21"/>
    <w:p w14:paraId="2B53F983">
      <w:pPr>
        <w:keepNext w:val="0"/>
        <w:keepLines w:val="0"/>
        <w:pageBreakBefore w:val="0"/>
        <w:widowControl w:val="0"/>
        <w:kinsoku/>
        <w:wordWrap w:val="0"/>
        <w:overflowPunct/>
        <w:topLinePunct w:val="0"/>
        <w:autoSpaceDE/>
        <w:autoSpaceDN/>
        <w:bidi w:val="0"/>
        <w:adjustRightInd/>
        <w:snapToGrid/>
        <w:spacing w:line="460" w:lineRule="exact"/>
        <w:textAlignment w:val="auto"/>
        <w:rPr>
          <w:rFonts w:hint="eastAsia" w:asciiTheme="minorEastAsia" w:hAnsiTheme="minorEastAsia" w:eastAsiaTheme="minorEastAsia" w:cstheme="minorEastAsia"/>
          <w:sz w:val="28"/>
          <w:szCs w:val="28"/>
          <w:highlight w:val="none"/>
          <w:lang w:val="en-US" w:eastAsia="zh-CN"/>
        </w:rPr>
      </w:pPr>
    </w:p>
    <w:p w14:paraId="63E939BD">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招标平台：亳州交控集团招投标中心</w:t>
      </w:r>
    </w:p>
    <w:p w14:paraId="497EA2E2">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4443EA7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4C989C6C">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textAlignment w:val="auto"/>
        <w:rPr>
          <w:rFonts w:hint="default" w:ascii="Times New Roman" w:hAnsi="Times New Roman" w:eastAsia="方正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p>
    <w:p w14:paraId="32DABA9D">
      <w:pPr>
        <w:keepNext w:val="0"/>
        <w:keepLines w:val="0"/>
        <w:pageBreakBefore w:val="0"/>
        <w:widowControl w:val="0"/>
        <w:kinsoku/>
        <w:wordWrap/>
        <w:overflowPunct/>
        <w:topLinePunct w:val="0"/>
        <w:autoSpaceDE/>
        <w:autoSpaceDN/>
        <w:bidi w:val="0"/>
        <w:adjustRightInd/>
        <w:snapToGrid/>
        <w:spacing w:line="460" w:lineRule="exact"/>
        <w:textAlignment w:val="auto"/>
        <w:rPr>
          <w:rFonts w:hint="default" w:ascii="Times New Roman" w:hAnsi="Times New Roman" w:eastAsia="方正仿宋_GB2312" w:cs="Times New Roman"/>
          <w:sz w:val="28"/>
          <w:szCs w:val="28"/>
          <w:highlight w:val="none"/>
          <w:lang w:val="en-US" w:eastAsia="zh-CN"/>
        </w:rPr>
      </w:pPr>
    </w:p>
    <w:p w14:paraId="0D7D7255">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permStart w:id="22" w:edGrp="everyone"/>
      <w:r>
        <w:rPr>
          <w:rFonts w:hint="eastAsia" w:asciiTheme="minorEastAsia" w:hAnsiTheme="minorEastAsia" w:cstheme="minorEastAsia"/>
          <w:sz w:val="28"/>
          <w:szCs w:val="28"/>
        </w:rPr>
        <w:t>安徽通康建设工程有限公司</w:t>
      </w:r>
    </w:p>
    <w:p w14:paraId="43330ADC">
      <w:pPr>
        <w:keepNext w:val="0"/>
        <w:keepLines w:val="0"/>
        <w:pageBreakBefore w:val="0"/>
        <w:widowControl w:val="0"/>
        <w:kinsoku/>
        <w:wordWrap w:val="0"/>
        <w:overflowPunct/>
        <w:topLinePunct w:val="0"/>
        <w:autoSpaceDE/>
        <w:autoSpaceDN/>
        <w:bidi w:val="0"/>
        <w:adjustRightInd/>
        <w:snapToGrid/>
        <w:spacing w:line="460" w:lineRule="exact"/>
        <w:ind w:firstLine="560" w:firstLineChars="200"/>
        <w:jc w:val="right"/>
        <w:textAlignment w:val="auto"/>
        <w:rPr>
          <w:rFonts w:hint="default" w:ascii="Times New Roman" w:hAnsi="Times New Roman" w:eastAsia="方正仿宋_GB2312" w:cs="Times New Roman"/>
          <w:kern w:val="0"/>
          <w:sz w:val="32"/>
          <w:szCs w:val="32"/>
          <w:highlight w:val="none"/>
          <w:lang w:val="en-US" w:eastAsia="zh-CN"/>
        </w:rPr>
      </w:pPr>
      <w:r>
        <w:rPr>
          <w:rFonts w:hint="eastAsia" w:asciiTheme="minorEastAsia" w:hAnsiTheme="minorEastAsia" w:cstheme="minorEastAsia"/>
          <w:sz w:val="28"/>
          <w:szCs w:val="28"/>
          <w:lang w:val="en-US" w:eastAsia="zh-CN"/>
        </w:rPr>
        <w:t>2024年11月5日</w:t>
      </w:r>
      <w:permEnd w:id="22"/>
      <w:r>
        <w:rPr>
          <w:rFonts w:hint="default" w:ascii="Times New Roman" w:hAnsi="Times New Roman" w:eastAsia="方正仿宋_GB2312" w:cs="Times New Roman"/>
          <w:kern w:val="0"/>
          <w:sz w:val="32"/>
          <w:szCs w:val="32"/>
          <w:highlight w:val="none"/>
          <w:lang w:val="en-US" w:eastAsia="zh-CN"/>
        </w:rPr>
        <w:br w:type="page"/>
      </w:r>
    </w:p>
    <w:p w14:paraId="5937FA6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第二章 投标人须知</w:t>
      </w:r>
    </w:p>
    <w:p w14:paraId="49615553">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投标人须知前附表</w:t>
      </w:r>
    </w:p>
    <w:tbl>
      <w:tblPr>
        <w:tblStyle w:val="16"/>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62"/>
        <w:gridCol w:w="4752"/>
      </w:tblGrid>
      <w:tr w14:paraId="63F467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6EBF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8B012B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  款  名  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31CC15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06234B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B20AF6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F4F800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4B371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详见第一章招标公告。</w:t>
            </w:r>
          </w:p>
        </w:tc>
      </w:tr>
      <w:tr w14:paraId="3DB011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973A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C67A1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招标</w:t>
            </w:r>
            <w:r>
              <w:rPr>
                <w:rFonts w:hint="eastAsia" w:ascii="Times New Roman" w:hAnsi="Times New Roman" w:cs="Times New Roman"/>
                <w:szCs w:val="21"/>
                <w:highlight w:val="none"/>
                <w:lang w:val="en-US" w:eastAsia="zh-CN"/>
              </w:rPr>
              <w:t>平台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1809D1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04BA6C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C9A4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00D437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项目名称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985DE3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4DCD204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054290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1.1.</w:t>
            </w:r>
            <w:r>
              <w:rPr>
                <w:rFonts w:hint="eastAsia" w:ascii="Times New Roman" w:hAnsi="Times New Roman" w:cs="Times New Roman"/>
                <w:szCs w:val="21"/>
                <w:highlight w:val="none"/>
                <w:lang w:val="en-US" w:eastAsia="zh-CN"/>
              </w:rPr>
              <w:t>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171528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建设</w:t>
            </w:r>
            <w:r>
              <w:rPr>
                <w:rFonts w:hint="default" w:ascii="Times New Roman" w:hAnsi="Times New Roman" w:cs="Times New Roman"/>
                <w:szCs w:val="21"/>
                <w:highlight w:val="none"/>
              </w:rPr>
              <w:t>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5CAD8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39AF45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7415AF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AA67D0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资金来源</w:t>
            </w:r>
            <w:r>
              <w:rPr>
                <w:rFonts w:hint="eastAsia" w:ascii="Times New Roman" w:hAnsi="Times New Roman" w:cs="Times New Roman"/>
                <w:szCs w:val="21"/>
                <w:highlight w:val="none"/>
                <w:lang w:val="en-US" w:eastAsia="zh-CN"/>
              </w:rPr>
              <w:t>及比例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6A0A86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0ECECE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4C274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1.2.</w:t>
            </w:r>
            <w:r>
              <w:rPr>
                <w:rFonts w:hint="eastAsia" w:ascii="Times New Roman" w:hAnsi="Times New Roman" w:cs="Times New Roman"/>
                <w:szCs w:val="21"/>
                <w:highlight w:val="none"/>
                <w:lang w:val="en-US" w:eastAsia="zh-CN"/>
              </w:rPr>
              <w:t>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422D0B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资金落实情况</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4A85F7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已落实</w:t>
            </w:r>
          </w:p>
        </w:tc>
      </w:tr>
      <w:tr w14:paraId="6B4E2E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40AF2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B7F23A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招标范围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4B8C82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42261A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BB6F4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2F660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计划工期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39ACC7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C8303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EB58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76FDED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质量</w:t>
            </w:r>
            <w:r>
              <w:rPr>
                <w:rFonts w:hint="eastAsia" w:ascii="Times New Roman" w:hAnsi="Times New Roman" w:cs="Times New Roman"/>
                <w:szCs w:val="21"/>
                <w:highlight w:val="none"/>
                <w:lang w:val="en-US" w:eastAsia="zh-CN"/>
              </w:rPr>
              <w:t>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BE9D45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935FBC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2822F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1.4</w:t>
            </w:r>
            <w:r>
              <w:rPr>
                <w:rFonts w:hint="eastAsia" w:ascii="Times New Roman" w:hAnsi="Times New Roman" w:cs="Times New Roman"/>
                <w:szCs w:val="21"/>
                <w:highlight w:val="none"/>
                <w:lang w:val="en-US" w:eastAsia="zh-CN"/>
              </w:rPr>
              <w:t>.1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830C6E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投标人资质条件、能力</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639BEEE">
            <w:pPr>
              <w:autoSpaceDE w:val="0"/>
              <w:autoSpaceDN w:val="0"/>
              <w:adjustRightInd w:val="0"/>
              <w:snapToGrid w:val="0"/>
              <w:spacing w:line="440" w:lineRule="exact"/>
              <w:jc w:val="left"/>
              <w:rPr>
                <w:rFonts w:hint="eastAsia" w:ascii="宋体" w:hAnsi="宋体" w:cs="宋体" w:eastAsiaTheme="minorEastAsia"/>
                <w:szCs w:val="21"/>
                <w:lang w:eastAsia="zh-CN"/>
              </w:rPr>
            </w:pPr>
            <w:r>
              <w:rPr>
                <w:rFonts w:hint="eastAsia"/>
                <w:szCs w:val="21"/>
              </w:rPr>
              <w:t>1、投标人资格要求：详见招标公告</w:t>
            </w:r>
            <w:r>
              <w:rPr>
                <w:rFonts w:hint="eastAsia"/>
                <w:szCs w:val="21"/>
                <w:lang w:eastAsia="zh-CN"/>
              </w:rPr>
              <w:t>。</w:t>
            </w:r>
          </w:p>
          <w:p w14:paraId="19C39D85">
            <w:pPr>
              <w:autoSpaceDE w:val="0"/>
              <w:autoSpaceDN w:val="0"/>
              <w:adjustRightInd w:val="0"/>
              <w:snapToGrid w:val="0"/>
              <w:spacing w:line="440" w:lineRule="exact"/>
              <w:jc w:val="left"/>
              <w:rPr>
                <w:rFonts w:hint="eastAsia" w:hAnsi="宋体" w:eastAsiaTheme="minorEastAsia"/>
                <w:color w:val="FF0000"/>
                <w:szCs w:val="21"/>
                <w:lang w:val="en-US" w:eastAsia="zh-CN"/>
              </w:rPr>
            </w:pPr>
            <w:r>
              <w:rPr>
                <w:rFonts w:hint="eastAsia" w:hAnsi="宋体"/>
                <w:color w:val="FF0000"/>
                <w:szCs w:val="21"/>
                <w:lang w:val="en-US" w:eastAsia="zh-CN"/>
              </w:rPr>
              <w:t>2</w:t>
            </w:r>
            <w:r>
              <w:rPr>
                <w:rFonts w:hint="eastAsia" w:hAnsi="宋体"/>
                <w:color w:val="FF0000"/>
                <w:szCs w:val="21"/>
              </w:rPr>
              <w:t>、财务要求：</w:t>
            </w:r>
            <w:r>
              <w:rPr>
                <w:rFonts w:hint="eastAsia" w:hAnsi="宋体"/>
                <w:color w:val="FF0000"/>
                <w:szCs w:val="21"/>
                <w:lang w:val="en-US" w:eastAsia="zh-CN"/>
              </w:rPr>
              <w:t>/</w:t>
            </w:r>
          </w:p>
          <w:p w14:paraId="152E0E2F">
            <w:pPr>
              <w:autoSpaceDE w:val="0"/>
              <w:autoSpaceDN w:val="0"/>
              <w:adjustRightInd w:val="0"/>
              <w:snapToGrid w:val="0"/>
              <w:spacing w:line="440" w:lineRule="exact"/>
              <w:ind w:firstLine="308" w:firstLineChars="147"/>
              <w:jc w:val="left"/>
              <w:rPr>
                <w:rFonts w:hint="eastAsia" w:hAnsi="宋体" w:eastAsiaTheme="minorEastAsia"/>
                <w:color w:val="FF0000"/>
                <w:szCs w:val="21"/>
                <w:lang w:eastAsia="zh-CN"/>
              </w:rPr>
            </w:pPr>
            <w:permStart w:id="23" w:edGrp="everyone"/>
            <w:r>
              <w:rPr>
                <w:rFonts w:hint="eastAsia" w:hAnsi="宋体"/>
                <w:color w:val="FF0000"/>
                <w:szCs w:val="21"/>
              </w:rPr>
              <w:t>不需要</w:t>
            </w:r>
            <w:r>
              <w:rPr>
                <w:rFonts w:hint="eastAsia" w:hAnsi="宋体"/>
                <w:color w:val="FF0000"/>
                <w:szCs w:val="21"/>
                <w:lang w:eastAsia="zh-CN"/>
              </w:rPr>
              <w:t>☑</w:t>
            </w:r>
          </w:p>
          <w:p w14:paraId="70BC2994">
            <w:pPr>
              <w:autoSpaceDE w:val="0"/>
              <w:autoSpaceDN w:val="0"/>
              <w:adjustRightInd w:val="0"/>
              <w:snapToGrid w:val="0"/>
              <w:spacing w:line="440" w:lineRule="exact"/>
              <w:rPr>
                <w:rFonts w:hint="eastAsia" w:hAnsi="宋体" w:eastAsiaTheme="minorEastAsia"/>
                <w:szCs w:val="21"/>
                <w:lang w:eastAsia="zh-CN"/>
              </w:rPr>
            </w:pPr>
            <w:r>
              <w:rPr>
                <w:rFonts w:hint="eastAsia" w:hAnsi="宋体"/>
                <w:color w:val="FF0000"/>
                <w:szCs w:val="21"/>
              </w:rPr>
              <w:t xml:space="preserve">   需  要□，提供</w:t>
            </w:r>
            <w:r>
              <w:rPr>
                <w:rFonts w:hint="eastAsia" w:hAnsi="宋体"/>
                <w:snapToGrid w:val="0"/>
                <w:color w:val="FF0000"/>
                <w:spacing w:val="-4"/>
                <w:kern w:val="0"/>
                <w:sz w:val="24"/>
                <w:u w:val="single"/>
              </w:rPr>
              <w:t xml:space="preserve">   </w:t>
            </w:r>
            <w:r>
              <w:rPr>
                <w:rFonts w:hint="eastAsia" w:hAnsi="宋体"/>
                <w:color w:val="FF0000"/>
                <w:szCs w:val="21"/>
              </w:rPr>
              <w:t>年至</w:t>
            </w:r>
            <w:r>
              <w:rPr>
                <w:rFonts w:hint="eastAsia" w:hAnsi="宋体"/>
                <w:snapToGrid w:val="0"/>
                <w:color w:val="FF0000"/>
                <w:spacing w:val="-4"/>
                <w:kern w:val="0"/>
                <w:sz w:val="24"/>
                <w:u w:val="single"/>
              </w:rPr>
              <w:t xml:space="preserve">   </w:t>
            </w:r>
            <w:r>
              <w:rPr>
                <w:rFonts w:hint="eastAsia" w:hAnsi="宋体"/>
                <w:color w:val="FF0000"/>
                <w:szCs w:val="21"/>
              </w:rPr>
              <w:t>年经审计的财务状况表</w:t>
            </w:r>
            <w:r>
              <w:rPr>
                <w:rFonts w:hint="eastAsia" w:hAnsi="宋体"/>
                <w:color w:val="FF0000"/>
                <w:szCs w:val="21"/>
                <w:lang w:eastAsia="zh-CN"/>
              </w:rPr>
              <w:t>。</w:t>
            </w:r>
            <w:permEnd w:id="23"/>
          </w:p>
          <w:p w14:paraId="3BC9DB1A">
            <w:pPr>
              <w:autoSpaceDE w:val="0"/>
              <w:autoSpaceDN w:val="0"/>
              <w:adjustRightInd w:val="0"/>
              <w:snapToGrid w:val="0"/>
              <w:spacing w:line="440" w:lineRule="exact"/>
              <w:jc w:val="left"/>
              <w:rPr>
                <w:rFonts w:hint="eastAsia" w:ascii="Times New Roman" w:hAnsi="Times New Roman" w:cs="Times New Roman" w:eastAsiaTheme="minorEastAsia"/>
                <w:szCs w:val="21"/>
                <w:highlight w:val="none"/>
                <w:lang w:val="en-US" w:eastAsia="zh-CN"/>
              </w:rPr>
            </w:pPr>
            <w:r>
              <w:rPr>
                <w:rFonts w:hint="eastAsia"/>
                <w:lang w:val="en-US" w:eastAsia="zh-CN"/>
              </w:rPr>
              <w:t>3</w:t>
            </w:r>
            <w:r>
              <w:rPr>
                <w:rFonts w:hint="eastAsia"/>
              </w:rPr>
              <w:t>、其他要求：</w:t>
            </w:r>
            <w:r>
              <w:rPr>
                <w:rFonts w:hint="eastAsia"/>
                <w:lang w:val="en-US" w:eastAsia="zh-CN"/>
              </w:rPr>
              <w:t>/</w:t>
            </w:r>
          </w:p>
        </w:tc>
      </w:tr>
      <w:tr w14:paraId="4C46D5D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33ECA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CCFB1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D36B02E">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permStart w:id="24"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79277015">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eastAsia" w:hAnsi="宋体"/>
                <w:color w:val="FF0000"/>
                <w:szCs w:val="21"/>
              </w:rPr>
              <w:t>□</w:t>
            </w:r>
            <w:r>
              <w:rPr>
                <w:rFonts w:hint="default" w:ascii="Times New Roman" w:hAnsi="Times New Roman" w:cs="Times New Roman"/>
                <w:color w:val="FF0000"/>
                <w:sz w:val="21"/>
                <w:szCs w:val="21"/>
                <w:highlight w:val="none"/>
              </w:rPr>
              <w:t>组织</w:t>
            </w:r>
            <w:permEnd w:id="24"/>
          </w:p>
        </w:tc>
      </w:tr>
      <w:tr w14:paraId="19082E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F8A042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6</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01E006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投标预备会</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BCB8F1A">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21"/>
                <w:szCs w:val="21"/>
                <w:highlight w:val="none"/>
              </w:rPr>
            </w:pPr>
            <w:permStart w:id="25" w:edGrp="everyone"/>
            <w:r>
              <w:rPr>
                <w:rFonts w:hint="eastAsia" w:hAnsi="宋体"/>
                <w:color w:val="FF0000"/>
                <w:szCs w:val="21"/>
                <w:lang w:eastAsia="zh-CN"/>
              </w:rPr>
              <w:t>☑</w:t>
            </w:r>
            <w:r>
              <w:rPr>
                <w:rFonts w:hint="default" w:ascii="Times New Roman" w:hAnsi="Times New Roman" w:cs="Times New Roman"/>
                <w:color w:val="FF0000"/>
                <w:sz w:val="21"/>
                <w:szCs w:val="21"/>
                <w:highlight w:val="none"/>
              </w:rPr>
              <w:t>不召开</w:t>
            </w:r>
          </w:p>
          <w:p w14:paraId="3B2BB335">
            <w:pPr>
              <w:pStyle w:val="6"/>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FF0000"/>
                <w:sz w:val="32"/>
                <w:szCs w:val="32"/>
                <w:highlight w:val="none"/>
              </w:rPr>
            </w:pPr>
            <w:r>
              <w:rPr>
                <w:rFonts w:hint="eastAsia" w:hAnsi="宋体"/>
                <w:color w:val="FF0000"/>
                <w:szCs w:val="21"/>
              </w:rPr>
              <w:t>□</w:t>
            </w:r>
            <w:r>
              <w:rPr>
                <w:rFonts w:hint="default" w:ascii="Times New Roman" w:hAnsi="Times New Roman" w:cs="Times New Roman"/>
                <w:color w:val="FF0000"/>
                <w:sz w:val="21"/>
                <w:szCs w:val="21"/>
                <w:highlight w:val="none"/>
              </w:rPr>
              <w:t>召开</w:t>
            </w:r>
            <w:permEnd w:id="25"/>
          </w:p>
        </w:tc>
      </w:tr>
      <w:tr w14:paraId="4BB67E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DD8AD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val="en-US" w:eastAsia="zh-CN"/>
              </w:rPr>
              <w:t>.7</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B3EBE0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偏离</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05B4C74">
            <w:pPr>
              <w:pStyle w:val="6"/>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eastAsiaTheme="minorEastAsia"/>
                <w:sz w:val="21"/>
                <w:szCs w:val="21"/>
                <w:highlight w:val="none"/>
                <w:lang w:val="en-US" w:eastAsia="zh-CN"/>
              </w:rPr>
            </w:pPr>
            <w:r>
              <w:rPr>
                <w:rFonts w:hint="eastAsia" w:ascii="Times New Roman" w:hAnsi="Times New Roman" w:cs="Times New Roman"/>
                <w:sz w:val="21"/>
                <w:szCs w:val="21"/>
                <w:highlight w:val="none"/>
                <w:lang w:val="en-US" w:eastAsia="zh-CN"/>
              </w:rPr>
              <w:t>执行《评标委员会和评标方法暂行规定》（国家计委等七部令第12号）第二十四条、第二十五条、第二十六条有关投标偏差（细微偏差、重大偏差）的规定。</w:t>
            </w:r>
          </w:p>
        </w:tc>
      </w:tr>
      <w:tr w14:paraId="04E1E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B2517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8EADF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构成招标文件的其他材料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730489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招标人发出的澄清、修改及补充文件等</w:t>
            </w:r>
            <w:r>
              <w:rPr>
                <w:rFonts w:hint="eastAsia" w:ascii="Times New Roman" w:hAnsi="Times New Roman" w:cs="Times New Roman"/>
                <w:szCs w:val="21"/>
                <w:highlight w:val="none"/>
                <w:lang w:eastAsia="zh-CN"/>
              </w:rPr>
              <w:t>。</w:t>
            </w:r>
          </w:p>
        </w:tc>
      </w:tr>
      <w:tr w14:paraId="3AF433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58935A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2.2.1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5F32A4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投标人要求澄清招标文件</w:t>
            </w:r>
            <w:r>
              <w:rPr>
                <w:rFonts w:hint="eastAsia" w:ascii="Times New Roman" w:hAnsi="Times New Roman" w:cs="Times New Roman"/>
                <w:szCs w:val="21"/>
                <w:highlight w:val="none"/>
                <w:lang w:val="en-US" w:eastAsia="zh-CN"/>
              </w:rPr>
              <w:t>的截止时间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8F479C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u w:val="none"/>
                <w:lang w:val="en-US" w:eastAsia="zh-CN"/>
              </w:rPr>
            </w:pPr>
            <w:permStart w:id="26" w:edGrp="everyone"/>
            <w:r>
              <w:rPr>
                <w:rFonts w:hint="eastAsia" w:ascii="Times New Roman" w:hAnsi="Times New Roman" w:cs="Times New Roman"/>
                <w:szCs w:val="21"/>
                <w:highlight w:val="none"/>
                <w:u w:val="single"/>
                <w:lang w:val="en-US" w:eastAsia="zh-CN"/>
              </w:rPr>
              <w:t>2024</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11</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8</w:t>
            </w:r>
            <w:r>
              <w:rPr>
                <w:rFonts w:hint="eastAsia" w:ascii="Times New Roman" w:hAnsi="Times New Roman" w:cs="Times New Roman"/>
                <w:szCs w:val="21"/>
                <w:highlight w:val="none"/>
                <w:u w:val="none"/>
                <w:lang w:val="en-US" w:eastAsia="zh-CN"/>
              </w:rPr>
              <w:t>日前</w:t>
            </w:r>
            <w:permEnd w:id="26"/>
            <w:r>
              <w:rPr>
                <w:rFonts w:hint="eastAsia" w:ascii="Times New Roman" w:hAnsi="Times New Roman" w:cs="Times New Roman"/>
                <w:szCs w:val="21"/>
                <w:highlight w:val="none"/>
                <w:u w:val="none"/>
                <w:lang w:val="en-US" w:eastAsia="zh-CN"/>
              </w:rPr>
              <w:t>，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14:paraId="63E525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AA933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52012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投标截止时间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733EFD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u w:val="none"/>
                <w:lang w:val="en-US"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2309C2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2234E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147801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投标人确认收到招标文件澄清的时间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83DFAF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投标截止时间前，招标文件的澄清将在</w:t>
            </w:r>
            <w:permStart w:id="27"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r>
              <w:rPr>
                <w:rFonts w:hint="default" w:ascii="Times New Roman" w:hAnsi="Times New Roman" w:cs="Times New Roman"/>
                <w:szCs w:val="21"/>
                <w:highlight w:val="none"/>
              </w:rPr>
              <w:t>上</w:t>
            </w:r>
            <w:permEnd w:id="27"/>
            <w:r>
              <w:rPr>
                <w:rFonts w:hint="default" w:ascii="Times New Roman" w:hAnsi="Times New Roman" w:cs="Times New Roman"/>
                <w:szCs w:val="21"/>
                <w:highlight w:val="none"/>
              </w:rPr>
              <w:t>进行发布</w:t>
            </w:r>
            <w:r>
              <w:rPr>
                <w:rFonts w:hint="eastAsia" w:ascii="Times New Roman" w:hAnsi="Times New Roman" w:cs="Times New Roman"/>
                <w:szCs w:val="21"/>
                <w:highlight w:val="none"/>
                <w:lang w:eastAsia="zh-CN"/>
              </w:rPr>
              <w:t>。</w:t>
            </w:r>
          </w:p>
          <w:p w14:paraId="1029B0D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招标文件的澄清在</w:t>
            </w:r>
            <w:permStart w:id="28"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8"/>
            <w:r>
              <w:rPr>
                <w:rFonts w:hint="default" w:ascii="Times New Roman" w:hAnsi="Times New Roman" w:cs="Times New Roman"/>
                <w:szCs w:val="21"/>
                <w:highlight w:val="none"/>
              </w:rPr>
              <w:t>上的发布时间，视为投标人确认收到招标文件澄清的时间</w:t>
            </w:r>
            <w:r>
              <w:rPr>
                <w:rFonts w:hint="eastAsia" w:ascii="Times New Roman" w:hAnsi="Times New Roman" w:cs="Times New Roman"/>
                <w:szCs w:val="21"/>
                <w:highlight w:val="none"/>
                <w:lang w:eastAsia="zh-CN"/>
              </w:rPr>
              <w:t>。</w:t>
            </w:r>
          </w:p>
          <w:p w14:paraId="731DE0A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29"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29"/>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302ED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548C9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6132B2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投标人确认收到招标文件修改的时间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07ECAC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投标截止时间前，招标文件的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将在</w:t>
            </w:r>
            <w:permStart w:id="30"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0"/>
            <w:r>
              <w:rPr>
                <w:rFonts w:hint="default" w:ascii="Times New Roman" w:hAnsi="Times New Roman" w:cs="Times New Roman"/>
                <w:szCs w:val="21"/>
                <w:highlight w:val="none"/>
              </w:rPr>
              <w:t>上进行发布</w:t>
            </w:r>
            <w:r>
              <w:rPr>
                <w:rFonts w:hint="eastAsia" w:ascii="Times New Roman" w:hAnsi="Times New Roman" w:cs="Times New Roman"/>
                <w:szCs w:val="21"/>
                <w:highlight w:val="none"/>
                <w:lang w:eastAsia="zh-CN"/>
              </w:rPr>
              <w:t>。</w:t>
            </w:r>
          </w:p>
          <w:p w14:paraId="6BC1A55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招标文件的</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在</w:t>
            </w:r>
            <w:permStart w:id="31"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1"/>
            <w:r>
              <w:rPr>
                <w:rFonts w:hint="default" w:ascii="Times New Roman" w:hAnsi="Times New Roman" w:cs="Times New Roman"/>
                <w:szCs w:val="21"/>
                <w:highlight w:val="none"/>
              </w:rPr>
              <w:t>上的发布时间，视为投标人确认收到招标文件</w:t>
            </w:r>
            <w:r>
              <w:rPr>
                <w:rFonts w:hint="eastAsia" w:ascii="Times New Roman" w:hAnsi="Times New Roman" w:cs="Times New Roman"/>
                <w:szCs w:val="21"/>
                <w:highlight w:val="none"/>
                <w:lang w:val="en-US" w:eastAsia="zh-CN"/>
              </w:rPr>
              <w:t>修改</w:t>
            </w:r>
            <w:r>
              <w:rPr>
                <w:rFonts w:hint="default" w:ascii="Times New Roman" w:hAnsi="Times New Roman" w:cs="Times New Roman"/>
                <w:szCs w:val="21"/>
                <w:highlight w:val="none"/>
              </w:rPr>
              <w:t>的时间</w:t>
            </w:r>
            <w:r>
              <w:rPr>
                <w:rFonts w:hint="eastAsia" w:ascii="Times New Roman" w:hAnsi="Times New Roman" w:cs="Times New Roman"/>
                <w:szCs w:val="21"/>
                <w:highlight w:val="none"/>
                <w:lang w:eastAsia="zh-CN"/>
              </w:rPr>
              <w:t>。</w:t>
            </w:r>
          </w:p>
          <w:p w14:paraId="1B588C2B">
            <w:pPr>
              <w:keepNext w:val="0"/>
              <w:keepLines w:val="0"/>
              <w:pageBreakBefore w:val="0"/>
              <w:widowControl w:val="0"/>
              <w:tabs>
                <w:tab w:val="left" w:pos="309"/>
              </w:tabs>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所有参加本次项目招标的投标人须在网上自行查询，无需以纸质形式回复</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如遇系统故障等原因不能进入</w:t>
            </w:r>
            <w:permStart w:id="32" w:edGrp="everyone"/>
            <w:r>
              <w:rPr>
                <w:rFonts w:hint="eastAsia" w:ascii="Times New Roman" w:hAnsi="Times New Roman" w:cs="Times New Roman"/>
                <w:szCs w:val="21"/>
                <w:highlight w:val="none"/>
                <w:lang w:eastAsia="zh-CN"/>
              </w:rPr>
              <w:t>亳州交通投资控股集团有限公司官网（www.bzjkjt.com）、安徽省招标投标信息网（www.ahtba.org.cn）及优质采云采购平台（www.youzhicai.com）</w:t>
            </w:r>
            <w:permEnd w:id="32"/>
            <w:r>
              <w:rPr>
                <w:rFonts w:hint="default" w:ascii="Times New Roman" w:hAnsi="Times New Roman" w:cs="Times New Roman"/>
                <w:szCs w:val="21"/>
                <w:highlight w:val="none"/>
              </w:rPr>
              <w:t>，请及时与招标人联系</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否则，造成的一切后果由投标人自行承担</w:t>
            </w:r>
            <w:r>
              <w:rPr>
                <w:rFonts w:hint="eastAsia" w:ascii="Times New Roman" w:hAnsi="Times New Roman" w:cs="Times New Roman"/>
                <w:szCs w:val="21"/>
                <w:highlight w:val="none"/>
                <w:lang w:eastAsia="zh-CN"/>
              </w:rPr>
              <w:t>。</w:t>
            </w:r>
          </w:p>
        </w:tc>
      </w:tr>
      <w:tr w14:paraId="0F6D59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0C7B8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3.1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3C8F3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构成投标文件的其他材料</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9D85C8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投标人的书面澄清、说明和补正（但不得改变投标文件的实质性内容）</w:t>
            </w:r>
            <w:r>
              <w:rPr>
                <w:rFonts w:hint="eastAsia" w:ascii="Times New Roman" w:hAnsi="Times New Roman" w:cs="Times New Roman"/>
                <w:szCs w:val="21"/>
                <w:highlight w:val="none"/>
                <w:lang w:eastAsia="zh-CN"/>
              </w:rPr>
              <w:t>。</w:t>
            </w:r>
          </w:p>
        </w:tc>
      </w:tr>
      <w:tr w14:paraId="16BECF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6E038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53495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最高投标限价或其计算方法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1AADD8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详见第一章招标公告</w:t>
            </w:r>
            <w:r>
              <w:rPr>
                <w:rFonts w:hint="eastAsia" w:ascii="Times New Roman" w:hAnsi="Times New Roman" w:cs="Times New Roman"/>
                <w:szCs w:val="21"/>
                <w:highlight w:val="none"/>
                <w:lang w:eastAsia="zh-CN"/>
              </w:rPr>
              <w:t>。</w:t>
            </w:r>
          </w:p>
        </w:tc>
      </w:tr>
      <w:tr w14:paraId="79CC91B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C14DF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4F4166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投标有效期</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F7AC16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u w:val="none"/>
              </w:rPr>
              <w:t>投标截止之日起</w:t>
            </w:r>
            <w:r>
              <w:rPr>
                <w:rFonts w:hint="eastAsia" w:ascii="Times New Roman" w:hAnsi="Times New Roman" w:cs="Times New Roman"/>
                <w:szCs w:val="21"/>
                <w:highlight w:val="none"/>
                <w:u w:val="single"/>
                <w:lang w:val="en-US" w:eastAsia="zh-CN"/>
              </w:rPr>
              <w:t xml:space="preserve"> 120 </w:t>
            </w:r>
            <w:r>
              <w:rPr>
                <w:rFonts w:hint="default" w:ascii="Times New Roman" w:hAnsi="Times New Roman" w:cs="Times New Roman"/>
                <w:szCs w:val="21"/>
                <w:highlight w:val="none"/>
                <w:u w:val="none"/>
              </w:rPr>
              <w:t>天</w:t>
            </w:r>
          </w:p>
        </w:tc>
      </w:tr>
      <w:tr w14:paraId="6DB1A0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8E604F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DA8BD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投标保证金</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B0808E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递交投标保证金</w:t>
            </w:r>
          </w:p>
          <w:p w14:paraId="7765F177">
            <w:pPr>
              <w:autoSpaceDE w:val="0"/>
              <w:autoSpaceDN w:val="0"/>
              <w:adjustRightInd w:val="0"/>
              <w:snapToGrid w:val="0"/>
              <w:spacing w:line="440" w:lineRule="exact"/>
              <w:jc w:val="left"/>
              <w:rPr>
                <w:rFonts w:hint="eastAsia" w:hAnsi="宋体"/>
                <w:color w:val="FF0000"/>
                <w:szCs w:val="21"/>
                <w:u w:val="single"/>
              </w:rPr>
            </w:pPr>
            <w:permStart w:id="33" w:edGrp="everyone"/>
            <w:r>
              <w:rPr>
                <w:rFonts w:hint="eastAsia" w:hAnsi="宋体"/>
                <w:color w:val="FF0000"/>
                <w:szCs w:val="21"/>
                <w:u w:val="single"/>
              </w:rPr>
              <w:t>不</w:t>
            </w:r>
            <w:r>
              <w:rPr>
                <w:rFonts w:hint="eastAsia" w:hAnsi="宋体"/>
                <w:color w:val="FF0000"/>
                <w:szCs w:val="21"/>
                <w:u w:val="single"/>
                <w:lang w:val="en-US" w:eastAsia="zh-CN"/>
              </w:rPr>
              <w:t>要求</w:t>
            </w:r>
            <w:r>
              <w:rPr>
                <w:rFonts w:hint="eastAsia" w:hAnsi="宋体"/>
                <w:color w:val="FF0000"/>
                <w:szCs w:val="21"/>
                <w:u w:val="single"/>
              </w:rPr>
              <w:t>□</w:t>
            </w:r>
          </w:p>
          <w:p w14:paraId="27185F6B">
            <w:pPr>
              <w:autoSpaceDE w:val="0"/>
              <w:autoSpaceDN w:val="0"/>
              <w:adjustRightInd w:val="0"/>
              <w:snapToGrid w:val="0"/>
              <w:spacing w:line="440" w:lineRule="exact"/>
              <w:jc w:val="left"/>
              <w:rPr>
                <w:rFonts w:hint="eastAsia" w:ascii="Times New Roman" w:hAnsi="Times New Roman" w:cs="Times New Roman" w:eastAsiaTheme="minorEastAsia"/>
                <w:color w:val="FF0000"/>
                <w:szCs w:val="21"/>
                <w:highlight w:val="none"/>
                <w:u w:val="single"/>
                <w:lang w:eastAsia="zh-CN"/>
              </w:rPr>
            </w:pPr>
            <w:r>
              <w:rPr>
                <w:rFonts w:hint="eastAsia" w:hAnsi="宋体"/>
                <w:color w:val="FF0000"/>
                <w:szCs w:val="21"/>
                <w:u w:val="single"/>
                <w:lang w:val="en-US" w:eastAsia="zh-CN"/>
              </w:rPr>
              <w:t>要  求</w:t>
            </w:r>
            <w:r>
              <w:rPr>
                <w:rFonts w:hint="eastAsia" w:hAnsi="宋体"/>
                <w:color w:val="FF0000"/>
                <w:szCs w:val="21"/>
                <w:u w:val="single"/>
                <w:lang w:eastAsia="zh-CN"/>
              </w:rPr>
              <w:t>☑</w:t>
            </w:r>
          </w:p>
          <w:p w14:paraId="5132B4B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u w:val="single"/>
              </w:rPr>
            </w:pPr>
            <w:r>
              <w:rPr>
                <w:rFonts w:hint="default" w:ascii="Times New Roman" w:hAnsi="Times New Roman" w:cs="Times New Roman"/>
                <w:szCs w:val="21"/>
                <w:highlight w:val="none"/>
                <w:u w:val="single"/>
              </w:rPr>
              <w:t>投标保证金的形式：银行汇款或转账</w:t>
            </w:r>
          </w:p>
          <w:p w14:paraId="5C1DA454">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rPr>
            </w:pPr>
            <w:r>
              <w:rPr>
                <w:rFonts w:hint="default" w:ascii="Times New Roman" w:hAnsi="Times New Roman" w:cs="Times New Roman"/>
                <w:color w:val="FF0000"/>
                <w:szCs w:val="21"/>
                <w:highlight w:val="none"/>
                <w:u w:val="single"/>
              </w:rPr>
              <w:t>投标保证金的金额：</w:t>
            </w:r>
            <w:r>
              <w:rPr>
                <w:rFonts w:hint="eastAsia" w:ascii="Times New Roman" w:hAnsi="Times New Roman" w:cs="Times New Roman"/>
                <w:color w:val="auto"/>
                <w:szCs w:val="21"/>
                <w:highlight w:val="none"/>
                <w:u w:val="single"/>
                <w:lang w:val="en-US" w:eastAsia="zh-CN"/>
              </w:rPr>
              <w:t>30000元</w:t>
            </w:r>
            <w:permEnd w:id="33"/>
          </w:p>
          <w:p w14:paraId="114A5C0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收取投标保证金的账号信息：</w:t>
            </w:r>
          </w:p>
          <w:p w14:paraId="5440F6BE">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0579402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2DF862A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0B2EE6B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342FDA21">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投标保证金必须在投标截止时间前，由投标人在中华人民共和国境内注册经营的银行基本账户汇入到指定银行账号，确保银行记录可查询，转账或电汇时须在附言处备注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BZJK-2024-070号保证金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r>
              <w:rPr>
                <w:rFonts w:hint="eastAsia" w:ascii="Times New Roman" w:hAnsi="Times New Roman" w:cs="Times New Roman"/>
                <w:szCs w:val="21"/>
                <w:highlight w:val="none"/>
                <w:lang w:eastAsia="zh-CN"/>
              </w:rPr>
              <w:t>。</w:t>
            </w:r>
          </w:p>
          <w:p w14:paraId="65A9FEA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投标保证金以到账时间为准，未按时汇入或非投标人基本账户汇出或收款银行账号错误无法判定保证金对应关系的，保证金无效；现金存入或以其他方式存入（转入）的视为无效</w:t>
            </w:r>
            <w:r>
              <w:rPr>
                <w:rFonts w:hint="eastAsia" w:ascii="Times New Roman" w:hAnsi="Times New Roman" w:cs="Times New Roman"/>
                <w:szCs w:val="21"/>
                <w:highlight w:val="none"/>
                <w:lang w:eastAsia="zh-CN"/>
              </w:rPr>
              <w:t>。</w:t>
            </w:r>
          </w:p>
          <w:p w14:paraId="6CDA4DC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投标保证金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7709FDF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（1）招标不成功（或开标现场拒收投标文件）的，5日内直接退还至该投标人汇出帐户</w:t>
            </w:r>
            <w:r>
              <w:rPr>
                <w:rFonts w:hint="eastAsia" w:ascii="Times New Roman" w:hAnsi="Times New Roman" w:cs="Times New Roman"/>
                <w:szCs w:val="21"/>
                <w:highlight w:val="none"/>
                <w:lang w:eastAsia="zh-CN"/>
              </w:rPr>
              <w:t>。</w:t>
            </w:r>
          </w:p>
          <w:p w14:paraId="5CF1BA9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（2）中标侯选人公示期满且确定中标人后，未中标人的投标保证金</w:t>
            </w:r>
            <w:r>
              <w:rPr>
                <w:rFonts w:hint="eastAsia" w:ascii="Times New Roman" w:hAnsi="Times New Roman" w:cs="Times New Roman"/>
                <w:szCs w:val="21"/>
                <w:highlight w:val="none"/>
                <w:lang w:val="en-US" w:eastAsia="zh-CN"/>
              </w:rPr>
              <w:t>在</w:t>
            </w:r>
            <w:r>
              <w:rPr>
                <w:rFonts w:hint="default" w:ascii="Times New Roman" w:hAnsi="Times New Roman" w:cs="Times New Roman"/>
                <w:szCs w:val="21"/>
                <w:highlight w:val="none"/>
              </w:rPr>
              <w:t>5日内直接退还至该投标人汇出帐户</w:t>
            </w:r>
            <w:r>
              <w:rPr>
                <w:rFonts w:hint="eastAsia" w:ascii="Times New Roman" w:hAnsi="Times New Roman" w:cs="Times New Roman"/>
                <w:szCs w:val="21"/>
                <w:highlight w:val="none"/>
                <w:lang w:eastAsia="zh-CN"/>
              </w:rPr>
              <w:t>。</w:t>
            </w:r>
          </w:p>
        </w:tc>
      </w:tr>
      <w:tr w14:paraId="750B2C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18F63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3.4.2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2A7D445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其他不予退还投标保证金的情形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5EA994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增加：</w:t>
            </w:r>
          </w:p>
          <w:p w14:paraId="0F26485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（3）</w:t>
            </w:r>
            <w:r>
              <w:rPr>
                <w:rFonts w:hint="default" w:ascii="Times New Roman" w:hAnsi="Times New Roman" w:cs="Times New Roman"/>
                <w:szCs w:val="21"/>
                <w:highlight w:val="none"/>
              </w:rPr>
              <w:t>投标人采用不正当手段（串通投标、弄虚作假、行贿等）骗取中标的；</w:t>
            </w:r>
          </w:p>
          <w:p w14:paraId="705F60D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4</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投标人经评标委员会认定为异常低价竞标或不以中标为目的的投标的；</w:t>
            </w:r>
          </w:p>
          <w:p w14:paraId="29458D1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5</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国家法律法规规定的其他情形</w:t>
            </w:r>
            <w:r>
              <w:rPr>
                <w:rFonts w:hint="eastAsia" w:ascii="Times New Roman" w:hAnsi="Times New Roman" w:cs="Times New Roman"/>
                <w:szCs w:val="21"/>
                <w:highlight w:val="none"/>
                <w:lang w:eastAsia="zh-CN"/>
              </w:rPr>
              <w:t>。</w:t>
            </w:r>
          </w:p>
        </w:tc>
      </w:tr>
      <w:tr w14:paraId="78129F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07ED03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B27C3C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近年完成的类似项目的年份要求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2A9B657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1C2BA3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D5B003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7E8417B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7BD324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投标文件封面、封套封口处及文件中规定盖章处均须加盖投标人公章（鲜章），不得使用其它如带有“专用章”、“合同章”、“财务章”、“业务章”、下属单位或分支机构印章代替，否则其投标无效；</w:t>
            </w:r>
          </w:p>
          <w:p w14:paraId="1AB865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（2）签字：除文件另有规定外，均应为手写签字，否则其投标无效</w:t>
            </w:r>
            <w:r>
              <w:rPr>
                <w:rFonts w:hint="eastAsia" w:ascii="Times New Roman" w:hAnsi="Times New Roman" w:cs="Times New Roman"/>
                <w:szCs w:val="21"/>
                <w:highlight w:val="none"/>
                <w:lang w:eastAsia="zh-CN"/>
              </w:rPr>
              <w:t>。</w:t>
            </w:r>
          </w:p>
        </w:tc>
      </w:tr>
      <w:tr w14:paraId="55CA7A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3A2970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8A5AD66">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投标文件副本份数</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009FF86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permStart w:id="35" w:edGrp="everyone"/>
            <w:r>
              <w:rPr>
                <w:rFonts w:hint="eastAsia" w:ascii="Times New Roman" w:hAnsi="Times New Roman" w:cs="Times New Roman"/>
                <w:szCs w:val="21"/>
                <w:highlight w:val="none"/>
                <w:lang w:val="en-US" w:eastAsia="zh-CN"/>
              </w:rPr>
              <w:t>正本1份、副本4份</w:t>
            </w:r>
          </w:p>
          <w:p w14:paraId="459F7DBA">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1708188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ermEnd w:id="35"/>
          </w:p>
        </w:tc>
      </w:tr>
      <w:tr w14:paraId="034BBA3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4BA10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3.6.3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ADD26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装订要求</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4BCA58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（1）所有正本与副本封装在一个密封袋中，且在投标文件封面标明“正本”或“副本”的字样；</w:t>
            </w:r>
          </w:p>
          <w:p w14:paraId="6D983D1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lang w:val="en-US" w:eastAsia="zh-CN"/>
              </w:rPr>
            </w:pPr>
            <w:r>
              <w:rPr>
                <w:rFonts w:hint="default" w:ascii="Times New Roman" w:hAnsi="Times New Roman" w:cs="Times New Roman"/>
                <w:szCs w:val="21"/>
                <w:highlight w:val="none"/>
                <w:lang w:val="en-US" w:eastAsia="zh-CN"/>
              </w:rPr>
              <w:t>（2）投标文件应按要求密封，密封袋封口加盖投标单位印章；</w:t>
            </w:r>
          </w:p>
          <w:p w14:paraId="30932BD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szCs w:val="21"/>
                <w:highlight w:val="none"/>
                <w:lang w:val="en-US" w:eastAsia="zh-CN"/>
              </w:rPr>
              <w:t>（3）投标文件须采用胶粘方式装订，装订应牢固、不易拆散和换页，不得采用活页装订</w:t>
            </w:r>
            <w:r>
              <w:rPr>
                <w:rFonts w:hint="eastAsia" w:ascii="Times New Roman" w:hAnsi="Times New Roman" w:cs="Times New Roman"/>
                <w:szCs w:val="21"/>
                <w:highlight w:val="none"/>
                <w:lang w:val="en-US" w:eastAsia="zh-CN"/>
              </w:rPr>
              <w:t>。</w:t>
            </w:r>
          </w:p>
        </w:tc>
      </w:tr>
      <w:tr w14:paraId="0C52E4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F87E4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25CEA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10E17643">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permStart w:id="36" w:edGrp="everyone"/>
            <w:r>
              <w:rPr>
                <w:rFonts w:hint="eastAsia" w:ascii="Times New Roman" w:hAnsi="Times New Roman" w:cs="Times New Roman"/>
                <w:color w:val="FF0000"/>
                <w:szCs w:val="21"/>
                <w:highlight w:val="none"/>
                <w:u w:val="single"/>
                <w:lang w:val="en-US" w:eastAsia="zh-CN"/>
              </w:rPr>
              <w:t>开标地址：亳州交通投资控股集团有限公司15楼开标室（药都大道与希夷大道交叉口东北角15楼）</w:t>
            </w:r>
          </w:p>
          <w:p w14:paraId="0A47D1A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招标人：安徽通康建设工程有限公司</w:t>
            </w:r>
          </w:p>
          <w:p w14:paraId="2302AD37">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亳州逸合府一期施工总承包项目保温工程专业分包（二次）投标文件</w:t>
            </w:r>
          </w:p>
          <w:p w14:paraId="7626265F">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u w:val="single"/>
                <w:lang w:val="en-US" w:eastAsia="zh-CN"/>
              </w:rPr>
            </w:pPr>
            <w:r>
              <w:rPr>
                <w:rFonts w:hint="eastAsia" w:ascii="Times New Roman" w:hAnsi="Times New Roman" w:cs="Times New Roman"/>
                <w:color w:val="FF0000"/>
                <w:szCs w:val="21"/>
                <w:highlight w:val="none"/>
                <w:u w:val="single"/>
                <w:lang w:val="en-US" w:eastAsia="zh-CN"/>
              </w:rPr>
              <w:t>项目编号：BZJK-2024-070号</w:t>
            </w:r>
          </w:p>
          <w:p w14:paraId="00ABC43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color w:val="FF0000"/>
                <w:szCs w:val="21"/>
                <w:highlight w:val="none"/>
                <w:u w:val="single"/>
                <w:lang w:val="en-US" w:eastAsia="zh-CN"/>
              </w:rPr>
              <w:t>在</w:t>
            </w:r>
            <w:r>
              <w:rPr>
                <w:rFonts w:hint="eastAsia" w:ascii="Times New Roman" w:hAnsi="Times New Roman" w:cs="Times New Roman"/>
                <w:b/>
                <w:bCs/>
                <w:color w:val="FF0000"/>
                <w:szCs w:val="21"/>
                <w:highlight w:val="none"/>
                <w:u w:val="single"/>
                <w:lang w:val="en-US" w:eastAsia="zh-CN"/>
              </w:rPr>
              <w:t>2024年11月12日9时00分</w:t>
            </w:r>
            <w:r>
              <w:rPr>
                <w:rFonts w:hint="eastAsia" w:ascii="Times New Roman" w:hAnsi="Times New Roman" w:cs="Times New Roman"/>
                <w:color w:val="FF0000"/>
                <w:szCs w:val="21"/>
                <w:highlight w:val="none"/>
                <w:u w:val="single"/>
                <w:lang w:val="en-US" w:eastAsia="zh-CN"/>
              </w:rPr>
              <w:t>前不得开启</w:t>
            </w:r>
            <w:permEnd w:id="36"/>
          </w:p>
        </w:tc>
      </w:tr>
      <w:tr w14:paraId="5FBE3AD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27F7E4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61EE592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递交投标文件地点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B57AC6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详见第一章招标公告。</w:t>
            </w:r>
          </w:p>
        </w:tc>
      </w:tr>
      <w:tr w14:paraId="2BECDAB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C63632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4.2.2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B5082C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是否退还投标文件</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001B6C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方正仿宋_GB2312" w:cs="Times New Roman"/>
                <w:sz w:val="24"/>
                <w:szCs w:val="24"/>
                <w:lang w:val="en-US" w:eastAsia="zh-CN"/>
              </w:rPr>
            </w:pPr>
            <w:r>
              <w:rPr>
                <w:rFonts w:hint="eastAsia" w:ascii="Times New Roman" w:hAnsi="Times New Roman" w:cs="Times New Roman"/>
                <w:szCs w:val="21"/>
                <w:highlight w:val="none"/>
                <w:lang w:val="en-US" w:eastAsia="zh-CN"/>
              </w:rPr>
              <w:t>不退还</w:t>
            </w:r>
          </w:p>
        </w:tc>
      </w:tr>
      <w:tr w14:paraId="49143F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9D1C79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07BA03A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开标时间和地点</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FC486C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开标时间：同投标截止时间</w:t>
            </w:r>
          </w:p>
          <w:p w14:paraId="46D81B6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val="en-US" w:eastAsia="zh-CN"/>
              </w:rPr>
            </w:pPr>
            <w:r>
              <w:rPr>
                <w:rFonts w:hint="default" w:ascii="Times New Roman" w:hAnsi="Times New Roman" w:cs="Times New Roman"/>
                <w:szCs w:val="21"/>
                <w:highlight w:val="none"/>
              </w:rPr>
              <w:t>开标地点：</w:t>
            </w:r>
            <w:r>
              <w:rPr>
                <w:rFonts w:hint="eastAsia" w:ascii="Times New Roman" w:hAnsi="Times New Roman" w:cs="Times New Roman"/>
                <w:szCs w:val="21"/>
                <w:highlight w:val="none"/>
                <w:lang w:val="en-US" w:eastAsia="zh-CN"/>
              </w:rPr>
              <w:t>同递交投标文件地点</w:t>
            </w:r>
          </w:p>
          <w:p w14:paraId="1F359D96">
            <w:pPr>
              <w:keepNext w:val="0"/>
              <w:keepLines w:val="0"/>
              <w:pageBreakBefore w:val="0"/>
              <w:widowControl w:val="0"/>
              <w:kinsoku/>
              <w:wordWrap w:val="0"/>
              <w:overflowPunct/>
              <w:topLinePunct w:val="0"/>
              <w:autoSpaceDE/>
              <w:autoSpaceDN/>
              <w:bidi w:val="0"/>
              <w:adjustRightInd/>
              <w:snapToGrid/>
              <w:spacing w:line="430" w:lineRule="exact"/>
              <w:ind w:firstLine="422" w:firstLineChars="200"/>
              <w:jc w:val="both"/>
              <w:textAlignment w:val="auto"/>
              <w:rPr>
                <w:rFonts w:hint="default" w:ascii="Times New Roman" w:hAnsi="Times New Roman" w:eastAsia="方正仿宋_GB2312" w:cs="Times New Roman"/>
                <w:sz w:val="24"/>
                <w:szCs w:val="24"/>
                <w:lang w:val="en-US" w:eastAsia="zh-CN"/>
              </w:rPr>
            </w:pPr>
            <w:r>
              <w:rPr>
                <w:rFonts w:hint="default" w:ascii="Times New Roman" w:hAnsi="Times New Roman" w:cs="Times New Roman"/>
                <w:b/>
                <w:bCs/>
                <w:szCs w:val="21"/>
                <w:highlight w:val="none"/>
                <w:lang w:val="en-US" w:eastAsia="zh-CN"/>
              </w:rPr>
              <w:t>注：投标人代表</w:t>
            </w:r>
            <w:r>
              <w:rPr>
                <w:rFonts w:hint="eastAsia" w:ascii="Times New Roman" w:hAnsi="Times New Roman" w:cs="Times New Roman"/>
                <w:b/>
                <w:bCs/>
                <w:szCs w:val="21"/>
                <w:highlight w:val="none"/>
                <w:lang w:val="en-US" w:eastAsia="zh-CN"/>
              </w:rPr>
              <w:t>应持授权委托书及有效身份证件递交投标文件，否则招标平台有权拒收，</w:t>
            </w:r>
            <w:r>
              <w:rPr>
                <w:rFonts w:hint="default" w:ascii="Times New Roman" w:hAnsi="Times New Roman" w:cs="Times New Roman"/>
                <w:b/>
                <w:bCs/>
                <w:szCs w:val="21"/>
                <w:highlight w:val="none"/>
                <w:lang w:val="en-US" w:eastAsia="zh-CN"/>
              </w:rPr>
              <w:t>有效身份证件是指中华人民共和国第二代居民身份证，其他证明无效</w:t>
            </w:r>
            <w:r>
              <w:rPr>
                <w:rFonts w:hint="eastAsia" w:ascii="Times New Roman" w:hAnsi="Times New Roman" w:cs="Times New Roman"/>
                <w:b/>
                <w:bCs/>
                <w:szCs w:val="21"/>
                <w:highlight w:val="none"/>
                <w:lang w:val="en-US" w:eastAsia="zh-CN"/>
              </w:rPr>
              <w:t>。</w:t>
            </w:r>
          </w:p>
        </w:tc>
      </w:tr>
      <w:tr w14:paraId="2FAA58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2456E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A65F7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开标程序</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52B3869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permStart w:id="37" w:edGrp="everyone"/>
            <w:r>
              <w:rPr>
                <w:rFonts w:hint="eastAsia" w:ascii="Times New Roman" w:hAnsi="Times New Roman" w:cs="Times New Roman"/>
                <w:szCs w:val="21"/>
                <w:highlight w:val="none"/>
                <w:u w:val="single"/>
                <w:lang w:val="en-US" w:eastAsia="zh-CN"/>
              </w:rPr>
              <w:t>由投标人代表或招标平台工作人员检查确认。</w:t>
            </w:r>
            <w:permEnd w:id="37"/>
          </w:p>
          <w:p w14:paraId="7B21C48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开标顺序：按签到正顺序开标</w:t>
            </w:r>
            <w:r>
              <w:rPr>
                <w:rFonts w:hint="eastAsia" w:ascii="Times New Roman" w:hAnsi="Times New Roman" w:cs="Times New Roman"/>
                <w:szCs w:val="21"/>
                <w:highlight w:val="none"/>
                <w:lang w:eastAsia="zh-CN"/>
              </w:rPr>
              <w:t>。</w:t>
            </w:r>
          </w:p>
        </w:tc>
      </w:tr>
      <w:tr w14:paraId="7FC5365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32B66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6.1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92B450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评标委员会的组建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A65FA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24"/>
                <w:szCs w:val="24"/>
                <w:lang w:val="en-US" w:eastAsia="zh-CN"/>
              </w:rPr>
            </w:pPr>
            <w:r>
              <w:rPr>
                <w:rFonts w:hint="default" w:ascii="Times New Roman" w:hAnsi="Times New Roman" w:cs="Times New Roman"/>
                <w:szCs w:val="21"/>
                <w:highlight w:val="none"/>
              </w:rPr>
              <w:t>评标委员会组建：按有关规定组建</w:t>
            </w:r>
            <w:r>
              <w:rPr>
                <w:rFonts w:hint="eastAsia" w:ascii="Times New Roman" w:hAnsi="Times New Roman" w:cs="Times New Roman"/>
                <w:szCs w:val="21"/>
                <w:highlight w:val="none"/>
                <w:lang w:eastAsia="zh-CN"/>
              </w:rPr>
              <w:t>。</w:t>
            </w:r>
          </w:p>
        </w:tc>
      </w:tr>
      <w:tr w14:paraId="5748CF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0625C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7.1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0682FE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是否授权评标委员会确定中标人</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6641ADF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lang w:eastAsia="zh-CN"/>
              </w:rPr>
            </w:pPr>
            <w:permStart w:id="38" w:edGrp="everyone"/>
            <w:r>
              <w:rPr>
                <w:rFonts w:hint="eastAsia" w:hAnsi="宋体"/>
                <w:color w:val="FF0000"/>
                <w:szCs w:val="21"/>
                <w:u w:val="single"/>
                <w:lang w:eastAsia="zh-CN"/>
              </w:rPr>
              <w:t>☑</w:t>
            </w:r>
            <w:r>
              <w:rPr>
                <w:rFonts w:hint="default" w:ascii="Times New Roman" w:hAnsi="Times New Roman" w:cs="Times New Roman"/>
                <w:szCs w:val="21"/>
                <w:highlight w:val="none"/>
              </w:rPr>
              <w:t>否</w:t>
            </w:r>
          </w:p>
          <w:p w14:paraId="0C22D87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eastAsia" w:ascii="Times New Roman" w:hAnsi="Times New Roman" w:cs="Times New Roman"/>
                <w:szCs w:val="21"/>
                <w:highlight w:val="none"/>
                <w:lang w:val="en-US" w:eastAsia="zh-CN"/>
              </w:rPr>
              <w:t>推荐的中标候选人数：1-3人</w:t>
            </w:r>
            <w:permEnd w:id="38"/>
          </w:p>
        </w:tc>
      </w:tr>
      <w:tr w14:paraId="5E6966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5248D5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528DB6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color w:val="auto"/>
                <w:szCs w:val="21"/>
                <w:highlight w:val="none"/>
                <w:lang w:val="en-US" w:eastAsia="zh-CN"/>
              </w:rPr>
            </w:pPr>
            <w:r>
              <w:rPr>
                <w:rFonts w:hint="default" w:ascii="Times New Roman" w:hAnsi="Times New Roman" w:cs="Times New Roman"/>
                <w:color w:val="auto"/>
                <w:szCs w:val="21"/>
                <w:highlight w:val="none"/>
              </w:rPr>
              <w:t>中标候选人公示媒介</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3FE55D9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permStart w:id="39" w:edGrp="everyone"/>
            <w:r>
              <w:rPr>
                <w:rFonts w:hint="eastAsia" w:ascii="Times New Roman" w:hAnsi="Times New Roman" w:cs="Times New Roman"/>
                <w:color w:val="auto"/>
                <w:szCs w:val="21"/>
                <w:highlight w:val="none"/>
                <w:lang w:eastAsia="zh-CN"/>
              </w:rPr>
              <w:t>亳州交通投资控股集团有限公司官网（www.bzjkjt.com）、安徽省招标投标信息网（www.ahtba.org.cn）</w:t>
            </w:r>
            <w:r>
              <w:rPr>
                <w:rFonts w:hint="eastAsia" w:ascii="Times New Roman" w:hAnsi="Times New Roman" w:cs="Times New Roman"/>
                <w:color w:val="auto"/>
                <w:szCs w:val="21"/>
                <w:highlight w:val="none"/>
                <w:lang w:val="en-US" w:eastAsia="zh-CN"/>
              </w:rPr>
              <w:t>等网站上发布。</w:t>
            </w:r>
            <w:permEnd w:id="39"/>
          </w:p>
          <w:p w14:paraId="5C35CC0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150261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95650E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7.3</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BC0212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中标结果异议提出时间</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BA27239">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中标结果公示期内提出</w:t>
            </w:r>
          </w:p>
        </w:tc>
      </w:tr>
      <w:tr w14:paraId="20C695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637FEE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7.4</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512B17E9">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异议渠道</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8E87E5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40"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 xml:space="preserve">亳州交控集团招投标中心 张工、田工  </w:t>
            </w:r>
          </w:p>
          <w:p w14:paraId="0F51CCE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0558-5190035              </w:t>
            </w:r>
          </w:p>
          <w:p w14:paraId="06C89F6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 xml:space="preserve">亳州市谯城区药都大道1289号   </w:t>
            </w:r>
          </w:p>
          <w:p w14:paraId="14B482F3">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lang w:val="en-US" w:eastAsia="zh-CN"/>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投标人或其他利害关系人应按照招标文件规定的程序提出异议，否则视为无效异议，不予受理。</w:t>
            </w:r>
            <w:permEnd w:id="40"/>
          </w:p>
        </w:tc>
      </w:tr>
      <w:tr w14:paraId="618A50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475044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7.5</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35145AE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投诉不予受理情形</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13D487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有下列情形之一的投诉，不予受理：</w:t>
            </w:r>
          </w:p>
          <w:p w14:paraId="282BCE2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（1）投诉人不是所投诉招标投标活动的参与者，或者与投诉项目无任何利害关系；</w:t>
            </w:r>
          </w:p>
          <w:p w14:paraId="76E533E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（2）投诉事项不具体，且未提供有效线索，难以查证的；</w:t>
            </w:r>
          </w:p>
          <w:p w14:paraId="717DD1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（3）投诉书未署具投诉人真实姓名、签字和有效联系方式的；以法人名义投诉的，投诉书未经法定代表人签字并加盖公章的；</w:t>
            </w:r>
          </w:p>
          <w:p w14:paraId="54D7E21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（4）超过投诉时效的；</w:t>
            </w:r>
          </w:p>
          <w:p w14:paraId="4F839F9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（5）已经作出处理决定，并且投诉人没有提出新的证据的；</w:t>
            </w:r>
          </w:p>
          <w:p w14:paraId="43CEEE4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lang w:val="en-US" w:eastAsia="zh-CN"/>
              </w:rPr>
            </w:pPr>
            <w:r>
              <w:rPr>
                <w:rFonts w:hint="eastAsia" w:ascii="Times New Roman" w:hAnsi="Times New Roman" w:cs="Times New Roman"/>
                <w:color w:val="auto"/>
                <w:szCs w:val="21"/>
                <w:highlight w:val="none"/>
                <w:lang w:val="en-US" w:eastAsia="zh-CN"/>
              </w:rPr>
              <w:t>（6）投诉事项应先提出异议没有提出异议、已进入行政复议或行政诉讼程序的。</w:t>
            </w:r>
          </w:p>
        </w:tc>
      </w:tr>
      <w:tr w14:paraId="217A67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38768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8</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636359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A1889B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是否要求中标人提交履约保证金：</w:t>
            </w:r>
          </w:p>
          <w:p w14:paraId="3A52046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宋体" w:hAnsi="宋体" w:eastAsia="宋体" w:cs="宋体"/>
                <w:color w:val="FF0000"/>
                <w:sz w:val="21"/>
                <w:szCs w:val="21"/>
                <w:lang w:val="en-US" w:eastAsia="zh-CN"/>
              </w:rPr>
            </w:pPr>
            <w:permStart w:id="41" w:edGrp="everyone"/>
            <w:r>
              <w:rPr>
                <w:rFonts w:hint="eastAsia" w:ascii="宋体" w:hAnsi="宋体" w:eastAsia="宋体" w:cs="宋体"/>
                <w:color w:val="FF0000"/>
                <w:sz w:val="21"/>
                <w:szCs w:val="21"/>
                <w:lang w:val="en-US" w:eastAsia="zh-CN"/>
              </w:rPr>
              <w:t>不要求□</w:t>
            </w:r>
          </w:p>
          <w:p w14:paraId="3D70BAA4">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eastAsia" w:ascii="宋体" w:hAnsi="宋体" w:eastAsia="宋体" w:cs="宋体"/>
                <w:color w:val="FF0000"/>
                <w:sz w:val="21"/>
                <w:szCs w:val="21"/>
                <w:lang w:val="en-US" w:eastAsia="zh-CN"/>
              </w:rPr>
              <w:t>要  求☑</w:t>
            </w:r>
            <w:r>
              <w:rPr>
                <w:rFonts w:hint="eastAsia" w:ascii="宋体" w:hAnsi="宋体" w:eastAsia="宋体" w:cs="宋体"/>
                <w:color w:val="FF0000"/>
                <w:sz w:val="21"/>
                <w:szCs w:val="21"/>
                <w:highlight w:val="none"/>
                <w:lang w:val="en-US" w:eastAsia="zh-CN"/>
              </w:rPr>
              <w:t xml:space="preserve"> </w:t>
            </w:r>
            <w:permEnd w:id="41"/>
            <w:r>
              <w:rPr>
                <w:rFonts w:hint="eastAsia" w:ascii="Times New Roman" w:hAnsi="Times New Roman" w:cs="Times New Roman"/>
                <w:color w:val="FF0000"/>
                <w:szCs w:val="21"/>
                <w:highlight w:val="none"/>
                <w:lang w:val="en-US" w:eastAsia="zh-CN"/>
              </w:rPr>
              <w:t xml:space="preserve"> </w:t>
            </w:r>
          </w:p>
          <w:p w14:paraId="0C3551F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履约担保的形式：</w:t>
            </w:r>
            <w:permStart w:id="42" w:edGrp="everyone"/>
            <w:r>
              <w:rPr>
                <w:rFonts w:hint="default" w:ascii="Times New Roman" w:hAnsi="Times New Roman" w:cs="Times New Roman"/>
                <w:color w:val="FF0000"/>
                <w:szCs w:val="21"/>
                <w:highlight w:val="none"/>
              </w:rPr>
              <w:t>中标后，投标保证金自动转为履约保证金，履约保证金不足部分由中标人在收到中标通知书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eastAsia="zh-CN"/>
              </w:rPr>
              <w:t>。</w:t>
            </w:r>
            <w:permEnd w:id="42"/>
          </w:p>
          <w:p w14:paraId="0566965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3" w:edGrp="everyone"/>
            <w:r>
              <w:rPr>
                <w:rFonts w:hint="eastAsia" w:ascii="Times New Roman" w:hAnsi="Times New Roman" w:cs="Times New Roman"/>
                <w:b/>
                <w:bCs/>
                <w:color w:val="FF0000"/>
                <w:szCs w:val="21"/>
                <w:highlight w:val="none"/>
                <w:lang w:val="en-US" w:eastAsia="zh-CN"/>
              </w:rPr>
              <w:t>中标价款的10%</w:t>
            </w:r>
            <w:permEnd w:id="43"/>
          </w:p>
          <w:p w14:paraId="61D487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eastAsiaTheme="minorEastAsia"/>
                <w:sz w:val="32"/>
                <w:szCs w:val="32"/>
                <w:highlight w:val="none"/>
                <w:lang w:eastAsia="zh-CN"/>
              </w:rPr>
            </w:pPr>
            <w:r>
              <w:rPr>
                <w:rFonts w:hint="default" w:ascii="Times New Roman" w:hAnsi="Times New Roman" w:cs="Times New Roman"/>
                <w:szCs w:val="21"/>
                <w:highlight w:val="none"/>
              </w:rPr>
              <w:t>履约保证金的退还：</w:t>
            </w:r>
            <w:permStart w:id="44"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color w:val="FF0000"/>
                <w:szCs w:val="21"/>
                <w:highlight w:val="none"/>
                <w:lang w:val="en-US" w:eastAsia="zh-CN"/>
              </w:rPr>
              <w:t>工程</w:t>
            </w:r>
            <w:r>
              <w:rPr>
                <w:rFonts w:hint="default" w:ascii="Times New Roman" w:hAnsi="Times New Roman" w:cs="Times New Roman"/>
                <w:color w:val="FF0000"/>
                <w:szCs w:val="21"/>
                <w:highlight w:val="none"/>
              </w:rPr>
              <w:t>竣工验收合格后</w:t>
            </w:r>
            <w:r>
              <w:rPr>
                <w:rFonts w:hint="eastAsia" w:ascii="Times New Roman" w:hAnsi="Times New Roman" w:cs="Times New Roman"/>
                <w:szCs w:val="21"/>
                <w:highlight w:val="none"/>
                <w:lang w:val="en-US" w:eastAsia="zh-CN"/>
              </w:rPr>
              <w:t>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w:t>
            </w:r>
            <w:permEnd w:id="44"/>
          </w:p>
        </w:tc>
      </w:tr>
      <w:tr w14:paraId="36FAE0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4B015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9.1</w:t>
            </w:r>
          </w:p>
        </w:tc>
        <w:tc>
          <w:tcPr>
            <w:tcW w:w="276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D6392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是否采用电子招标投标</w:t>
            </w:r>
          </w:p>
        </w:tc>
        <w:tc>
          <w:tcPr>
            <w:tcW w:w="4752"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AC254B0">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eastAsiaTheme="minorEastAsia"/>
                <w:kern w:val="2"/>
                <w:sz w:val="21"/>
                <w:szCs w:val="21"/>
                <w:highlight w:val="none"/>
                <w:lang w:val="en-US" w:eastAsia="zh-CN" w:bidi="ar-SA"/>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740667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FA52D7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0A5040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27F1804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5D2F43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10.1</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4AF2637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79F6DCC9">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构成本招标文件的各个组成文件应互为解释，互为说明；如有不明确或不一致，构成合同文件组成内容的，以合同文件约定内容为准，且以专用合同条款约定的合同文件优先顺序解释；除招标文件中有特别规定外，仅适用于招标投标阶段的规定，按招标公告、投标人须知、评标办法、投标文件格式的先后顺序解释；同一组成文件中就同一事项的规定或约定不一致的，以编排顺序在后者为准；同一组成文件不同版本之间有不一致的，以形成时间在后者为准</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按本款前述规定仍不能形成结论的，由招标人负责解释</w:t>
            </w:r>
            <w:r>
              <w:rPr>
                <w:rFonts w:hint="eastAsia" w:ascii="Times New Roman" w:hAnsi="Times New Roman" w:cs="Times New Roman"/>
                <w:szCs w:val="21"/>
                <w:highlight w:val="none"/>
                <w:lang w:eastAsia="zh-CN"/>
              </w:rPr>
              <w:t>。</w:t>
            </w:r>
          </w:p>
        </w:tc>
      </w:tr>
      <w:tr w14:paraId="76417C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A6F3AB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10.2</w:t>
            </w:r>
          </w:p>
        </w:tc>
        <w:tc>
          <w:tcPr>
            <w:tcW w:w="2762" w:type="dxa"/>
            <w:tcBorders>
              <w:top w:val="single" w:color="auto" w:sz="4" w:space="0"/>
              <w:left w:val="single" w:color="auto" w:sz="4" w:space="0"/>
              <w:bottom w:val="single" w:color="auto" w:sz="4" w:space="0"/>
              <w:right w:val="single" w:color="auto" w:sz="4" w:space="0"/>
            </w:tcBorders>
            <w:noWrap w:val="0"/>
            <w:vAlign w:val="center"/>
          </w:tcPr>
          <w:p w14:paraId="1BD2C53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不良行为记录</w:t>
            </w:r>
          </w:p>
        </w:tc>
        <w:tc>
          <w:tcPr>
            <w:tcW w:w="4752" w:type="dxa"/>
            <w:tcBorders>
              <w:top w:val="single" w:color="auto" w:sz="4" w:space="0"/>
              <w:left w:val="single" w:color="auto" w:sz="4" w:space="0"/>
              <w:bottom w:val="single" w:color="auto" w:sz="4" w:space="0"/>
              <w:right w:val="single" w:color="auto" w:sz="4" w:space="0"/>
            </w:tcBorders>
            <w:noWrap w:val="0"/>
            <w:vAlign w:val="center"/>
          </w:tcPr>
          <w:p w14:paraId="4570A2A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为加强</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信用信息管理，投标人存在以下情形的，招标人将对其采取限制投标措施，在2年内禁止其参与亳州交控集团采购项目，并在亳州交通投资控股集团有限公司官网（www.bzjkjt.com）进行公示</w:t>
            </w:r>
            <w:r>
              <w:rPr>
                <w:rFonts w:hint="eastAsia" w:ascii="Times New Roman" w:hAnsi="Times New Roman" w:cs="Times New Roman"/>
                <w:szCs w:val="21"/>
                <w:highlight w:val="none"/>
                <w:lang w:eastAsia="zh-CN"/>
              </w:rPr>
              <w:t>。</w:t>
            </w:r>
          </w:p>
          <w:p w14:paraId="30C4572E">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常见的</w:t>
            </w:r>
            <w:r>
              <w:rPr>
                <w:rFonts w:hint="eastAsia" w:ascii="Times New Roman" w:hAnsi="Times New Roman" w:cs="Times New Roman"/>
                <w:szCs w:val="21"/>
                <w:highlight w:val="none"/>
                <w:lang w:val="en-US" w:eastAsia="zh-CN"/>
              </w:rPr>
              <w:t>投标人</w:t>
            </w:r>
            <w:r>
              <w:rPr>
                <w:rFonts w:hint="default" w:ascii="Times New Roman" w:hAnsi="Times New Roman" w:cs="Times New Roman"/>
                <w:szCs w:val="21"/>
                <w:highlight w:val="none"/>
              </w:rPr>
              <w:t>不良行为有：</w:t>
            </w:r>
          </w:p>
          <w:p w14:paraId="08BB64C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（一）无正当理由放弃中标的；</w:t>
            </w:r>
          </w:p>
          <w:p w14:paraId="5571D63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（二）在法定或约定期限内拒绝签订合同的；</w:t>
            </w:r>
          </w:p>
          <w:p w14:paraId="46F1A076">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（三）非不可抗力原因不能履行合同的；</w:t>
            </w:r>
          </w:p>
          <w:p w14:paraId="47CF833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（四）不按照招标文件要求提供履约担保的；</w:t>
            </w:r>
          </w:p>
          <w:p w14:paraId="1D9E14FB">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（五）违法转包、分包的；</w:t>
            </w:r>
          </w:p>
          <w:p w14:paraId="405706E1">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（六）克扣、无故拖欠农民工工资报酬的；</w:t>
            </w:r>
          </w:p>
          <w:p w14:paraId="043F1BA7">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（七）提供虚假材料谋取中标的；</w:t>
            </w:r>
          </w:p>
          <w:p w14:paraId="1FFA311D">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（八）采取不正当手段诋毁、排挤其他供应商的；</w:t>
            </w:r>
          </w:p>
          <w:p w14:paraId="764BE45F">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（九）与其他采购参加人恶意串通的；</w:t>
            </w:r>
          </w:p>
          <w:p w14:paraId="5E798CD4">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（十）向集团工作人员及其他采购参加人行贿或者提供其他不正当利益的；</w:t>
            </w:r>
          </w:p>
          <w:p w14:paraId="0BB178D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（十一）在签订采购合同时提出附加条件的；</w:t>
            </w:r>
          </w:p>
          <w:p w14:paraId="2982FB09">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（十二）进行虚假、恶意投诉的；</w:t>
            </w:r>
          </w:p>
          <w:p w14:paraId="6C5E5D2A">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（十三）在有关部门、子公司实施争议处理、监督检查、审计监督过程中拒绝配合、提供虚假情况或隐瞒真实情况的；</w:t>
            </w:r>
          </w:p>
          <w:p w14:paraId="065D0652">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rPr>
                <w:rFonts w:hint="eastAsia" w:ascii="Times New Roman" w:hAnsi="Times New Roman" w:cs="Times New Roman" w:eastAsiaTheme="minorEastAsia"/>
                <w:szCs w:val="21"/>
                <w:highlight w:val="none"/>
                <w:lang w:eastAsia="zh-CN"/>
              </w:rPr>
            </w:pPr>
            <w:r>
              <w:rPr>
                <w:rFonts w:hint="default" w:ascii="Times New Roman" w:hAnsi="Times New Roman" w:cs="Times New Roman"/>
                <w:szCs w:val="21"/>
                <w:highlight w:val="none"/>
              </w:rPr>
              <w:t>（十四）其他不良行为</w:t>
            </w:r>
            <w:r>
              <w:rPr>
                <w:rFonts w:hint="eastAsia" w:ascii="Times New Roman" w:hAnsi="Times New Roman" w:cs="Times New Roman"/>
                <w:szCs w:val="21"/>
                <w:highlight w:val="none"/>
                <w:lang w:eastAsia="zh-CN"/>
              </w:rPr>
              <w:t>。</w:t>
            </w:r>
          </w:p>
        </w:tc>
      </w:tr>
    </w:tbl>
    <w:p w14:paraId="2C10029C">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33901917">
      <w:pPr>
        <w:rPr>
          <w:rFonts w:hint="eastAsia"/>
          <w:lang w:val="en-US" w:eastAsia="zh-CN"/>
        </w:rPr>
      </w:pPr>
      <w:r>
        <w:rPr>
          <w:rFonts w:hint="eastAsia"/>
          <w:lang w:val="en-US" w:eastAsia="zh-CN"/>
        </w:rPr>
        <w:br w:type="page"/>
      </w:r>
    </w:p>
    <w:p w14:paraId="5E678DCF">
      <w:pPr>
        <w:pStyle w:val="3"/>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4AF60C10">
      <w:pPr>
        <w:pStyle w:val="4"/>
        <w:pageBreakBefore w:val="0"/>
        <w:widowControl w:val="0"/>
        <w:kinsoku/>
        <w:wordWrap/>
        <w:overflowPunct/>
        <w:topLinePunct w:val="0"/>
        <w:autoSpaceDE/>
        <w:autoSpaceDN/>
        <w:bidi w:val="0"/>
        <w:adjustRightInd/>
        <w:snapToGrid/>
        <w:spacing w:line="240" w:lineRule="auto"/>
        <w:textAlignment w:val="auto"/>
        <w:rPr>
          <w:rFonts w:hint="eastAsia"/>
          <w:lang w:val="en-US" w:eastAsia="zh-CN"/>
        </w:rPr>
      </w:pPr>
      <w:r>
        <w:rPr>
          <w:rFonts w:hint="eastAsia"/>
          <w:lang w:val="en-US" w:eastAsia="zh-CN"/>
        </w:rPr>
        <w:t>1.项目描述</w:t>
      </w:r>
    </w:p>
    <w:p w14:paraId="17F481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招标人计划将资金的一部分用于支付本次招标项目的合同款项</w:t>
      </w:r>
      <w:r>
        <w:rPr>
          <w:rFonts w:hint="eastAsia"/>
          <w:lang w:eastAsia="zh-CN"/>
        </w:rPr>
        <w:t>。</w:t>
      </w:r>
    </w:p>
    <w:p w14:paraId="1BCB7E26">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r>
        <w:rPr>
          <w:rFonts w:hint="eastAsia"/>
          <w:lang w:val="en-US" w:eastAsia="zh-CN"/>
        </w:rPr>
        <w:t>2.招标方式</w:t>
      </w:r>
    </w:p>
    <w:p w14:paraId="6E9F532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招标将以国内公开招标方式进行</w:t>
      </w:r>
      <w:r>
        <w:rPr>
          <w:rFonts w:hint="eastAsia"/>
          <w:lang w:eastAsia="zh-CN"/>
        </w:rPr>
        <w:t>。</w:t>
      </w:r>
    </w:p>
    <w:p w14:paraId="088EED56">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 w:name="_Toc179632549"/>
      <w:bookmarkStart w:id="17" w:name="_Toc296602423"/>
      <w:bookmarkStart w:id="18" w:name="_Toc152045532"/>
      <w:bookmarkStart w:id="19" w:name="_Toc247085692"/>
      <w:bookmarkStart w:id="20" w:name="_Toc144974500"/>
      <w:bookmarkStart w:id="21" w:name="_Toc246996178"/>
      <w:bookmarkStart w:id="22" w:name="_Toc152042308"/>
      <w:bookmarkStart w:id="23" w:name="_Toc246996921"/>
      <w:r>
        <w:rPr>
          <w:rFonts w:hint="eastAsia"/>
          <w:lang w:val="en-US" w:eastAsia="zh-CN"/>
        </w:rPr>
        <w:t>3.</w:t>
      </w:r>
      <w:bookmarkEnd w:id="16"/>
      <w:bookmarkEnd w:id="17"/>
      <w:bookmarkEnd w:id="18"/>
      <w:bookmarkEnd w:id="19"/>
      <w:bookmarkEnd w:id="20"/>
      <w:bookmarkEnd w:id="21"/>
      <w:bookmarkEnd w:id="22"/>
      <w:bookmarkEnd w:id="23"/>
      <w:r>
        <w:rPr>
          <w:rFonts w:hint="eastAsia"/>
        </w:rPr>
        <w:t>合格投标人</w:t>
      </w:r>
    </w:p>
    <w:p w14:paraId="6CAF766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3.1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区的获得一般纳税人的法人均为合格投标人</w:t>
      </w:r>
      <w:r>
        <w:rPr>
          <w:rFonts w:hint="eastAsia"/>
          <w:lang w:eastAsia="zh-CN"/>
        </w:rPr>
        <w:t>。</w:t>
      </w:r>
    </w:p>
    <w:p w14:paraId="7AEDAC7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3.2投标人不得与本次招标项下编制设计、技术规格和其他文件的公司或提咨询服务的公司包括其附属机构有任何关联</w:t>
      </w:r>
      <w:r>
        <w:rPr>
          <w:rFonts w:hint="eastAsia"/>
          <w:lang w:eastAsia="zh-CN"/>
        </w:rPr>
        <w:t>。</w:t>
      </w:r>
    </w:p>
    <w:p w14:paraId="1E099A3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3.3 投标人之间如果存在下列情形之一的</w:t>
      </w:r>
      <w:r>
        <w:rPr>
          <w:rFonts w:hint="eastAsia"/>
          <w:lang w:eastAsia="zh-CN"/>
        </w:rPr>
        <w:t>，</w:t>
      </w:r>
      <w:r>
        <w:rPr>
          <w:rFonts w:hint="eastAsia"/>
        </w:rPr>
        <w:t>不得同时参加本项目投标</w:t>
      </w:r>
      <w:r>
        <w:rPr>
          <w:rFonts w:hint="eastAsia"/>
          <w:lang w:eastAsia="zh-CN"/>
        </w:rPr>
        <w:t>：</w:t>
      </w:r>
    </w:p>
    <w:p w14:paraId="333F6EF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（1）与招标人存在利害关系且可能影响招标公正性</w:t>
      </w:r>
      <w:r>
        <w:rPr>
          <w:rFonts w:hint="eastAsia"/>
          <w:lang w:eastAsia="zh-CN"/>
        </w:rPr>
        <w:t>；</w:t>
      </w:r>
    </w:p>
    <w:p w14:paraId="134817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）与本招标项目的其他投标人为同一个法定代表人</w:t>
      </w:r>
      <w:r>
        <w:rPr>
          <w:rFonts w:hint="eastAsia"/>
          <w:lang w:eastAsia="zh-CN"/>
        </w:rPr>
        <w:t>（</w:t>
      </w:r>
      <w:r>
        <w:rPr>
          <w:rFonts w:hint="eastAsia"/>
        </w:rPr>
        <w:t>单位负责人</w:t>
      </w:r>
      <w:r>
        <w:rPr>
          <w:rFonts w:hint="eastAsia"/>
          <w:lang w:eastAsia="zh-CN"/>
        </w:rPr>
        <w:t>）；</w:t>
      </w:r>
    </w:p>
    <w:p w14:paraId="5A621F1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）与本招标项目的其他投标人存在控股、管理关系</w:t>
      </w:r>
      <w:r>
        <w:rPr>
          <w:rFonts w:hint="eastAsia"/>
          <w:lang w:eastAsia="zh-CN"/>
        </w:rPr>
        <w:t>；</w:t>
      </w:r>
    </w:p>
    <w:p w14:paraId="541C08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）为本招标项目的招标代理机构</w:t>
      </w:r>
      <w:r>
        <w:rPr>
          <w:rFonts w:hint="eastAsia"/>
          <w:lang w:eastAsia="zh-CN"/>
        </w:rPr>
        <w:t>；</w:t>
      </w:r>
    </w:p>
    <w:p w14:paraId="026CFE0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1496F6A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4A6781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）法律法规或投标人须知前附表及招标公告规定的其他情形</w:t>
      </w:r>
      <w:r>
        <w:rPr>
          <w:rFonts w:hint="eastAsia"/>
          <w:lang w:eastAsia="zh-CN"/>
        </w:rPr>
        <w:t>。</w:t>
      </w:r>
    </w:p>
    <w:p w14:paraId="113533BF">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4.</w:t>
      </w:r>
      <w:r>
        <w:rPr>
          <w:rFonts w:hint="eastAsia"/>
        </w:rPr>
        <w:t>投标费用</w:t>
      </w:r>
    </w:p>
    <w:p w14:paraId="34B86BC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投标人应承担所有与准备和参加投标有关的费用</w:t>
      </w:r>
      <w:r>
        <w:rPr>
          <w:rFonts w:hint="eastAsia"/>
          <w:lang w:eastAsia="zh-CN"/>
        </w:rPr>
        <w:t>。</w:t>
      </w:r>
      <w:r>
        <w:rPr>
          <w:rFonts w:hint="eastAsia"/>
        </w:rPr>
        <w:t>无论投标的结果如何</w:t>
      </w:r>
      <w:r>
        <w:rPr>
          <w:rFonts w:hint="eastAsia"/>
          <w:lang w:eastAsia="zh-CN"/>
        </w:rPr>
        <w:t>，</w:t>
      </w:r>
      <w:r>
        <w:rPr>
          <w:rFonts w:hint="eastAsia"/>
        </w:rPr>
        <w:t>或项目因故取消</w:t>
      </w:r>
      <w:r>
        <w:rPr>
          <w:rFonts w:hint="eastAsia"/>
          <w:lang w:eastAsia="zh-CN"/>
        </w:rPr>
        <w:t>，</w:t>
      </w:r>
      <w:r>
        <w:rPr>
          <w:rFonts w:hint="eastAsia"/>
        </w:rPr>
        <w:t>招标人和招标代理机构对上述费用不承担任何责任和义务</w:t>
      </w:r>
      <w:r>
        <w:rPr>
          <w:rFonts w:hint="eastAsia"/>
          <w:lang w:eastAsia="zh-CN"/>
        </w:rPr>
        <w:t>。</w:t>
      </w:r>
    </w:p>
    <w:p w14:paraId="25624B8B">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247085695"/>
      <w:bookmarkStart w:id="26" w:name="_Toc246996181"/>
      <w:bookmarkStart w:id="27" w:name="_Toc246996924"/>
      <w:bookmarkStart w:id="28" w:name="_Toc152042312"/>
      <w:bookmarkStart w:id="29" w:name="_Toc144974504"/>
      <w:bookmarkStart w:id="30" w:name="_Toc296602426"/>
      <w:bookmarkStart w:id="31" w:name="_Toc152045536"/>
      <w:r>
        <w:rPr>
          <w:rFonts w:hint="eastAsia"/>
          <w:lang w:val="en-US" w:eastAsia="zh-CN"/>
        </w:rPr>
        <w:t>5</w:t>
      </w:r>
      <w:r>
        <w:rPr>
          <w:rFonts w:hint="eastAsia"/>
        </w:rPr>
        <w:t>.保密</w:t>
      </w:r>
      <w:bookmarkEnd w:id="24"/>
      <w:bookmarkEnd w:id="25"/>
      <w:bookmarkEnd w:id="26"/>
      <w:bookmarkEnd w:id="27"/>
      <w:bookmarkEnd w:id="28"/>
      <w:bookmarkEnd w:id="29"/>
      <w:bookmarkEnd w:id="30"/>
      <w:bookmarkEnd w:id="31"/>
    </w:p>
    <w:p w14:paraId="4974E7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参与招标投标活动的各方应对招标文件和投标文件中的商业和技术等秘密保密，违者应对由此造成的后果承担法律责任</w:t>
      </w:r>
      <w:r>
        <w:rPr>
          <w:rFonts w:hint="eastAsia"/>
          <w:lang w:eastAsia="zh-CN"/>
        </w:rPr>
        <w:t>。</w:t>
      </w:r>
      <w:r>
        <w:rPr>
          <w:rFonts w:hint="eastAsia"/>
        </w:rPr>
        <w:t xml:space="preserve"> </w:t>
      </w:r>
    </w:p>
    <w:p w14:paraId="474C4DA9">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152045537"/>
      <w:bookmarkStart w:id="34" w:name="_Toc179632554"/>
      <w:bookmarkStart w:id="35" w:name="_Toc152042313"/>
      <w:bookmarkStart w:id="36" w:name="_Toc246996182"/>
      <w:bookmarkStart w:id="37" w:name="_Toc247085696"/>
      <w:bookmarkStart w:id="38" w:name="_Toc296602427"/>
      <w:bookmarkStart w:id="39" w:name="_Toc246996925"/>
      <w:r>
        <w:rPr>
          <w:rFonts w:hint="eastAsia"/>
          <w:lang w:val="en-US" w:eastAsia="zh-CN"/>
        </w:rPr>
        <w:t>6</w:t>
      </w:r>
      <w:r>
        <w:rPr>
          <w:rFonts w:hint="eastAsia"/>
        </w:rPr>
        <w:t>.语言</w:t>
      </w:r>
      <w:bookmarkEnd w:id="32"/>
      <w:r>
        <w:rPr>
          <w:rFonts w:hint="eastAsia"/>
        </w:rPr>
        <w:t>文字</w:t>
      </w:r>
      <w:bookmarkEnd w:id="33"/>
      <w:bookmarkEnd w:id="34"/>
      <w:bookmarkEnd w:id="35"/>
      <w:bookmarkEnd w:id="36"/>
      <w:bookmarkEnd w:id="37"/>
      <w:bookmarkEnd w:id="38"/>
      <w:bookmarkEnd w:id="39"/>
    </w:p>
    <w:p w14:paraId="4064191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79632555"/>
      <w:bookmarkStart w:id="41" w:name="_Toc246996926"/>
      <w:bookmarkStart w:id="42" w:name="_Toc246996183"/>
      <w:bookmarkStart w:id="43" w:name="_Toc144974506"/>
      <w:bookmarkStart w:id="44" w:name="_Toc152042314"/>
      <w:bookmarkStart w:id="45" w:name="_Toc152045538"/>
      <w:bookmarkStart w:id="46" w:name="_Toc247085697"/>
      <w:r>
        <w:rPr>
          <w:rFonts w:hint="eastAsia"/>
        </w:rPr>
        <w:t>招标投标文件使用的语言文字为中文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55DAD1BE">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2"/>
      <w:bookmarkStart w:id="48" w:name="_Toc246996930"/>
      <w:bookmarkStart w:id="49" w:name="_Toc246996187"/>
      <w:bookmarkStart w:id="50" w:name="_Toc296602432"/>
      <w:bookmarkStart w:id="51" w:name="_Toc247085701"/>
      <w:bookmarkStart w:id="52" w:name="_Toc179632560"/>
      <w:bookmarkStart w:id="53" w:name="_Toc152042318"/>
      <w:bookmarkStart w:id="54" w:name="_Toc144974510"/>
      <w:r>
        <w:rPr>
          <w:rFonts w:hint="eastAsia"/>
          <w:lang w:val="en-US" w:eastAsia="zh-CN"/>
        </w:rPr>
        <w:t>二</w:t>
      </w:r>
      <w:r>
        <w:rPr>
          <w:rFonts w:hint="eastAsia"/>
          <w:lang w:eastAsia="zh-CN"/>
        </w:rPr>
        <w:t>、</w:t>
      </w:r>
      <w:r>
        <w:rPr>
          <w:rFonts w:hint="eastAsia"/>
        </w:rPr>
        <w:t>招标文件</w:t>
      </w:r>
      <w:bookmarkEnd w:id="47"/>
      <w:bookmarkEnd w:id="48"/>
      <w:bookmarkEnd w:id="49"/>
      <w:bookmarkEnd w:id="50"/>
      <w:bookmarkEnd w:id="51"/>
      <w:bookmarkEnd w:id="52"/>
      <w:bookmarkEnd w:id="53"/>
      <w:bookmarkEnd w:id="54"/>
    </w:p>
    <w:p w14:paraId="2DDC753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79632561"/>
      <w:bookmarkStart w:id="56" w:name="_Toc296602433"/>
      <w:bookmarkStart w:id="57" w:name="_Toc152042319"/>
      <w:bookmarkStart w:id="58" w:name="_Toc144974511"/>
      <w:bookmarkStart w:id="59" w:name="_Toc246996931"/>
      <w:bookmarkStart w:id="60" w:name="_Toc152045543"/>
      <w:bookmarkStart w:id="61" w:name="_Toc247085702"/>
      <w:bookmarkStart w:id="62" w:name="_Toc246996188"/>
      <w:r>
        <w:rPr>
          <w:rFonts w:hint="eastAsia"/>
          <w:lang w:val="en-US" w:eastAsia="zh-CN"/>
        </w:rPr>
        <w:t>7.</w:t>
      </w:r>
      <w:r>
        <w:rPr>
          <w:rFonts w:hint="eastAsia"/>
        </w:rPr>
        <w:t>招标文件的组成</w:t>
      </w:r>
      <w:bookmarkEnd w:id="55"/>
      <w:bookmarkEnd w:id="56"/>
      <w:bookmarkEnd w:id="57"/>
      <w:bookmarkEnd w:id="58"/>
      <w:bookmarkEnd w:id="59"/>
      <w:bookmarkEnd w:id="60"/>
      <w:bookmarkEnd w:id="61"/>
      <w:bookmarkEnd w:id="62"/>
    </w:p>
    <w:p w14:paraId="79E2ED2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投标人应检查招标文件中所有的须知、格式、条款、技术规格和其他资料</w:t>
      </w:r>
      <w:r>
        <w:rPr>
          <w:rFonts w:hint="eastAsia"/>
          <w:lang w:eastAsia="zh-CN"/>
        </w:rPr>
        <w:t>。</w:t>
      </w:r>
      <w:r>
        <w:rPr>
          <w:rFonts w:hint="eastAsia"/>
        </w:rPr>
        <w:t>如果投标人没有按照招标文件的要求提交全部资料，或者提交的资料没有对招标文件在各方面作出实质性响应</w:t>
      </w:r>
      <w:r>
        <w:rPr>
          <w:rFonts w:hint="eastAsia"/>
          <w:lang w:eastAsia="zh-CN"/>
        </w:rPr>
        <w:t>，</w:t>
      </w:r>
      <w:r>
        <w:rPr>
          <w:rFonts w:hint="eastAsia"/>
        </w:rPr>
        <w:t>可能导致其投标被拒绝</w:t>
      </w:r>
      <w:r>
        <w:rPr>
          <w:rFonts w:hint="eastAsia"/>
          <w:lang w:eastAsia="zh-CN"/>
        </w:rPr>
        <w:t>，</w:t>
      </w:r>
      <w:r>
        <w:rPr>
          <w:rFonts w:hint="eastAsia"/>
        </w:rPr>
        <w:t>该风险由投标人承担</w:t>
      </w:r>
      <w:r>
        <w:rPr>
          <w:rFonts w:hint="eastAsia"/>
          <w:lang w:eastAsia="zh-CN"/>
        </w:rPr>
        <w:t>。</w:t>
      </w:r>
    </w:p>
    <w:p w14:paraId="59073C8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5544"/>
      <w:bookmarkStart w:id="64" w:name="_Toc179632562"/>
      <w:bookmarkStart w:id="65" w:name="_Toc296602434"/>
      <w:bookmarkStart w:id="66" w:name="_Toc247085703"/>
      <w:bookmarkStart w:id="67" w:name="_Toc246996932"/>
      <w:bookmarkStart w:id="68" w:name="_Toc152042320"/>
      <w:bookmarkStart w:id="69" w:name="_Toc144974512"/>
      <w:bookmarkStart w:id="70" w:name="_Toc246996189"/>
      <w:r>
        <w:rPr>
          <w:rFonts w:hint="eastAsia"/>
          <w:lang w:val="en-US" w:eastAsia="zh-CN"/>
        </w:rPr>
        <w:t>8.</w:t>
      </w:r>
      <w:r>
        <w:rPr>
          <w:rFonts w:hint="eastAsia"/>
        </w:rPr>
        <w:t>招标文件的澄清</w:t>
      </w:r>
      <w:bookmarkEnd w:id="63"/>
      <w:bookmarkEnd w:id="64"/>
      <w:bookmarkEnd w:id="65"/>
      <w:bookmarkEnd w:id="66"/>
      <w:bookmarkEnd w:id="67"/>
      <w:bookmarkEnd w:id="68"/>
      <w:bookmarkEnd w:id="69"/>
      <w:bookmarkEnd w:id="70"/>
      <w:r>
        <w:rPr>
          <w:rFonts w:hint="eastAsia"/>
        </w:rPr>
        <w:t xml:space="preserve"> </w:t>
      </w:r>
    </w:p>
    <w:p w14:paraId="4ECDA02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8.1</w:t>
      </w:r>
      <w:r>
        <w:rPr>
          <w:rFonts w:hint="eastAsia"/>
        </w:rPr>
        <w:t>投标人要求对招标文件进行澄清的</w:t>
      </w:r>
      <w:r>
        <w:rPr>
          <w:rFonts w:hint="eastAsia"/>
          <w:lang w:eastAsia="zh-CN"/>
        </w:rPr>
        <w:t>，</w:t>
      </w:r>
      <w:r>
        <w:rPr>
          <w:rFonts w:hint="eastAsia"/>
        </w:rPr>
        <w:t>应以书面或扫描电邮方式通知招标人/招标代理机构</w:t>
      </w:r>
      <w:r>
        <w:rPr>
          <w:rFonts w:hint="eastAsia"/>
          <w:lang w:eastAsia="zh-CN"/>
        </w:rPr>
        <w:t>。</w:t>
      </w:r>
      <w:r>
        <w:rPr>
          <w:rFonts w:hint="eastAsia"/>
        </w:rPr>
        <w:t>对前附表规定的时间以前收到的对招标文件的澄清要求</w:t>
      </w:r>
      <w:r>
        <w:rPr>
          <w:rFonts w:hint="eastAsia"/>
          <w:lang w:eastAsia="zh-CN"/>
        </w:rPr>
        <w:t>，</w:t>
      </w:r>
      <w:r>
        <w:rPr>
          <w:rFonts w:hint="eastAsia"/>
        </w:rPr>
        <w:t>招标人/招标代理机构予以答复</w:t>
      </w:r>
      <w:r>
        <w:rPr>
          <w:rFonts w:hint="eastAsia"/>
          <w:lang w:eastAsia="zh-CN"/>
        </w:rPr>
        <w:t>。</w:t>
      </w:r>
      <w:r>
        <w:rPr>
          <w:rFonts w:hint="eastAsia"/>
        </w:rPr>
        <w:t>投标人应当在投标截止时间之前自行查看</w:t>
      </w:r>
      <w:r>
        <w:rPr>
          <w:rFonts w:hint="eastAsia"/>
          <w:lang w:eastAsia="zh-CN"/>
        </w:rPr>
        <w:t>，</w:t>
      </w:r>
      <w:r>
        <w:rPr>
          <w:rFonts w:hint="eastAsia"/>
        </w:rPr>
        <w:t>如有遗漏</w:t>
      </w:r>
      <w:r>
        <w:rPr>
          <w:rFonts w:hint="eastAsia"/>
          <w:lang w:eastAsia="zh-CN"/>
        </w:rPr>
        <w:t>，</w:t>
      </w:r>
      <w:r>
        <w:rPr>
          <w:rFonts w:hint="eastAsia"/>
        </w:rPr>
        <w:t>投标人自行承担责任</w:t>
      </w:r>
      <w:r>
        <w:rPr>
          <w:rFonts w:hint="eastAsia"/>
          <w:lang w:eastAsia="zh-CN"/>
        </w:rPr>
        <w:t>。</w:t>
      </w:r>
    </w:p>
    <w:p w14:paraId="39C1E7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8</w:t>
      </w:r>
      <w:r>
        <w:rPr>
          <w:rFonts w:hint="eastAsia"/>
        </w:rPr>
        <w:t>.2投标人要求对招标文件的澄清必须在投标人须知前附表规定的时间内提出</w:t>
      </w:r>
      <w:r>
        <w:rPr>
          <w:rFonts w:hint="eastAsia"/>
          <w:lang w:eastAsia="zh-CN"/>
        </w:rPr>
        <w:t>。</w:t>
      </w:r>
      <w:r>
        <w:rPr>
          <w:rFonts w:hint="eastAsia"/>
        </w:rPr>
        <w:t>招标人/招标代理机构有权不接收逾期提出的异议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20FC6974">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47085704"/>
      <w:bookmarkStart w:id="72" w:name="_Toc296602435"/>
      <w:bookmarkStart w:id="73" w:name="_Toc179632563"/>
      <w:bookmarkStart w:id="74" w:name="_Toc246996190"/>
      <w:bookmarkStart w:id="75" w:name="_Toc246996933"/>
      <w:bookmarkStart w:id="76" w:name="_Toc144974513"/>
      <w:bookmarkStart w:id="77" w:name="_Toc152045545"/>
      <w:bookmarkStart w:id="78" w:name="_Toc152042321"/>
      <w:r>
        <w:rPr>
          <w:rFonts w:hint="eastAsia"/>
          <w:lang w:val="en-US" w:eastAsia="zh-CN"/>
        </w:rPr>
        <w:t>9.</w:t>
      </w:r>
      <w:r>
        <w:rPr>
          <w:rFonts w:hint="eastAsia"/>
        </w:rPr>
        <w:t>招标文件的修改</w:t>
      </w:r>
      <w:bookmarkEnd w:id="71"/>
      <w:bookmarkEnd w:id="72"/>
      <w:bookmarkEnd w:id="73"/>
      <w:bookmarkEnd w:id="74"/>
      <w:bookmarkEnd w:id="75"/>
      <w:bookmarkEnd w:id="76"/>
      <w:bookmarkEnd w:id="77"/>
      <w:bookmarkEnd w:id="78"/>
    </w:p>
    <w:p w14:paraId="15F25BB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9.1招标人或招标代理机构可以因任何原因</w:t>
      </w:r>
      <w:r>
        <w:rPr>
          <w:rFonts w:hint="eastAsia"/>
          <w:lang w:eastAsia="zh-CN"/>
        </w:rPr>
        <w:t>，</w:t>
      </w:r>
      <w:r>
        <w:rPr>
          <w:rFonts w:hint="eastAsia"/>
        </w:rPr>
        <w:t>在投标截止期前对招标文件进行修改</w:t>
      </w:r>
      <w:r>
        <w:rPr>
          <w:rFonts w:hint="eastAsia"/>
          <w:lang w:eastAsia="zh-CN"/>
        </w:rPr>
        <w:t>，</w:t>
      </w:r>
      <w:r>
        <w:rPr>
          <w:rFonts w:hint="eastAsia"/>
        </w:rPr>
        <w:t>并通知所有获取招标文件的投标人</w:t>
      </w:r>
      <w:r>
        <w:rPr>
          <w:rFonts w:hint="eastAsia"/>
          <w:lang w:eastAsia="zh-CN"/>
        </w:rPr>
        <w:t>。</w:t>
      </w:r>
    </w:p>
    <w:p w14:paraId="586C1F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9.2招标文件的修改内容将作为招标文件的组成部分</w:t>
      </w:r>
      <w:r>
        <w:rPr>
          <w:rFonts w:hint="eastAsia"/>
          <w:lang w:eastAsia="zh-CN"/>
        </w:rPr>
        <w:t>，</w:t>
      </w:r>
      <w:r>
        <w:rPr>
          <w:rFonts w:hint="eastAsia"/>
        </w:rPr>
        <w:t>对投标人具有同样约束力</w:t>
      </w:r>
      <w:r>
        <w:rPr>
          <w:rFonts w:hint="eastAsia"/>
          <w:lang w:eastAsia="zh-CN"/>
        </w:rPr>
        <w:t>。</w:t>
      </w:r>
      <w:r>
        <w:rPr>
          <w:rFonts w:hint="eastAsia"/>
        </w:rPr>
        <w:t>当招标文件的答疑、澄清、变更、通知或补充等在同一内容的表述上不一致时以最后发出的书面文件为准</w:t>
      </w:r>
      <w:r>
        <w:rPr>
          <w:rFonts w:hint="eastAsia"/>
          <w:lang w:eastAsia="zh-CN"/>
        </w:rPr>
        <w:t>。</w:t>
      </w:r>
      <w:r>
        <w:rPr>
          <w:rFonts w:hint="eastAsia"/>
        </w:rPr>
        <w:t>投标人应主动查询</w:t>
      </w:r>
      <w:r>
        <w:rPr>
          <w:rFonts w:hint="eastAsia"/>
          <w:lang w:eastAsia="zh-CN"/>
        </w:rPr>
        <w:t>。</w:t>
      </w:r>
      <w:r>
        <w:rPr>
          <w:rFonts w:hint="eastAsia"/>
        </w:rPr>
        <w:t>招标人/招标代理机构不承担投标人未及时关注相关信息引发的相关责任</w:t>
      </w:r>
      <w:r>
        <w:rPr>
          <w:rFonts w:hint="eastAsia"/>
          <w:lang w:eastAsia="zh-CN"/>
        </w:rPr>
        <w:t>。</w:t>
      </w:r>
    </w:p>
    <w:p w14:paraId="0B3413F9">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9.3招标文件的修改应考虑给予投标人合理的时间制作相应的投标文件</w:t>
      </w:r>
      <w:r>
        <w:rPr>
          <w:rFonts w:hint="eastAsia"/>
          <w:lang w:eastAsia="zh-CN"/>
        </w:rPr>
        <w:t>。</w:t>
      </w:r>
      <w:r>
        <w:rPr>
          <w:rFonts w:hint="eastAsia"/>
        </w:rPr>
        <w:t>招标人/招标代理机构可酌情延长投标截止日期</w:t>
      </w:r>
      <w:r>
        <w:rPr>
          <w:rFonts w:hint="eastAsia"/>
          <w:lang w:eastAsia="zh-CN"/>
        </w:rPr>
        <w:t>，</w:t>
      </w:r>
      <w:r>
        <w:rPr>
          <w:rFonts w:hint="eastAsia"/>
        </w:rPr>
        <w:t>并通知招标文件</w:t>
      </w:r>
      <w:r>
        <w:rPr>
          <w:rFonts w:hint="eastAsia"/>
          <w:lang w:val="en-US" w:eastAsia="zh-CN"/>
        </w:rPr>
        <w:t>获取</w:t>
      </w:r>
      <w:r>
        <w:rPr>
          <w:rFonts w:hint="eastAsia"/>
        </w:rPr>
        <w:t>人</w:t>
      </w:r>
      <w:bookmarkStart w:id="79" w:name="_Toc152045546"/>
      <w:bookmarkStart w:id="80" w:name="_Toc152042322"/>
      <w:bookmarkStart w:id="81" w:name="_Toc296602436"/>
      <w:bookmarkStart w:id="82" w:name="_Toc246996191"/>
      <w:bookmarkStart w:id="83" w:name="_Toc179632564"/>
      <w:bookmarkStart w:id="84" w:name="_Toc246996934"/>
      <w:bookmarkStart w:id="85" w:name="_Toc247085705"/>
      <w:bookmarkStart w:id="86" w:name="_Toc144974514"/>
      <w:r>
        <w:rPr>
          <w:rFonts w:hint="eastAsia"/>
          <w:lang w:eastAsia="zh-CN"/>
        </w:rPr>
        <w:t>。</w:t>
      </w:r>
    </w:p>
    <w:p w14:paraId="20717F1F">
      <w:pPr>
        <w:pStyle w:val="3"/>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三、</w:t>
      </w:r>
      <w:r>
        <w:rPr>
          <w:rFonts w:hint="eastAsia"/>
        </w:rPr>
        <w:t>投标文件</w:t>
      </w:r>
      <w:bookmarkEnd w:id="79"/>
      <w:bookmarkEnd w:id="80"/>
      <w:bookmarkEnd w:id="81"/>
      <w:bookmarkEnd w:id="82"/>
      <w:bookmarkEnd w:id="83"/>
      <w:bookmarkEnd w:id="84"/>
      <w:bookmarkEnd w:id="85"/>
      <w:bookmarkEnd w:id="86"/>
    </w:p>
    <w:p w14:paraId="79210E7D">
      <w:pPr>
        <w:pStyle w:val="4"/>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296602437"/>
      <w:bookmarkStart w:id="88" w:name="_Toc179632565"/>
      <w:bookmarkStart w:id="89" w:name="_Toc247085706"/>
      <w:bookmarkStart w:id="90" w:name="_Toc152045547"/>
      <w:bookmarkStart w:id="91" w:name="_Toc246996935"/>
      <w:bookmarkStart w:id="92" w:name="_Toc144974515"/>
      <w:bookmarkStart w:id="93" w:name="_Toc246996192"/>
      <w:bookmarkStart w:id="94" w:name="_Toc152042323"/>
      <w:r>
        <w:rPr>
          <w:rFonts w:hint="eastAsia"/>
          <w:lang w:val="en-US" w:eastAsia="zh-CN"/>
        </w:rPr>
        <w:t>10.</w:t>
      </w:r>
      <w:r>
        <w:rPr>
          <w:rFonts w:hint="eastAsia"/>
        </w:rPr>
        <w:t>投标文件的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02F2715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1</w:t>
      </w:r>
      <w:r>
        <w:rPr>
          <w:rFonts w:hint="eastAsia"/>
        </w:rPr>
        <w:t>投标文件的构成</w:t>
      </w:r>
      <w:r>
        <w:rPr>
          <w:rFonts w:hint="eastAsia"/>
          <w:lang w:eastAsia="zh-CN"/>
        </w:rPr>
        <w:t>：</w:t>
      </w:r>
      <w:r>
        <w:rPr>
          <w:rFonts w:hint="eastAsia"/>
        </w:rPr>
        <w:t>投标方应按照</w:t>
      </w:r>
      <w:r>
        <w:rPr>
          <w:rFonts w:hint="eastAsia"/>
          <w:lang w:val="en-US" w:eastAsia="zh-CN"/>
        </w:rPr>
        <w:t>第八</w:t>
      </w:r>
      <w:r>
        <w:rPr>
          <w:rFonts w:hint="eastAsia"/>
        </w:rPr>
        <w:t>章所述投标文件格式的要求装订并连续编写页码</w:t>
      </w:r>
      <w:r>
        <w:rPr>
          <w:rFonts w:hint="eastAsia"/>
          <w:lang w:eastAsia="zh-CN"/>
        </w:rPr>
        <w:t>，</w:t>
      </w:r>
      <w:r>
        <w:rPr>
          <w:rFonts w:hint="eastAsia"/>
        </w:rPr>
        <w:t>认真按照格式填写全部内容</w:t>
      </w:r>
      <w:r>
        <w:rPr>
          <w:rFonts w:hint="eastAsia"/>
          <w:lang w:eastAsia="zh-CN"/>
        </w:rPr>
        <w:t>。</w:t>
      </w:r>
    </w:p>
    <w:p w14:paraId="090451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w:t>
      </w:r>
      <w:r>
        <w:rPr>
          <w:rFonts w:hint="eastAsia"/>
        </w:rPr>
        <w:t>投标文件如未按照本条要求提供相应材料可能导致其投标被否决</w:t>
      </w:r>
      <w:r>
        <w:rPr>
          <w:rFonts w:hint="eastAsia"/>
          <w:lang w:eastAsia="zh-CN"/>
        </w:rPr>
        <w:t>。</w:t>
      </w:r>
    </w:p>
    <w:p w14:paraId="23BAF5D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val="en-US" w:eastAsia="zh-CN"/>
        </w:rPr>
        <w:t>.</w:t>
      </w:r>
      <w:r>
        <w:rPr>
          <w:rFonts w:hint="eastAsia"/>
        </w:rPr>
        <w:t>2如投标人无详细说明对招标文件的商务和技术不响应或者没有填写商务技术偏离表</w:t>
      </w:r>
      <w:r>
        <w:rPr>
          <w:rFonts w:hint="eastAsia"/>
          <w:lang w:eastAsia="zh-CN"/>
        </w:rPr>
        <w:t>，</w:t>
      </w:r>
      <w:r>
        <w:rPr>
          <w:rFonts w:hint="eastAsia"/>
        </w:rPr>
        <w:t>则视为投标人默认响应招标文件的商务和技术全部要求</w:t>
      </w:r>
      <w:r>
        <w:rPr>
          <w:rFonts w:hint="eastAsia"/>
          <w:lang w:eastAsia="zh-CN"/>
        </w:rPr>
        <w:t>。</w:t>
      </w:r>
    </w:p>
    <w:p w14:paraId="6E5BFCD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视其投标无效并不予退还投标担保</w:t>
      </w:r>
      <w:r>
        <w:rPr>
          <w:rFonts w:hint="eastAsia"/>
          <w:lang w:eastAsia="zh-CN"/>
        </w:rPr>
        <w:t>。</w:t>
      </w:r>
    </w:p>
    <w:p w14:paraId="6007C85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10.4不接受电话、传真等形式的投标</w:t>
      </w:r>
      <w:r>
        <w:rPr>
          <w:rFonts w:hint="eastAsia"/>
          <w:lang w:eastAsia="zh-CN"/>
        </w:rPr>
        <w:t>，</w:t>
      </w:r>
      <w:r>
        <w:rPr>
          <w:rFonts w:hint="eastAsia"/>
        </w:rPr>
        <w:t>投标文件不退回</w:t>
      </w:r>
      <w:r>
        <w:rPr>
          <w:rFonts w:hint="eastAsia"/>
          <w:lang w:eastAsia="zh-CN"/>
        </w:rPr>
        <w:t>。</w:t>
      </w:r>
    </w:p>
    <w:p w14:paraId="0A0E23A0">
      <w:pPr>
        <w:pStyle w:val="4"/>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152045548"/>
      <w:bookmarkStart w:id="96" w:name="_Toc144974516"/>
      <w:bookmarkStart w:id="97" w:name="_Toc296602438"/>
      <w:bookmarkStart w:id="98" w:name="_Toc246996936"/>
      <w:bookmarkStart w:id="99" w:name="_Toc179632566"/>
      <w:bookmarkStart w:id="100" w:name="_Toc247085707"/>
      <w:bookmarkStart w:id="101" w:name="_Toc152042324"/>
      <w:bookmarkStart w:id="102" w:name="_Toc246996193"/>
      <w:r>
        <w:rPr>
          <w:rFonts w:hint="eastAsia"/>
          <w:lang w:val="en-US" w:eastAsia="zh-CN"/>
        </w:rPr>
        <w:t>11.</w:t>
      </w:r>
      <w:r>
        <w:rPr>
          <w:rFonts w:hint="eastAsia"/>
        </w:rPr>
        <w:t>投标</w:t>
      </w:r>
      <w:bookmarkEnd w:id="95"/>
      <w:bookmarkEnd w:id="96"/>
      <w:bookmarkEnd w:id="97"/>
      <w:bookmarkEnd w:id="98"/>
      <w:bookmarkEnd w:id="99"/>
      <w:bookmarkEnd w:id="100"/>
      <w:bookmarkEnd w:id="101"/>
      <w:bookmarkEnd w:id="102"/>
      <w:r>
        <w:rPr>
          <w:rFonts w:hint="eastAsia"/>
          <w:lang w:val="en-US" w:eastAsia="zh-CN"/>
        </w:rPr>
        <w:t>价格</w:t>
      </w:r>
    </w:p>
    <w:p w14:paraId="147465C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52045549"/>
      <w:bookmarkStart w:id="104" w:name="_Toc179632567"/>
      <w:bookmarkStart w:id="105" w:name="_Toc152042325"/>
      <w:bookmarkStart w:id="106" w:name="_Toc144974517"/>
      <w:r>
        <w:rPr>
          <w:rFonts w:hint="eastAsia"/>
        </w:rPr>
        <w:t>11.1根据招标文件规定的供货和责任范围</w:t>
      </w:r>
      <w:r>
        <w:rPr>
          <w:rFonts w:hint="eastAsia"/>
          <w:lang w:eastAsia="zh-CN"/>
        </w:rPr>
        <w:t>，</w:t>
      </w:r>
      <w:r>
        <w:rPr>
          <w:rFonts w:hint="eastAsia"/>
        </w:rPr>
        <w:t>投标人的报价应包含所投服务、</w:t>
      </w:r>
      <w:r>
        <w:rPr>
          <w:rFonts w:hint="eastAsia"/>
          <w:lang w:val="en-US" w:eastAsia="zh-CN"/>
        </w:rPr>
        <w:t>保</w:t>
      </w:r>
      <w:r>
        <w:rPr>
          <w:rFonts w:hint="eastAsia"/>
        </w:rPr>
        <w:t>险、税费、免费后续服务等工作所发生的一切应有费用</w:t>
      </w:r>
      <w:r>
        <w:rPr>
          <w:rFonts w:hint="eastAsia"/>
          <w:lang w:eastAsia="zh-CN"/>
        </w:rPr>
        <w:t>。</w:t>
      </w:r>
      <w:r>
        <w:rPr>
          <w:rFonts w:hint="eastAsia"/>
        </w:rPr>
        <w:t>投标报价为签订合同的依据投标人应按开标一览表和分项价格表指定的格式报出现场交货的人民币分项价格总价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w:t>
      </w:r>
      <w:r>
        <w:rPr>
          <w:rFonts w:hint="eastAsia"/>
        </w:rPr>
        <w:t>投标人不接受此种修正</w:t>
      </w:r>
      <w:r>
        <w:rPr>
          <w:rFonts w:hint="eastAsia"/>
          <w:lang w:eastAsia="zh-CN"/>
        </w:rPr>
        <w:t>，</w:t>
      </w:r>
      <w:r>
        <w:rPr>
          <w:rFonts w:hint="eastAsia"/>
        </w:rPr>
        <w:t>评标委员会有权否决其投标</w:t>
      </w:r>
      <w:r>
        <w:rPr>
          <w:rFonts w:hint="eastAsia"/>
          <w:lang w:eastAsia="zh-CN"/>
        </w:rPr>
        <w:t>（</w:t>
      </w:r>
      <w:r>
        <w:rPr>
          <w:rFonts w:hint="eastAsia"/>
        </w:rPr>
        <w:t>免费赠送部分除外</w:t>
      </w:r>
      <w:r>
        <w:rPr>
          <w:rFonts w:hint="eastAsia"/>
          <w:lang w:eastAsia="zh-CN"/>
        </w:rPr>
        <w:t>）。</w:t>
      </w:r>
    </w:p>
    <w:p w14:paraId="3E554D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11.2投标人应按照招标文件规定的商务、合同和技术责任进行报价</w:t>
      </w:r>
      <w:r>
        <w:rPr>
          <w:rFonts w:hint="eastAsia"/>
          <w:lang w:eastAsia="zh-CN"/>
        </w:rPr>
        <w:t>。</w:t>
      </w:r>
      <w:r>
        <w:rPr>
          <w:rFonts w:hint="eastAsia"/>
        </w:rPr>
        <w:t>如投标作出商务和技术的偏离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视为全部满足本招标文件的要求</w:t>
      </w:r>
      <w:r>
        <w:rPr>
          <w:rFonts w:hint="eastAsia"/>
          <w:lang w:eastAsia="zh-CN"/>
        </w:rPr>
        <w:t>。</w:t>
      </w:r>
    </w:p>
    <w:p w14:paraId="5E2551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11.3投标人所报的价格在合同执行过程中是固定的</w:t>
      </w:r>
      <w:r>
        <w:rPr>
          <w:rFonts w:hint="eastAsia"/>
          <w:lang w:eastAsia="zh-CN"/>
        </w:rPr>
        <w:t>，</w:t>
      </w:r>
      <w:r>
        <w:rPr>
          <w:rFonts w:hint="eastAsia"/>
        </w:rPr>
        <w:t>不得以任何理由予以变更</w:t>
      </w:r>
      <w:r>
        <w:rPr>
          <w:rFonts w:hint="eastAsia"/>
          <w:lang w:eastAsia="zh-CN"/>
        </w:rPr>
        <w:t>。</w:t>
      </w:r>
    </w:p>
    <w:p w14:paraId="5B935B3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11.4除投标人须知前附表有特殊规定外</w:t>
      </w:r>
      <w:r>
        <w:rPr>
          <w:rFonts w:hint="eastAsia"/>
          <w:lang w:eastAsia="zh-CN"/>
        </w:rPr>
        <w:t>，</w:t>
      </w:r>
      <w:r>
        <w:rPr>
          <w:rFonts w:hint="eastAsia"/>
        </w:rPr>
        <w:t>不接受备选方案或者2个及以上报方案</w:t>
      </w:r>
      <w:r>
        <w:rPr>
          <w:rFonts w:hint="eastAsia"/>
          <w:lang w:eastAsia="zh-CN"/>
        </w:rPr>
        <w:t>。</w:t>
      </w:r>
    </w:p>
    <w:p w14:paraId="44EF147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11.5本项目为交钥匙工程</w:t>
      </w:r>
      <w:r>
        <w:rPr>
          <w:rFonts w:hint="eastAsia"/>
          <w:lang w:eastAsia="zh-CN"/>
        </w:rPr>
        <w:t>，</w:t>
      </w:r>
      <w:r>
        <w:rPr>
          <w:rFonts w:hint="eastAsia"/>
        </w:rPr>
        <w:t>报价应包括外购、外协、配套件</w:t>
      </w:r>
      <w:r>
        <w:rPr>
          <w:rFonts w:hint="eastAsia"/>
          <w:lang w:eastAsia="zh-CN"/>
        </w:rPr>
        <w:t>，</w:t>
      </w:r>
      <w:r>
        <w:rPr>
          <w:rFonts w:hint="eastAsia"/>
        </w:rPr>
        <w:t>原材料及生产制造检验、出成品、包装</w:t>
      </w:r>
      <w:r>
        <w:rPr>
          <w:rFonts w:hint="eastAsia"/>
          <w:lang w:eastAsia="zh-CN"/>
        </w:rPr>
        <w:t>，</w:t>
      </w:r>
      <w:r>
        <w:rPr>
          <w:rFonts w:hint="eastAsia"/>
        </w:rPr>
        <w:t>保险、利税、关税、管理、运费、装卸、安装、调试、检测</w:t>
      </w:r>
      <w:r>
        <w:rPr>
          <w:rFonts w:hint="eastAsia"/>
          <w:lang w:eastAsia="zh-CN"/>
        </w:rPr>
        <w:t>，</w:t>
      </w:r>
      <w:r>
        <w:rPr>
          <w:rFonts w:hint="eastAsia"/>
        </w:rPr>
        <w:t>软件、硬件质量技术监督部门检测费</w:t>
      </w:r>
      <w:r>
        <w:rPr>
          <w:rFonts w:hint="eastAsia"/>
          <w:lang w:eastAsia="zh-CN"/>
        </w:rPr>
        <w:t>，</w:t>
      </w:r>
      <w:r>
        <w:rPr>
          <w:rFonts w:hint="eastAsia"/>
        </w:rPr>
        <w:t>取证</w:t>
      </w:r>
      <w:r>
        <w:rPr>
          <w:rFonts w:hint="eastAsia"/>
          <w:lang w:eastAsia="zh-CN"/>
        </w:rPr>
        <w:t>（</w:t>
      </w:r>
      <w:r>
        <w:rPr>
          <w:rFonts w:hint="eastAsia"/>
        </w:rPr>
        <w:t>如有</w:t>
      </w:r>
      <w:r>
        <w:rPr>
          <w:rFonts w:hint="eastAsia"/>
          <w:lang w:eastAsia="zh-CN"/>
        </w:rPr>
        <w:t>）</w:t>
      </w:r>
      <w:r>
        <w:rPr>
          <w:rFonts w:hint="eastAsia"/>
        </w:rPr>
        <w:t>以及所有项目下装修施工等直至交钥匙工所发生的全部费用</w:t>
      </w:r>
      <w:r>
        <w:rPr>
          <w:rFonts w:hint="eastAsia"/>
          <w:lang w:eastAsia="zh-CN"/>
        </w:rPr>
        <w:t>。</w:t>
      </w:r>
    </w:p>
    <w:p w14:paraId="146136A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11.6最低报价不能作为中标的保证</w:t>
      </w:r>
      <w:r>
        <w:rPr>
          <w:rFonts w:hint="eastAsia"/>
          <w:lang w:eastAsia="zh-CN"/>
        </w:rPr>
        <w:t>。</w:t>
      </w:r>
    </w:p>
    <w:p w14:paraId="530F53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11.7安装和/或装饰工程费用的计价</w:t>
      </w:r>
      <w:r>
        <w:rPr>
          <w:rFonts w:hint="eastAsia"/>
          <w:lang w:eastAsia="zh-CN"/>
        </w:rPr>
        <w:t>（</w:t>
      </w:r>
      <w:r>
        <w:rPr>
          <w:rFonts w:hint="eastAsia"/>
        </w:rPr>
        <w:t>如有</w:t>
      </w:r>
      <w:r>
        <w:rPr>
          <w:rFonts w:hint="eastAsia"/>
          <w:lang w:eastAsia="zh-CN"/>
        </w:rPr>
        <w:t>）：</w:t>
      </w:r>
    </w:p>
    <w:p w14:paraId="5D785C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投标人应依据《安徽省建设工程工程量清单计价规范》</w:t>
      </w:r>
      <w:r>
        <w:rPr>
          <w:rFonts w:hint="eastAsia"/>
          <w:lang w:eastAsia="zh-CN"/>
        </w:rPr>
        <w:t>（</w:t>
      </w:r>
      <w:r>
        <w:rPr>
          <w:rFonts w:hint="eastAsia"/>
        </w:rPr>
        <w:t>DBJ34/T-206-2018</w:t>
      </w:r>
      <w:r>
        <w:rPr>
          <w:rFonts w:hint="eastAsia"/>
          <w:lang w:eastAsia="zh-CN"/>
        </w:rPr>
        <w:t>）</w:t>
      </w:r>
      <w:r>
        <w:rPr>
          <w:rFonts w:hint="eastAsia"/>
        </w:rPr>
        <w:t>及其配套定额规定</w:t>
      </w:r>
      <w:r>
        <w:rPr>
          <w:rFonts w:hint="eastAsia"/>
          <w:lang w:eastAsia="zh-CN"/>
        </w:rPr>
        <w:t>，</w:t>
      </w:r>
      <w:r>
        <w:rPr>
          <w:rFonts w:hint="eastAsia"/>
        </w:rPr>
        <w:t>并结合省市最新的计价规范性文件</w:t>
      </w:r>
      <w:r>
        <w:rPr>
          <w:rFonts w:hint="eastAsia"/>
          <w:lang w:eastAsia="zh-CN"/>
        </w:rPr>
        <w:t>，</w:t>
      </w:r>
      <w:r>
        <w:rPr>
          <w:rFonts w:hint="eastAsia"/>
        </w:rPr>
        <w:t>足额计取最新规定的各类规费和不可竞争费</w:t>
      </w:r>
      <w:r>
        <w:rPr>
          <w:rFonts w:hint="eastAsia"/>
          <w:lang w:eastAsia="zh-CN"/>
        </w:rPr>
        <w:t>，</w:t>
      </w:r>
      <w:r>
        <w:rPr>
          <w:rFonts w:hint="eastAsia"/>
        </w:rPr>
        <w:t>并考虑专项工程的各种报建报审报验等费用</w:t>
      </w:r>
      <w:r>
        <w:rPr>
          <w:rFonts w:hint="eastAsia"/>
          <w:lang w:eastAsia="zh-CN"/>
        </w:rPr>
        <w:t>。</w:t>
      </w:r>
      <w:r>
        <w:rPr>
          <w:rFonts w:hint="eastAsia"/>
        </w:rPr>
        <w:t>投标人若获得中标资格</w:t>
      </w:r>
      <w:r>
        <w:rPr>
          <w:rFonts w:hint="eastAsia"/>
          <w:lang w:eastAsia="zh-CN"/>
        </w:rPr>
        <w:t>，</w:t>
      </w:r>
      <w:r>
        <w:rPr>
          <w:rFonts w:hint="eastAsia"/>
        </w:rPr>
        <w:t>不得就上述因素向招标人提出任何补偿费用</w:t>
      </w:r>
      <w:r>
        <w:rPr>
          <w:rFonts w:hint="eastAsia"/>
          <w:lang w:eastAsia="zh-CN"/>
        </w:rPr>
        <w:t>。</w:t>
      </w:r>
    </w:p>
    <w:p w14:paraId="20FC583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11.8现场踏勘</w:t>
      </w:r>
      <w:r>
        <w:rPr>
          <w:rFonts w:hint="eastAsia"/>
          <w:lang w:eastAsia="zh-CN"/>
        </w:rPr>
        <w:t>：</w:t>
      </w:r>
      <w:r>
        <w:rPr>
          <w:rFonts w:hint="eastAsia"/>
        </w:rPr>
        <w:t>除投标人须知前附表有规定外</w:t>
      </w:r>
      <w:r>
        <w:rPr>
          <w:rFonts w:hint="eastAsia"/>
          <w:lang w:eastAsia="zh-CN"/>
        </w:rPr>
        <w:t>，</w:t>
      </w:r>
      <w:r>
        <w:rPr>
          <w:rFonts w:hint="eastAsia"/>
        </w:rPr>
        <w:t>招标人不组织现场踏勘，</w:t>
      </w:r>
    </w:p>
    <w:p w14:paraId="41592245">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47085708"/>
      <w:bookmarkStart w:id="108" w:name="_Toc246996194"/>
      <w:bookmarkStart w:id="109" w:name="_Toc296602439"/>
      <w:bookmarkStart w:id="110" w:name="_Toc246996937"/>
      <w:r>
        <w:rPr>
          <w:rFonts w:hint="eastAsia"/>
          <w:lang w:val="en-US" w:eastAsia="zh-CN"/>
        </w:rPr>
        <w:t>12.</w:t>
      </w:r>
      <w:r>
        <w:rPr>
          <w:rFonts w:hint="eastAsia"/>
        </w:rPr>
        <w:t>投标</w:t>
      </w:r>
      <w:bookmarkEnd w:id="103"/>
      <w:bookmarkEnd w:id="104"/>
      <w:bookmarkEnd w:id="105"/>
      <w:bookmarkEnd w:id="106"/>
      <w:bookmarkEnd w:id="107"/>
      <w:bookmarkEnd w:id="108"/>
      <w:bookmarkEnd w:id="109"/>
      <w:bookmarkEnd w:id="110"/>
      <w:r>
        <w:rPr>
          <w:rFonts w:hint="eastAsia"/>
          <w:lang w:val="en-US" w:eastAsia="zh-CN"/>
        </w:rPr>
        <w:t>担保</w:t>
      </w:r>
    </w:p>
    <w:p w14:paraId="5145FE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12.1 投标人应按照招标文件的相关规定提交投标担保</w:t>
      </w:r>
      <w:r>
        <w:rPr>
          <w:rFonts w:hint="eastAsia"/>
          <w:lang w:eastAsia="zh-CN"/>
        </w:rPr>
        <w:t>，</w:t>
      </w:r>
      <w:r>
        <w:rPr>
          <w:rFonts w:hint="eastAsia"/>
        </w:rPr>
        <w:t>并作为其投标文件的组成部分</w:t>
      </w:r>
      <w:r>
        <w:rPr>
          <w:rFonts w:hint="eastAsia"/>
          <w:lang w:eastAsia="zh-CN"/>
        </w:rPr>
        <w:t>。</w:t>
      </w:r>
    </w:p>
    <w:p w14:paraId="4DA30F0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12.2 投标人以现金方式提交投标担保的</w:t>
      </w:r>
      <w:r>
        <w:rPr>
          <w:rFonts w:hint="eastAsia"/>
          <w:lang w:eastAsia="zh-CN"/>
        </w:rPr>
        <w:t>，</w:t>
      </w:r>
      <w:r>
        <w:rPr>
          <w:rFonts w:hint="eastAsia"/>
        </w:rPr>
        <w:t>须从投标人本单位账户汇出，不接受其他单位或个人代缴的投标担保</w:t>
      </w:r>
      <w:r>
        <w:rPr>
          <w:rFonts w:hint="eastAsia"/>
          <w:lang w:eastAsia="zh-CN"/>
        </w:rPr>
        <w:t>。</w:t>
      </w:r>
    </w:p>
    <w:p w14:paraId="1C38091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12.3 未按照招标文件的规定提交投标担保的</w:t>
      </w:r>
      <w:r>
        <w:rPr>
          <w:rFonts w:hint="eastAsia"/>
          <w:lang w:eastAsia="zh-CN"/>
        </w:rPr>
        <w:t>，</w:t>
      </w:r>
      <w:r>
        <w:rPr>
          <w:rFonts w:hint="eastAsia"/>
        </w:rPr>
        <w:t>其投标将被否决</w:t>
      </w:r>
      <w:r>
        <w:rPr>
          <w:rFonts w:hint="eastAsia"/>
          <w:lang w:eastAsia="zh-CN"/>
        </w:rPr>
        <w:t>。</w:t>
      </w:r>
    </w:p>
    <w:p w14:paraId="4EF03F3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12.4投标人以现金方式提交的投标担保将一律按电汇或转账方式退还至投标人单位账户，不退至个人，不退纸币</w:t>
      </w:r>
      <w:r>
        <w:rPr>
          <w:rFonts w:hint="eastAsia"/>
          <w:lang w:eastAsia="zh-CN"/>
        </w:rPr>
        <w:t>。</w:t>
      </w:r>
    </w:p>
    <w:p w14:paraId="5E3F2D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12.5下列任何情况发生时</w:t>
      </w:r>
      <w:r>
        <w:rPr>
          <w:rFonts w:hint="eastAsia"/>
          <w:lang w:eastAsia="zh-CN"/>
        </w:rPr>
        <w:t>，</w:t>
      </w:r>
      <w:r>
        <w:rPr>
          <w:rFonts w:hint="eastAsia"/>
        </w:rPr>
        <w:t>投标担保将不予退还</w:t>
      </w:r>
      <w:r>
        <w:rPr>
          <w:rFonts w:hint="eastAsia"/>
          <w:lang w:eastAsia="zh-CN"/>
        </w:rPr>
        <w:t>：</w:t>
      </w:r>
    </w:p>
    <w:p w14:paraId="6649887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投标人在投标有效期内撤销其投标</w:t>
      </w:r>
      <w:r>
        <w:rPr>
          <w:rFonts w:hint="eastAsia"/>
          <w:lang w:eastAsia="zh-CN"/>
        </w:rPr>
        <w:t>；</w:t>
      </w:r>
    </w:p>
    <w:p w14:paraId="419BF36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中标人未能在规定的时间内签署合同</w:t>
      </w:r>
      <w:r>
        <w:rPr>
          <w:rFonts w:hint="eastAsia"/>
          <w:lang w:eastAsia="zh-CN"/>
        </w:rPr>
        <w:t>；</w:t>
      </w:r>
    </w:p>
    <w:p w14:paraId="216592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7774DB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投标人未按规定缴纳中标服务费</w:t>
      </w:r>
      <w:r>
        <w:rPr>
          <w:rFonts w:hint="eastAsia"/>
          <w:lang w:eastAsia="zh-CN"/>
        </w:rPr>
        <w:t>；</w:t>
      </w:r>
    </w:p>
    <w:p w14:paraId="6E7C0A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5</w:t>
      </w:r>
      <w:r>
        <w:rPr>
          <w:rFonts w:hint="eastAsia"/>
          <w:lang w:eastAsia="zh-CN"/>
        </w:rPr>
        <w:t>）</w:t>
      </w:r>
      <w:r>
        <w:rPr>
          <w:rFonts w:hint="eastAsia"/>
        </w:rPr>
        <w:t>投标人在投标文件中提供虚假材料或有串标、围标等恶意行为的</w:t>
      </w:r>
      <w:r>
        <w:rPr>
          <w:rFonts w:hint="eastAsia"/>
          <w:lang w:eastAsia="zh-CN"/>
        </w:rPr>
        <w:t>；</w:t>
      </w:r>
    </w:p>
    <w:p w14:paraId="330D82C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6</w:t>
      </w:r>
      <w:r>
        <w:rPr>
          <w:rFonts w:hint="eastAsia"/>
          <w:lang w:eastAsia="zh-CN"/>
        </w:rPr>
        <w:t>）</w:t>
      </w:r>
      <w:r>
        <w:rPr>
          <w:rFonts w:hint="eastAsia"/>
        </w:rPr>
        <w:t>法律法规规定的其他不予退还的情形</w:t>
      </w:r>
      <w:r>
        <w:rPr>
          <w:rFonts w:hint="eastAsia"/>
          <w:lang w:eastAsia="zh-CN"/>
        </w:rPr>
        <w:t>。</w:t>
      </w:r>
    </w:p>
    <w:p w14:paraId="0311344D">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11" w:name="_Toc247085709"/>
      <w:bookmarkStart w:id="112" w:name="_Toc246996938"/>
      <w:bookmarkStart w:id="113" w:name="_Toc152045550"/>
      <w:bookmarkStart w:id="114" w:name="_Toc179632568"/>
      <w:bookmarkStart w:id="115" w:name="_Toc296602440"/>
      <w:bookmarkStart w:id="116" w:name="_Toc152042326"/>
      <w:bookmarkStart w:id="117" w:name="_Toc144974518"/>
      <w:bookmarkStart w:id="118" w:name="_Toc246996195"/>
      <w:r>
        <w:rPr>
          <w:rFonts w:hint="eastAsia"/>
          <w:lang w:val="en-US" w:eastAsia="zh-CN"/>
        </w:rPr>
        <w:t>13.</w:t>
      </w:r>
      <w:r>
        <w:rPr>
          <w:rFonts w:hint="eastAsia"/>
        </w:rPr>
        <w:t>投标</w:t>
      </w:r>
      <w:bookmarkEnd w:id="111"/>
      <w:bookmarkEnd w:id="112"/>
      <w:bookmarkEnd w:id="113"/>
      <w:bookmarkEnd w:id="114"/>
      <w:bookmarkEnd w:id="115"/>
      <w:bookmarkEnd w:id="116"/>
      <w:bookmarkEnd w:id="117"/>
      <w:bookmarkEnd w:id="118"/>
      <w:r>
        <w:rPr>
          <w:rFonts w:hint="eastAsia"/>
          <w:lang w:val="en-US" w:eastAsia="zh-CN"/>
        </w:rPr>
        <w:t>文件的有效期</w:t>
      </w:r>
    </w:p>
    <w:p w14:paraId="0367A3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19" w:name="_Toc144974520"/>
      <w:bookmarkStart w:id="120" w:name="_Toc246996196"/>
      <w:bookmarkStart w:id="121" w:name="_Toc179632570"/>
      <w:bookmarkStart w:id="122" w:name="_Toc296602441"/>
      <w:bookmarkStart w:id="123" w:name="_Toc246996939"/>
      <w:bookmarkStart w:id="124" w:name="_Toc152042328"/>
      <w:bookmarkStart w:id="125" w:name="_Toc247085710"/>
      <w:bookmarkStart w:id="126" w:name="_Toc152045552"/>
      <w:r>
        <w:rPr>
          <w:rFonts w:hint="eastAsia"/>
        </w:rPr>
        <w:t>13.1投标文件应在投标文件有效期内有效</w:t>
      </w:r>
      <w:r>
        <w:rPr>
          <w:rFonts w:hint="eastAsia"/>
          <w:lang w:eastAsia="zh-CN"/>
        </w:rPr>
        <w:t>。</w:t>
      </w:r>
      <w:r>
        <w:rPr>
          <w:rFonts w:hint="eastAsia"/>
        </w:rPr>
        <w:t>投标文件有效期短于招标文件规定的投标有效期的</w:t>
      </w:r>
      <w:r>
        <w:rPr>
          <w:rFonts w:hint="eastAsia"/>
          <w:lang w:eastAsia="zh-CN"/>
        </w:rPr>
        <w:t>，</w:t>
      </w:r>
      <w:r>
        <w:rPr>
          <w:rFonts w:hint="eastAsia"/>
        </w:rPr>
        <w:t>其投标将被否决</w:t>
      </w:r>
      <w:r>
        <w:rPr>
          <w:rFonts w:hint="eastAsia"/>
          <w:lang w:eastAsia="zh-CN"/>
        </w:rPr>
        <w:t>。</w:t>
      </w:r>
    </w:p>
    <w:p w14:paraId="024F254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楷体_GB2312" w:hAnsi="宋体" w:eastAsiaTheme="minorEastAsia"/>
          <w:szCs w:val="21"/>
          <w:lang w:eastAsia="zh-CN"/>
        </w:rPr>
      </w:pPr>
      <w:r>
        <w:rPr>
          <w:rFonts w:hint="eastAsia"/>
        </w:rPr>
        <w:t>13.2特殊情况下</w:t>
      </w:r>
      <w:r>
        <w:rPr>
          <w:rFonts w:hint="eastAsia"/>
          <w:lang w:eastAsia="zh-CN"/>
        </w:rPr>
        <w:t>，</w:t>
      </w:r>
      <w:r>
        <w:rPr>
          <w:rFonts w:hint="eastAsia"/>
        </w:rPr>
        <w:t>在投标有效期截止之前</w:t>
      </w:r>
      <w:r>
        <w:rPr>
          <w:rFonts w:hint="eastAsia"/>
          <w:lang w:eastAsia="zh-CN"/>
        </w:rPr>
        <w:t>，</w:t>
      </w:r>
      <w:r>
        <w:rPr>
          <w:rFonts w:hint="eastAsia"/>
        </w:rPr>
        <w:t>招标人或招标代理机构可要求投标人同意延长投标有效期</w:t>
      </w:r>
      <w:r>
        <w:rPr>
          <w:rFonts w:hint="eastAsia"/>
          <w:lang w:eastAsia="zh-CN"/>
        </w:rPr>
        <w:t>，</w:t>
      </w:r>
      <w:r>
        <w:rPr>
          <w:rFonts w:hint="eastAsia"/>
        </w:rPr>
        <w:t>这种要求与答复均应以书面形式提交</w:t>
      </w:r>
      <w:r>
        <w:rPr>
          <w:rFonts w:hint="eastAsia"/>
          <w:lang w:eastAsia="zh-CN"/>
        </w:rPr>
        <w:t>，</w:t>
      </w:r>
      <w:r>
        <w:rPr>
          <w:rFonts w:hint="eastAsia"/>
        </w:rPr>
        <w:t>投标人可拒绝</w:t>
      </w:r>
      <w:r>
        <w:rPr>
          <w:rFonts w:hint="eastAsia"/>
          <w:lang w:eastAsia="zh-CN"/>
        </w:rPr>
        <w:t>，</w:t>
      </w:r>
      <w:r>
        <w:rPr>
          <w:rFonts w:hint="eastAsia"/>
        </w:rPr>
        <w:t>但应当退还其投标担保</w:t>
      </w:r>
      <w:r>
        <w:rPr>
          <w:rFonts w:hint="eastAsia"/>
          <w:lang w:eastAsia="zh-CN"/>
        </w:rPr>
        <w:t>。</w:t>
      </w:r>
      <w:r>
        <w:rPr>
          <w:rFonts w:hint="eastAsia"/>
        </w:rPr>
        <w:t>同意延长投标有效期的投标人将相应地延长其投标担保的有效期</w:t>
      </w:r>
      <w:r>
        <w:rPr>
          <w:rFonts w:hint="eastAsia"/>
          <w:lang w:eastAsia="zh-CN"/>
        </w:rPr>
        <w:t>，</w:t>
      </w:r>
      <w:r>
        <w:rPr>
          <w:rFonts w:hint="eastAsia"/>
        </w:rPr>
        <w:t>但不得修正投标文件的其他内容</w:t>
      </w:r>
      <w:r>
        <w:rPr>
          <w:rFonts w:hint="eastAsia"/>
          <w:lang w:eastAsia="zh-CN"/>
        </w:rPr>
        <w:t>。</w:t>
      </w:r>
    </w:p>
    <w:p w14:paraId="6E103EC6">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14.</w:t>
      </w:r>
      <w:bookmarkEnd w:id="119"/>
      <w:bookmarkEnd w:id="120"/>
      <w:bookmarkEnd w:id="121"/>
      <w:bookmarkEnd w:id="122"/>
      <w:bookmarkEnd w:id="123"/>
      <w:bookmarkEnd w:id="124"/>
      <w:bookmarkEnd w:id="125"/>
      <w:bookmarkEnd w:id="126"/>
      <w:r>
        <w:rPr>
          <w:rFonts w:hint="eastAsia"/>
        </w:rPr>
        <w:t>投标文件的制作和签署</w:t>
      </w:r>
    </w:p>
    <w:p w14:paraId="1907CE1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1</w:t>
      </w:r>
      <w:r>
        <w:rPr>
          <w:rFonts w:hint="eastAsia"/>
        </w:rPr>
        <w:t>投标人应按照投标人须知前附表的要求准备投标文件</w:t>
      </w:r>
      <w:r>
        <w:rPr>
          <w:rFonts w:hint="eastAsia"/>
          <w:lang w:eastAsia="zh-CN"/>
        </w:rPr>
        <w:t>（</w:t>
      </w:r>
      <w:r>
        <w:rPr>
          <w:rFonts w:hint="eastAsia"/>
        </w:rPr>
        <w:t>包含电子版</w:t>
      </w:r>
      <w:r>
        <w:rPr>
          <w:rFonts w:hint="eastAsia"/>
          <w:lang w:val="en-US" w:eastAsia="zh-CN"/>
        </w:rPr>
        <w:t>投标文件</w:t>
      </w:r>
      <w:r>
        <w:rPr>
          <w:rFonts w:hint="eastAsia"/>
          <w:lang w:eastAsia="zh-CN"/>
        </w:rPr>
        <w:t>），</w:t>
      </w:r>
      <w:r>
        <w:rPr>
          <w:rFonts w:hint="eastAsia"/>
        </w:rPr>
        <w:t>并在封而上注明“正本”和“副本”字样</w:t>
      </w:r>
      <w:r>
        <w:rPr>
          <w:rFonts w:hint="eastAsia"/>
          <w:lang w:eastAsia="zh-CN"/>
        </w:rPr>
        <w:t>。</w:t>
      </w:r>
      <w:r>
        <w:rPr>
          <w:rFonts w:hint="eastAsia"/>
        </w:rPr>
        <w:t>投标文件的副本可采用正本的</w:t>
      </w:r>
      <w:r>
        <w:rPr>
          <w:rFonts w:hint="eastAsia"/>
          <w:lang w:val="en-US" w:eastAsia="zh-CN"/>
        </w:rPr>
        <w:t>复印件。为</w:t>
      </w:r>
      <w:r>
        <w:rPr>
          <w:rFonts w:hint="eastAsia"/>
        </w:rPr>
        <w:t>节约</w:t>
      </w:r>
      <w:r>
        <w:rPr>
          <w:rFonts w:hint="eastAsia"/>
          <w:lang w:val="en-US" w:eastAsia="zh-CN"/>
        </w:rPr>
        <w:t>纸张</w:t>
      </w:r>
      <w:r>
        <w:rPr>
          <w:rFonts w:hint="eastAsia"/>
          <w:lang w:eastAsia="zh-CN"/>
        </w:rPr>
        <w:t>，</w:t>
      </w:r>
      <w:r>
        <w:rPr>
          <w:rFonts w:hint="eastAsia"/>
        </w:rPr>
        <w:t>建议双面打印并简装投标文件</w:t>
      </w:r>
      <w:r>
        <w:rPr>
          <w:rFonts w:hint="eastAsia"/>
          <w:lang w:eastAsia="zh-CN"/>
        </w:rPr>
        <w:t>。</w:t>
      </w:r>
      <w:r>
        <w:rPr>
          <w:rFonts w:hint="eastAsia"/>
        </w:rPr>
        <w:t>投标文件的正本与副本如有不</w:t>
      </w:r>
      <w:r>
        <w:rPr>
          <w:rFonts w:hint="eastAsia"/>
          <w:lang w:val="en-US" w:eastAsia="zh-CN"/>
        </w:rPr>
        <w:t>一</w:t>
      </w:r>
      <w:r>
        <w:rPr>
          <w:rFonts w:hint="eastAsia"/>
        </w:rPr>
        <w:t>致</w:t>
      </w:r>
      <w:r>
        <w:rPr>
          <w:rFonts w:hint="eastAsia"/>
          <w:lang w:val="en-US" w:eastAsia="zh-CN"/>
        </w:rPr>
        <w:t>之</w:t>
      </w:r>
      <w:r>
        <w:rPr>
          <w:rFonts w:hint="eastAsia"/>
        </w:rPr>
        <w:t>处</w:t>
      </w:r>
      <w:r>
        <w:rPr>
          <w:rFonts w:hint="eastAsia"/>
          <w:lang w:eastAsia="zh-CN"/>
        </w:rPr>
        <w:t>。</w:t>
      </w:r>
      <w:r>
        <w:rPr>
          <w:rFonts w:hint="eastAsia"/>
        </w:rPr>
        <w:t>以正本为准</w:t>
      </w:r>
      <w:r>
        <w:rPr>
          <w:rFonts w:hint="eastAsia"/>
          <w:lang w:eastAsia="zh-CN"/>
        </w:rPr>
        <w:t>。</w:t>
      </w:r>
    </w:p>
    <w:p w14:paraId="3C82F5B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w:t>
      </w:r>
      <w:r>
        <w:rPr>
          <w:rFonts w:hint="eastAsia"/>
          <w:lang w:val="en-US" w:eastAsia="zh-CN"/>
        </w:rPr>
        <w:t>.</w:t>
      </w:r>
      <w:r>
        <w:rPr>
          <w:rFonts w:hint="eastAsia"/>
        </w:rPr>
        <w:t>2</w:t>
      </w:r>
      <w:r>
        <w:rPr>
          <w:rFonts w:hint="eastAsia"/>
          <w:lang w:val="en-US" w:eastAsia="zh-CN"/>
        </w:rPr>
        <w:t>若项目</w:t>
      </w:r>
      <w:r>
        <w:rPr>
          <w:rFonts w:hint="eastAsia"/>
        </w:rPr>
        <w:t>分包</w:t>
      </w:r>
      <w:r>
        <w:rPr>
          <w:rFonts w:hint="eastAsia"/>
          <w:lang w:eastAsia="zh-CN"/>
        </w:rPr>
        <w:t>，</w:t>
      </w:r>
      <w:r>
        <w:rPr>
          <w:rFonts w:hint="eastAsia"/>
        </w:rPr>
        <w:t>投标文件按包分别制作</w:t>
      </w:r>
      <w:r>
        <w:rPr>
          <w:rFonts w:hint="eastAsia"/>
          <w:lang w:eastAsia="zh-CN"/>
        </w:rPr>
        <w:t>，</w:t>
      </w:r>
      <w:r>
        <w:rPr>
          <w:rFonts w:hint="eastAsia"/>
        </w:rPr>
        <w:t>采用非活页方式装订</w:t>
      </w:r>
      <w:r>
        <w:rPr>
          <w:rFonts w:hint="eastAsia"/>
          <w:lang w:eastAsia="zh-CN"/>
        </w:rPr>
        <w:t>。</w:t>
      </w:r>
      <w:r>
        <w:rPr>
          <w:rFonts w:hint="eastAsia"/>
        </w:rPr>
        <w:t>若投标人为需要附产品样本等资料的</w:t>
      </w:r>
      <w:r>
        <w:rPr>
          <w:rFonts w:hint="eastAsia"/>
          <w:lang w:eastAsia="zh-CN"/>
        </w:rPr>
        <w:t>，</w:t>
      </w:r>
      <w:r>
        <w:rPr>
          <w:rFonts w:hint="eastAsia"/>
        </w:rPr>
        <w:t>相关资料不得散装</w:t>
      </w:r>
      <w:r>
        <w:rPr>
          <w:rFonts w:hint="eastAsia"/>
          <w:lang w:eastAsia="zh-CN"/>
        </w:rPr>
        <w:t>，</w:t>
      </w:r>
      <w:r>
        <w:rPr>
          <w:rFonts w:hint="eastAsia"/>
        </w:rPr>
        <w:t>可装订在投标文件的最后部分</w:t>
      </w:r>
      <w:r>
        <w:rPr>
          <w:rFonts w:hint="eastAsia"/>
          <w:lang w:eastAsia="zh-CN"/>
        </w:rPr>
        <w:t>（</w:t>
      </w:r>
      <w:r>
        <w:rPr>
          <w:rFonts w:hint="eastAsia"/>
        </w:rPr>
        <w:t>殊规格的图纸、方案、图片、资料除外</w:t>
      </w:r>
      <w:r>
        <w:rPr>
          <w:rFonts w:hint="eastAsia"/>
          <w:lang w:eastAsia="zh-CN"/>
        </w:rPr>
        <w:t>）。</w:t>
      </w:r>
      <w:r>
        <w:rPr>
          <w:rFonts w:hint="eastAsia"/>
        </w:rPr>
        <w:t>投标文件如采用不牢固装订，不牢固装</w:t>
      </w:r>
      <w:r>
        <w:rPr>
          <w:rFonts w:hint="eastAsia"/>
          <w:lang w:val="en-US" w:eastAsia="zh-CN"/>
        </w:rPr>
        <w:t>订包</w:t>
      </w:r>
      <w:r>
        <w:rPr>
          <w:rFonts w:hint="eastAsia"/>
        </w:rPr>
        <w:t>括但不限于各种活页夹、文件夹、塑料方便式书籍</w:t>
      </w:r>
      <w:r>
        <w:rPr>
          <w:rFonts w:hint="eastAsia"/>
          <w:lang w:eastAsia="zh-CN"/>
        </w:rPr>
        <w:t>（</w:t>
      </w:r>
      <w:r>
        <w:rPr>
          <w:rFonts w:hint="eastAsia"/>
        </w:rPr>
        <w:t>插人式或穿孔式</w:t>
      </w:r>
      <w:r>
        <w:rPr>
          <w:rFonts w:hint="eastAsia"/>
          <w:lang w:eastAsia="zh-CN"/>
        </w:rPr>
        <w:t>）</w:t>
      </w:r>
      <w:r>
        <w:rPr>
          <w:rFonts w:hint="eastAsia"/>
        </w:rPr>
        <w:t>等</w:t>
      </w:r>
      <w:r>
        <w:rPr>
          <w:rFonts w:hint="eastAsia"/>
          <w:lang w:eastAsia="zh-CN"/>
        </w:rPr>
        <w:t>，</w:t>
      </w:r>
      <w:r>
        <w:rPr>
          <w:rFonts w:hint="eastAsia"/>
        </w:rPr>
        <w:t>导致</w:t>
      </w:r>
      <w:r>
        <w:rPr>
          <w:rFonts w:hint="eastAsia"/>
          <w:lang w:val="en-US" w:eastAsia="zh-CN"/>
        </w:rPr>
        <w:t>投标</w:t>
      </w:r>
      <w:r>
        <w:rPr>
          <w:rFonts w:hint="eastAsia"/>
        </w:rPr>
        <w:t>文件不完整、影响评审的，一切后果由投标人自行承担</w:t>
      </w:r>
      <w:r>
        <w:rPr>
          <w:rFonts w:hint="eastAsia"/>
          <w:lang w:eastAsia="zh-CN"/>
        </w:rPr>
        <w:t>。</w:t>
      </w:r>
    </w:p>
    <w:p w14:paraId="2A31752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14.3每份投标文件正本和所有副本均需打印</w:t>
      </w:r>
      <w:r>
        <w:rPr>
          <w:rFonts w:hint="eastAsia"/>
          <w:lang w:eastAsia="zh-CN"/>
        </w:rPr>
        <w:t>，</w:t>
      </w:r>
      <w:r>
        <w:rPr>
          <w:rFonts w:hint="eastAsia"/>
        </w:rPr>
        <w:t>且用不褪色墨水书写</w:t>
      </w:r>
      <w:r>
        <w:rPr>
          <w:rFonts w:hint="eastAsia"/>
          <w:lang w:eastAsia="zh-CN"/>
        </w:rPr>
        <w:t>，</w:t>
      </w:r>
      <w:r>
        <w:rPr>
          <w:rFonts w:hint="eastAsia"/>
        </w:rPr>
        <w:t>并由投人法定代表人</w:t>
      </w:r>
      <w:r>
        <w:rPr>
          <w:rFonts w:hint="eastAsia"/>
          <w:lang w:eastAsia="zh-CN"/>
        </w:rPr>
        <w:t>（</w:t>
      </w:r>
      <w:r>
        <w:rPr>
          <w:rFonts w:hint="eastAsia"/>
        </w:rPr>
        <w:t>单位负责人</w:t>
      </w:r>
      <w:r>
        <w:rPr>
          <w:rFonts w:hint="eastAsia"/>
          <w:lang w:eastAsia="zh-CN"/>
        </w:rPr>
        <w:t>）</w:t>
      </w:r>
      <w:r>
        <w:rPr>
          <w:rFonts w:hint="eastAsia"/>
        </w:rPr>
        <w:t>或经其授权的授权代表签字或盖单位章</w:t>
      </w:r>
      <w:r>
        <w:rPr>
          <w:rFonts w:hint="eastAsia"/>
          <w:lang w:eastAsia="zh-CN"/>
        </w:rPr>
        <w:t>。</w:t>
      </w:r>
      <w:r>
        <w:rPr>
          <w:rFonts w:hint="eastAsia"/>
        </w:rPr>
        <w:t>投标人须按投标文件格式的规定出具《法定代表人</w:t>
      </w:r>
      <w:r>
        <w:rPr>
          <w:rFonts w:hint="eastAsia"/>
          <w:lang w:eastAsia="zh-CN"/>
        </w:rPr>
        <w:t>（</w:t>
      </w:r>
      <w:r>
        <w:rPr>
          <w:rFonts w:hint="eastAsia"/>
        </w:rPr>
        <w:t>单位负责人</w:t>
      </w:r>
      <w:r>
        <w:rPr>
          <w:rFonts w:hint="eastAsia"/>
          <w:lang w:eastAsia="zh-CN"/>
        </w:rPr>
        <w:t>）</w:t>
      </w:r>
      <w:r>
        <w:rPr>
          <w:rFonts w:hint="eastAsia"/>
        </w:rPr>
        <w:t>授权书》</w:t>
      </w:r>
      <w:r>
        <w:rPr>
          <w:rFonts w:hint="eastAsia"/>
          <w:lang w:eastAsia="zh-CN"/>
        </w:rPr>
        <w:t>，</w:t>
      </w:r>
      <w:r>
        <w:rPr>
          <w:rFonts w:hint="eastAsia"/>
        </w:rPr>
        <w:t>并附在投标文件中</w:t>
      </w:r>
      <w:r>
        <w:rPr>
          <w:rFonts w:hint="eastAsia"/>
          <w:lang w:eastAsia="zh-CN"/>
        </w:rPr>
        <w:t>。</w:t>
      </w:r>
    </w:p>
    <w:p w14:paraId="0BFD58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rPr>
        <w:t>14.4投标文件中尽量避免行间插字、涂改和增删</w:t>
      </w:r>
      <w:r>
        <w:rPr>
          <w:rFonts w:hint="eastAsia"/>
          <w:lang w:eastAsia="zh-CN"/>
        </w:rPr>
        <w:t>。</w:t>
      </w:r>
      <w:r>
        <w:rPr>
          <w:rFonts w:hint="eastAsia"/>
        </w:rPr>
        <w:t>如果出现上述情况</w:t>
      </w:r>
      <w:r>
        <w:rPr>
          <w:rFonts w:hint="eastAsia"/>
          <w:lang w:eastAsia="zh-CN"/>
        </w:rPr>
        <w:t>，</w:t>
      </w:r>
      <w:r>
        <w:rPr>
          <w:rFonts w:hint="eastAsia"/>
        </w:rPr>
        <w:t>必须投标人的法定代表人</w:t>
      </w:r>
      <w:r>
        <w:rPr>
          <w:rFonts w:hint="eastAsia"/>
          <w:lang w:eastAsia="zh-CN"/>
        </w:rPr>
        <w:t>（</w:t>
      </w:r>
      <w:r>
        <w:rPr>
          <w:rFonts w:hint="eastAsia"/>
        </w:rPr>
        <w:t>单位负责人</w:t>
      </w:r>
      <w:r>
        <w:rPr>
          <w:rFonts w:hint="eastAsia"/>
          <w:lang w:eastAsia="zh-CN"/>
        </w:rPr>
        <w:t>）</w:t>
      </w:r>
      <w:r>
        <w:rPr>
          <w:rFonts w:hint="eastAsia"/>
        </w:rPr>
        <w:t>或其授权的授权代表签字或盖单位</w:t>
      </w:r>
      <w:r>
        <w:rPr>
          <w:rFonts w:hint="eastAsia"/>
          <w:lang w:val="en-US" w:eastAsia="zh-CN"/>
        </w:rPr>
        <w:t>章。</w:t>
      </w:r>
    </w:p>
    <w:p w14:paraId="71A1E839">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27" w:name="_Toc179632573"/>
      <w:bookmarkStart w:id="128" w:name="_Toc247085713"/>
      <w:bookmarkStart w:id="129" w:name="_Toc246996942"/>
      <w:bookmarkStart w:id="130" w:name="_Toc246996199"/>
      <w:bookmarkStart w:id="131" w:name="_Toc152045555"/>
      <w:bookmarkStart w:id="132" w:name="_Toc152042331"/>
      <w:bookmarkStart w:id="133" w:name="_Toc296602443"/>
      <w:bookmarkStart w:id="134" w:name="_Toc144974523"/>
      <w:r>
        <w:rPr>
          <w:rFonts w:hint="eastAsia"/>
          <w:lang w:val="en-US" w:eastAsia="zh-CN"/>
        </w:rPr>
        <w:t>四</w:t>
      </w:r>
      <w:bookmarkEnd w:id="127"/>
      <w:bookmarkEnd w:id="128"/>
      <w:bookmarkEnd w:id="129"/>
      <w:bookmarkEnd w:id="130"/>
      <w:bookmarkEnd w:id="131"/>
      <w:bookmarkEnd w:id="132"/>
      <w:bookmarkEnd w:id="133"/>
      <w:bookmarkEnd w:id="134"/>
      <w:r>
        <w:rPr>
          <w:rFonts w:hint="eastAsia"/>
          <w:lang w:eastAsia="zh-CN"/>
        </w:rPr>
        <w:t>、</w:t>
      </w:r>
      <w:r>
        <w:rPr>
          <w:rFonts w:hint="eastAsia"/>
        </w:rPr>
        <w:t>投标文件的提交</w:t>
      </w:r>
    </w:p>
    <w:p w14:paraId="0A2725E5">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35" w:name="_Toc179632574"/>
      <w:bookmarkStart w:id="136" w:name="_Toc246996200"/>
      <w:bookmarkStart w:id="137" w:name="_Toc246996943"/>
      <w:bookmarkStart w:id="138" w:name="_Toc152042332"/>
      <w:bookmarkStart w:id="139" w:name="_Toc247085714"/>
      <w:bookmarkStart w:id="140" w:name="_Toc152045556"/>
      <w:bookmarkStart w:id="141" w:name="_Toc296602444"/>
      <w:bookmarkStart w:id="142" w:name="_Toc144974524"/>
      <w:r>
        <w:rPr>
          <w:rFonts w:hint="eastAsia"/>
          <w:lang w:val="en-US" w:eastAsia="zh-CN"/>
        </w:rPr>
        <w:t>15.</w:t>
      </w:r>
      <w:bookmarkEnd w:id="135"/>
      <w:bookmarkEnd w:id="136"/>
      <w:bookmarkEnd w:id="137"/>
      <w:bookmarkEnd w:id="138"/>
      <w:bookmarkEnd w:id="139"/>
      <w:bookmarkEnd w:id="140"/>
      <w:bookmarkEnd w:id="141"/>
      <w:bookmarkEnd w:id="142"/>
      <w:r>
        <w:rPr>
          <w:rFonts w:hint="eastAsia"/>
        </w:rPr>
        <w:t>投标文件的密封和标识</w:t>
      </w:r>
    </w:p>
    <w:p w14:paraId="5F201E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43" w:name="_Toc144974525"/>
      <w:bookmarkStart w:id="144" w:name="_Toc179632575"/>
      <w:bookmarkStart w:id="145" w:name="_Toc247085715"/>
      <w:bookmarkStart w:id="146" w:name="_Toc246996944"/>
      <w:bookmarkStart w:id="147" w:name="_Toc152045557"/>
      <w:bookmarkStart w:id="148" w:name="_Toc152042333"/>
      <w:bookmarkStart w:id="149" w:name="_Toc246996201"/>
      <w:r>
        <w:rPr>
          <w:rFonts w:hint="eastAsia"/>
        </w:rPr>
        <w:t>15.1投标文件正本和所有的副本须密封装在单独的包装中</w:t>
      </w:r>
      <w:r>
        <w:rPr>
          <w:rFonts w:hint="eastAsia"/>
          <w:lang w:eastAsia="zh-CN"/>
        </w:rPr>
        <w:t>，</w:t>
      </w:r>
      <w:r>
        <w:rPr>
          <w:rFonts w:hint="eastAsia"/>
        </w:rPr>
        <w:t>包装上正确标明“正本”“副本”字样</w:t>
      </w:r>
      <w:r>
        <w:rPr>
          <w:rFonts w:hint="eastAsia"/>
          <w:lang w:eastAsia="zh-CN"/>
        </w:rPr>
        <w:t>。</w:t>
      </w:r>
      <w:r>
        <w:rPr>
          <w:rFonts w:hint="eastAsia"/>
        </w:rPr>
        <w:t>若项目分包</w:t>
      </w:r>
      <w:r>
        <w:rPr>
          <w:rFonts w:hint="eastAsia"/>
          <w:lang w:eastAsia="zh-CN"/>
        </w:rPr>
        <w:t>，</w:t>
      </w:r>
      <w:r>
        <w:rPr>
          <w:rFonts w:hint="eastAsia"/>
        </w:rPr>
        <w:t>投标人参加多个包号投标的</w:t>
      </w:r>
      <w:r>
        <w:rPr>
          <w:rFonts w:hint="eastAsia"/>
          <w:lang w:eastAsia="zh-CN"/>
        </w:rPr>
        <w:t>，</w:t>
      </w:r>
      <w:r>
        <w:rPr>
          <w:rFonts w:hint="eastAsia"/>
        </w:rPr>
        <w:t>投标文件按包号分别密封和标示</w:t>
      </w:r>
      <w:r>
        <w:rPr>
          <w:rFonts w:hint="eastAsia"/>
          <w:lang w:eastAsia="zh-CN"/>
        </w:rPr>
        <w:t>。</w:t>
      </w:r>
    </w:p>
    <w:p w14:paraId="4404F07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15.2</w:t>
      </w:r>
      <w:r>
        <w:rPr>
          <w:rFonts w:hint="eastAsia"/>
        </w:rPr>
        <w:t>如果包装未按规定标记并密封</w:t>
      </w:r>
      <w:r>
        <w:rPr>
          <w:rFonts w:hint="eastAsia"/>
          <w:lang w:eastAsia="zh-CN"/>
        </w:rPr>
        <w:t>，</w:t>
      </w:r>
      <w:r>
        <w:rPr>
          <w:rFonts w:hint="eastAsia"/>
        </w:rPr>
        <w:t>招标人或招标代理机构将不承担错放或</w:t>
      </w:r>
      <w:r>
        <w:rPr>
          <w:rFonts w:hint="eastAsia"/>
          <w:lang w:val="en-US" w:eastAsia="zh-CN"/>
        </w:rPr>
        <w:t>提前启封的责任。</w:t>
      </w:r>
    </w:p>
    <w:bookmarkEnd w:id="143"/>
    <w:bookmarkEnd w:id="144"/>
    <w:bookmarkEnd w:id="145"/>
    <w:bookmarkEnd w:id="146"/>
    <w:bookmarkEnd w:id="147"/>
    <w:bookmarkEnd w:id="148"/>
    <w:bookmarkEnd w:id="149"/>
    <w:p w14:paraId="621AF52E">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rPr>
        <w:t>提交投标文件的截止日期</w:t>
      </w:r>
    </w:p>
    <w:p w14:paraId="0FCED6B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16.1投标文件应于规定的投标截止日期之前送达规定的地点</w:t>
      </w:r>
      <w:r>
        <w:rPr>
          <w:rFonts w:hint="eastAsia"/>
          <w:lang w:eastAsia="zh-CN"/>
        </w:rPr>
        <w:t>。</w:t>
      </w:r>
    </w:p>
    <w:p w14:paraId="4177792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16.2招标人和招标代理机构可以依照法律规定延长投标截止期</w:t>
      </w:r>
      <w:r>
        <w:rPr>
          <w:rFonts w:hint="eastAsia"/>
          <w:lang w:eastAsia="zh-CN"/>
        </w:rPr>
        <w:t>。</w:t>
      </w:r>
      <w:r>
        <w:rPr>
          <w:rFonts w:hint="eastAsia"/>
        </w:rPr>
        <w:t>在此情况下招标代理机构和投标人受投标截止期制约的所有权利和义务均应延长至新的截止日期</w:t>
      </w:r>
      <w:r>
        <w:rPr>
          <w:rFonts w:hint="eastAsia"/>
          <w:lang w:eastAsia="zh-CN"/>
        </w:rPr>
        <w:t>。</w:t>
      </w:r>
    </w:p>
    <w:p w14:paraId="66A52BFC">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16.3招标人和招标代理机构将拒绝并退回在投标截止期后收到的任何投标文件</w:t>
      </w:r>
      <w:r>
        <w:rPr>
          <w:rFonts w:hint="eastAsia" w:asciiTheme="minorHAnsi" w:hAnsiTheme="minorHAnsi" w:cstheme="minorBidi"/>
          <w:kern w:val="2"/>
          <w:sz w:val="21"/>
          <w:szCs w:val="24"/>
          <w:lang w:val="en-US" w:eastAsia="zh-CN" w:bidi="ar-SA"/>
        </w:rPr>
        <w:t>。</w:t>
      </w:r>
    </w:p>
    <w:p w14:paraId="0996F203">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202"/>
      <w:bookmarkStart w:id="151" w:name="_Toc152045558"/>
      <w:bookmarkStart w:id="152" w:name="_Toc152042334"/>
      <w:bookmarkStart w:id="153" w:name="_Toc296602446"/>
      <w:bookmarkStart w:id="154" w:name="_Toc247085716"/>
      <w:bookmarkStart w:id="155" w:name="_Toc144974526"/>
      <w:bookmarkStart w:id="156" w:name="_Toc246996945"/>
      <w:bookmarkStart w:id="157" w:name="_Toc179632576"/>
      <w:r>
        <w:rPr>
          <w:rFonts w:hint="eastAsia"/>
          <w:lang w:val="en-US" w:eastAsia="zh-CN"/>
        </w:rPr>
        <w:t>17.</w:t>
      </w:r>
      <w:r>
        <w:rPr>
          <w:rFonts w:hint="eastAsia"/>
        </w:rPr>
        <w:t>投标文件的修改与撤回</w:t>
      </w:r>
      <w:bookmarkEnd w:id="150"/>
      <w:bookmarkEnd w:id="151"/>
      <w:bookmarkEnd w:id="152"/>
      <w:bookmarkEnd w:id="153"/>
      <w:bookmarkEnd w:id="154"/>
      <w:bookmarkEnd w:id="155"/>
      <w:bookmarkEnd w:id="156"/>
      <w:bookmarkEnd w:id="157"/>
    </w:p>
    <w:p w14:paraId="5033F9D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17.1投标人在提交投标文件后</w:t>
      </w:r>
      <w:r>
        <w:rPr>
          <w:rFonts w:hint="eastAsia"/>
          <w:lang w:eastAsia="zh-CN"/>
        </w:rPr>
        <w:t>，</w:t>
      </w:r>
      <w:r>
        <w:rPr>
          <w:rFonts w:hint="eastAsia"/>
        </w:rPr>
        <w:t>可以修改或撤回其投标</w:t>
      </w:r>
      <w:r>
        <w:rPr>
          <w:rFonts w:hint="eastAsia"/>
          <w:lang w:eastAsia="zh-CN"/>
        </w:rPr>
        <w:t>，</w:t>
      </w:r>
      <w:r>
        <w:rPr>
          <w:rFonts w:hint="eastAsia"/>
        </w:rPr>
        <w:t>但这种修改和撤回，必须在规定的投标截止时间前</w:t>
      </w:r>
      <w:r>
        <w:rPr>
          <w:rFonts w:hint="eastAsia"/>
          <w:lang w:eastAsia="zh-CN"/>
        </w:rPr>
        <w:t>，</w:t>
      </w:r>
      <w:r>
        <w:rPr>
          <w:rFonts w:hint="eastAsia"/>
        </w:rPr>
        <w:t>并以书面形式通知招标代理机构</w:t>
      </w:r>
      <w:r>
        <w:rPr>
          <w:rFonts w:hint="eastAsia"/>
          <w:lang w:eastAsia="zh-CN"/>
        </w:rPr>
        <w:t>。</w:t>
      </w:r>
      <w:r>
        <w:rPr>
          <w:rFonts w:hint="eastAsia"/>
        </w:rPr>
        <w:t>在投标截止时间后</w:t>
      </w:r>
      <w:r>
        <w:rPr>
          <w:rFonts w:hint="eastAsia"/>
          <w:lang w:eastAsia="zh-CN"/>
        </w:rPr>
        <w:t>，</w:t>
      </w:r>
      <w:r>
        <w:rPr>
          <w:rFonts w:hint="eastAsia"/>
        </w:rPr>
        <w:t>投标人不得再要求修改或撤销其投标文件</w:t>
      </w:r>
      <w:r>
        <w:rPr>
          <w:rFonts w:hint="eastAsia"/>
          <w:lang w:eastAsia="zh-CN"/>
        </w:rPr>
        <w:t>。</w:t>
      </w:r>
    </w:p>
    <w:p w14:paraId="4CB995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17.2投标人的修改或撤回通知应按照投标人须知相关的规定</w:t>
      </w:r>
      <w:r>
        <w:rPr>
          <w:rFonts w:hint="eastAsia"/>
          <w:lang w:eastAsia="zh-CN"/>
        </w:rPr>
        <w:t>，</w:t>
      </w:r>
      <w:r>
        <w:rPr>
          <w:rFonts w:hint="eastAsia"/>
        </w:rPr>
        <w:t>进行编制、签章、密封、标记和提交</w:t>
      </w:r>
      <w:r>
        <w:rPr>
          <w:rFonts w:hint="eastAsia"/>
          <w:lang w:eastAsia="zh-CN"/>
        </w:rPr>
        <w:t>，</w:t>
      </w:r>
      <w:r>
        <w:rPr>
          <w:rFonts w:hint="eastAsia"/>
        </w:rPr>
        <w:t>并在外装信封上明显标明“投标文件修改书’或“投标文件撤回通知”字样</w:t>
      </w:r>
      <w:r>
        <w:rPr>
          <w:rFonts w:hint="eastAsia"/>
          <w:lang w:eastAsia="zh-CN"/>
        </w:rPr>
        <w:t>。</w:t>
      </w:r>
    </w:p>
    <w:p w14:paraId="3117821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17.3从投标截止期至投标文件有效期结束为止</w:t>
      </w:r>
      <w:r>
        <w:rPr>
          <w:rFonts w:hint="eastAsia"/>
          <w:lang w:eastAsia="zh-CN"/>
        </w:rPr>
        <w:t>，</w:t>
      </w:r>
      <w:r>
        <w:rPr>
          <w:rFonts w:hint="eastAsia"/>
        </w:rPr>
        <w:t>投标人不得撤销其投标，否则将不予退还其投标担保</w:t>
      </w:r>
      <w:r>
        <w:rPr>
          <w:rFonts w:hint="eastAsia"/>
          <w:lang w:eastAsia="zh-CN"/>
        </w:rPr>
        <w:t>。</w:t>
      </w:r>
    </w:p>
    <w:p w14:paraId="3852A4D7">
      <w:pPr>
        <w:pStyle w:val="3"/>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7085717"/>
      <w:bookmarkStart w:id="159" w:name="_Toc246996946"/>
      <w:bookmarkStart w:id="160" w:name="_Toc152042335"/>
      <w:bookmarkStart w:id="161" w:name="_Toc152045559"/>
      <w:bookmarkStart w:id="162" w:name="_Toc296602447"/>
      <w:bookmarkStart w:id="163" w:name="_Toc144974527"/>
      <w:bookmarkStart w:id="164" w:name="_Toc179632577"/>
      <w:bookmarkStart w:id="165" w:name="_Toc246996203"/>
      <w:r>
        <w:rPr>
          <w:rFonts w:hint="eastAsia"/>
          <w:lang w:val="en-US" w:eastAsia="zh-CN"/>
        </w:rPr>
        <w:t>五</w:t>
      </w:r>
      <w:r>
        <w:rPr>
          <w:rFonts w:hint="eastAsia"/>
          <w:lang w:eastAsia="zh-CN"/>
        </w:rPr>
        <w:t>、</w:t>
      </w:r>
      <w:r>
        <w:rPr>
          <w:rFonts w:hint="eastAsia"/>
        </w:rPr>
        <w:t>开标</w:t>
      </w:r>
      <w:bookmarkEnd w:id="158"/>
      <w:bookmarkEnd w:id="159"/>
      <w:bookmarkEnd w:id="160"/>
      <w:bookmarkEnd w:id="161"/>
      <w:bookmarkEnd w:id="162"/>
      <w:bookmarkEnd w:id="163"/>
      <w:bookmarkEnd w:id="164"/>
      <w:bookmarkEnd w:id="165"/>
    </w:p>
    <w:p w14:paraId="116F194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152045560"/>
      <w:bookmarkStart w:id="167" w:name="_Toc152042336"/>
      <w:bookmarkStart w:id="168" w:name="_Toc179632578"/>
      <w:bookmarkStart w:id="169" w:name="_Toc247085718"/>
      <w:bookmarkStart w:id="170" w:name="_Toc246996947"/>
      <w:bookmarkStart w:id="171" w:name="_Toc246996204"/>
      <w:bookmarkStart w:id="172" w:name="_Toc296602448"/>
      <w:bookmarkStart w:id="173" w:name="_Toc144974528"/>
      <w:r>
        <w:rPr>
          <w:rFonts w:hint="eastAsia"/>
          <w:lang w:val="en-US" w:eastAsia="zh-CN"/>
        </w:rPr>
        <w:t>18.</w:t>
      </w:r>
      <w:r>
        <w:rPr>
          <w:rFonts w:hint="eastAsia"/>
        </w:rPr>
        <w:t>开标时间和地点</w:t>
      </w:r>
      <w:bookmarkEnd w:id="166"/>
      <w:bookmarkEnd w:id="167"/>
      <w:bookmarkEnd w:id="168"/>
      <w:bookmarkEnd w:id="169"/>
      <w:bookmarkEnd w:id="170"/>
      <w:bookmarkEnd w:id="171"/>
      <w:bookmarkEnd w:id="172"/>
      <w:bookmarkEnd w:id="173"/>
    </w:p>
    <w:p w14:paraId="5073CF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18.1招标代理机构在投标人须知前附表规定的时间和地点公开开标</w:t>
      </w:r>
      <w:r>
        <w:rPr>
          <w:rFonts w:hint="eastAsia"/>
          <w:lang w:eastAsia="zh-CN"/>
        </w:rPr>
        <w:t>。</w:t>
      </w:r>
      <w:r>
        <w:rPr>
          <w:rFonts w:hint="eastAsia"/>
        </w:rPr>
        <w:t>出席开标仪式的投标人的授权代表携带身份证明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在评审结束前，未得到招标人或招标代理机构的允许</w:t>
      </w:r>
      <w:r>
        <w:rPr>
          <w:rFonts w:hint="eastAsia"/>
          <w:lang w:eastAsia="zh-CN"/>
        </w:rPr>
        <w:t>，</w:t>
      </w:r>
      <w:r>
        <w:rPr>
          <w:rFonts w:hint="eastAsia"/>
        </w:rPr>
        <w:t>投标人授权代表不得离开开标现场</w:t>
      </w:r>
      <w:r>
        <w:rPr>
          <w:rFonts w:hint="eastAsia"/>
          <w:lang w:eastAsia="zh-CN"/>
        </w:rPr>
        <w:t>。</w:t>
      </w:r>
    </w:p>
    <w:p w14:paraId="0F3AF4A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18.2在开标时</w:t>
      </w:r>
      <w:r>
        <w:rPr>
          <w:rFonts w:hint="eastAsia"/>
          <w:lang w:eastAsia="zh-CN"/>
        </w:rPr>
        <w:t>，</w:t>
      </w:r>
      <w:r>
        <w:rPr>
          <w:rFonts w:hint="eastAsia"/>
        </w:rPr>
        <w:t>招标代理机构宣读投标人名称、投标价格</w:t>
      </w:r>
      <w:r>
        <w:rPr>
          <w:rFonts w:hint="eastAsia"/>
          <w:lang w:eastAsia="zh-CN"/>
        </w:rPr>
        <w:t>，</w:t>
      </w:r>
      <w:r>
        <w:rPr>
          <w:rFonts w:hint="eastAsia"/>
        </w:rPr>
        <w:t>以及招标代理机构认为合适的其他内容</w:t>
      </w:r>
      <w:r>
        <w:rPr>
          <w:rFonts w:hint="eastAsia"/>
          <w:lang w:eastAsia="zh-CN"/>
        </w:rPr>
        <w:t>。</w:t>
      </w:r>
      <w:r>
        <w:rPr>
          <w:rFonts w:hint="eastAsia"/>
        </w:rPr>
        <w:t>开标结束后</w:t>
      </w:r>
      <w:r>
        <w:rPr>
          <w:rFonts w:hint="eastAsia"/>
          <w:lang w:eastAsia="zh-CN"/>
        </w:rPr>
        <w:t>，</w:t>
      </w:r>
      <w:r>
        <w:rPr>
          <w:rFonts w:hint="eastAsia"/>
        </w:rPr>
        <w:t>所有被开封唱标的投标文件</w:t>
      </w:r>
      <w:r>
        <w:rPr>
          <w:rFonts w:hint="eastAsia"/>
          <w:lang w:eastAsia="zh-CN"/>
        </w:rPr>
        <w:t>，</w:t>
      </w:r>
      <w:r>
        <w:rPr>
          <w:rFonts w:hint="eastAsia"/>
        </w:rPr>
        <w:t>均提交评标委员会评审</w:t>
      </w:r>
      <w:r>
        <w:rPr>
          <w:rFonts w:hint="eastAsia"/>
          <w:lang w:eastAsia="zh-CN"/>
        </w:rPr>
        <w:t>。</w:t>
      </w:r>
    </w:p>
    <w:p w14:paraId="203E8E88">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74" w:name="_Toc296602449"/>
      <w:bookmarkStart w:id="175" w:name="_Toc144974529"/>
      <w:bookmarkStart w:id="176" w:name="_Toc152045561"/>
      <w:bookmarkStart w:id="177" w:name="_Toc247085719"/>
      <w:bookmarkStart w:id="178" w:name="_Toc246996948"/>
      <w:bookmarkStart w:id="179" w:name="_Toc152042337"/>
      <w:bookmarkStart w:id="180" w:name="_Toc246996205"/>
      <w:bookmarkStart w:id="181" w:name="_Toc179632579"/>
      <w:r>
        <w:rPr>
          <w:rFonts w:hint="eastAsia"/>
          <w:lang w:val="en-US" w:eastAsia="zh-CN"/>
        </w:rPr>
        <w:t>19.</w:t>
      </w:r>
      <w:r>
        <w:rPr>
          <w:rFonts w:hint="eastAsia"/>
        </w:rPr>
        <w:t>开标程序</w:t>
      </w:r>
      <w:bookmarkEnd w:id="174"/>
      <w:bookmarkEnd w:id="175"/>
      <w:bookmarkEnd w:id="176"/>
      <w:bookmarkEnd w:id="177"/>
      <w:bookmarkEnd w:id="178"/>
      <w:bookmarkEnd w:id="179"/>
      <w:bookmarkEnd w:id="180"/>
      <w:bookmarkEnd w:id="181"/>
    </w:p>
    <w:p w14:paraId="07B2F89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19.1评标由依照有关规定组建的评标委员会负责。评标委员会将按照招标文件确定的方法进行评审。在详细评审之前，评标委员会将判定每个投标文件是否完以及是否实质性响应了招标文件的要求。</w:t>
      </w:r>
    </w:p>
    <w:p w14:paraId="5F0922C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19.2评标委员会成员有下列情形之一的，应当回避</w:t>
      </w:r>
      <w:r>
        <w:rPr>
          <w:rFonts w:hint="eastAsia"/>
          <w:lang w:val="en-US" w:eastAsia="zh-CN"/>
        </w:rPr>
        <w:t>：</w:t>
      </w:r>
    </w:p>
    <w:p w14:paraId="03BF308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w:t>
      </w:r>
      <w:r>
        <w:rPr>
          <w:rFonts w:hint="default" w:eastAsiaTheme="minorEastAsia"/>
          <w:lang w:val="en-US" w:eastAsia="zh-CN"/>
        </w:rPr>
        <w:t>投标人或投标人主要负责人的近亲属</w:t>
      </w:r>
      <w:r>
        <w:rPr>
          <w:rFonts w:hint="eastAsia"/>
          <w:lang w:val="en-US" w:eastAsia="zh-CN"/>
        </w:rPr>
        <w:t>；</w:t>
      </w:r>
    </w:p>
    <w:p w14:paraId="74EDA07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与投标人有经济利益关系</w:t>
      </w:r>
      <w:r>
        <w:rPr>
          <w:rFonts w:hint="eastAsia"/>
          <w:lang w:val="en-US" w:eastAsia="zh-CN"/>
        </w:rPr>
        <w:t>，</w:t>
      </w:r>
      <w:r>
        <w:rPr>
          <w:rFonts w:hint="default" w:eastAsiaTheme="minorEastAsia"/>
          <w:lang w:val="en-US" w:eastAsia="zh-CN"/>
        </w:rPr>
        <w:t>可能影响对投标公正评审的</w:t>
      </w:r>
      <w:r>
        <w:rPr>
          <w:rFonts w:hint="eastAsia"/>
          <w:lang w:val="en-US" w:eastAsia="zh-CN"/>
        </w:rPr>
        <w:t>；</w:t>
      </w:r>
    </w:p>
    <w:p w14:paraId="378CA02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曾因在招标、评标以及其他与招标投标有关活动中从事违法行为而受过谷政处罚或刑事处罚的</w:t>
      </w:r>
      <w:r>
        <w:rPr>
          <w:rFonts w:hint="eastAsia"/>
          <w:lang w:val="en-US" w:eastAsia="zh-CN"/>
        </w:rPr>
        <w:t>；</w:t>
      </w:r>
    </w:p>
    <w:p w14:paraId="6346D4F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与投标人有其他利害关系</w:t>
      </w:r>
      <w:r>
        <w:rPr>
          <w:rFonts w:hint="eastAsia"/>
          <w:lang w:val="en-US" w:eastAsia="zh-CN"/>
        </w:rPr>
        <w:t>。</w:t>
      </w:r>
    </w:p>
    <w:p w14:paraId="10B7245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19.3评标过程中</w:t>
      </w:r>
      <w:r>
        <w:rPr>
          <w:rFonts w:hint="eastAsia"/>
          <w:lang w:val="en-US" w:eastAsia="zh-CN"/>
        </w:rPr>
        <w:t>，</w:t>
      </w:r>
      <w:r>
        <w:rPr>
          <w:rFonts w:hint="default" w:eastAsiaTheme="minorEastAsia"/>
          <w:lang w:val="en-US" w:eastAsia="zh-CN"/>
        </w:rPr>
        <w:t>评标委员会成员有回避事由、擅离职守或者因健康等原因不能继续评标的</w:t>
      </w:r>
      <w:r>
        <w:rPr>
          <w:rFonts w:hint="eastAsia"/>
          <w:lang w:val="en-US" w:eastAsia="zh-CN"/>
        </w:rPr>
        <w:t>，</w:t>
      </w:r>
      <w:r>
        <w:rPr>
          <w:rFonts w:hint="default" w:eastAsiaTheme="minorEastAsia"/>
          <w:lang w:val="en-US" w:eastAsia="zh-CN"/>
        </w:rPr>
        <w:t>招标人有权更换</w:t>
      </w:r>
      <w:r>
        <w:rPr>
          <w:rFonts w:hint="eastAsia"/>
          <w:lang w:val="en-US" w:eastAsia="zh-CN"/>
        </w:rPr>
        <w:t>。</w:t>
      </w:r>
      <w:r>
        <w:rPr>
          <w:rFonts w:hint="default" w:eastAsiaTheme="minorEastAsia"/>
          <w:lang w:val="en-US" w:eastAsia="zh-CN"/>
        </w:rPr>
        <w:t>被更换的评标委员会成员作出的评审结论无效</w:t>
      </w:r>
      <w:r>
        <w:rPr>
          <w:rFonts w:hint="eastAsia"/>
          <w:lang w:val="en-US" w:eastAsia="zh-CN"/>
        </w:rPr>
        <w:t>，</w:t>
      </w:r>
      <w:r>
        <w:rPr>
          <w:rFonts w:hint="default" w:eastAsiaTheme="minorEastAsia"/>
          <w:lang w:val="en-US" w:eastAsia="zh-CN"/>
        </w:rPr>
        <w:t>更换后的评标委员会成员重新进行评审</w:t>
      </w:r>
      <w:r>
        <w:rPr>
          <w:rFonts w:hint="eastAsia"/>
          <w:lang w:val="en-US" w:eastAsia="zh-CN"/>
        </w:rPr>
        <w:t>。</w:t>
      </w:r>
    </w:p>
    <w:p w14:paraId="3926466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19.4评标委员会对投标文件响应性的判定基于投标文件本身的内容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即使投标人开标时携带了材料的原件</w:t>
      </w:r>
      <w:r>
        <w:rPr>
          <w:rFonts w:hint="eastAsia"/>
          <w:lang w:val="en-US" w:eastAsia="zh-CN"/>
        </w:rPr>
        <w:t>，</w:t>
      </w:r>
      <w:r>
        <w:rPr>
          <w:rFonts w:hint="default" w:eastAsiaTheme="minorEastAsia"/>
          <w:lang w:val="en-US" w:eastAsia="zh-CN"/>
        </w:rPr>
        <w:t>但在投标文件</w:t>
      </w:r>
      <w:r>
        <w:rPr>
          <w:rFonts w:hint="eastAsia"/>
          <w:lang w:val="en-US" w:eastAsia="zh-CN"/>
        </w:rPr>
        <w:t>中</w:t>
      </w:r>
      <w:r>
        <w:rPr>
          <w:rFonts w:hint="default" w:eastAsiaTheme="minorEastAsia"/>
          <w:lang w:val="en-US" w:eastAsia="zh-CN"/>
        </w:rPr>
        <w:t>未提供与之内容完全一致的复制件的</w:t>
      </w:r>
      <w:r>
        <w:rPr>
          <w:rFonts w:hint="eastAsia"/>
          <w:lang w:val="en-US" w:eastAsia="zh-CN"/>
        </w:rPr>
        <w:t>，</w:t>
      </w:r>
      <w:r>
        <w:rPr>
          <w:rFonts w:hint="default" w:eastAsiaTheme="minorEastAsia"/>
          <w:lang w:val="en-US" w:eastAsia="zh-CN"/>
        </w:rPr>
        <w:t>评标委员会可视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0B6A877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19.5如果投标没有实质性响应招标文件的要求</w:t>
      </w:r>
      <w:r>
        <w:rPr>
          <w:rFonts w:hint="eastAsia"/>
          <w:lang w:val="en-US" w:eastAsia="zh-CN"/>
        </w:rPr>
        <w:t>，</w:t>
      </w:r>
      <w:r>
        <w:rPr>
          <w:rFonts w:hint="default" w:eastAsiaTheme="minorEastAsia"/>
          <w:lang w:val="en-US" w:eastAsia="zh-CN"/>
        </w:rPr>
        <w:t>其投标将被否决</w:t>
      </w:r>
      <w:r>
        <w:rPr>
          <w:rFonts w:hint="eastAsia"/>
          <w:lang w:val="en-US" w:eastAsia="zh-CN"/>
        </w:rPr>
        <w:t>。</w:t>
      </w:r>
      <w:r>
        <w:rPr>
          <w:rFonts w:hint="default" w:eastAsiaTheme="minorEastAsia"/>
          <w:lang w:val="en-US" w:eastAsia="zh-CN"/>
        </w:rPr>
        <w:t>投标人不</w:t>
      </w:r>
      <w:r>
        <w:rPr>
          <w:rFonts w:hint="eastAsia"/>
          <w:lang w:val="en-US" w:eastAsia="zh-CN"/>
        </w:rPr>
        <w:t>得</w:t>
      </w:r>
      <w:r>
        <w:rPr>
          <w:rFonts w:hint="default" w:eastAsiaTheme="minorEastAsia"/>
          <w:lang w:val="en-US" w:eastAsia="zh-CN"/>
        </w:rPr>
        <w:t>通过修正或撤销不合要求的偏离或保留从而使其投标成为实质性响应的投标</w:t>
      </w:r>
      <w:r>
        <w:rPr>
          <w:rFonts w:hint="eastAsia"/>
          <w:lang w:val="en-US" w:eastAsia="zh-CN"/>
        </w:rPr>
        <w:t>。</w:t>
      </w:r>
      <w:r>
        <w:rPr>
          <w:rFonts w:hint="default" w:eastAsiaTheme="minorEastAsia"/>
          <w:lang w:val="en-US" w:eastAsia="zh-CN"/>
        </w:rPr>
        <w:t>如现有下列情形之一的，其投标将被否决</w:t>
      </w:r>
      <w:r>
        <w:rPr>
          <w:rFonts w:hint="eastAsia"/>
          <w:lang w:val="en-US" w:eastAsia="zh-CN"/>
        </w:rPr>
        <w:t>：</w:t>
      </w:r>
    </w:p>
    <w:p w14:paraId="232F31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（1）投标人未提交投标担保或提交的担保不符合招标文件要求的：</w:t>
      </w:r>
    </w:p>
    <w:p w14:paraId="586501F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（2）资格和资质证明文件不全的或不满足招标文件的资格要求的：</w:t>
      </w:r>
    </w:p>
    <w:p w14:paraId="1787388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（3）投标有效期不足的；</w:t>
      </w:r>
    </w:p>
    <w:p w14:paraId="6F5EC8D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（4）投标文件商务和技术条款有重大偏离的；</w:t>
      </w:r>
    </w:p>
    <w:p w14:paraId="60F2298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（5）未提供招标文件要求的相关评审材料或格式文件造成重大影响无法审的；</w:t>
      </w:r>
    </w:p>
    <w:p w14:paraId="1728AF0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（6）投标文件提供虚假材料的；</w:t>
      </w:r>
    </w:p>
    <w:p w14:paraId="75A8BAE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（7）投标文件附有招标人不能接受的条件的；</w:t>
      </w:r>
    </w:p>
    <w:p w14:paraId="0021A1A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（8）评标委员会发现投标人的报价明显低于其他投标报价，而投标人不能合说明或者不能提供相关证明材料，由评标委员会认定该投标人以影响履约的异常价进行报价竞标的；</w:t>
      </w:r>
    </w:p>
    <w:p w14:paraId="53F81E9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（9）不符合招标文件中规定的其他实质性要求的；</w:t>
      </w:r>
    </w:p>
    <w:p w14:paraId="2094557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（10）在评标过程中，评标委员会发现投标人以他人的名义投标、串通投标、以行贿手段谋取中标或者以其他弄虚作假方式投标的；</w:t>
      </w:r>
    </w:p>
    <w:p w14:paraId="5637C1C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（11）法律法规规定的其他否决投标的情形。</w:t>
      </w:r>
    </w:p>
    <w:p w14:paraId="4B441C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19.6评标委员会只对在初审中确定为实质性响应的投标文件进行进一步的详细评审。</w:t>
      </w:r>
    </w:p>
    <w:p w14:paraId="41820C5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19.7出现下列情况之一时，评标委员会有权宣布废标：</w:t>
      </w:r>
    </w:p>
    <w:p w14:paraId="147F316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（1）有效投标人数量不足，导致本次招标缺乏竞争的；</w:t>
      </w:r>
    </w:p>
    <w:p w14:paraId="394541B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079AC20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（3）投标人的报价均超过了采购预算，招标人不能支付的；</w:t>
      </w:r>
    </w:p>
    <w:p w14:paraId="1019994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7994932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673BB15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19.8招标文件中如明确标明需要携带各项资质证书、获奖证书、证明文件、合同中标通知书等材料原件以备评标委员会查验的，投标人须将相关原件单独用一个密封袋封装，注明“原件”和“投标人全称”字样并列明清单备查。相关原件返还时，投标人应当场清点，事后提出相关异议的，概不受理。</w:t>
      </w:r>
    </w:p>
    <w:p w14:paraId="01F636E8">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20.</w:t>
      </w:r>
      <w:r>
        <w:rPr>
          <w:rFonts w:hint="eastAsia"/>
        </w:rPr>
        <w:t>投标文件的澄清</w:t>
      </w:r>
    </w:p>
    <w:p w14:paraId="0342795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20.1对于投标文件中含义不明确、同类问题表述不一致或者有明显文字和计算错误的内容</w:t>
      </w:r>
      <w:r>
        <w:rPr>
          <w:rFonts w:hint="eastAsia"/>
          <w:lang w:eastAsia="zh-CN"/>
        </w:rPr>
        <w:t>，</w:t>
      </w:r>
      <w:r>
        <w:rPr>
          <w:rFonts w:hint="eastAsia"/>
        </w:rPr>
        <w:t>评标委员会应当以书面形式要求投标人作出必要的澄清、说明或者补正</w:t>
      </w:r>
      <w:r>
        <w:rPr>
          <w:rFonts w:hint="eastAsia"/>
          <w:lang w:eastAsia="zh-CN"/>
        </w:rPr>
        <w:t>。</w:t>
      </w:r>
    </w:p>
    <w:p w14:paraId="3863B63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rPr>
        <w:t>20.2投标人的澄清、说明或者补正应当采用书面形式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w:t>
      </w:r>
      <w:r>
        <w:rPr>
          <w:rFonts w:hint="eastAsia"/>
        </w:rPr>
        <w:t>投标人的澄清、说明或者补正不得超出投标文件的范围或者改变投标文件的实质性内容</w:t>
      </w:r>
    </w:p>
    <w:p w14:paraId="2E2E192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296602452"/>
      <w:bookmarkStart w:id="183" w:name="_Toc152045563"/>
      <w:bookmarkStart w:id="184" w:name="_Toc152042339"/>
      <w:bookmarkStart w:id="185" w:name="_Toc246996950"/>
      <w:bookmarkStart w:id="186" w:name="_Toc144974531"/>
      <w:bookmarkStart w:id="187" w:name="_Toc247085721"/>
      <w:bookmarkStart w:id="188" w:name="_Toc246996207"/>
      <w:bookmarkStart w:id="189" w:name="_Toc179632581"/>
      <w:r>
        <w:rPr>
          <w:rFonts w:hint="eastAsia"/>
          <w:lang w:val="en-US" w:eastAsia="zh-CN"/>
        </w:rPr>
        <w:t>21.</w:t>
      </w:r>
      <w:bookmarkEnd w:id="182"/>
      <w:bookmarkEnd w:id="183"/>
      <w:bookmarkEnd w:id="184"/>
      <w:bookmarkEnd w:id="185"/>
      <w:bookmarkEnd w:id="186"/>
      <w:bookmarkEnd w:id="187"/>
      <w:bookmarkEnd w:id="188"/>
      <w:bookmarkEnd w:id="189"/>
      <w:r>
        <w:rPr>
          <w:rFonts w:hint="eastAsia"/>
        </w:rPr>
        <w:t>投标文件的详细评审</w:t>
      </w:r>
    </w:p>
    <w:p w14:paraId="23F5E48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21.1在初步评审中</w:t>
      </w:r>
      <w:r>
        <w:rPr>
          <w:rFonts w:hint="eastAsia"/>
          <w:lang w:eastAsia="zh-CN"/>
        </w:rPr>
        <w:t>，</w:t>
      </w:r>
      <w:r>
        <w:rPr>
          <w:rFonts w:hint="eastAsia"/>
        </w:rPr>
        <w:t>若评标委员会成员对同一投标人的评审结论不一致的</w:t>
      </w:r>
      <w:r>
        <w:rPr>
          <w:rFonts w:hint="eastAsia"/>
          <w:lang w:eastAsia="zh-CN"/>
        </w:rPr>
        <w:t>，</w:t>
      </w:r>
      <w:r>
        <w:rPr>
          <w:rFonts w:hint="eastAsia"/>
        </w:rPr>
        <w:t>按照少数服从多数原则确定最终初步评审结论</w:t>
      </w:r>
      <w:r>
        <w:rPr>
          <w:rFonts w:hint="eastAsia"/>
          <w:lang w:eastAsia="zh-CN"/>
        </w:rPr>
        <w:t>。</w:t>
      </w:r>
      <w:r>
        <w:rPr>
          <w:rFonts w:hint="eastAsia"/>
        </w:rPr>
        <w:t>评标委员会只对通过初步评审的投标文件进行详细评审</w:t>
      </w:r>
      <w:r>
        <w:rPr>
          <w:rFonts w:hint="eastAsia"/>
          <w:lang w:eastAsia="zh-CN"/>
        </w:rPr>
        <w:t>。</w:t>
      </w:r>
    </w:p>
    <w:p w14:paraId="592701E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21.2投标人投标报价修正</w:t>
      </w:r>
      <w:r>
        <w:rPr>
          <w:rFonts w:hint="eastAsia"/>
          <w:lang w:eastAsia="zh-CN"/>
        </w:rPr>
        <w:t>。</w:t>
      </w:r>
      <w:r>
        <w:rPr>
          <w:rFonts w:hint="eastAsia"/>
        </w:rPr>
        <w:t>由评标委员会根据招标文件的要求，以招标文件规定的</w:t>
      </w:r>
      <w:r>
        <w:rPr>
          <w:rFonts w:hint="eastAsia"/>
          <w:lang w:val="en-US" w:eastAsia="zh-CN"/>
        </w:rPr>
        <w:t>招标</w:t>
      </w:r>
      <w:r>
        <w:rPr>
          <w:rFonts w:hint="eastAsia"/>
        </w:rPr>
        <w:t>范围为基准</w:t>
      </w:r>
      <w:r>
        <w:rPr>
          <w:rFonts w:hint="eastAsia"/>
          <w:lang w:eastAsia="zh-CN"/>
        </w:rPr>
        <w:t>，</w:t>
      </w:r>
      <w:r>
        <w:rPr>
          <w:rFonts w:hint="eastAsia"/>
        </w:rPr>
        <w:t>对各投标人的报价内容和范围进行核定</w:t>
      </w:r>
      <w:r>
        <w:rPr>
          <w:rFonts w:hint="eastAsia"/>
          <w:lang w:eastAsia="zh-CN"/>
        </w:rPr>
        <w:t>，</w:t>
      </w:r>
      <w:r>
        <w:rPr>
          <w:rFonts w:hint="eastAsia"/>
        </w:rPr>
        <w:t>以确定其投标报价总价的合理性和有效性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投标人缺报、漏报项的，</w:t>
      </w:r>
      <w:r>
        <w:rPr>
          <w:rFonts w:hint="eastAsia"/>
        </w:rPr>
        <w:t>将以其他投标人所报该项目的最高价增加该投标人的</w:t>
      </w:r>
      <w:r>
        <w:rPr>
          <w:rFonts w:hint="eastAsia"/>
          <w:lang w:val="en-US" w:eastAsia="zh-CN"/>
        </w:rPr>
        <w:t>评标价。该评标</w:t>
      </w:r>
      <w:r>
        <w:rPr>
          <w:rFonts w:hint="eastAsia"/>
        </w:rPr>
        <w:t>价</w:t>
      </w:r>
      <w:r>
        <w:rPr>
          <w:rFonts w:hint="eastAsia"/>
          <w:lang w:val="en-US" w:eastAsia="zh-CN"/>
        </w:rPr>
        <w:t>仅</w:t>
      </w:r>
      <w:r>
        <w:rPr>
          <w:rFonts w:hint="eastAsia"/>
        </w:rPr>
        <w:t>为</w:t>
      </w:r>
      <w:r>
        <w:rPr>
          <w:rFonts w:hint="eastAsia"/>
          <w:lang w:val="en-US" w:eastAsia="zh-CN"/>
        </w:rPr>
        <w:t>评标</w:t>
      </w:r>
      <w:r>
        <w:rPr>
          <w:rFonts w:hint="eastAsia"/>
        </w:rPr>
        <w:t>比较之用，投标人的投标价仍然不变</w:t>
      </w:r>
      <w:r>
        <w:rPr>
          <w:rFonts w:hint="eastAsia"/>
          <w:lang w:eastAsia="zh-CN"/>
        </w:rPr>
        <w:t>。</w:t>
      </w:r>
      <w:r>
        <w:rPr>
          <w:rFonts w:hint="eastAsia"/>
        </w:rPr>
        <w:t>若投标人提供了</w:t>
      </w:r>
      <w:r>
        <w:rPr>
          <w:rFonts w:hint="eastAsia"/>
          <w:lang w:val="en-US" w:eastAsia="zh-CN"/>
        </w:rPr>
        <w:t>超过招标文件要求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评审后的投标报价总价作为价格评</w:t>
      </w:r>
      <w:r>
        <w:rPr>
          <w:rFonts w:hint="eastAsia"/>
          <w:lang w:val="en-US" w:eastAsia="zh-CN"/>
        </w:rPr>
        <w:t>审的依据。</w:t>
      </w:r>
    </w:p>
    <w:p w14:paraId="36911B7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rPr>
        <w:t>21</w:t>
      </w:r>
      <w:r>
        <w:rPr>
          <w:rFonts w:hint="eastAsia"/>
          <w:lang w:eastAsia="zh-CN"/>
        </w:rPr>
        <w:t>.</w:t>
      </w:r>
      <w:r>
        <w:rPr>
          <w:rFonts w:hint="eastAsia"/>
        </w:rPr>
        <w:t>3投标文件报价出现前后不一致的</w:t>
      </w:r>
      <w:r>
        <w:rPr>
          <w:rFonts w:hint="eastAsia"/>
          <w:lang w:eastAsia="zh-CN"/>
        </w:rPr>
        <w:t>，</w:t>
      </w:r>
      <w:r>
        <w:rPr>
          <w:rFonts w:hint="eastAsia"/>
        </w:rPr>
        <w:t>除投标人须知前附表另有规定外</w:t>
      </w:r>
      <w:r>
        <w:rPr>
          <w:rFonts w:hint="eastAsia"/>
          <w:lang w:eastAsia="zh-CN"/>
        </w:rPr>
        <w:t>，</w:t>
      </w:r>
      <w:r>
        <w:rPr>
          <w:rFonts w:hint="eastAsia"/>
          <w:lang w:val="en-US" w:eastAsia="zh-CN"/>
        </w:rPr>
        <w:t>按照下列规定修正：</w:t>
      </w:r>
    </w:p>
    <w:p w14:paraId="2B3E453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w:t>
      </w:r>
      <w:r>
        <w:rPr>
          <w:rFonts w:hint="eastAsia"/>
        </w:rPr>
        <w:t>投标文件中开标一览表</w:t>
      </w:r>
      <w:r>
        <w:rPr>
          <w:rFonts w:hint="eastAsia"/>
          <w:lang w:eastAsia="zh-CN"/>
        </w:rPr>
        <w:t>（</w:t>
      </w:r>
      <w:r>
        <w:rPr>
          <w:rFonts w:hint="eastAsia"/>
        </w:rPr>
        <w:t>报价表</w:t>
      </w:r>
      <w:r>
        <w:rPr>
          <w:rFonts w:hint="eastAsia"/>
          <w:lang w:eastAsia="zh-CN"/>
        </w:rPr>
        <w:t>）</w:t>
      </w:r>
      <w:r>
        <w:rPr>
          <w:rFonts w:hint="eastAsia"/>
        </w:rPr>
        <w:t>内容与投标文件中相应内容不一致的</w:t>
      </w:r>
      <w:r>
        <w:rPr>
          <w:rFonts w:hint="eastAsia"/>
          <w:lang w:eastAsia="zh-CN"/>
        </w:rPr>
        <w:t>，</w:t>
      </w:r>
      <w:r>
        <w:rPr>
          <w:rFonts w:hint="eastAsia"/>
        </w:rPr>
        <w:t>下列规定修正</w:t>
      </w:r>
      <w:r>
        <w:rPr>
          <w:rFonts w:hint="eastAsia"/>
          <w:lang w:eastAsia="zh-CN"/>
        </w:rPr>
        <w:t>：</w:t>
      </w:r>
      <w:r>
        <w:rPr>
          <w:rFonts w:hint="eastAsia"/>
        </w:rPr>
        <w:t>开标一览表</w:t>
      </w:r>
      <w:r>
        <w:rPr>
          <w:rFonts w:hint="eastAsia"/>
          <w:lang w:eastAsia="zh-CN"/>
        </w:rPr>
        <w:t>（</w:t>
      </w:r>
      <w:r>
        <w:rPr>
          <w:rFonts w:hint="eastAsia"/>
        </w:rPr>
        <w:t>报价表</w:t>
      </w:r>
      <w:r>
        <w:rPr>
          <w:rFonts w:hint="eastAsia"/>
          <w:lang w:eastAsia="zh-CN"/>
        </w:rPr>
        <w:t>）</w:t>
      </w:r>
      <w:r>
        <w:rPr>
          <w:rFonts w:hint="eastAsia"/>
        </w:rPr>
        <w:t>为准</w:t>
      </w:r>
      <w:r>
        <w:rPr>
          <w:rFonts w:hint="eastAsia"/>
          <w:lang w:eastAsia="zh-CN"/>
        </w:rPr>
        <w:t>；</w:t>
      </w:r>
    </w:p>
    <w:p w14:paraId="65DF172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185EC4A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以开标一览表的总价为准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4AB4FC2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535F56F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修正后的报价经投标人确认后产生约束力</w:t>
      </w:r>
      <w:r>
        <w:rPr>
          <w:rFonts w:hint="eastAsia"/>
          <w:lang w:eastAsia="zh-CN"/>
        </w:rPr>
        <w:t>，</w:t>
      </w:r>
      <w:r>
        <w:rPr>
          <w:rFonts w:hint="eastAsia"/>
        </w:rPr>
        <w:t>投标人不确认的</w:t>
      </w:r>
      <w:r>
        <w:rPr>
          <w:rFonts w:hint="eastAsia"/>
          <w:lang w:eastAsia="zh-CN"/>
        </w:rPr>
        <w:t>，</w:t>
      </w:r>
      <w:r>
        <w:rPr>
          <w:rFonts w:hint="eastAsia"/>
        </w:rPr>
        <w:t>其投标将被否决</w:t>
      </w:r>
      <w:r>
        <w:rPr>
          <w:rFonts w:hint="eastAsia"/>
          <w:lang w:eastAsia="zh-CN"/>
        </w:rPr>
        <w:t>。</w:t>
      </w:r>
    </w:p>
    <w:p w14:paraId="31E5DBB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21.4投标人不足3家处理预案</w:t>
      </w:r>
      <w:r>
        <w:rPr>
          <w:rFonts w:hint="eastAsia"/>
          <w:lang w:eastAsia="zh-CN"/>
        </w:rPr>
        <w:t>。</w:t>
      </w:r>
    </w:p>
    <w:p w14:paraId="3CD6133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投标文件提交截止时间后投标人不足3家的</w:t>
      </w:r>
      <w:r>
        <w:rPr>
          <w:rFonts w:hint="eastAsia"/>
          <w:lang w:eastAsia="zh-CN"/>
        </w:rPr>
        <w:t>，</w:t>
      </w:r>
      <w:r>
        <w:rPr>
          <w:rFonts w:hint="eastAsia"/>
        </w:rPr>
        <w:t>招标人可以因</w:t>
      </w:r>
      <w:r>
        <w:rPr>
          <w:rFonts w:hint="eastAsia"/>
          <w:lang w:val="en-US" w:eastAsia="zh-CN"/>
        </w:rPr>
        <w:t>竞</w:t>
      </w:r>
      <w:r>
        <w:rPr>
          <w:rFonts w:hint="eastAsia"/>
        </w:rPr>
        <w:t>争性不足宣布流标</w:t>
      </w:r>
      <w:r>
        <w:rPr>
          <w:rFonts w:hint="eastAsia"/>
          <w:lang w:eastAsia="zh-CN"/>
        </w:rPr>
        <w:t>，</w:t>
      </w:r>
      <w:r>
        <w:rPr>
          <w:rFonts w:hint="eastAsia"/>
        </w:rPr>
        <w:t>或在征得现场投标人同意下转为其他采购方式</w:t>
      </w:r>
      <w:r>
        <w:rPr>
          <w:rFonts w:hint="eastAsia"/>
          <w:lang w:eastAsia="zh-CN"/>
        </w:rPr>
        <w:t>。</w:t>
      </w:r>
    </w:p>
    <w:p w14:paraId="06639913">
      <w:pPr>
        <w:pStyle w:val="4"/>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22.</w:t>
      </w:r>
      <w:r>
        <w:rPr>
          <w:rFonts w:hint="eastAsia"/>
        </w:rPr>
        <w:t>与招标人和招标代理机构的接触</w:t>
      </w:r>
    </w:p>
    <w:p w14:paraId="246388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22.1除按评标委员会要求的澄清外</w:t>
      </w:r>
      <w:r>
        <w:rPr>
          <w:rFonts w:hint="eastAsia"/>
          <w:lang w:eastAsia="zh-CN"/>
        </w:rPr>
        <w:t>，</w:t>
      </w:r>
      <w:r>
        <w:rPr>
          <w:rFonts w:hint="eastAsia"/>
        </w:rPr>
        <w:t>从开标到签署合同期间</w:t>
      </w:r>
      <w:r>
        <w:rPr>
          <w:rFonts w:hint="eastAsia"/>
          <w:lang w:eastAsia="zh-CN"/>
        </w:rPr>
        <w:t>，</w:t>
      </w:r>
      <w:r>
        <w:rPr>
          <w:rFonts w:hint="eastAsia"/>
        </w:rPr>
        <w:t>投标人不得就与其投标有关的任何事项与招标代理机构、招标人和评标委员会联系</w:t>
      </w:r>
      <w:r>
        <w:rPr>
          <w:rFonts w:hint="eastAsia"/>
          <w:lang w:eastAsia="zh-CN"/>
        </w:rPr>
        <w:t>。</w:t>
      </w:r>
    </w:p>
    <w:p w14:paraId="7277DDD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22.2投标人试图对招标代理机构、招标人和评标委员会的评标、确定中标人或签署合同的决定进行影响</w:t>
      </w:r>
      <w:r>
        <w:rPr>
          <w:rFonts w:hint="eastAsia"/>
          <w:lang w:eastAsia="zh-CN"/>
        </w:rPr>
        <w:t>，</w:t>
      </w:r>
      <w:r>
        <w:rPr>
          <w:rFonts w:hint="eastAsia"/>
        </w:rPr>
        <w:t>都可能导致废标</w:t>
      </w:r>
      <w:r>
        <w:rPr>
          <w:rFonts w:hint="eastAsia"/>
          <w:lang w:eastAsia="zh-CN"/>
        </w:rPr>
        <w:t>。</w:t>
      </w:r>
    </w:p>
    <w:p w14:paraId="40191E9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22.3 异议</w:t>
      </w:r>
    </w:p>
    <w:p w14:paraId="76A32C3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22.3.1如对招标文件内容有异议</w:t>
      </w:r>
      <w:r>
        <w:rPr>
          <w:rFonts w:hint="eastAsia"/>
          <w:lang w:eastAsia="zh-CN"/>
        </w:rPr>
        <w:t>，</w:t>
      </w:r>
      <w:r>
        <w:rPr>
          <w:rFonts w:hint="eastAsia"/>
        </w:rPr>
        <w:t>请在《投标人须知》前附表规定的时间前提出</w:t>
      </w:r>
      <w:r>
        <w:rPr>
          <w:rFonts w:hint="eastAsia"/>
          <w:lang w:eastAsia="zh-CN"/>
        </w:rPr>
        <w:t>。</w:t>
      </w:r>
      <w:r>
        <w:rPr>
          <w:rFonts w:hint="eastAsia"/>
        </w:rPr>
        <w:t>招标人及代理机构有权不接受逾期提出的异议</w:t>
      </w:r>
      <w:r>
        <w:rPr>
          <w:rFonts w:hint="eastAsia"/>
          <w:lang w:eastAsia="zh-CN"/>
        </w:rPr>
        <w:t>。</w:t>
      </w:r>
    </w:p>
    <w:p w14:paraId="43F142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rPr>
        <w:t>22.3.2对开标环节有异议的</w:t>
      </w:r>
      <w:r>
        <w:rPr>
          <w:rFonts w:hint="eastAsia"/>
          <w:lang w:eastAsia="zh-CN"/>
        </w:rPr>
        <w:t>，</w:t>
      </w:r>
      <w:r>
        <w:rPr>
          <w:rFonts w:hint="eastAsia"/>
        </w:rPr>
        <w:t>投标人须在开评标现场提出</w:t>
      </w:r>
      <w:r>
        <w:rPr>
          <w:rFonts w:hint="eastAsia"/>
          <w:lang w:eastAsia="zh-CN"/>
        </w:rPr>
        <w:t>。</w:t>
      </w:r>
      <w:r>
        <w:rPr>
          <w:rFonts w:hint="eastAsia"/>
        </w:rPr>
        <w:t>相关环节结束后</w:t>
      </w:r>
      <w:r>
        <w:rPr>
          <w:rFonts w:hint="eastAsia"/>
          <w:lang w:eastAsia="zh-CN"/>
        </w:rPr>
        <w:t>，</w:t>
      </w:r>
      <w:r>
        <w:rPr>
          <w:rFonts w:hint="eastAsia"/>
          <w:lang w:val="en-US" w:eastAsia="zh-CN"/>
        </w:rPr>
        <w:t>招标人及招标代理机构将不接收对该环节提出的异议。</w:t>
      </w:r>
    </w:p>
    <w:p w14:paraId="4A1477C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22.3.3各投标人的各细项评审内容、分项得分和总分均属于需保密的评标过程内容，招标人和招标代理机构无义务向各投标人公布。</w:t>
      </w:r>
    </w:p>
    <w:p w14:paraId="56C3C55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22.3.4投标人认为中标结果使自己的合法权益受到损害的，可以在公示期内，由投标人授权代表（或法定代表人（单位负责人》）附身份证明材料，以书面形式向招标人或招标代理机构在规定的异议期内提出异议，逾期不予受理。</w:t>
      </w:r>
    </w:p>
    <w:p w14:paraId="49CBF4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22.3.5 异议函内容应包括异议的详细理由和依据，并提供有关证明资料。</w:t>
      </w:r>
    </w:p>
    <w:p w14:paraId="43DD34A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22.3.6有以下情形之一的，视为无效异议：</w:t>
      </w:r>
    </w:p>
    <w:p w14:paraId="7B3E2C2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4CEABF8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590FBEE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7A55BEA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22.3.7异议人有下列情形之一的，属于虚假、恶意异议，招标人和招标代理机构将驳回异议，将其列人不良行为记录名单，限制或拒绝其参加招标人和招标代理机构组织的采购活动，并视情况上报招标人采购主管部门或单位（包括招标人内部主管采购的部门、招标人的上级单位或主管采购的其他机构）：</w:t>
      </w:r>
    </w:p>
    <w:p w14:paraId="005E7E5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7CBBBD3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21B0AA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419A12AE">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90" w:name="_Toc152045566"/>
      <w:bookmarkStart w:id="191" w:name="_Toc246996210"/>
      <w:bookmarkStart w:id="192" w:name="_Toc144974534"/>
      <w:bookmarkStart w:id="193" w:name="_Toc246996953"/>
      <w:bookmarkStart w:id="194" w:name="_Toc152042342"/>
      <w:bookmarkStart w:id="195" w:name="_Toc296602455"/>
      <w:bookmarkStart w:id="196" w:name="_Toc179632584"/>
      <w:bookmarkStart w:id="197" w:name="_Toc247085724"/>
      <w:r>
        <w:rPr>
          <w:rFonts w:hint="eastAsia"/>
          <w:lang w:val="en-US" w:eastAsia="zh-CN"/>
        </w:rPr>
        <w:t>六</w:t>
      </w:r>
      <w:r>
        <w:rPr>
          <w:rFonts w:hint="eastAsia"/>
          <w:lang w:eastAsia="zh-CN"/>
        </w:rPr>
        <w:t>、</w:t>
      </w:r>
      <w:bookmarkEnd w:id="190"/>
      <w:bookmarkEnd w:id="191"/>
      <w:bookmarkEnd w:id="192"/>
      <w:bookmarkEnd w:id="193"/>
      <w:bookmarkEnd w:id="194"/>
      <w:bookmarkEnd w:id="195"/>
      <w:bookmarkEnd w:id="196"/>
      <w:bookmarkEnd w:id="197"/>
      <w:r>
        <w:rPr>
          <w:rFonts w:hint="eastAsia"/>
          <w:lang w:val="en-US" w:eastAsia="zh-CN"/>
        </w:rPr>
        <w:t>中标人确定</w:t>
      </w:r>
    </w:p>
    <w:p w14:paraId="7531828A">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98" w:name="_Toc179632585"/>
      <w:bookmarkStart w:id="199" w:name="_Toc246996211"/>
      <w:bookmarkStart w:id="200" w:name="_Toc247085725"/>
      <w:bookmarkStart w:id="201" w:name="_Toc296602456"/>
      <w:bookmarkStart w:id="202" w:name="_Toc152042343"/>
      <w:bookmarkStart w:id="203" w:name="_Toc144974535"/>
      <w:bookmarkStart w:id="204" w:name="_Toc152045567"/>
      <w:bookmarkStart w:id="205" w:name="_Toc246996954"/>
      <w:r>
        <w:rPr>
          <w:rFonts w:hint="eastAsia"/>
          <w:lang w:val="en-US" w:eastAsia="zh-CN"/>
        </w:rPr>
        <w:t>23.</w:t>
      </w:r>
      <w:bookmarkEnd w:id="198"/>
      <w:bookmarkEnd w:id="199"/>
      <w:bookmarkEnd w:id="200"/>
      <w:bookmarkEnd w:id="201"/>
      <w:bookmarkEnd w:id="202"/>
      <w:bookmarkEnd w:id="203"/>
      <w:bookmarkEnd w:id="204"/>
      <w:bookmarkEnd w:id="205"/>
      <w:r>
        <w:rPr>
          <w:rFonts w:hint="eastAsia"/>
        </w:rPr>
        <w:t>审查确认</w:t>
      </w:r>
    </w:p>
    <w:p w14:paraId="4320879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23.审查确认</w:t>
      </w:r>
    </w:p>
    <w:p w14:paraId="39C8F3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23.1中标候选人的经营、财务状况发生较大变化或者存在违法行为</w:t>
      </w:r>
      <w:r>
        <w:rPr>
          <w:rFonts w:hint="eastAsia"/>
          <w:lang w:eastAsia="zh-CN"/>
        </w:rPr>
        <w:t>，</w:t>
      </w:r>
      <w:r>
        <w:rPr>
          <w:rFonts w:hint="eastAsia"/>
        </w:rPr>
        <w:t>招标人认为可能影响其履约能力的</w:t>
      </w:r>
      <w:r>
        <w:rPr>
          <w:rFonts w:hint="eastAsia"/>
          <w:lang w:eastAsia="zh-CN"/>
        </w:rPr>
        <w:t>，</w:t>
      </w:r>
      <w:r>
        <w:rPr>
          <w:rFonts w:hint="eastAsia"/>
        </w:rPr>
        <w:t>应当在发出中标通知书前由原评标委员会按照招标文件规定的标准和方法审查确认</w:t>
      </w:r>
      <w:r>
        <w:rPr>
          <w:rFonts w:hint="eastAsia"/>
          <w:lang w:eastAsia="zh-CN"/>
        </w:rPr>
        <w:t>。</w:t>
      </w:r>
    </w:p>
    <w:p w14:paraId="527BBC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23.2如审查第一中标候选人不符合中标条件</w:t>
      </w:r>
      <w:r>
        <w:rPr>
          <w:rFonts w:hint="eastAsia"/>
          <w:lang w:eastAsia="zh-CN"/>
        </w:rPr>
        <w:t>，</w:t>
      </w:r>
      <w:r>
        <w:rPr>
          <w:rFonts w:hint="eastAsia"/>
        </w:rPr>
        <w:t>招标人有权取消其中标资格</w:t>
      </w:r>
      <w:r>
        <w:rPr>
          <w:rFonts w:hint="eastAsia"/>
          <w:lang w:eastAsia="zh-CN"/>
        </w:rPr>
        <w:t>，</w:t>
      </w:r>
      <w:r>
        <w:rPr>
          <w:rFonts w:hint="eastAsia"/>
        </w:rPr>
        <w:t>重新组织招标或者委托评标委员会按照排名依次审查确认其他中标候选人</w:t>
      </w:r>
      <w:r>
        <w:rPr>
          <w:rFonts w:hint="eastAsia"/>
          <w:lang w:eastAsia="zh-CN"/>
        </w:rPr>
        <w:t>。</w:t>
      </w:r>
    </w:p>
    <w:p w14:paraId="222593A1">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206" w:name="_Toc296602457"/>
      <w:r>
        <w:rPr>
          <w:rFonts w:hint="eastAsia"/>
          <w:lang w:val="en-US" w:eastAsia="zh-CN"/>
        </w:rPr>
        <w:t>24.</w:t>
      </w:r>
      <w:bookmarkEnd w:id="206"/>
      <w:r>
        <w:rPr>
          <w:rFonts w:hint="eastAsia"/>
        </w:rPr>
        <w:t>确定中标人的标准</w:t>
      </w:r>
    </w:p>
    <w:p w14:paraId="5B906F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评标委员会将根据招标文件确定的评分办法及评审标准对所有投标文件进行相同程序的评审和比较</w:t>
      </w:r>
      <w:r>
        <w:rPr>
          <w:rFonts w:hint="eastAsia"/>
          <w:lang w:eastAsia="zh-CN"/>
        </w:rPr>
        <w:t>，</w:t>
      </w:r>
      <w:r>
        <w:rPr>
          <w:rFonts w:hint="eastAsia"/>
        </w:rPr>
        <w:t>并根据评审结果推荐1~3名中标候选人</w:t>
      </w:r>
      <w:r>
        <w:rPr>
          <w:rFonts w:hint="eastAsia"/>
          <w:lang w:eastAsia="zh-CN"/>
        </w:rPr>
        <w:t>，</w:t>
      </w:r>
      <w:r>
        <w:rPr>
          <w:rFonts w:hint="eastAsia"/>
        </w:rPr>
        <w:t>且标明排序</w:t>
      </w:r>
      <w:r>
        <w:rPr>
          <w:rFonts w:hint="eastAsia"/>
          <w:lang w:eastAsia="zh-CN"/>
        </w:rPr>
        <w:t>。</w:t>
      </w:r>
    </w:p>
    <w:p w14:paraId="7A5D824E">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7" w:name="_Toc144974536"/>
      <w:bookmarkStart w:id="208" w:name="_Toc296602458"/>
      <w:bookmarkStart w:id="209" w:name="_Toc152045568"/>
      <w:bookmarkStart w:id="210" w:name="_Toc246996955"/>
      <w:bookmarkStart w:id="211" w:name="_Toc247085726"/>
      <w:bookmarkStart w:id="212" w:name="_Toc179632586"/>
      <w:bookmarkStart w:id="213" w:name="_Toc152042344"/>
      <w:bookmarkStart w:id="214" w:name="_Toc246996212"/>
      <w:r>
        <w:rPr>
          <w:rFonts w:hint="eastAsia"/>
          <w:lang w:val="en-US" w:eastAsia="zh-CN"/>
        </w:rPr>
        <w:t>25.</w:t>
      </w:r>
      <w:bookmarkEnd w:id="207"/>
      <w:bookmarkEnd w:id="208"/>
      <w:bookmarkEnd w:id="209"/>
      <w:bookmarkEnd w:id="210"/>
      <w:bookmarkEnd w:id="211"/>
      <w:bookmarkEnd w:id="212"/>
      <w:bookmarkEnd w:id="213"/>
      <w:bookmarkEnd w:id="214"/>
      <w:r>
        <w:rPr>
          <w:rFonts w:hint="eastAsia"/>
          <w:lang w:val="en-US" w:eastAsia="zh-CN"/>
        </w:rPr>
        <w:t>招标人的权利</w:t>
      </w:r>
    </w:p>
    <w:p w14:paraId="206C6DF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招标人在中标通知发出之前的任何时候</w:t>
      </w:r>
      <w:r>
        <w:rPr>
          <w:rFonts w:hint="eastAsia"/>
          <w:lang w:eastAsia="zh-CN"/>
        </w:rPr>
        <w:t>，</w:t>
      </w:r>
      <w:r>
        <w:rPr>
          <w:rFonts w:hint="eastAsia"/>
        </w:rPr>
        <w:t>有取消本次招标或宣布投标无效或</w:t>
      </w:r>
      <w:r>
        <w:rPr>
          <w:rFonts w:hint="eastAsia"/>
          <w:lang w:val="en-US" w:eastAsia="zh-CN"/>
        </w:rPr>
        <w:t>拒</w:t>
      </w:r>
      <w:r>
        <w:rPr>
          <w:rFonts w:hint="eastAsia"/>
        </w:rPr>
        <w:t>绝所有投标的权利</w:t>
      </w:r>
      <w:r>
        <w:rPr>
          <w:rFonts w:hint="eastAsia"/>
          <w:lang w:eastAsia="zh-CN"/>
        </w:rPr>
        <w:t>，</w:t>
      </w:r>
      <w:r>
        <w:rPr>
          <w:rFonts w:hint="eastAsia"/>
        </w:rPr>
        <w:t>对因此而受影响的投标人不承担任何责任，也没有义务向受</w:t>
      </w:r>
      <w:r>
        <w:rPr>
          <w:rFonts w:hint="eastAsia"/>
          <w:lang w:val="en-US" w:eastAsia="zh-CN"/>
        </w:rPr>
        <w:t>影</w:t>
      </w:r>
      <w:r>
        <w:rPr>
          <w:rFonts w:hint="eastAsia"/>
        </w:rPr>
        <w:t>响的投标人解释采取这一行动的理由并不承担任何赔偿费用</w:t>
      </w:r>
      <w:r>
        <w:rPr>
          <w:rFonts w:hint="eastAsia"/>
          <w:lang w:eastAsia="zh-CN"/>
        </w:rPr>
        <w:t>。</w:t>
      </w:r>
    </w:p>
    <w:p w14:paraId="5A2007CE">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15" w:name="_Toc152045569"/>
      <w:bookmarkStart w:id="216" w:name="_Toc296602459"/>
      <w:bookmarkStart w:id="217" w:name="_Toc246996213"/>
      <w:bookmarkStart w:id="218" w:name="_Toc179632587"/>
      <w:bookmarkStart w:id="219" w:name="_Toc144974537"/>
      <w:bookmarkStart w:id="220" w:name="_Toc247085727"/>
      <w:bookmarkStart w:id="221" w:name="_Toc152042345"/>
      <w:bookmarkStart w:id="222" w:name="_Toc246996956"/>
      <w:r>
        <w:rPr>
          <w:rFonts w:hint="eastAsia"/>
          <w:lang w:val="en-US" w:eastAsia="zh-CN"/>
        </w:rPr>
        <w:t>26.</w:t>
      </w:r>
      <w:bookmarkEnd w:id="215"/>
      <w:bookmarkEnd w:id="216"/>
      <w:bookmarkEnd w:id="217"/>
      <w:bookmarkEnd w:id="218"/>
      <w:bookmarkEnd w:id="219"/>
      <w:bookmarkEnd w:id="220"/>
      <w:bookmarkEnd w:id="221"/>
      <w:bookmarkEnd w:id="222"/>
      <w:r>
        <w:rPr>
          <w:rFonts w:hint="eastAsia"/>
          <w:lang w:val="en-US" w:eastAsia="zh-CN"/>
        </w:rPr>
        <w:t>中标通知书</w:t>
      </w:r>
    </w:p>
    <w:p w14:paraId="375A05D1">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在投标有效期满之前</w:t>
      </w:r>
      <w:r>
        <w:rPr>
          <w:rFonts w:hint="eastAsia"/>
          <w:lang w:eastAsia="zh-CN"/>
        </w:rPr>
        <w:t>，</w:t>
      </w:r>
      <w:r>
        <w:rPr>
          <w:rFonts w:hint="eastAsia"/>
        </w:rPr>
        <w:t>招标人向中标人发出中标通知书</w:t>
      </w:r>
      <w:r>
        <w:rPr>
          <w:rFonts w:hint="eastAsia"/>
          <w:lang w:eastAsia="zh-CN"/>
        </w:rPr>
        <w:t>。</w:t>
      </w:r>
      <w:r>
        <w:rPr>
          <w:rFonts w:hint="eastAsia"/>
        </w:rPr>
        <w:t>中标通知书将构成合同的一部分</w:t>
      </w:r>
      <w:r>
        <w:rPr>
          <w:rFonts w:hint="eastAsia"/>
          <w:lang w:eastAsia="zh-CN"/>
        </w:rPr>
        <w:t>。</w:t>
      </w:r>
    </w:p>
    <w:p w14:paraId="0E25CD7C">
      <w:pPr>
        <w:pStyle w:val="3"/>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23" w:name="_Toc296602461"/>
      <w:r>
        <w:rPr>
          <w:rFonts w:hint="eastAsia"/>
          <w:lang w:val="en-US" w:eastAsia="zh-CN"/>
        </w:rPr>
        <w:t>七、</w:t>
      </w:r>
      <w:bookmarkEnd w:id="223"/>
      <w:r>
        <w:rPr>
          <w:rFonts w:hint="eastAsia"/>
          <w:lang w:val="en-US" w:eastAsia="zh-CN"/>
        </w:rPr>
        <w:t>合同的签署</w:t>
      </w:r>
    </w:p>
    <w:p w14:paraId="4F2898CD">
      <w:pPr>
        <w:pStyle w:val="4"/>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24" w:name="_Toc152042351"/>
      <w:bookmarkStart w:id="225" w:name="_Toc152045575"/>
      <w:bookmarkStart w:id="226" w:name="_Toc246996962"/>
      <w:bookmarkStart w:id="227" w:name="_Toc296590983"/>
      <w:bookmarkStart w:id="228" w:name="_Toc247085733"/>
      <w:bookmarkStart w:id="229" w:name="_Toc144974543"/>
      <w:bookmarkStart w:id="230" w:name="_Toc296602462"/>
      <w:bookmarkStart w:id="231" w:name="_Toc246996219"/>
      <w:bookmarkStart w:id="232" w:name="_Toc179632593"/>
      <w:r>
        <w:rPr>
          <w:rFonts w:hint="eastAsia"/>
          <w:lang w:val="en-US" w:eastAsia="zh-CN"/>
        </w:rPr>
        <w:t>27.</w:t>
      </w:r>
      <w:bookmarkEnd w:id="224"/>
      <w:bookmarkEnd w:id="225"/>
      <w:bookmarkEnd w:id="226"/>
      <w:bookmarkEnd w:id="227"/>
      <w:bookmarkEnd w:id="228"/>
      <w:bookmarkEnd w:id="229"/>
      <w:bookmarkEnd w:id="230"/>
      <w:bookmarkEnd w:id="231"/>
      <w:bookmarkEnd w:id="232"/>
      <w:r>
        <w:rPr>
          <w:rFonts w:hint="eastAsia"/>
          <w:lang w:val="en-US" w:eastAsia="zh-CN"/>
        </w:rPr>
        <w:t>合同的签署</w:t>
      </w:r>
    </w:p>
    <w:p w14:paraId="4A70E18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27.1中标人应按法律法规及招标文件规定的时间与招标人签订合同</w:t>
      </w:r>
      <w:r>
        <w:rPr>
          <w:rFonts w:hint="eastAsia"/>
          <w:lang w:eastAsia="zh-CN"/>
        </w:rPr>
        <w:t>。</w:t>
      </w:r>
    </w:p>
    <w:p w14:paraId="7F644D8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27.2采购双方必须严格按照招标文件、投标文件及有关承诺签订采购合同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合同的标的、价款、质量、履行期限等主要条款应当与招标文件和中标人的投标文件的内容一致</w:t>
      </w:r>
      <w:r>
        <w:rPr>
          <w:rFonts w:hint="eastAsia"/>
          <w:lang w:eastAsia="zh-CN"/>
        </w:rPr>
        <w:t>，</w:t>
      </w:r>
      <w:r>
        <w:rPr>
          <w:rFonts w:hint="eastAsia"/>
        </w:rPr>
        <w:t>招标人和中标人不得再行订立背离合同实质性内容的期他协议</w:t>
      </w:r>
      <w:r>
        <w:rPr>
          <w:rFonts w:hint="eastAsia"/>
          <w:lang w:eastAsia="zh-CN"/>
        </w:rPr>
        <w:t>。</w:t>
      </w:r>
      <w:r>
        <w:rPr>
          <w:rFonts w:hint="eastAsia"/>
        </w:rPr>
        <w:t>对任何因双方擅自变更合同实质性内容引起的问题，由双方通过其他法途径解决</w:t>
      </w:r>
      <w:r>
        <w:rPr>
          <w:rFonts w:hint="eastAsia"/>
          <w:lang w:eastAsia="zh-CN"/>
        </w:rPr>
        <w:t>，</w:t>
      </w:r>
      <w:r>
        <w:rPr>
          <w:rFonts w:hint="eastAsia"/>
        </w:rPr>
        <w:t>招标代理机构对此不承担责任，合同风险由双方自行承担</w:t>
      </w:r>
      <w:r>
        <w:rPr>
          <w:rFonts w:hint="eastAsia"/>
          <w:lang w:eastAsia="zh-CN"/>
        </w:rPr>
        <w:t>。</w:t>
      </w:r>
    </w:p>
    <w:p w14:paraId="5EB55527">
      <w:pPr>
        <w:pStyle w:val="3"/>
        <w:bidi w:val="0"/>
        <w:rPr>
          <w:rFonts w:hint="eastAsia" w:eastAsia="黑体"/>
          <w:lang w:eastAsia="zh-CN"/>
        </w:rPr>
      </w:pPr>
      <w:bookmarkStart w:id="233" w:name="_Toc179632594"/>
      <w:bookmarkStart w:id="234" w:name="_Toc152045576"/>
      <w:bookmarkStart w:id="235" w:name="_Toc144974544"/>
      <w:bookmarkStart w:id="236" w:name="_Toc246996963"/>
      <w:bookmarkStart w:id="237" w:name="_Toc247085734"/>
      <w:bookmarkStart w:id="238" w:name="_Toc296602463"/>
      <w:bookmarkStart w:id="239" w:name="_Toc152042352"/>
      <w:bookmarkStart w:id="240" w:name="_Toc246996220"/>
      <w:r>
        <w:rPr>
          <w:rFonts w:hint="eastAsia"/>
          <w:lang w:val="en-US" w:eastAsia="zh-CN"/>
        </w:rPr>
        <w:t>28.</w:t>
      </w:r>
      <w:bookmarkEnd w:id="233"/>
      <w:bookmarkEnd w:id="234"/>
      <w:bookmarkEnd w:id="235"/>
      <w:bookmarkEnd w:id="236"/>
      <w:bookmarkEnd w:id="237"/>
      <w:bookmarkEnd w:id="238"/>
      <w:bookmarkEnd w:id="239"/>
      <w:bookmarkEnd w:id="240"/>
      <w:r>
        <w:rPr>
          <w:rFonts w:hint="eastAsia"/>
          <w:lang w:val="en-US" w:eastAsia="zh-CN"/>
        </w:rPr>
        <w:t>履约担保</w:t>
      </w:r>
    </w:p>
    <w:p w14:paraId="5B59811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28.1中标人须按照投标人须知前附表中的规定提交履约担保</w:t>
      </w:r>
      <w:r>
        <w:rPr>
          <w:rFonts w:hint="eastAsia"/>
          <w:lang w:eastAsia="zh-CN"/>
        </w:rPr>
        <w:t>。</w:t>
      </w:r>
    </w:p>
    <w:p w14:paraId="71EE963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28.2招标人与中标人签订书面合同后</w:t>
      </w:r>
      <w:r>
        <w:rPr>
          <w:rFonts w:hint="eastAsia"/>
          <w:lang w:eastAsia="zh-CN"/>
        </w:rPr>
        <w:t>，</w:t>
      </w:r>
      <w:r>
        <w:rPr>
          <w:rFonts w:hint="eastAsia"/>
        </w:rPr>
        <w:t>招标代理机构将通知所有未中标的</w:t>
      </w:r>
      <w:r>
        <w:rPr>
          <w:rFonts w:hint="eastAsia"/>
          <w:lang w:val="en-US" w:eastAsia="zh-CN"/>
        </w:rPr>
        <w:t>投标</w:t>
      </w:r>
      <w:r>
        <w:rPr>
          <w:rFonts w:hint="eastAsia"/>
        </w:rPr>
        <w:t>人，并退还其投标担保</w:t>
      </w:r>
      <w:r>
        <w:rPr>
          <w:rFonts w:hint="eastAsia"/>
          <w:lang w:eastAsia="zh-CN"/>
        </w:rPr>
        <w:t>。</w:t>
      </w:r>
    </w:p>
    <w:p w14:paraId="3EDE07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28.3如果中标人没有遵守本章 27.1、28.1的规定</w:t>
      </w:r>
      <w:r>
        <w:rPr>
          <w:rFonts w:hint="eastAsia"/>
          <w:lang w:eastAsia="zh-CN"/>
        </w:rPr>
        <w:t>，</w:t>
      </w:r>
      <w:r>
        <w:rPr>
          <w:rFonts w:hint="eastAsia"/>
        </w:rPr>
        <w:t>或出现《招标投标法》及其实施条例规定的其他不符合中标条件的情形的</w:t>
      </w:r>
      <w:r>
        <w:rPr>
          <w:rFonts w:hint="eastAsia"/>
          <w:lang w:eastAsia="zh-CN"/>
        </w:rPr>
        <w:t>，</w:t>
      </w:r>
      <w:r>
        <w:rPr>
          <w:rFonts w:hint="eastAsia"/>
        </w:rPr>
        <w:t>招标人有权取消其中标资格、不予还其提交的投标担保</w:t>
      </w:r>
      <w:r>
        <w:rPr>
          <w:rFonts w:hint="eastAsia"/>
          <w:lang w:eastAsia="zh-CN"/>
        </w:rPr>
        <w:t>。</w:t>
      </w:r>
      <w:r>
        <w:rPr>
          <w:rFonts w:hint="eastAsia"/>
        </w:rPr>
        <w:t>在此情况下</w:t>
      </w:r>
      <w:r>
        <w:rPr>
          <w:rFonts w:hint="eastAsia"/>
          <w:lang w:eastAsia="zh-CN"/>
        </w:rPr>
        <w:t>，</w:t>
      </w:r>
      <w:r>
        <w:rPr>
          <w:rFonts w:hint="eastAsia"/>
        </w:rPr>
        <w:t>招标人可以确定下一个综合排名最高的投标人为中标人并授予其合同</w:t>
      </w:r>
      <w:r>
        <w:rPr>
          <w:rFonts w:hint="eastAsia"/>
          <w:lang w:eastAsia="zh-CN"/>
        </w:rPr>
        <w:t>，</w:t>
      </w:r>
      <w:r>
        <w:rPr>
          <w:rFonts w:hint="eastAsia"/>
        </w:rPr>
        <w:t>或重新招标</w:t>
      </w:r>
      <w:r>
        <w:rPr>
          <w:rFonts w:hint="eastAsia"/>
          <w:lang w:eastAsia="zh-CN"/>
        </w:rPr>
        <w:t>。</w:t>
      </w:r>
    </w:p>
    <w:p w14:paraId="557F3CC4">
      <w:pPr>
        <w:pStyle w:val="4"/>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41" w:name="_Toc144974545"/>
      <w:bookmarkStart w:id="242" w:name="_Toc246996221"/>
      <w:bookmarkStart w:id="243" w:name="_Toc247085735"/>
      <w:bookmarkStart w:id="244" w:name="_Toc296602464"/>
      <w:bookmarkStart w:id="245" w:name="_Toc152045577"/>
      <w:bookmarkStart w:id="246" w:name="_Toc246996964"/>
      <w:bookmarkStart w:id="247" w:name="_Toc152042353"/>
      <w:bookmarkStart w:id="248" w:name="_Toc179632595"/>
      <w:r>
        <w:rPr>
          <w:rFonts w:hint="eastAsia"/>
          <w:lang w:val="en-US" w:eastAsia="zh-CN"/>
        </w:rPr>
        <w:t>29.</w:t>
      </w:r>
      <w:bookmarkEnd w:id="241"/>
      <w:bookmarkEnd w:id="242"/>
      <w:bookmarkEnd w:id="243"/>
      <w:bookmarkEnd w:id="244"/>
      <w:bookmarkEnd w:id="245"/>
      <w:bookmarkEnd w:id="246"/>
      <w:bookmarkEnd w:id="247"/>
      <w:bookmarkEnd w:id="248"/>
      <w:r>
        <w:rPr>
          <w:rFonts w:hint="eastAsia"/>
          <w:lang w:val="en-US" w:eastAsia="zh-CN"/>
        </w:rPr>
        <w:t>解释权</w:t>
      </w:r>
    </w:p>
    <w:p w14:paraId="1BC8F85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本招标文件的最终解释权归招标人所有</w:t>
      </w:r>
      <w:r>
        <w:rPr>
          <w:rFonts w:hint="eastAsia"/>
          <w:lang w:eastAsia="zh-CN"/>
        </w:rPr>
        <w:t>。</w:t>
      </w:r>
    </w:p>
    <w:p w14:paraId="399AFA6F">
      <w:pPr>
        <w:rPr>
          <w:rFonts w:hint="default" w:asciiTheme="majorEastAsia" w:hAnsiTheme="majorEastAsia" w:eastAsiaTheme="majorEastAsia" w:cstheme="majorEastAsia"/>
          <w:b/>
          <w:bCs/>
          <w:sz w:val="32"/>
          <w:szCs w:val="32"/>
          <w:highlight w:val="none"/>
          <w:lang w:val="en-US" w:eastAsia="zh-CN"/>
        </w:rPr>
      </w:pPr>
    </w:p>
    <w:p w14:paraId="4A1E3978">
      <w:pPr>
        <w:pStyle w:val="13"/>
        <w:rPr>
          <w:rFonts w:hint="default" w:asciiTheme="majorEastAsia" w:hAnsiTheme="majorEastAsia" w:eastAsiaTheme="majorEastAsia" w:cstheme="majorEastAsia"/>
          <w:b/>
          <w:bCs/>
          <w:sz w:val="32"/>
          <w:szCs w:val="32"/>
          <w:highlight w:val="none"/>
          <w:lang w:val="en-US" w:eastAsia="zh-CN"/>
        </w:rPr>
      </w:pPr>
    </w:p>
    <w:p w14:paraId="756F78BA">
      <w:pPr>
        <w:pStyle w:val="13"/>
        <w:rPr>
          <w:rFonts w:hint="default" w:asciiTheme="majorEastAsia" w:hAnsiTheme="majorEastAsia" w:eastAsiaTheme="majorEastAsia" w:cstheme="majorEastAsia"/>
          <w:b/>
          <w:bCs/>
          <w:sz w:val="32"/>
          <w:szCs w:val="32"/>
          <w:highlight w:val="none"/>
          <w:lang w:val="en-US" w:eastAsia="zh-CN"/>
        </w:rPr>
      </w:pPr>
    </w:p>
    <w:p w14:paraId="35B2D563">
      <w:pPr>
        <w:pStyle w:val="13"/>
        <w:rPr>
          <w:rFonts w:hint="default" w:asciiTheme="majorEastAsia" w:hAnsiTheme="majorEastAsia" w:eastAsiaTheme="majorEastAsia" w:cstheme="majorEastAsia"/>
          <w:b/>
          <w:bCs/>
          <w:sz w:val="32"/>
          <w:szCs w:val="32"/>
          <w:highlight w:val="none"/>
          <w:lang w:val="en-US" w:eastAsia="zh-CN"/>
        </w:rPr>
      </w:pPr>
    </w:p>
    <w:p w14:paraId="67EA6300">
      <w:pPr>
        <w:pStyle w:val="13"/>
        <w:rPr>
          <w:rFonts w:hint="default" w:asciiTheme="majorEastAsia" w:hAnsiTheme="majorEastAsia" w:eastAsiaTheme="majorEastAsia" w:cstheme="majorEastAsia"/>
          <w:b/>
          <w:bCs/>
          <w:sz w:val="32"/>
          <w:szCs w:val="32"/>
          <w:highlight w:val="none"/>
          <w:lang w:val="en-US" w:eastAsia="zh-CN"/>
        </w:rPr>
      </w:pPr>
    </w:p>
    <w:p w14:paraId="2D3D7B95">
      <w:pPr>
        <w:pStyle w:val="13"/>
        <w:rPr>
          <w:rFonts w:hint="default" w:asciiTheme="majorEastAsia" w:hAnsiTheme="majorEastAsia" w:eastAsiaTheme="majorEastAsia" w:cstheme="majorEastAsia"/>
          <w:b/>
          <w:bCs/>
          <w:sz w:val="32"/>
          <w:szCs w:val="32"/>
          <w:highlight w:val="none"/>
          <w:lang w:val="en-US" w:eastAsia="zh-CN"/>
        </w:rPr>
      </w:pPr>
    </w:p>
    <w:p w14:paraId="78335CC6">
      <w:pPr>
        <w:pStyle w:val="13"/>
        <w:rPr>
          <w:rFonts w:hint="default" w:asciiTheme="majorEastAsia" w:hAnsiTheme="majorEastAsia" w:eastAsiaTheme="majorEastAsia" w:cstheme="majorEastAsia"/>
          <w:b/>
          <w:bCs/>
          <w:sz w:val="32"/>
          <w:szCs w:val="32"/>
          <w:highlight w:val="none"/>
          <w:lang w:val="en-US" w:eastAsia="zh-CN"/>
        </w:rPr>
      </w:pPr>
    </w:p>
    <w:p w14:paraId="03D881CD">
      <w:pPr>
        <w:pStyle w:val="13"/>
        <w:rPr>
          <w:rFonts w:hint="default" w:asciiTheme="majorEastAsia" w:hAnsiTheme="majorEastAsia" w:eastAsiaTheme="majorEastAsia" w:cstheme="majorEastAsia"/>
          <w:b/>
          <w:bCs/>
          <w:sz w:val="32"/>
          <w:szCs w:val="32"/>
          <w:highlight w:val="none"/>
          <w:lang w:val="en-US" w:eastAsia="zh-CN"/>
        </w:rPr>
      </w:pPr>
    </w:p>
    <w:p w14:paraId="5AD693A1">
      <w:pPr>
        <w:pStyle w:val="13"/>
        <w:rPr>
          <w:rFonts w:hint="default" w:asciiTheme="majorEastAsia" w:hAnsiTheme="majorEastAsia" w:eastAsiaTheme="majorEastAsia" w:cstheme="majorEastAsia"/>
          <w:b/>
          <w:bCs/>
          <w:sz w:val="32"/>
          <w:szCs w:val="32"/>
          <w:highlight w:val="none"/>
          <w:lang w:val="en-US" w:eastAsia="zh-CN"/>
        </w:rPr>
      </w:pPr>
    </w:p>
    <w:p w14:paraId="27045C85">
      <w:pPr>
        <w:pStyle w:val="13"/>
        <w:rPr>
          <w:rFonts w:hint="default" w:asciiTheme="majorEastAsia" w:hAnsiTheme="majorEastAsia" w:eastAsiaTheme="majorEastAsia" w:cstheme="majorEastAsia"/>
          <w:b/>
          <w:bCs/>
          <w:sz w:val="32"/>
          <w:szCs w:val="32"/>
          <w:highlight w:val="none"/>
          <w:lang w:val="en-US" w:eastAsia="zh-CN"/>
        </w:rPr>
      </w:pPr>
    </w:p>
    <w:p w14:paraId="38041901">
      <w:pPr>
        <w:pStyle w:val="13"/>
        <w:rPr>
          <w:rFonts w:hint="default" w:asciiTheme="majorEastAsia" w:hAnsiTheme="majorEastAsia" w:eastAsiaTheme="majorEastAsia" w:cstheme="majorEastAsia"/>
          <w:b/>
          <w:bCs/>
          <w:sz w:val="32"/>
          <w:szCs w:val="32"/>
          <w:highlight w:val="none"/>
          <w:lang w:val="en-US" w:eastAsia="zh-CN"/>
        </w:rPr>
      </w:pPr>
    </w:p>
    <w:p w14:paraId="0F2DAA1C">
      <w:pPr>
        <w:pStyle w:val="13"/>
        <w:rPr>
          <w:rFonts w:hint="default" w:asciiTheme="majorEastAsia" w:hAnsiTheme="majorEastAsia" w:eastAsiaTheme="majorEastAsia" w:cstheme="majorEastAsia"/>
          <w:b/>
          <w:bCs/>
          <w:sz w:val="32"/>
          <w:szCs w:val="32"/>
          <w:highlight w:val="none"/>
          <w:lang w:val="en-US" w:eastAsia="zh-CN"/>
        </w:rPr>
      </w:pPr>
    </w:p>
    <w:p w14:paraId="34856B0A">
      <w:pPr>
        <w:pStyle w:val="13"/>
        <w:rPr>
          <w:rFonts w:hint="default" w:asciiTheme="majorEastAsia" w:hAnsiTheme="majorEastAsia" w:eastAsiaTheme="majorEastAsia" w:cstheme="majorEastAsia"/>
          <w:b/>
          <w:bCs/>
          <w:sz w:val="32"/>
          <w:szCs w:val="32"/>
          <w:highlight w:val="none"/>
          <w:lang w:val="en-US" w:eastAsia="zh-CN"/>
        </w:rPr>
      </w:pPr>
    </w:p>
    <w:p w14:paraId="640CFA1D">
      <w:pPr>
        <w:pStyle w:val="13"/>
        <w:rPr>
          <w:rFonts w:hint="default" w:asciiTheme="majorEastAsia" w:hAnsiTheme="majorEastAsia" w:eastAsiaTheme="majorEastAsia" w:cstheme="majorEastAsia"/>
          <w:b/>
          <w:bCs/>
          <w:sz w:val="32"/>
          <w:szCs w:val="32"/>
          <w:highlight w:val="none"/>
          <w:lang w:val="en-US" w:eastAsia="zh-CN"/>
        </w:rPr>
      </w:pPr>
    </w:p>
    <w:p w14:paraId="511DA49F">
      <w:pPr>
        <w:pStyle w:val="13"/>
        <w:rPr>
          <w:rFonts w:hint="default" w:asciiTheme="majorEastAsia" w:hAnsiTheme="majorEastAsia" w:eastAsiaTheme="majorEastAsia" w:cstheme="majorEastAsia"/>
          <w:b/>
          <w:bCs/>
          <w:sz w:val="32"/>
          <w:szCs w:val="32"/>
          <w:highlight w:val="none"/>
          <w:lang w:val="en-US" w:eastAsia="zh-CN"/>
        </w:rPr>
      </w:pPr>
    </w:p>
    <w:p w14:paraId="0C2E3E3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bookmarkStart w:id="249" w:name="_Toc246996232"/>
      <w:bookmarkStart w:id="250" w:name="_Toc179632607"/>
      <w:bookmarkStart w:id="251" w:name="_Toc247085747"/>
      <w:bookmarkStart w:id="252" w:name="_Toc296602477"/>
      <w:bookmarkStart w:id="253" w:name="_Toc152045589"/>
      <w:bookmarkStart w:id="254" w:name="_Toc246996975"/>
      <w:bookmarkStart w:id="255" w:name="_Toc144974556"/>
      <w:bookmarkStart w:id="256" w:name="_Toc152042366"/>
      <w:r>
        <w:rPr>
          <w:rFonts w:hint="default" w:asciiTheme="majorEastAsia" w:hAnsiTheme="majorEastAsia" w:eastAsiaTheme="majorEastAsia" w:cstheme="majorEastAsia"/>
          <w:b/>
          <w:bCs/>
          <w:sz w:val="32"/>
          <w:szCs w:val="32"/>
          <w:highlight w:val="none"/>
          <w:lang w:val="en-US" w:eastAsia="zh-CN"/>
        </w:rPr>
        <w:t>评标办法</w:t>
      </w:r>
      <w:r>
        <w:rPr>
          <w:rFonts w:hint="eastAsia" w:asciiTheme="majorEastAsia" w:hAnsiTheme="majorEastAsia" w:eastAsiaTheme="majorEastAsia" w:cstheme="majorEastAsia"/>
          <w:b/>
          <w:bCs/>
          <w:sz w:val="32"/>
          <w:szCs w:val="32"/>
          <w:highlight w:val="none"/>
          <w:lang w:val="en-US" w:eastAsia="zh-CN"/>
        </w:rPr>
        <w:t>（经评审的最低投标价法）</w:t>
      </w:r>
    </w:p>
    <w:p w14:paraId="577D13F8">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53DE1875">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评标办法前附表</w:t>
      </w:r>
    </w:p>
    <w:p w14:paraId="06AA7BA1">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6"/>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14:paraId="469648C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14:paraId="3964A18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C2143AA">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4FB8E7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00B2F7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14:paraId="35D1211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2.1.1</w:t>
            </w:r>
          </w:p>
        </w:tc>
        <w:tc>
          <w:tcPr>
            <w:tcW w:w="850" w:type="dxa"/>
            <w:vMerge w:val="restart"/>
            <w:tcBorders>
              <w:top w:val="single" w:color="auto" w:sz="4" w:space="0"/>
              <w:bottom w:val="single" w:color="auto" w:sz="4" w:space="0"/>
              <w:right w:val="single" w:color="auto" w:sz="4" w:space="0"/>
            </w:tcBorders>
            <w:noWrap w:val="0"/>
            <w:vAlign w:val="center"/>
          </w:tcPr>
          <w:p w14:paraId="36736FA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0D4D63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4BD30E8">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eastAsiaTheme="minorEastAsia"/>
                <w:kern w:val="0"/>
                <w:sz w:val="24"/>
                <w:szCs w:val="24"/>
                <w:highlight w:val="none"/>
              </w:rPr>
              <w:t>一致</w:t>
            </w:r>
          </w:p>
        </w:tc>
      </w:tr>
      <w:tr w14:paraId="45E93F0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4579CE0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3D3574C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DFEADC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投标函</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2D52167">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有法定代表人或其委托代理人签字或加盖单位章</w:t>
            </w:r>
          </w:p>
        </w:tc>
      </w:tr>
      <w:tr w14:paraId="09EF7C3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7102B49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706E76C9">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EBEB53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D8DBAE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default" w:ascii="Times New Roman" w:hAnsi="Times New Roman" w:cs="Times New Roman" w:eastAsiaTheme="minorEastAsia"/>
                <w:color w:val="auto"/>
                <w:kern w:val="0"/>
                <w:sz w:val="24"/>
                <w:szCs w:val="24"/>
                <w:highlight w:val="none"/>
              </w:rPr>
              <w:t>第</w:t>
            </w:r>
            <w:r>
              <w:rPr>
                <w:rFonts w:hint="eastAsia" w:ascii="Times New Roman" w:hAnsi="Times New Roman" w:cs="Times New Roman"/>
                <w:color w:val="auto"/>
                <w:kern w:val="0"/>
                <w:sz w:val="24"/>
                <w:szCs w:val="24"/>
                <w:highlight w:val="none"/>
                <w:lang w:val="en-US" w:eastAsia="zh-CN"/>
              </w:rPr>
              <w:t>八</w:t>
            </w:r>
            <w:r>
              <w:rPr>
                <w:rFonts w:hint="default" w:ascii="Times New Roman" w:hAnsi="Times New Roman" w:cs="Times New Roman" w:eastAsiaTheme="minorEastAsia"/>
                <w:color w:val="auto"/>
                <w:kern w:val="0"/>
                <w:sz w:val="24"/>
                <w:szCs w:val="24"/>
                <w:highlight w:val="none"/>
              </w:rPr>
              <w:t>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投标文件格式</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的</w:t>
            </w:r>
            <w:r>
              <w:rPr>
                <w:rFonts w:hint="eastAsia" w:ascii="Times New Roman" w:hAnsi="Times New Roman" w:cs="Times New Roman"/>
                <w:kern w:val="0"/>
                <w:sz w:val="24"/>
                <w:szCs w:val="24"/>
                <w:highlight w:val="none"/>
                <w:lang w:val="en-US" w:eastAsia="zh-CN"/>
              </w:rPr>
              <w:t>要求</w:t>
            </w:r>
          </w:p>
        </w:tc>
      </w:tr>
      <w:tr w14:paraId="322C5E4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14:paraId="17019C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14:paraId="2F63E23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B5A5F2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D7404EE">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只能有一个有效报价</w:t>
            </w:r>
          </w:p>
        </w:tc>
      </w:tr>
      <w:tr w14:paraId="77C99E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0" w:hRule="atLeast"/>
        </w:trPr>
        <w:tc>
          <w:tcPr>
            <w:tcW w:w="850" w:type="dxa"/>
            <w:vMerge w:val="restart"/>
            <w:tcBorders>
              <w:top w:val="single" w:color="auto" w:sz="4" w:space="0"/>
              <w:right w:val="single" w:color="auto" w:sz="4" w:space="0"/>
            </w:tcBorders>
            <w:noWrap w:val="0"/>
            <w:vAlign w:val="center"/>
          </w:tcPr>
          <w:p w14:paraId="20B050E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45" w:edGrp="everyone" w:colFirst="3" w:colLast="3"/>
            <w:r>
              <w:rPr>
                <w:rFonts w:hint="eastAsia" w:ascii="Times New Roman" w:hAnsi="Times New Roman" w:cs="Times New Roman"/>
                <w:kern w:val="0"/>
                <w:sz w:val="24"/>
                <w:szCs w:val="24"/>
                <w:highlight w:val="none"/>
                <w:lang w:val="en-US" w:eastAsia="zh-CN"/>
              </w:rPr>
              <w:t>2.1.2</w:t>
            </w:r>
          </w:p>
        </w:tc>
        <w:tc>
          <w:tcPr>
            <w:tcW w:w="850" w:type="dxa"/>
            <w:vMerge w:val="restart"/>
            <w:tcBorders>
              <w:top w:val="single" w:color="auto" w:sz="4" w:space="0"/>
              <w:right w:val="single" w:color="auto" w:sz="4" w:space="0"/>
            </w:tcBorders>
            <w:noWrap w:val="0"/>
            <w:vAlign w:val="center"/>
          </w:tcPr>
          <w:p w14:paraId="0154EC4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3907B9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DE2F31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5"/>
      <w:tr w14:paraId="77B0F3B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370A5B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6" w:edGrp="everyone" w:colFirst="3" w:colLast="3"/>
          </w:p>
        </w:tc>
        <w:tc>
          <w:tcPr>
            <w:tcW w:w="850" w:type="dxa"/>
            <w:vMerge w:val="continue"/>
            <w:tcBorders>
              <w:right w:val="single" w:color="auto" w:sz="4" w:space="0"/>
            </w:tcBorders>
            <w:noWrap w:val="0"/>
            <w:vAlign w:val="center"/>
          </w:tcPr>
          <w:p w14:paraId="4EB6BDC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E71420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6B9C89">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6"/>
      <w:tr w14:paraId="67C7FA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361D4FA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7" w:edGrp="everyone" w:colFirst="3" w:colLast="3"/>
          </w:p>
        </w:tc>
        <w:tc>
          <w:tcPr>
            <w:tcW w:w="850" w:type="dxa"/>
            <w:vMerge w:val="continue"/>
            <w:tcBorders>
              <w:right w:val="single" w:color="auto" w:sz="4" w:space="0"/>
            </w:tcBorders>
            <w:noWrap w:val="0"/>
            <w:vAlign w:val="center"/>
          </w:tcPr>
          <w:p w14:paraId="2D8FED53">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EDA045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资质等级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CB02D9D">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7"/>
      <w:tr w14:paraId="65AE340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775AB38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8" w:edGrp="everyone" w:colFirst="3" w:colLast="3"/>
          </w:p>
        </w:tc>
        <w:tc>
          <w:tcPr>
            <w:tcW w:w="850" w:type="dxa"/>
            <w:vMerge w:val="continue"/>
            <w:tcBorders>
              <w:right w:val="single" w:color="auto" w:sz="4" w:space="0"/>
            </w:tcBorders>
            <w:noWrap w:val="0"/>
            <w:vAlign w:val="center"/>
          </w:tcPr>
          <w:p w14:paraId="608B5F7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1EBCDFC">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32A7D7A">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8"/>
      <w:tr w14:paraId="501C318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2C794AE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49" w:edGrp="everyone" w:colFirst="3" w:colLast="3"/>
          </w:p>
        </w:tc>
        <w:tc>
          <w:tcPr>
            <w:tcW w:w="850" w:type="dxa"/>
            <w:vMerge w:val="continue"/>
            <w:tcBorders>
              <w:right w:val="single" w:color="auto" w:sz="4" w:space="0"/>
            </w:tcBorders>
            <w:noWrap w:val="0"/>
            <w:vAlign w:val="center"/>
          </w:tcPr>
          <w:p w14:paraId="380DE9F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9ABCFA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财务要求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C1C50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49"/>
      <w:tr w14:paraId="0EBF91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53D99A4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0" w:edGrp="everyone" w:colFirst="3" w:colLast="3"/>
          </w:p>
        </w:tc>
        <w:tc>
          <w:tcPr>
            <w:tcW w:w="850" w:type="dxa"/>
            <w:vMerge w:val="continue"/>
            <w:tcBorders>
              <w:right w:val="single" w:color="auto" w:sz="4" w:space="0"/>
            </w:tcBorders>
            <w:noWrap w:val="0"/>
            <w:vAlign w:val="center"/>
          </w:tcPr>
          <w:p w14:paraId="0A06B7E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CDEB4B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47144980">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0"/>
      <w:tr w14:paraId="12CE18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850" w:type="dxa"/>
            <w:vMerge w:val="continue"/>
            <w:tcBorders>
              <w:right w:val="single" w:color="auto" w:sz="4" w:space="0"/>
            </w:tcBorders>
            <w:noWrap w:val="0"/>
            <w:vAlign w:val="center"/>
          </w:tcPr>
          <w:p w14:paraId="423E40E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1" w:edGrp="everyone" w:colFirst="3" w:colLast="3"/>
          </w:p>
        </w:tc>
        <w:tc>
          <w:tcPr>
            <w:tcW w:w="850" w:type="dxa"/>
            <w:vMerge w:val="continue"/>
            <w:tcBorders>
              <w:right w:val="single" w:color="auto" w:sz="4" w:space="0"/>
            </w:tcBorders>
            <w:noWrap w:val="0"/>
            <w:vAlign w:val="center"/>
          </w:tcPr>
          <w:p w14:paraId="4C543FA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289DA2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其他要求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2E18E7F">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符合第二章“投标人须知”第1.4.1项规定</w:t>
            </w:r>
          </w:p>
        </w:tc>
      </w:tr>
      <w:permEnd w:id="51"/>
      <w:tr w14:paraId="72174A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14:paraId="28D33FC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permStart w:id="52" w:edGrp="everyone" w:colFirst="3" w:colLast="3"/>
            <w:r>
              <w:rPr>
                <w:rFonts w:hint="eastAsia" w:ascii="Times New Roman" w:hAnsi="Times New Roman" w:cs="Times New Roman"/>
                <w:kern w:val="0"/>
                <w:sz w:val="24"/>
                <w:szCs w:val="24"/>
                <w:highlight w:val="none"/>
                <w:lang w:val="en-US" w:eastAsia="zh-CN"/>
              </w:rPr>
              <w:t>2.1.3</w:t>
            </w:r>
          </w:p>
        </w:tc>
        <w:tc>
          <w:tcPr>
            <w:tcW w:w="850" w:type="dxa"/>
            <w:vMerge w:val="restart"/>
            <w:tcBorders>
              <w:top w:val="single" w:color="auto" w:sz="4" w:space="0"/>
              <w:right w:val="single" w:color="auto" w:sz="4" w:space="0"/>
            </w:tcBorders>
            <w:noWrap w:val="0"/>
            <w:vAlign w:val="center"/>
          </w:tcPr>
          <w:p w14:paraId="77FFCF3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778EC7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AEDC23">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第3.2.3项</w:t>
            </w:r>
            <w:r>
              <w:rPr>
                <w:rFonts w:hint="default" w:ascii="Times New Roman" w:hAnsi="Times New Roman" w:cs="Times New Roman" w:eastAsiaTheme="minorEastAsia"/>
                <w:kern w:val="0"/>
                <w:sz w:val="24"/>
                <w:szCs w:val="24"/>
                <w:highlight w:val="none"/>
              </w:rPr>
              <w:t>规定</w:t>
            </w:r>
          </w:p>
        </w:tc>
      </w:tr>
      <w:permEnd w:id="52"/>
      <w:tr w14:paraId="0D0A85D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1638EB6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3" w:edGrp="everyone" w:colFirst="3" w:colLast="3"/>
          </w:p>
        </w:tc>
        <w:tc>
          <w:tcPr>
            <w:tcW w:w="850" w:type="dxa"/>
            <w:vMerge w:val="continue"/>
            <w:tcBorders>
              <w:right w:val="single" w:color="auto" w:sz="4" w:space="0"/>
            </w:tcBorders>
            <w:noWrap w:val="0"/>
            <w:vAlign w:val="center"/>
          </w:tcPr>
          <w:p w14:paraId="0AF545C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7BA03D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5D01B8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第1.3.1项</w:t>
            </w:r>
            <w:r>
              <w:rPr>
                <w:rFonts w:hint="default" w:ascii="Times New Roman" w:hAnsi="Times New Roman" w:cs="Times New Roman" w:eastAsiaTheme="minorEastAsia"/>
                <w:kern w:val="0"/>
                <w:sz w:val="24"/>
                <w:szCs w:val="24"/>
                <w:highlight w:val="none"/>
              </w:rPr>
              <w:t>规定</w:t>
            </w:r>
          </w:p>
        </w:tc>
      </w:tr>
      <w:permEnd w:id="53"/>
      <w:tr w14:paraId="718C7E5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34EC41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4" w:edGrp="everyone" w:colFirst="3" w:colLast="3"/>
          </w:p>
        </w:tc>
        <w:tc>
          <w:tcPr>
            <w:tcW w:w="850" w:type="dxa"/>
            <w:vMerge w:val="continue"/>
            <w:tcBorders>
              <w:right w:val="single" w:color="auto" w:sz="4" w:space="0"/>
            </w:tcBorders>
            <w:noWrap w:val="0"/>
            <w:vAlign w:val="center"/>
          </w:tcPr>
          <w:p w14:paraId="1E098BF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E25FF2E">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930A59D">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第1.3.2项</w:t>
            </w:r>
            <w:r>
              <w:rPr>
                <w:rFonts w:hint="default" w:ascii="Times New Roman" w:hAnsi="Times New Roman" w:cs="Times New Roman" w:eastAsiaTheme="minorEastAsia"/>
                <w:kern w:val="0"/>
                <w:sz w:val="24"/>
                <w:szCs w:val="24"/>
                <w:highlight w:val="none"/>
              </w:rPr>
              <w:t>规定</w:t>
            </w:r>
          </w:p>
        </w:tc>
      </w:tr>
      <w:permEnd w:id="54"/>
      <w:tr w14:paraId="358D5A4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09B336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5" w:edGrp="everyone" w:colFirst="3" w:colLast="3"/>
          </w:p>
        </w:tc>
        <w:tc>
          <w:tcPr>
            <w:tcW w:w="850" w:type="dxa"/>
            <w:vMerge w:val="continue"/>
            <w:tcBorders>
              <w:right w:val="single" w:color="auto" w:sz="4" w:space="0"/>
            </w:tcBorders>
            <w:noWrap w:val="0"/>
            <w:vAlign w:val="center"/>
          </w:tcPr>
          <w:p w14:paraId="30275D9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117219F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工程质量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3AF95B">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第1.3.3项</w:t>
            </w:r>
            <w:r>
              <w:rPr>
                <w:rFonts w:hint="default" w:ascii="Times New Roman" w:hAnsi="Times New Roman" w:cs="Times New Roman" w:eastAsiaTheme="minorEastAsia"/>
                <w:kern w:val="0"/>
                <w:sz w:val="24"/>
                <w:szCs w:val="24"/>
                <w:highlight w:val="none"/>
              </w:rPr>
              <w:t>规定</w:t>
            </w:r>
          </w:p>
        </w:tc>
      </w:tr>
      <w:permEnd w:id="55"/>
      <w:tr w14:paraId="75E8D36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6BC433B2">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6" w:edGrp="everyone" w:colFirst="3" w:colLast="3"/>
          </w:p>
        </w:tc>
        <w:tc>
          <w:tcPr>
            <w:tcW w:w="850" w:type="dxa"/>
            <w:vMerge w:val="continue"/>
            <w:tcBorders>
              <w:right w:val="single" w:color="auto" w:sz="4" w:space="0"/>
            </w:tcBorders>
            <w:noWrap w:val="0"/>
            <w:vAlign w:val="center"/>
          </w:tcPr>
          <w:p w14:paraId="6DF6D9A5">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0CFA99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69AA701">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第3.3.1项</w:t>
            </w:r>
            <w:r>
              <w:rPr>
                <w:rFonts w:hint="default" w:ascii="Times New Roman" w:hAnsi="Times New Roman" w:cs="Times New Roman" w:eastAsiaTheme="minorEastAsia"/>
                <w:kern w:val="0"/>
                <w:sz w:val="24"/>
                <w:szCs w:val="24"/>
                <w:highlight w:val="none"/>
              </w:rPr>
              <w:t>规定</w:t>
            </w:r>
          </w:p>
        </w:tc>
      </w:tr>
      <w:permEnd w:id="56"/>
      <w:tr w14:paraId="0160C29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0497E948">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7" w:edGrp="everyone" w:colFirst="3" w:colLast="3"/>
          </w:p>
        </w:tc>
        <w:tc>
          <w:tcPr>
            <w:tcW w:w="850" w:type="dxa"/>
            <w:vMerge w:val="continue"/>
            <w:tcBorders>
              <w:right w:val="single" w:color="auto" w:sz="4" w:space="0"/>
            </w:tcBorders>
            <w:noWrap w:val="0"/>
            <w:vAlign w:val="center"/>
          </w:tcPr>
          <w:p w14:paraId="03337AA4">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396DACD">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547662">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第3.4.1项</w:t>
            </w:r>
            <w:r>
              <w:rPr>
                <w:rFonts w:hint="default" w:ascii="Times New Roman" w:hAnsi="Times New Roman" w:cs="Times New Roman" w:eastAsiaTheme="minorEastAsia"/>
                <w:kern w:val="0"/>
                <w:sz w:val="24"/>
                <w:szCs w:val="24"/>
                <w:highlight w:val="none"/>
              </w:rPr>
              <w:t>规定</w:t>
            </w:r>
          </w:p>
        </w:tc>
      </w:tr>
      <w:permEnd w:id="57"/>
      <w:tr w14:paraId="7C280D1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14:paraId="51703F5F">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8" w:edGrp="everyone" w:colFirst="3" w:colLast="3"/>
          </w:p>
        </w:tc>
        <w:tc>
          <w:tcPr>
            <w:tcW w:w="850" w:type="dxa"/>
            <w:vMerge w:val="continue"/>
            <w:tcBorders>
              <w:right w:val="single" w:color="auto" w:sz="4" w:space="0"/>
            </w:tcBorders>
            <w:noWrap w:val="0"/>
            <w:vAlign w:val="center"/>
          </w:tcPr>
          <w:p w14:paraId="4DEBE21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3D8FF6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EDDDB76">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符合</w:t>
            </w:r>
            <w:r>
              <w:rPr>
                <w:rFonts w:hint="default" w:ascii="Times New Roman" w:hAnsi="Times New Roman" w:cs="Times New Roman" w:eastAsiaTheme="minorEastAsia"/>
                <w:kern w:val="0"/>
                <w:sz w:val="24"/>
                <w:szCs w:val="24"/>
                <w:highlight w:val="none"/>
                <w:lang w:val="en-US" w:eastAsia="zh-CN"/>
              </w:rPr>
              <w:t>第</w:t>
            </w:r>
            <w:r>
              <w:rPr>
                <w:rFonts w:hint="eastAsia"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lang w:val="en-US" w:eastAsia="zh-CN"/>
              </w:rPr>
              <w:t>章</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合同条款及格式</w:t>
            </w:r>
            <w:r>
              <w:rPr>
                <w:rFonts w:hint="eastAsia" w:ascii="Times New Roman" w:hAnsi="Times New Roman" w:cs="Times New Roman"/>
                <w:kern w:val="0"/>
                <w:sz w:val="24"/>
                <w:szCs w:val="24"/>
                <w:highlight w:val="none"/>
                <w:lang w:val="en-US" w:eastAsia="zh-CN"/>
              </w:rPr>
              <w:t>”规定</w:t>
            </w:r>
          </w:p>
        </w:tc>
      </w:tr>
      <w:permEnd w:id="58"/>
      <w:tr w14:paraId="11208E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62C14A0">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59" w:edGrp="everyone" w:colFirst="3" w:colLast="3"/>
          </w:p>
        </w:tc>
        <w:tc>
          <w:tcPr>
            <w:tcW w:w="850" w:type="dxa"/>
            <w:vMerge w:val="continue"/>
            <w:tcBorders>
              <w:bottom w:val="single" w:color="auto" w:sz="4" w:space="0"/>
              <w:right w:val="single" w:color="auto" w:sz="4" w:space="0"/>
            </w:tcBorders>
            <w:noWrap w:val="0"/>
            <w:vAlign w:val="center"/>
          </w:tcPr>
          <w:p w14:paraId="492A5BF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6CC2651">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已标价工程量清单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BC667BF">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符合第五章“工程量清单”给出的范围及数量</w:t>
            </w:r>
          </w:p>
        </w:tc>
      </w:tr>
      <w:permEnd w:id="59"/>
      <w:tr w14:paraId="061A254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14:paraId="59624257">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ermStart w:id="60" w:edGrp="everyone" w:colFirst="3" w:colLast="3"/>
          </w:p>
        </w:tc>
        <w:tc>
          <w:tcPr>
            <w:tcW w:w="850" w:type="dxa"/>
            <w:vMerge w:val="continue"/>
            <w:tcBorders>
              <w:bottom w:val="single" w:color="auto" w:sz="4" w:space="0"/>
              <w:right w:val="single" w:color="auto" w:sz="4" w:space="0"/>
            </w:tcBorders>
            <w:noWrap w:val="0"/>
            <w:vAlign w:val="center"/>
          </w:tcPr>
          <w:p w14:paraId="7A6A0C7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8378FD6">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技术标准和要求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14A3A2C7">
            <w:pPr>
              <w:keepNext w:val="0"/>
              <w:keepLines w:val="0"/>
              <w:pageBreakBefore w:val="0"/>
              <w:widowControl w:val="0"/>
              <w:kinsoku/>
              <w:wordWrap w:val="0"/>
              <w:overflowPunct/>
              <w:topLinePunct w:val="0"/>
              <w:autoSpaceDE/>
              <w:autoSpaceDN/>
              <w:bidi w:val="0"/>
              <w:adjustRightInd/>
              <w:snapToGrid/>
              <w:spacing w:line="420" w:lineRule="exact"/>
              <w:textAlignment w:val="auto"/>
              <w:rPr>
                <w:rFonts w:hint="eastAsia" w:ascii="Times New Roman" w:hAnsi="Times New Roman" w:cs="Times New Roman"/>
                <w:color w:val="auto"/>
                <w:kern w:val="0"/>
                <w:sz w:val="24"/>
                <w:szCs w:val="24"/>
                <w:highlight w:val="none"/>
                <w:lang w:val="en-US" w:eastAsia="zh-CN"/>
              </w:rPr>
            </w:pPr>
            <w:r>
              <w:rPr>
                <w:rFonts w:hint="eastAsia" w:ascii="Times New Roman" w:hAnsi="Times New Roman" w:cs="Times New Roman"/>
                <w:color w:val="auto"/>
                <w:kern w:val="0"/>
                <w:sz w:val="24"/>
                <w:szCs w:val="24"/>
                <w:highlight w:val="none"/>
                <w:lang w:val="en-US" w:eastAsia="zh-CN"/>
              </w:rPr>
              <w:t>符合第七章“技术标准和要求”规定</w:t>
            </w:r>
          </w:p>
        </w:tc>
      </w:tr>
      <w:permEnd w:id="60"/>
    </w:tbl>
    <w:p w14:paraId="038B0F36">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br w:type="page"/>
      </w:r>
    </w:p>
    <w:p w14:paraId="5659046A">
      <w:pPr>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p>
    <w:p w14:paraId="7DC599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本次评标采用</w:t>
      </w:r>
      <w:r>
        <w:rPr>
          <w:rFonts w:hint="eastAsia" w:ascii="Times New Roman" w:hAnsi="Times New Roman" w:cs="Times New Roman"/>
          <w:kern w:val="0"/>
          <w:sz w:val="24"/>
          <w:szCs w:val="24"/>
          <w:highlight w:val="none"/>
          <w:lang w:val="en-US" w:eastAsia="zh-CN"/>
        </w:rPr>
        <w:t>经评审的最低投标价法。评标委员会对满足招标文件实质要求的投标文件，根据本章第2.2.款规定的量化因素及量化标准进行价格折算（如要求），按照经评审的投标价由低到高的顺序推荐中标候选人，或根据招标人授权直接确定中标人，但投标报价低于其成本的除外。经评审的投标价相等时，投标报价低的优先；投标报价也相等的，由招标人或其授权的评标委员会自行确定。</w:t>
      </w:r>
    </w:p>
    <w:p w14:paraId="4B1D76A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2. 评审标准</w:t>
      </w:r>
    </w:p>
    <w:p w14:paraId="2961FC1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p>
    <w:p w14:paraId="53294C1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14:paraId="2733E2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14:paraId="7E18D53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14:paraId="7FBC7FA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详细评审标准</w:t>
      </w:r>
    </w:p>
    <w:p w14:paraId="1860B575">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详细评审标准：见评标办法前附表。</w:t>
      </w:r>
    </w:p>
    <w:p w14:paraId="0E18D07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 评标程序</w:t>
      </w:r>
    </w:p>
    <w:p w14:paraId="24D4FFB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3.1 初步评审</w:t>
      </w:r>
    </w:p>
    <w:p w14:paraId="2260D7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3.1.1评标委员会可以要求投标人提交第二章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第3.5.1项至第3.5.4项规定的有关证明和证件的原件，以便核验。评标委员会依据本章第2.1款规定的标准对投标文件进行初步评审。有一项不符合评审标准的，评标委员会应当否决其投标。</w:t>
      </w:r>
    </w:p>
    <w:p w14:paraId="3E3A996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3.1.2 投标人有以下情形之一的，</w:t>
      </w:r>
      <w:r>
        <w:rPr>
          <w:rFonts w:hint="eastAsia" w:ascii="Times New Roman" w:hAnsi="Times New Roman" w:cs="Times New Roman"/>
          <w:kern w:val="0"/>
          <w:sz w:val="24"/>
          <w:szCs w:val="24"/>
          <w:highlight w:val="none"/>
          <w:lang w:val="en-US" w:eastAsia="zh-CN"/>
        </w:rPr>
        <w:t>评标委员会应当否决其投标：</w:t>
      </w:r>
    </w:p>
    <w:p w14:paraId="0CC6E2C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第二章“投标人须知”第1.4.2项、第1.4.3项规定的任何一种情形的；</w:t>
      </w:r>
    </w:p>
    <w:p w14:paraId="2BFF42C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（2）串通投标或弄虚作假或有其他违法行为的；</w:t>
      </w:r>
    </w:p>
    <w:p w14:paraId="422C1C4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（3）不按评标委员会要求澄清、说明或补正的。</w:t>
      </w:r>
    </w:p>
    <w:p w14:paraId="252FD3E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w:t>
      </w:r>
      <w:r>
        <w:rPr>
          <w:rFonts w:hint="eastAsia" w:ascii="Times New Roman" w:hAnsi="Times New Roman" w:cs="Times New Roman"/>
          <w:kern w:val="0"/>
          <w:sz w:val="24"/>
          <w:szCs w:val="24"/>
          <w:highlight w:val="none"/>
          <w:lang w:val="en-US" w:eastAsia="zh-CN"/>
        </w:rPr>
        <w:t>的，</w:t>
      </w:r>
      <w:r>
        <w:rPr>
          <w:rFonts w:hint="default" w:ascii="Times New Roman" w:hAnsi="Times New Roman" w:cs="Times New Roman" w:eastAsiaTheme="minorEastAsia"/>
          <w:kern w:val="0"/>
          <w:sz w:val="24"/>
          <w:szCs w:val="24"/>
          <w:highlight w:val="none"/>
        </w:rPr>
        <w:t>评标委员会按以下原则</w:t>
      </w:r>
      <w:r>
        <w:rPr>
          <w:rFonts w:hint="eastAsia" w:ascii="Times New Roman" w:hAnsi="Times New Roman" w:cs="Times New Roman"/>
          <w:kern w:val="0"/>
          <w:sz w:val="24"/>
          <w:szCs w:val="24"/>
          <w:highlight w:val="none"/>
          <w:lang w:val="en-US" w:eastAsia="zh-CN"/>
        </w:rPr>
        <w:t>对投标报价进行修正，修正的价格经投标人书面确认后具有约束力。投标人不接受修正价格的，评标委员会应当否决其投标。</w:t>
      </w:r>
    </w:p>
    <w:p w14:paraId="2D79A2F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14:paraId="648C2E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6E1376A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3.2 详细评审</w:t>
      </w:r>
    </w:p>
    <w:p w14:paraId="1C686F33">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3.2.1 评标委员会</w:t>
      </w:r>
      <w:r>
        <w:rPr>
          <w:rFonts w:hint="eastAsia" w:ascii="Times New Roman" w:hAnsi="Times New Roman" w:cs="Times New Roman"/>
          <w:kern w:val="0"/>
          <w:sz w:val="24"/>
          <w:szCs w:val="24"/>
          <w:highlight w:val="none"/>
          <w:lang w:val="en-US" w:eastAsia="zh-CN"/>
        </w:rPr>
        <w:t>按本章第2.2.款规定的量化因素和标准进行价格折算，计算出评标价，并编制价格比较一览表。</w:t>
      </w:r>
    </w:p>
    <w:p w14:paraId="43428304">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3.2.2 评标委员会发现投标人的报价明显低于其他投标报价，或者在设有标底时明显低于标底，使得其投标报价可能低于其成本的，应当要求该投标人作出书面说明并提供相应的证明材料。投标人不能合理说明或者不能提供相应证明材料的，评标委员会应当认定该投标人以低于成本报价竞标，否决其投标。</w:t>
      </w:r>
    </w:p>
    <w:p w14:paraId="1A31E93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3.3 投标文件的澄清和补正</w:t>
      </w:r>
    </w:p>
    <w:p w14:paraId="0B5968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3.3.1 在评标过程中，评标委员会可以书面形式要求投标人对</w:t>
      </w:r>
      <w:r>
        <w:rPr>
          <w:rFonts w:hint="eastAsia" w:ascii="Times New Roman" w:hAnsi="Times New Roman" w:cs="Times New Roman"/>
          <w:kern w:val="0"/>
          <w:sz w:val="24"/>
          <w:szCs w:val="24"/>
          <w:highlight w:val="none"/>
          <w:lang w:val="en-US" w:eastAsia="zh-CN"/>
        </w:rPr>
        <w:t>所提交的投标文件中不明确的内容进行书面澄清或说明，或者对细微偏差进行补正。评标委员会不接受投标人主动提出的澄清、说明或补正。</w:t>
      </w:r>
    </w:p>
    <w:p w14:paraId="79DDBB1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改变投标文件的实质性内容。投标人的书面澄清、说明和补正属于投标文件的组成部分。</w:t>
      </w:r>
    </w:p>
    <w:p w14:paraId="26DE8C4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14:paraId="542AFD71">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3.4 特殊情况处理</w:t>
      </w:r>
    </w:p>
    <w:p w14:paraId="511D35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3.4.1如果评标委员会根据有关规定否决不合格投标后，因有效投标不足3个使得投标明显缺乏竞争的，评标委员会可以否决全部投标；当有效投标不足 3 个，但所有有效投标报价低于招标控制价，且具备以下条件之一的，视为投标具有竞争性，可以继续评标：</w:t>
      </w:r>
    </w:p>
    <w:p w14:paraId="2BDA7F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所有有效投标报价低于招标控制价，且竞标人报价没有明显高于市场价或采购人预期。</w:t>
      </w:r>
    </w:p>
    <w:p w14:paraId="379F2C7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3.</w:t>
      </w:r>
      <w:r>
        <w:rPr>
          <w:rFonts w:hint="eastAsia" w:ascii="Times New Roman" w:hAnsi="Times New Roman" w:cs="Times New Roman"/>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rPr>
        <w:t xml:space="preserve"> 评标结果</w:t>
      </w:r>
    </w:p>
    <w:p w14:paraId="4D3E64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前附表授权直接确定中标人外，评标委员会按照</w:t>
      </w:r>
      <w:r>
        <w:rPr>
          <w:rFonts w:hint="eastAsia" w:ascii="Times New Roman" w:hAnsi="Times New Roman" w:cs="Times New Roman"/>
          <w:kern w:val="0"/>
          <w:sz w:val="24"/>
          <w:szCs w:val="24"/>
          <w:highlight w:val="none"/>
          <w:lang w:val="en-US" w:eastAsia="zh-CN"/>
        </w:rPr>
        <w:t>本招标文件的规定推荐中标候选人。</w:t>
      </w:r>
    </w:p>
    <w:p w14:paraId="76FFDD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3.5.2 评标委员会完成评标后，应当向招标人提交书面评标报告。</w:t>
      </w:r>
    </w:p>
    <w:p w14:paraId="608F04AB">
      <w:pPr>
        <w:rPr>
          <w:rFonts w:hint="eastAsia" w:ascii="宋体" w:hAnsi="宋体" w:eastAsia="宋体" w:cs="宋体"/>
          <w:b w:val="0"/>
          <w:bCs w:val="0"/>
          <w:sz w:val="24"/>
          <w:szCs w:val="24"/>
          <w:highlight w:val="none"/>
        </w:rPr>
      </w:pPr>
      <w:r>
        <w:rPr>
          <w:rFonts w:hint="eastAsia" w:ascii="宋体" w:hAnsi="宋体" w:eastAsia="宋体" w:cs="宋体"/>
          <w:b w:val="0"/>
          <w:bCs w:val="0"/>
          <w:sz w:val="24"/>
          <w:szCs w:val="24"/>
          <w:highlight w:val="none"/>
        </w:rPr>
        <w:br w:type="page"/>
      </w:r>
    </w:p>
    <w:p w14:paraId="2CBE01B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52C34FF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B42708A">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67A8EE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E2885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7E6ED90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3BAD48A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7A1229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B2ACC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4820316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35D381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
        </w:tc>
      </w:tr>
      <w:tr w14:paraId="5A8307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E29A6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5E3C0A1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7A4BF60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无预付款，按每月进度控制，招标人每月对中标人上月工程量进行审核，每月应完成工程量以招标人审定为准（不得滞后于合同约定的进度）。当月进度完成时，付款</w:t>
            </w:r>
            <w:r>
              <w:rPr>
                <w:rFonts w:hint="eastAsia" w:ascii="Times New Roman" w:hAnsi="Times New Roman" w:cs="Times New Roman"/>
                <w:kern w:val="0"/>
                <w:sz w:val="24"/>
                <w:szCs w:val="24"/>
                <w:highlight w:val="none"/>
                <w:shd w:val="clear" w:color="auto" w:fill="auto"/>
                <w:vertAlign w:val="baseline"/>
                <w:lang w:val="en-US" w:eastAsia="zh-CN"/>
              </w:rPr>
              <w:t>金</w:t>
            </w:r>
            <w:r>
              <w:rPr>
                <w:rFonts w:hint="default" w:ascii="Times New Roman" w:hAnsi="Times New Roman" w:cs="Times New Roman"/>
                <w:kern w:val="0"/>
                <w:sz w:val="24"/>
                <w:szCs w:val="24"/>
                <w:highlight w:val="none"/>
                <w:shd w:val="clear" w:color="auto" w:fill="auto"/>
                <w:vertAlign w:val="baseline"/>
                <w:lang w:val="en-US" w:eastAsia="zh-CN"/>
              </w:rPr>
              <w:t>额按审定</w:t>
            </w:r>
            <w:r>
              <w:rPr>
                <w:rFonts w:hint="eastAsia" w:ascii="Times New Roman" w:hAnsi="Times New Roman" w:cs="Times New Roman"/>
                <w:kern w:val="0"/>
                <w:sz w:val="24"/>
                <w:szCs w:val="24"/>
                <w:highlight w:val="none"/>
                <w:shd w:val="clear" w:color="auto" w:fill="auto"/>
                <w:vertAlign w:val="baseline"/>
                <w:lang w:val="en-US" w:eastAsia="zh-CN"/>
              </w:rPr>
              <w:t>合格</w:t>
            </w:r>
            <w:r>
              <w:rPr>
                <w:rFonts w:hint="default" w:ascii="Times New Roman" w:hAnsi="Times New Roman" w:cs="Times New Roman"/>
                <w:kern w:val="0"/>
                <w:sz w:val="24"/>
                <w:szCs w:val="24"/>
                <w:highlight w:val="none"/>
                <w:shd w:val="clear" w:color="auto" w:fill="auto"/>
                <w:vertAlign w:val="baseline"/>
                <w:lang w:val="en-US" w:eastAsia="zh-CN"/>
              </w:rPr>
              <w:t>工程量价款的80%支付；竣工验收通过后，工程款付至累计</w:t>
            </w:r>
            <w:r>
              <w:rPr>
                <w:rFonts w:hint="eastAsia" w:ascii="Times New Roman" w:hAnsi="Times New Roman" w:cs="Times New Roman"/>
                <w:kern w:val="0"/>
                <w:sz w:val="24"/>
                <w:szCs w:val="24"/>
                <w:highlight w:val="none"/>
                <w:shd w:val="clear" w:color="auto" w:fill="auto"/>
                <w:vertAlign w:val="baseline"/>
                <w:lang w:val="en-US" w:eastAsia="zh-CN"/>
              </w:rPr>
              <w:t>合格</w:t>
            </w:r>
            <w:r>
              <w:rPr>
                <w:rFonts w:hint="default" w:ascii="Times New Roman" w:hAnsi="Times New Roman" w:cs="Times New Roman"/>
                <w:kern w:val="0"/>
                <w:sz w:val="24"/>
                <w:szCs w:val="24"/>
                <w:highlight w:val="none"/>
                <w:shd w:val="clear" w:color="auto" w:fill="auto"/>
                <w:vertAlign w:val="baseline"/>
                <w:lang w:val="en-US" w:eastAsia="zh-CN"/>
              </w:rPr>
              <w:t>产值</w:t>
            </w:r>
            <w:r>
              <w:rPr>
                <w:rFonts w:hint="eastAsia" w:ascii="Times New Roman" w:hAnsi="Times New Roman" w:cs="Times New Roman"/>
                <w:kern w:val="0"/>
                <w:sz w:val="24"/>
                <w:szCs w:val="24"/>
                <w:highlight w:val="none"/>
                <w:shd w:val="clear" w:color="auto" w:fill="auto"/>
                <w:vertAlign w:val="baseline"/>
                <w:lang w:val="en-US" w:eastAsia="zh-CN"/>
              </w:rPr>
              <w:t>对应价款</w:t>
            </w:r>
            <w:r>
              <w:rPr>
                <w:rFonts w:hint="default" w:ascii="Times New Roman" w:hAnsi="Times New Roman" w:cs="Times New Roman"/>
                <w:kern w:val="0"/>
                <w:sz w:val="24"/>
                <w:szCs w:val="24"/>
                <w:highlight w:val="none"/>
                <w:shd w:val="clear" w:color="auto" w:fill="auto"/>
                <w:vertAlign w:val="baseline"/>
                <w:lang w:val="en-US" w:eastAsia="zh-CN"/>
              </w:rPr>
              <w:t>的90%；竣工验收备案及招标人与建设单位结算完毕后30日内付至最终竣工结算审核审定价款的97%，余款3%作为质量保修金</w:t>
            </w:r>
            <w:r>
              <w:rPr>
                <w:rFonts w:hint="eastAsia" w:ascii="Times New Roman" w:hAnsi="Times New Roman" w:cs="Times New Roman"/>
                <w:kern w:val="0"/>
                <w:sz w:val="24"/>
                <w:szCs w:val="24"/>
                <w:highlight w:val="none"/>
                <w:shd w:val="clear" w:color="auto" w:fill="auto"/>
                <w:vertAlign w:val="baseline"/>
                <w:lang w:val="en-US" w:eastAsia="zh-CN"/>
              </w:rPr>
              <w:t>，</w:t>
            </w:r>
            <w:r>
              <w:rPr>
                <w:rFonts w:hint="default" w:ascii="Times New Roman" w:hAnsi="Times New Roman" w:cs="Times New Roman"/>
                <w:kern w:val="0"/>
                <w:sz w:val="24"/>
                <w:szCs w:val="24"/>
                <w:highlight w:val="none"/>
                <w:shd w:val="clear" w:color="auto" w:fill="auto"/>
                <w:vertAlign w:val="baseline"/>
                <w:lang w:val="en-US" w:eastAsia="zh-CN"/>
              </w:rPr>
              <w:t>待</w:t>
            </w: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r>
              <w:rPr>
                <w:rFonts w:hint="default" w:ascii="Times New Roman" w:hAnsi="Times New Roman" w:cs="Times New Roman"/>
                <w:kern w:val="0"/>
                <w:sz w:val="24"/>
                <w:szCs w:val="24"/>
                <w:highlight w:val="none"/>
                <w:shd w:val="clear" w:color="auto" w:fill="auto"/>
                <w:vertAlign w:val="baseline"/>
                <w:lang w:val="en-US" w:eastAsia="zh-CN"/>
              </w:rPr>
              <w:t>满后无质量问题无息退还。</w:t>
            </w:r>
          </w:p>
          <w:p w14:paraId="3D8C5D0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注：</w:t>
            </w:r>
            <w:r>
              <w:rPr>
                <w:rFonts w:hint="eastAsia" w:ascii="Times New Roman" w:hAnsi="Times New Roman" w:cs="Times New Roman"/>
                <w:kern w:val="0"/>
                <w:sz w:val="24"/>
                <w:szCs w:val="24"/>
                <w:highlight w:val="none"/>
                <w:shd w:val="clear" w:color="auto" w:fill="auto"/>
                <w:vertAlign w:val="baseline"/>
                <w:lang w:val="en-US" w:eastAsia="zh-CN"/>
              </w:rPr>
              <w:t>招标人</w:t>
            </w:r>
            <w:r>
              <w:rPr>
                <w:rFonts w:hint="default" w:ascii="Times New Roman" w:hAnsi="Times New Roman" w:cs="Times New Roman"/>
                <w:kern w:val="0"/>
                <w:sz w:val="24"/>
                <w:szCs w:val="24"/>
                <w:highlight w:val="none"/>
                <w:shd w:val="clear" w:color="auto" w:fill="auto"/>
                <w:vertAlign w:val="baseline"/>
                <w:lang w:val="en-US" w:eastAsia="zh-CN"/>
              </w:rPr>
              <w:t>付款前，</w:t>
            </w:r>
            <w:r>
              <w:rPr>
                <w:rFonts w:hint="eastAsia" w:ascii="Times New Roman" w:hAnsi="Times New Roman" w:cs="Times New Roman"/>
                <w:kern w:val="0"/>
                <w:sz w:val="24"/>
                <w:szCs w:val="24"/>
                <w:highlight w:val="none"/>
                <w:shd w:val="clear" w:color="auto" w:fill="auto"/>
                <w:vertAlign w:val="baseline"/>
                <w:lang w:val="en-US" w:eastAsia="zh-CN"/>
              </w:rPr>
              <w:t>中标人</w:t>
            </w:r>
            <w:r>
              <w:rPr>
                <w:rFonts w:hint="default" w:ascii="Times New Roman" w:hAnsi="Times New Roman" w:cs="Times New Roman"/>
                <w:kern w:val="0"/>
                <w:sz w:val="24"/>
                <w:szCs w:val="24"/>
                <w:highlight w:val="none"/>
                <w:shd w:val="clear" w:color="auto" w:fill="auto"/>
                <w:vertAlign w:val="baseline"/>
                <w:lang w:val="en-US" w:eastAsia="zh-CN"/>
              </w:rPr>
              <w:t>应按照国家税收有关规定开具等额增值税专用发票</w:t>
            </w:r>
            <w:r>
              <w:rPr>
                <w:rFonts w:hint="eastAsia" w:ascii="Times New Roman" w:hAnsi="Times New Roman" w:cs="Times New Roman"/>
                <w:kern w:val="0"/>
                <w:sz w:val="24"/>
                <w:szCs w:val="24"/>
                <w:highlight w:val="none"/>
                <w:shd w:val="clear" w:color="auto" w:fill="auto"/>
                <w:vertAlign w:val="baseline"/>
                <w:lang w:val="en-US" w:eastAsia="zh-CN"/>
              </w:rPr>
              <w:t>，否则招标人有权暂停付款。</w:t>
            </w:r>
          </w:p>
        </w:tc>
      </w:tr>
      <w:tr w14:paraId="3979E3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5C9943C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26E06AD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工程质量缺陷责任期</w:t>
            </w:r>
          </w:p>
        </w:tc>
        <w:tc>
          <w:tcPr>
            <w:tcW w:w="6253" w:type="dxa"/>
            <w:vAlign w:val="center"/>
          </w:tcPr>
          <w:p w14:paraId="4DED6A4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61" w:edGrp="everyone"/>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自竣工验收合格之日起</w:t>
            </w:r>
            <w:r>
              <w:rPr>
                <w:rFonts w:hint="eastAsia" w:ascii="Times New Roman" w:hAnsi="Times New Roman" w:cs="Times New Roman"/>
                <w:i w:val="0"/>
                <w:iCs w:val="0"/>
                <w:color w:val="auto"/>
                <w:kern w:val="0"/>
                <w:sz w:val="24"/>
                <w:szCs w:val="24"/>
                <w:highlight w:val="none"/>
                <w:u w:val="single"/>
                <w:shd w:val="clear" w:color="auto" w:fill="auto"/>
                <w:vertAlign w:val="baseline"/>
                <w:lang w:val="en-US" w:eastAsia="zh-CN"/>
              </w:rPr>
              <w:t>2</w:t>
            </w:r>
            <w:r>
              <w:rPr>
                <w:rFonts w:hint="eastAsia" w:ascii="Times New Roman" w:hAnsi="Times New Roman" w:cs="Times New Roman"/>
                <w:i w:val="0"/>
                <w:iCs w:val="0"/>
                <w:color w:val="auto"/>
                <w:kern w:val="0"/>
                <w:sz w:val="24"/>
                <w:szCs w:val="24"/>
                <w:highlight w:val="none"/>
                <w:u w:val="none"/>
                <w:shd w:val="clear" w:color="auto" w:fill="auto"/>
                <w:vertAlign w:val="baseline"/>
                <w:lang w:val="en-US" w:eastAsia="zh-CN"/>
              </w:rPr>
              <w:t>年。</w:t>
            </w:r>
            <w:permEnd w:id="61"/>
          </w:p>
        </w:tc>
      </w:tr>
      <w:tr w14:paraId="68809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23B58E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3CD883F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FFFFFF" w:fill="D9D9D9"/>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主要合同</w:t>
            </w:r>
          </w:p>
          <w:p w14:paraId="4E29A7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FFFFFF" w:fill="D9D9D9"/>
                <w:vertAlign w:val="baseline"/>
                <w:lang w:val="en-US" w:eastAsia="zh-CN"/>
              </w:rPr>
              <w:t>条款</w:t>
            </w:r>
          </w:p>
        </w:tc>
        <w:tc>
          <w:tcPr>
            <w:tcW w:w="6253" w:type="dxa"/>
            <w:vAlign w:val="center"/>
          </w:tcPr>
          <w:p w14:paraId="3E3FDE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1.中标人在竣工验收合格二十日内提交结算资料，工程竣工结算由建设单位委托有资质的工程造价咨询单位进行审核，核减在5%以内，咨询费用由招标人承担；审减额超过5%，超出部分的咨询费用由中标人承担。</w:t>
            </w:r>
          </w:p>
          <w:p w14:paraId="686D90D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2.中标人未按招标文件要求和投标文件承诺配备管理人员，每月出勤低于22天，将处于500元/人/天的处罚，处罚金额将从当期工程款中予以扣除。</w:t>
            </w:r>
          </w:p>
          <w:p w14:paraId="56CF9EB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中标人不得擅自采取停工、上访等措施，否则由此造成的招标人工期延误、名誉受损、增加管理人员等一切经济损失、法律责任由中标人承担。如招标人出现资金困难或业主未及时支付工程款，</w:t>
            </w:r>
            <w:r>
              <w:rPr>
                <w:rFonts w:hint="eastAsia" w:ascii="Times New Roman" w:hAnsi="Times New Roman" w:cs="Times New Roman"/>
                <w:kern w:val="0"/>
                <w:sz w:val="24"/>
                <w:highlight w:val="none"/>
                <w:shd w:val="clear" w:color="auto" w:fill="auto"/>
                <w:lang w:val="en-US" w:eastAsia="zh-CN"/>
              </w:rPr>
              <w:t>招标人可延长付款期限，原则上不超过一个月</w:t>
            </w:r>
            <w:r>
              <w:rPr>
                <w:rFonts w:hint="eastAsia" w:ascii="Times New Roman" w:hAnsi="Times New Roman" w:cs="Times New Roman"/>
                <w:kern w:val="0"/>
                <w:sz w:val="24"/>
                <w:szCs w:val="24"/>
                <w:highlight w:val="none"/>
                <w:shd w:val="clear" w:color="auto" w:fill="auto"/>
                <w:vertAlign w:val="baseline"/>
                <w:lang w:val="en-US" w:eastAsia="zh-CN"/>
              </w:rPr>
              <w:t>，在此期间内不视为招标人违约，且中标人不得以此为由中断本项目的货物供应。</w:t>
            </w:r>
          </w:p>
          <w:p w14:paraId="037B0D5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中标人须按招标人要求建立健全劳资专管员制度，对施工人员进行实名制管理和登记，中标人每月上报本工程农民工工资清单，每月10日前委托开设农民工工资专用账户的银行支付农民工工资。通过专户由银行打卡发放农民工工资并切实落实安全文明施工措施。按照《保障农民工工资支付条例》等相关法律法规规定，民工工资须按月支付，保障民工合法权益。中标人违反上述规定或者因拖欠工资出现农民工群体事件和讨薪事件发生的，中标人应承担相应的违约责任。</w:t>
            </w:r>
          </w:p>
          <w:p w14:paraId="24318A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w:t>
            </w:r>
            <w:r>
              <w:rPr>
                <w:rFonts w:hint="eastAsia" w:ascii="Times New Roman" w:hAnsi="Times New Roman" w:cs="Times New Roman" w:eastAsiaTheme="minorEastAsia"/>
                <w:kern w:val="0"/>
                <w:sz w:val="24"/>
                <w:szCs w:val="24"/>
                <w:highlight w:val="none"/>
                <w:shd w:val="clear" w:color="auto" w:fill="auto"/>
                <w:lang w:val="en-US" w:eastAsia="zh-CN"/>
              </w:rPr>
              <w:t>中标人在每次付款时需按照招标人要求当期实际支付工程款提供符合本工程并满足财务所需的工程类增值税专用发票及进项税抵扣联（提供全额9%增值税专用发票），若中标人未按照本条约定出具符合要求的增值税发票的，招标人有权暂停支付，招标人不承担任何违约责任，由此产生的资金占用等费用由中标人自行承担。</w:t>
            </w:r>
          </w:p>
        </w:tc>
      </w:tr>
    </w:tbl>
    <w:p w14:paraId="01D2930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6DADD8F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招标</w:t>
      </w:r>
      <w:r>
        <w:rPr>
          <w:rFonts w:hint="default" w:ascii="Times New Roman" w:hAnsi="Times New Roman" w:cs="Times New Roman"/>
          <w:kern w:val="0"/>
          <w:sz w:val="24"/>
          <w:szCs w:val="24"/>
          <w:highlight w:val="none"/>
          <w:shd w:val="clear" w:color="auto" w:fill="auto"/>
          <w:vertAlign w:val="baseline"/>
          <w:lang w:val="en-US" w:eastAsia="zh-CN"/>
        </w:rPr>
        <w:t>人与</w:t>
      </w:r>
      <w:r>
        <w:rPr>
          <w:rFonts w:hint="eastAsia" w:ascii="Times New Roman" w:hAnsi="Times New Roman" w:cs="Times New Roman"/>
          <w:kern w:val="0"/>
          <w:sz w:val="24"/>
          <w:szCs w:val="24"/>
          <w:highlight w:val="none"/>
          <w:shd w:val="clear" w:color="auto" w:fill="auto"/>
          <w:vertAlign w:val="baseline"/>
          <w:lang w:val="en-US" w:eastAsia="zh-CN"/>
        </w:rPr>
        <w:t>中标单</w:t>
      </w:r>
      <w:r>
        <w:rPr>
          <w:rFonts w:hint="default" w:ascii="Times New Roman" w:hAnsi="Times New Roman" w:cs="Times New Roman"/>
          <w:kern w:val="0"/>
          <w:sz w:val="24"/>
          <w:szCs w:val="24"/>
          <w:highlight w:val="none"/>
          <w:shd w:val="clear" w:color="auto" w:fill="auto"/>
          <w:vertAlign w:val="baseline"/>
          <w:lang w:val="en-US" w:eastAsia="zh-CN"/>
        </w:rPr>
        <w:t>位在不违背</w:t>
      </w:r>
      <w:r>
        <w:rPr>
          <w:rFonts w:hint="eastAsia" w:ascii="Times New Roman" w:hAnsi="Times New Roman" w:cs="Times New Roman"/>
          <w:kern w:val="0"/>
          <w:sz w:val="24"/>
          <w:szCs w:val="24"/>
          <w:highlight w:val="none"/>
          <w:shd w:val="clear" w:color="auto" w:fill="auto"/>
          <w:vertAlign w:val="baseline"/>
          <w:lang w:val="en-US" w:eastAsia="zh-CN"/>
        </w:rPr>
        <w:t>招标文件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投标</w:t>
      </w:r>
      <w:r>
        <w:rPr>
          <w:rFonts w:hint="default" w:ascii="Times New Roman" w:hAnsi="Times New Roman" w:cs="Times New Roman"/>
          <w:kern w:val="0"/>
          <w:sz w:val="24"/>
          <w:szCs w:val="24"/>
          <w:highlight w:val="none"/>
          <w:shd w:val="clear" w:color="auto" w:fill="auto"/>
          <w:vertAlign w:val="baseline"/>
          <w:lang w:val="en-US" w:eastAsia="zh-CN"/>
        </w:rPr>
        <w:t>文件承诺的条件下友好协商签订</w:t>
      </w:r>
      <w:r>
        <w:rPr>
          <w:rFonts w:hint="eastAsia" w:ascii="Times New Roman" w:hAnsi="Times New Roman" w:cs="Times New Roman"/>
          <w:kern w:val="0"/>
          <w:sz w:val="24"/>
          <w:szCs w:val="24"/>
          <w:highlight w:val="none"/>
          <w:shd w:val="clear" w:color="auto" w:fill="auto"/>
          <w:vertAlign w:val="baseline"/>
          <w:lang w:val="en-US" w:eastAsia="zh-CN"/>
        </w:rPr>
        <w:t>。</w:t>
      </w:r>
    </w:p>
    <w:p w14:paraId="06630EC5">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p w14:paraId="31DCD79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工程量清单</w:t>
      </w:r>
    </w:p>
    <w:p w14:paraId="45661F90">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37EEE8A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工程量清单说明</w:t>
      </w:r>
    </w:p>
    <w:p w14:paraId="6C8C5E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1.1 本工程量清单是根据招标文件中包括的、有合同约束力的图纸以及有关工程量清单的国家标准、行业标准、合同条款中约定的工程量计算规则编制。约定计量规则中没有的子目，其工程量按照有合同约束力的图纸所标示尺寸的理论净量计算。计量采用中华人民共和国法定计量单位。</w:t>
      </w:r>
    </w:p>
    <w:p w14:paraId="2AC1A0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1.2 本工程量清单应与招标文件中的投标人须知、通用合同条款、专用合同条款、技术标准和要求及图纸等一起阅读和理解。</w:t>
      </w:r>
    </w:p>
    <w:p w14:paraId="14F3159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1.3 本工程量清单仅是投标报价的共同基础，实际工程计量和工程价款的支付应遵循合同条款的约定和第七章“技术标准和要求”的有关规定。</w:t>
      </w:r>
    </w:p>
    <w:p w14:paraId="37AE965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1.4 补充子目工程量计算规则及子目工作内容说明：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449DBD3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2. </w:t>
      </w:r>
      <w:r>
        <w:rPr>
          <w:rFonts w:hint="eastAsia" w:ascii="Times New Roman" w:hAnsi="Times New Roman" w:cs="Times New Roman"/>
          <w:b/>
          <w:bCs/>
          <w:kern w:val="0"/>
          <w:sz w:val="28"/>
          <w:szCs w:val="28"/>
          <w:highlight w:val="none"/>
          <w:lang w:val="en-US" w:eastAsia="zh-CN"/>
        </w:rPr>
        <w:t>投标报价说明</w:t>
      </w:r>
    </w:p>
    <w:p w14:paraId="73B4891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2.1 工程量清单</w:t>
      </w:r>
      <w:bookmarkEnd w:id="249"/>
      <w:bookmarkEnd w:id="250"/>
      <w:bookmarkEnd w:id="251"/>
      <w:bookmarkEnd w:id="252"/>
      <w:bookmarkEnd w:id="253"/>
      <w:bookmarkEnd w:id="254"/>
      <w:bookmarkEnd w:id="255"/>
      <w:bookmarkEnd w:id="256"/>
      <w:r>
        <w:rPr>
          <w:rFonts w:hint="eastAsia" w:ascii="Times New Roman" w:hAnsi="Times New Roman" w:cs="Times New Roman"/>
          <w:kern w:val="0"/>
          <w:sz w:val="24"/>
          <w:szCs w:val="24"/>
          <w:highlight w:val="none"/>
          <w:lang w:val="en-US" w:eastAsia="zh-CN"/>
        </w:rPr>
        <w:t>中的每一子目须填入单价或价格，且只允许有一个报价。</w:t>
      </w:r>
    </w:p>
    <w:p w14:paraId="4D301BA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2.2 工程量清单中标价的单价或金额，应包括所需的人工费、材料和施工机具使用费和企业管理费、利润以及一定范围内的风险费用等。</w:t>
      </w:r>
    </w:p>
    <w:p w14:paraId="37AE965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2.3 工程量清单中投标人没有填入单价或价格的子目，其费用视为已分摊在工程量清单中其他相关子目的单价或价格之中。</w:t>
      </w:r>
    </w:p>
    <w:p w14:paraId="203267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u w:val="none"/>
          <w:lang w:val="en-US" w:eastAsia="zh-CN"/>
        </w:rPr>
      </w:pPr>
      <w:r>
        <w:rPr>
          <w:rFonts w:hint="eastAsia" w:ascii="Times New Roman" w:hAnsi="Times New Roman" w:cs="Times New Roman"/>
          <w:kern w:val="0"/>
          <w:sz w:val="24"/>
          <w:szCs w:val="24"/>
          <w:highlight w:val="none"/>
          <w:lang w:val="en-US" w:eastAsia="zh-CN"/>
        </w:rPr>
        <w:t>2.4 暂列金额的数量及拟用子目的说明：</w:t>
      </w:r>
      <w:r>
        <w:rPr>
          <w:rFonts w:hint="eastAsia" w:ascii="Times New Roman" w:hAnsi="Times New Roman" w:cs="Times New Roman"/>
          <w:kern w:val="0"/>
          <w:sz w:val="24"/>
          <w:szCs w:val="24"/>
          <w:highlight w:val="none"/>
          <w:u w:val="single"/>
          <w:lang w:val="en-US" w:eastAsia="zh-CN"/>
        </w:rPr>
        <w:t xml:space="preserve">     /      </w:t>
      </w:r>
      <w:r>
        <w:rPr>
          <w:rFonts w:hint="eastAsia" w:ascii="Times New Roman" w:hAnsi="Times New Roman" w:cs="Times New Roman"/>
          <w:kern w:val="0"/>
          <w:sz w:val="24"/>
          <w:szCs w:val="24"/>
          <w:highlight w:val="none"/>
          <w:u w:val="none"/>
          <w:lang w:val="en-US" w:eastAsia="zh-CN"/>
        </w:rPr>
        <w:t>。</w:t>
      </w:r>
    </w:p>
    <w:p w14:paraId="67FDDF39">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3</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其他说明</w:t>
      </w:r>
    </w:p>
    <w:p w14:paraId="497F612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default" w:ascii="Times New Roman" w:hAnsi="Times New Roman" w:cs="Times New Roman"/>
          <w:kern w:val="0"/>
          <w:sz w:val="24"/>
          <w:szCs w:val="24"/>
          <w:highlight w:val="none"/>
          <w:u w:val="none"/>
          <w:lang w:val="en-US" w:eastAsia="zh-CN"/>
        </w:rPr>
      </w:pPr>
      <w:permStart w:id="62" w:edGrp="everyone"/>
      <w:r>
        <w:rPr>
          <w:rFonts w:hint="eastAsia" w:ascii="Times New Roman" w:hAnsi="Times New Roman" w:cs="Times New Roman"/>
          <w:kern w:val="0"/>
          <w:sz w:val="24"/>
          <w:szCs w:val="24"/>
          <w:highlight w:val="none"/>
          <w:lang w:val="en-US" w:eastAsia="zh-CN"/>
        </w:rPr>
        <w:t xml:space="preserve"> /</w:t>
      </w:r>
    </w:p>
    <w:permEnd w:id="62"/>
    <w:p w14:paraId="21EB6FE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u w:val="none"/>
          <w:lang w:val="en-US" w:eastAsia="zh-CN"/>
        </w:rPr>
      </w:pPr>
      <w:r>
        <w:rPr>
          <w:rFonts w:hint="eastAsia" w:ascii="Times New Roman" w:hAnsi="Times New Roman" w:cs="Times New Roman"/>
          <w:b/>
          <w:bCs/>
          <w:kern w:val="0"/>
          <w:sz w:val="28"/>
          <w:szCs w:val="28"/>
          <w:highlight w:val="none"/>
          <w:lang w:val="en-US" w:eastAsia="zh-CN"/>
        </w:rPr>
        <w:t>4</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工程量清单</w:t>
      </w:r>
    </w:p>
    <w:p w14:paraId="2E1555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7BB70EA2">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5277AA82">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第六章 图纸</w:t>
      </w:r>
    </w:p>
    <w:p w14:paraId="33F84F85">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53D29F1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val="en-US" w:eastAsia="zh-CN"/>
        </w:rPr>
        <w:t>图纸目录</w:t>
      </w:r>
    </w:p>
    <w:p w14:paraId="48A1A89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tbl>
      <w:tblPr>
        <w:tblStyle w:val="17"/>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273"/>
        <w:gridCol w:w="1273"/>
        <w:gridCol w:w="1273"/>
        <w:gridCol w:w="1273"/>
        <w:gridCol w:w="2152"/>
      </w:tblGrid>
      <w:tr w14:paraId="02C2DB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0753ADD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序号</w:t>
            </w:r>
          </w:p>
        </w:tc>
        <w:tc>
          <w:tcPr>
            <w:tcW w:w="747" w:type="pct"/>
            <w:vAlign w:val="center"/>
          </w:tcPr>
          <w:p w14:paraId="5B3EB05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图名</w:t>
            </w:r>
          </w:p>
        </w:tc>
        <w:tc>
          <w:tcPr>
            <w:tcW w:w="747" w:type="pct"/>
            <w:vAlign w:val="center"/>
          </w:tcPr>
          <w:p w14:paraId="314C578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图号</w:t>
            </w:r>
          </w:p>
        </w:tc>
        <w:tc>
          <w:tcPr>
            <w:tcW w:w="747" w:type="pct"/>
            <w:vAlign w:val="center"/>
          </w:tcPr>
          <w:p w14:paraId="6AEFF07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版本</w:t>
            </w:r>
          </w:p>
        </w:tc>
        <w:tc>
          <w:tcPr>
            <w:tcW w:w="747" w:type="pct"/>
            <w:vAlign w:val="center"/>
          </w:tcPr>
          <w:p w14:paraId="3944742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出图日期</w:t>
            </w:r>
          </w:p>
        </w:tc>
        <w:tc>
          <w:tcPr>
            <w:tcW w:w="1263" w:type="pct"/>
            <w:vAlign w:val="center"/>
          </w:tcPr>
          <w:p w14:paraId="1A86B06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备注</w:t>
            </w:r>
          </w:p>
        </w:tc>
      </w:tr>
      <w:tr w14:paraId="30B9D1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75010F8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1 </w:t>
            </w:r>
          </w:p>
        </w:tc>
        <w:tc>
          <w:tcPr>
            <w:tcW w:w="747" w:type="pct"/>
            <w:vAlign w:val="center"/>
          </w:tcPr>
          <w:p w14:paraId="1EAF09F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r>
              <w:rPr>
                <w:rFonts w:hint="eastAsia"/>
                <w:szCs w:val="21"/>
              </w:rPr>
              <w:t>详见图纸</w:t>
            </w:r>
          </w:p>
        </w:tc>
        <w:tc>
          <w:tcPr>
            <w:tcW w:w="747" w:type="pct"/>
            <w:vAlign w:val="center"/>
          </w:tcPr>
          <w:p w14:paraId="43480A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5358A62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747" w:type="pct"/>
            <w:vAlign w:val="center"/>
          </w:tcPr>
          <w:p w14:paraId="001C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c>
          <w:tcPr>
            <w:tcW w:w="1263" w:type="pct"/>
            <w:vAlign w:val="center"/>
          </w:tcPr>
          <w:p w14:paraId="39B0C398">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 xml:space="preserve">  </w:t>
            </w:r>
          </w:p>
        </w:tc>
      </w:tr>
      <w:tr w14:paraId="6FD48D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3D1ABAF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77CA0FF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2D3B8E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2713517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6C0828D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243434B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r w14:paraId="6FC69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47" w:type="pct"/>
            <w:vAlign w:val="center"/>
          </w:tcPr>
          <w:p w14:paraId="1CE6A54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8425D8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349BFA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1E44BAF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747" w:type="pct"/>
            <w:vAlign w:val="center"/>
          </w:tcPr>
          <w:p w14:paraId="5D31BC7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c>
          <w:tcPr>
            <w:tcW w:w="1263" w:type="pct"/>
            <w:vAlign w:val="center"/>
          </w:tcPr>
          <w:p w14:paraId="5D0ECA8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vertAlign w:val="baseline"/>
                <w:lang w:val="en-US" w:eastAsia="zh-CN"/>
              </w:rPr>
            </w:pPr>
          </w:p>
        </w:tc>
      </w:tr>
    </w:tbl>
    <w:p w14:paraId="76E6757C">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b/>
          <w:bCs/>
          <w:kern w:val="0"/>
          <w:sz w:val="28"/>
          <w:szCs w:val="28"/>
          <w:highlight w:val="none"/>
          <w:lang w:val="en-US" w:eastAsia="zh-CN"/>
        </w:rPr>
      </w:pPr>
    </w:p>
    <w:p w14:paraId="190957B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b/>
          <w:bCs/>
          <w:kern w:val="0"/>
          <w:sz w:val="28"/>
          <w:szCs w:val="28"/>
          <w:highlight w:val="none"/>
          <w:lang w:val="en-US" w:eastAsia="zh-CN"/>
        </w:rPr>
        <w:t>图纸</w:t>
      </w:r>
    </w:p>
    <w:p w14:paraId="765699E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详见附件。</w:t>
      </w:r>
    </w:p>
    <w:p w14:paraId="6CB54B59">
      <w:pPr>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br w:type="page"/>
      </w:r>
    </w:p>
    <w:p w14:paraId="10C1745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第七章 技术标准和要求</w:t>
      </w:r>
    </w:p>
    <w:p w14:paraId="00C8A27A">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8B6E0AA">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Times New Roman" w:hAnsi="Times New Roman" w:eastAsia="黑体" w:cs="Times New Roman"/>
          <w:sz w:val="32"/>
          <w:szCs w:val="32"/>
          <w:lang w:val="en-US" w:eastAsia="zh-CN"/>
        </w:rPr>
      </w:pPr>
      <w:r>
        <w:rPr>
          <w:rFonts w:hint="default" w:ascii="Times New Roman" w:hAnsi="Times New Roman" w:eastAsia="黑体" w:cs="Times New Roman"/>
          <w:sz w:val="32"/>
          <w:szCs w:val="32"/>
          <w:lang w:val="en-US" w:eastAsia="zh-CN"/>
        </w:rPr>
        <w:t>采购人要求</w:t>
      </w:r>
      <w:r>
        <w:rPr>
          <w:rFonts w:hint="eastAsia" w:ascii="Times New Roman" w:hAnsi="Times New Roman" w:eastAsia="黑体" w:cs="Times New Roman"/>
          <w:sz w:val="32"/>
          <w:szCs w:val="32"/>
          <w:lang w:val="en-US" w:eastAsia="zh-CN"/>
        </w:rPr>
        <w:t>：</w:t>
      </w:r>
    </w:p>
    <w:p w14:paraId="373FFE3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宋体" w:cs="Times New Roman"/>
          <w:sz w:val="32"/>
          <w:szCs w:val="32"/>
          <w:lang w:val="en-US" w:eastAsia="zh-CN"/>
        </w:rPr>
      </w:pPr>
      <w:r>
        <w:rPr>
          <w:rFonts w:hint="default" w:ascii="Times New Roman" w:hAnsi="Times New Roman" w:eastAsia="宋体" w:cs="Times New Roman"/>
          <w:sz w:val="32"/>
          <w:szCs w:val="32"/>
          <w:lang w:val="en-US" w:eastAsia="zh-CN"/>
        </w:rPr>
        <w:t>1</w:t>
      </w:r>
      <w:r>
        <w:rPr>
          <w:rFonts w:hint="eastAsia" w:ascii="Times New Roman" w:hAnsi="Times New Roman" w:eastAsia="宋体" w:cs="Times New Roman"/>
          <w:sz w:val="32"/>
          <w:szCs w:val="32"/>
          <w:lang w:val="en-US" w:eastAsia="zh-CN"/>
        </w:rPr>
        <w:t>、</w:t>
      </w:r>
      <w:r>
        <w:rPr>
          <w:rFonts w:hint="default" w:ascii="Times New Roman" w:hAnsi="Times New Roman" w:eastAsia="宋体" w:cs="Times New Roman"/>
          <w:sz w:val="32"/>
          <w:szCs w:val="32"/>
          <w:lang w:val="en-US" w:eastAsia="zh-CN"/>
        </w:rPr>
        <w:t>本项目专业分包采用包工</w:t>
      </w:r>
      <w:r>
        <w:rPr>
          <w:rFonts w:hint="eastAsia" w:ascii="Times New Roman" w:hAnsi="Times New Roman" w:eastAsia="宋体" w:cs="Times New Roman"/>
          <w:sz w:val="32"/>
          <w:szCs w:val="32"/>
          <w:lang w:val="en-US" w:eastAsia="zh-CN"/>
        </w:rPr>
        <w:t>、</w:t>
      </w:r>
      <w:r>
        <w:rPr>
          <w:rFonts w:hint="default" w:ascii="Times New Roman" w:hAnsi="Times New Roman" w:eastAsia="宋体" w:cs="Times New Roman"/>
          <w:sz w:val="32"/>
          <w:szCs w:val="32"/>
          <w:lang w:val="en-US" w:eastAsia="zh-CN"/>
        </w:rPr>
        <w:t>包料</w:t>
      </w:r>
      <w:r>
        <w:rPr>
          <w:rFonts w:hint="eastAsia" w:ascii="Times New Roman" w:hAnsi="Times New Roman" w:eastAsia="宋体" w:cs="Times New Roman"/>
          <w:sz w:val="32"/>
          <w:szCs w:val="32"/>
          <w:lang w:val="en-US" w:eastAsia="zh-CN"/>
        </w:rPr>
        <w:t>、包相关材料检测、包资料、包工具、包工期、包质量、包安全、包文明施工、包税金、包风险、包通过相关部门验收并出具验收合格意见书等一切工程内容及相关工作内容。</w:t>
      </w:r>
    </w:p>
    <w:p w14:paraId="7CF6604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default" w:ascii="Times New Roman" w:hAnsi="Times New Roman" w:eastAsia="宋体" w:cs="Times New Roman"/>
          <w:sz w:val="32"/>
          <w:szCs w:val="32"/>
          <w:lang w:val="en-US" w:eastAsia="zh-CN"/>
        </w:rPr>
        <w:t>2</w:t>
      </w:r>
      <w:r>
        <w:rPr>
          <w:rFonts w:hint="eastAsia" w:ascii="Times New Roman" w:hAnsi="Times New Roman" w:eastAsia="宋体" w:cs="Times New Roman"/>
          <w:sz w:val="32"/>
          <w:szCs w:val="32"/>
          <w:lang w:val="en-US" w:eastAsia="zh-CN"/>
        </w:rPr>
        <w:t>、准备工作：包括相关资料的准备，包括人员、主材、机械准备等。</w:t>
      </w:r>
    </w:p>
    <w:p w14:paraId="699D50E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宋体" w:cs="Times New Roman"/>
          <w:sz w:val="32"/>
          <w:szCs w:val="32"/>
          <w:lang w:val="en-US" w:eastAsia="zh-CN"/>
        </w:rPr>
      </w:pPr>
      <w:r>
        <w:rPr>
          <w:rFonts w:hint="default" w:ascii="Times New Roman" w:hAnsi="Times New Roman" w:eastAsia="宋体" w:cs="Times New Roman"/>
          <w:sz w:val="32"/>
          <w:szCs w:val="32"/>
          <w:lang w:val="en-US" w:eastAsia="zh-CN"/>
        </w:rPr>
        <w:t>3</w:t>
      </w:r>
      <w:r>
        <w:rPr>
          <w:rFonts w:hint="eastAsia" w:ascii="Times New Roman" w:hAnsi="Times New Roman" w:eastAsia="宋体" w:cs="Times New Roman"/>
          <w:sz w:val="32"/>
          <w:szCs w:val="32"/>
          <w:lang w:val="en-US" w:eastAsia="zh-CN"/>
        </w:rPr>
        <w:t>、工作内容：包括</w:t>
      </w:r>
      <w:r>
        <w:rPr>
          <w:rFonts w:hint="default" w:ascii="Times New Roman" w:hAnsi="Times New Roman" w:eastAsia="宋体" w:cs="Times New Roman"/>
          <w:sz w:val="32"/>
          <w:szCs w:val="32"/>
          <w:lang w:val="en-US" w:eastAsia="zh-CN"/>
        </w:rPr>
        <w:t>但不限于保温隔热墙面</w:t>
      </w:r>
      <w:r>
        <w:rPr>
          <w:rFonts w:hint="eastAsia" w:ascii="Times New Roman" w:hAnsi="Times New Roman" w:eastAsia="宋体" w:cs="Times New Roman"/>
          <w:sz w:val="32"/>
          <w:szCs w:val="32"/>
          <w:lang w:val="en-US" w:eastAsia="zh-CN"/>
        </w:rPr>
        <w:t>、保温隔热天棚、屋面保温工程等施工，具体详见施工图纸及清单。</w:t>
      </w:r>
    </w:p>
    <w:p w14:paraId="1349DA8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default" w:ascii="Times New Roman" w:hAnsi="Times New Roman" w:eastAsia="宋体" w:cs="Times New Roman"/>
          <w:sz w:val="32"/>
          <w:szCs w:val="32"/>
          <w:lang w:val="en-US" w:eastAsia="zh-CN"/>
        </w:rPr>
      </w:pPr>
      <w:r>
        <w:rPr>
          <w:rFonts w:hint="default" w:ascii="Times New Roman" w:hAnsi="Times New Roman" w:eastAsia="宋体" w:cs="Times New Roman"/>
          <w:sz w:val="32"/>
          <w:szCs w:val="32"/>
          <w:lang w:val="en-US" w:eastAsia="zh-CN"/>
        </w:rPr>
        <w:t>4</w:t>
      </w:r>
      <w:r>
        <w:rPr>
          <w:rFonts w:hint="eastAsia" w:ascii="Times New Roman" w:hAnsi="Times New Roman" w:eastAsia="宋体" w:cs="Times New Roman"/>
          <w:sz w:val="32"/>
          <w:szCs w:val="32"/>
          <w:lang w:val="en-US" w:eastAsia="zh-CN"/>
        </w:rPr>
        <w:t>、所有保温材料需经建设单位、监理单位、总包单位三方共同认可，确认后方可采购进场。所有进场</w:t>
      </w:r>
      <w:r>
        <w:rPr>
          <w:rFonts w:hint="default" w:ascii="Times New Roman" w:hAnsi="Times New Roman" w:eastAsia="宋体" w:cs="Times New Roman"/>
          <w:sz w:val="32"/>
          <w:szCs w:val="32"/>
          <w:lang w:val="en-US" w:eastAsia="zh-CN"/>
        </w:rPr>
        <w:t>主要</w:t>
      </w:r>
      <w:r>
        <w:rPr>
          <w:rFonts w:hint="eastAsia" w:ascii="Times New Roman" w:hAnsi="Times New Roman" w:eastAsia="宋体" w:cs="Times New Roman"/>
          <w:sz w:val="32"/>
          <w:szCs w:val="32"/>
          <w:lang w:val="en-US" w:eastAsia="zh-CN"/>
        </w:rPr>
        <w:t>材料必须经建设单位及招标人认可，否则招标人有权将进场</w:t>
      </w:r>
      <w:r>
        <w:rPr>
          <w:rFonts w:hint="default" w:ascii="Times New Roman" w:hAnsi="Times New Roman" w:eastAsia="宋体" w:cs="Times New Roman"/>
          <w:sz w:val="32"/>
          <w:szCs w:val="32"/>
          <w:lang w:val="en-US" w:eastAsia="zh-CN"/>
        </w:rPr>
        <w:t>主要</w:t>
      </w:r>
      <w:r>
        <w:rPr>
          <w:rFonts w:hint="eastAsia" w:ascii="Times New Roman" w:hAnsi="Times New Roman" w:eastAsia="宋体" w:cs="Times New Roman"/>
          <w:sz w:val="32"/>
          <w:szCs w:val="32"/>
          <w:lang w:val="en-US" w:eastAsia="zh-CN"/>
        </w:rPr>
        <w:t>材料清退出场，所有损失由中标人自行承担。</w:t>
      </w:r>
    </w:p>
    <w:p w14:paraId="0235CF8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5、因场地有限，招标人不提供工人生活区，由中标人自行解决，综合考虑在投标报价内。</w:t>
      </w:r>
    </w:p>
    <w:p w14:paraId="3617A1B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6、</w:t>
      </w:r>
      <w:r>
        <w:rPr>
          <w:rFonts w:hint="default" w:ascii="Times New Roman" w:hAnsi="Times New Roman" w:eastAsia="宋体" w:cs="Times New Roman"/>
          <w:sz w:val="32"/>
          <w:szCs w:val="32"/>
          <w:lang w:val="en-US" w:eastAsia="zh-CN"/>
        </w:rPr>
        <w:t>施工过程中不得干扰附近居民的生产、生活，与地方发生的任何纠纷，</w:t>
      </w:r>
      <w:r>
        <w:rPr>
          <w:rFonts w:hint="eastAsia" w:ascii="Times New Roman" w:hAnsi="Times New Roman" w:eastAsia="宋体" w:cs="Times New Roman"/>
          <w:sz w:val="32"/>
          <w:szCs w:val="32"/>
          <w:lang w:val="en-US" w:eastAsia="zh-CN"/>
        </w:rPr>
        <w:t>中标人</w:t>
      </w:r>
      <w:r>
        <w:rPr>
          <w:rFonts w:hint="default" w:ascii="Times New Roman" w:hAnsi="Times New Roman" w:eastAsia="宋体" w:cs="Times New Roman"/>
          <w:sz w:val="32"/>
          <w:szCs w:val="32"/>
          <w:lang w:val="en-US" w:eastAsia="zh-CN"/>
        </w:rPr>
        <w:t>自行解决，给</w:t>
      </w:r>
      <w:r>
        <w:rPr>
          <w:rFonts w:hint="eastAsia" w:ascii="Times New Roman" w:hAnsi="Times New Roman" w:eastAsia="宋体" w:cs="Times New Roman"/>
          <w:sz w:val="32"/>
          <w:szCs w:val="32"/>
          <w:lang w:val="en-US" w:eastAsia="zh-CN"/>
        </w:rPr>
        <w:t>招标人</w:t>
      </w:r>
      <w:r>
        <w:rPr>
          <w:rFonts w:hint="default" w:ascii="Times New Roman" w:hAnsi="Times New Roman" w:eastAsia="宋体" w:cs="Times New Roman"/>
          <w:sz w:val="32"/>
          <w:szCs w:val="32"/>
          <w:lang w:val="en-US" w:eastAsia="zh-CN"/>
        </w:rPr>
        <w:t>造成的任何损失</w:t>
      </w:r>
      <w:r>
        <w:rPr>
          <w:rFonts w:hint="eastAsia" w:ascii="Times New Roman" w:hAnsi="Times New Roman" w:eastAsia="宋体" w:cs="Times New Roman"/>
          <w:sz w:val="32"/>
          <w:szCs w:val="32"/>
          <w:lang w:val="en-US" w:eastAsia="zh-CN"/>
        </w:rPr>
        <w:t>，招标人</w:t>
      </w:r>
      <w:r>
        <w:rPr>
          <w:rFonts w:hint="default" w:ascii="Times New Roman" w:hAnsi="Times New Roman" w:eastAsia="宋体" w:cs="Times New Roman"/>
          <w:sz w:val="32"/>
          <w:szCs w:val="32"/>
          <w:lang w:val="en-US" w:eastAsia="zh-CN"/>
        </w:rPr>
        <w:t>将追究</w:t>
      </w:r>
      <w:r>
        <w:rPr>
          <w:rFonts w:hint="eastAsia" w:ascii="Times New Roman" w:hAnsi="Times New Roman" w:eastAsia="宋体" w:cs="Times New Roman"/>
          <w:sz w:val="32"/>
          <w:szCs w:val="32"/>
          <w:lang w:val="en-US" w:eastAsia="zh-CN"/>
        </w:rPr>
        <w:t>中标人</w:t>
      </w:r>
      <w:r>
        <w:rPr>
          <w:rFonts w:hint="default" w:ascii="Times New Roman" w:hAnsi="Times New Roman" w:eastAsia="宋体" w:cs="Times New Roman"/>
          <w:sz w:val="32"/>
          <w:szCs w:val="32"/>
          <w:lang w:val="en-US" w:eastAsia="zh-CN"/>
        </w:rPr>
        <w:t>相关责任</w:t>
      </w:r>
      <w:r>
        <w:rPr>
          <w:rFonts w:hint="eastAsia" w:ascii="Times New Roman" w:hAnsi="Times New Roman" w:eastAsia="宋体" w:cs="Times New Roman"/>
          <w:sz w:val="32"/>
          <w:szCs w:val="32"/>
          <w:lang w:val="en-US" w:eastAsia="zh-CN"/>
        </w:rPr>
        <w:t>。</w:t>
      </w:r>
    </w:p>
    <w:p w14:paraId="6D1A52F7">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7、中标人</w:t>
      </w:r>
      <w:r>
        <w:rPr>
          <w:rFonts w:hint="default" w:ascii="Times New Roman" w:hAnsi="Times New Roman" w:eastAsia="宋体" w:cs="Times New Roman"/>
          <w:sz w:val="32"/>
          <w:szCs w:val="32"/>
          <w:lang w:val="en-US" w:eastAsia="zh-CN"/>
        </w:rPr>
        <w:t>必须按相关规定办理人身意外伤害险，办理本款保险的一切费用均由</w:t>
      </w:r>
      <w:r>
        <w:rPr>
          <w:rFonts w:hint="eastAsia" w:ascii="Times New Roman" w:hAnsi="Times New Roman" w:eastAsia="宋体" w:cs="Times New Roman"/>
          <w:sz w:val="32"/>
          <w:szCs w:val="32"/>
          <w:lang w:val="en-US" w:eastAsia="zh-CN"/>
        </w:rPr>
        <w:t>投标人</w:t>
      </w:r>
      <w:r>
        <w:rPr>
          <w:rFonts w:hint="default" w:ascii="Times New Roman" w:hAnsi="Times New Roman" w:eastAsia="宋体" w:cs="Times New Roman"/>
          <w:sz w:val="32"/>
          <w:szCs w:val="32"/>
          <w:lang w:val="en-US" w:eastAsia="zh-CN"/>
        </w:rPr>
        <w:t>承担，不单独计量；</w:t>
      </w:r>
      <w:r>
        <w:rPr>
          <w:rFonts w:hint="eastAsia" w:ascii="Times New Roman" w:hAnsi="Times New Roman" w:eastAsia="宋体" w:cs="Times New Roman"/>
          <w:sz w:val="32"/>
          <w:szCs w:val="32"/>
          <w:lang w:val="en-US" w:eastAsia="zh-CN"/>
        </w:rPr>
        <w:t>中标人</w:t>
      </w:r>
      <w:r>
        <w:rPr>
          <w:rFonts w:hint="default" w:ascii="Times New Roman" w:hAnsi="Times New Roman" w:eastAsia="宋体" w:cs="Times New Roman"/>
          <w:sz w:val="32"/>
          <w:szCs w:val="32"/>
          <w:lang w:val="en-US" w:eastAsia="zh-CN"/>
        </w:rPr>
        <w:t>进场后一个月内需将该保险保单提交</w:t>
      </w:r>
      <w:r>
        <w:rPr>
          <w:rFonts w:hint="eastAsia" w:ascii="Times New Roman" w:hAnsi="Times New Roman" w:eastAsia="宋体" w:cs="Times New Roman"/>
          <w:sz w:val="32"/>
          <w:szCs w:val="32"/>
          <w:lang w:val="en-US" w:eastAsia="zh-CN"/>
        </w:rPr>
        <w:t>招标人</w:t>
      </w:r>
      <w:r>
        <w:rPr>
          <w:rFonts w:hint="default" w:ascii="Times New Roman" w:hAnsi="Times New Roman" w:eastAsia="宋体" w:cs="Times New Roman"/>
          <w:sz w:val="32"/>
          <w:szCs w:val="32"/>
          <w:lang w:val="en-US" w:eastAsia="zh-CN"/>
        </w:rPr>
        <w:t>核查与备案，否则</w:t>
      </w:r>
      <w:r>
        <w:rPr>
          <w:rFonts w:hint="eastAsia" w:ascii="Times New Roman" w:hAnsi="Times New Roman" w:eastAsia="宋体" w:cs="Times New Roman"/>
          <w:sz w:val="32"/>
          <w:szCs w:val="32"/>
          <w:lang w:val="en-US" w:eastAsia="zh-CN"/>
        </w:rPr>
        <w:t>招标人</w:t>
      </w:r>
      <w:r>
        <w:rPr>
          <w:rFonts w:hint="default" w:ascii="Times New Roman" w:hAnsi="Times New Roman" w:eastAsia="宋体" w:cs="Times New Roman"/>
          <w:sz w:val="32"/>
          <w:szCs w:val="32"/>
          <w:lang w:val="en-US" w:eastAsia="zh-CN"/>
        </w:rPr>
        <w:t>将为其代为办理保险，发生费用直接从</w:t>
      </w:r>
      <w:r>
        <w:rPr>
          <w:rFonts w:hint="eastAsia" w:ascii="Times New Roman" w:hAnsi="Times New Roman" w:eastAsia="宋体" w:cs="Times New Roman"/>
          <w:sz w:val="32"/>
          <w:szCs w:val="32"/>
          <w:lang w:val="en-US" w:eastAsia="zh-CN"/>
        </w:rPr>
        <w:t>中标人</w:t>
      </w:r>
      <w:r>
        <w:rPr>
          <w:rFonts w:hint="default" w:ascii="Times New Roman" w:hAnsi="Times New Roman" w:eastAsia="宋体" w:cs="Times New Roman"/>
          <w:sz w:val="32"/>
          <w:szCs w:val="32"/>
          <w:lang w:val="en-US" w:eastAsia="zh-CN"/>
        </w:rPr>
        <w:t>应得工程款中扣除</w:t>
      </w:r>
      <w:r>
        <w:rPr>
          <w:rFonts w:hint="eastAsia" w:ascii="Times New Roman" w:hAnsi="Times New Roman" w:eastAsia="宋体" w:cs="Times New Roman"/>
          <w:sz w:val="32"/>
          <w:szCs w:val="32"/>
          <w:lang w:val="en-US" w:eastAsia="zh-CN"/>
        </w:rPr>
        <w:t>。</w:t>
      </w:r>
    </w:p>
    <w:p w14:paraId="1DED05D9">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8、因建设单位原因出现停工、停建、变更等情况造成承包范围增减，招标人不承担任何责任。招标人有权对中标人施工范围做出调整。</w:t>
      </w:r>
    </w:p>
    <w:p w14:paraId="36896704">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9、中标人必须负责所在施工区域的文明施工及安全保护措施（施工范围内日常清理及各种检查的文明清理，场内场外运输，所在施工区域内的文明施工及安全保护措施等都在招标范围之内，直至工程竣工验收移交前的所有文明施工）。</w:t>
      </w:r>
    </w:p>
    <w:p w14:paraId="5ED151B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10、中标人应充分熟悉当地环保等相关政策，中标人在投标报价过程中应充分考虑一切可能存在的风险，相关费用已包含在投标报价中。</w:t>
      </w:r>
    </w:p>
    <w:p w14:paraId="6622A0E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11、安全文明施工标准：责任伤亡事故为零，责任火灾、大型机械设备事故为零；各级测评、检查安全文明成绩合格并符合建设单位相关要求。</w:t>
      </w:r>
    </w:p>
    <w:p w14:paraId="4FA87EA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12、项目在实施过程中招标人会不定期对项目安全文明施工进行评审、验收，中标人对施工过程中存在问题进行整改，拒不整改的，由招标人派人员进行整改，费用从中标人工程款中扣除（若建设单位提高创优标准，则按照建设单位要求执行）。</w:t>
      </w:r>
    </w:p>
    <w:p w14:paraId="1571216E">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13、满足主管部门、建设单位、招标人的其他安全相关管理制度。</w:t>
      </w:r>
    </w:p>
    <w:p w14:paraId="22244BD5">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注：为满足创标要求，现场机械设备，施工工具、器材单独存放，达不到招标人合同规定的安全质量标准，由此给招标人造成的经济处罚、名誉损失等一切责任，由中标人全部承担。</w:t>
      </w:r>
    </w:p>
    <w:p w14:paraId="4EAEE4FD">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14、中标人须组织对设计图纸进行交底及会审，指出设计图纸上任何不符施工常规、惯例或规范之处，以及设计图纸中错、漏、碰问题，并做好综合平衡工作。开工前认真核查设计图纸，进行现场核对并提交图纸审查报告。</w:t>
      </w:r>
    </w:p>
    <w:p w14:paraId="598011B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15、中标人须按照合同要求进行各项施工准备工作（包括但不限于施工范围的施工组织设计、施工计划及其他各项工程施工有关的管理方案、措施的编制）。如需组织专家论证，则此部分费用投标人须综合考虑入投标报价中。</w:t>
      </w:r>
    </w:p>
    <w:p w14:paraId="0EC62B08">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16、投标人应完成的工作包括图纸和答疑（包含招标人及建设单位答疑）所包含的所有明示内容，包括不限于承包范围、工程规范、措施费报价说明等合同约定的所有工作内容。</w:t>
      </w:r>
    </w:p>
    <w:p w14:paraId="43A5CB72">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17、中标人要配合其他专业分包施工，此部分费用投标人须综合考虑入投标报价中。</w:t>
      </w:r>
    </w:p>
    <w:p w14:paraId="268AC7EF">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both"/>
        <w:textAlignment w:val="auto"/>
        <w:rPr>
          <w:rFonts w:hint="eastAsia" w:ascii="Times New Roman" w:hAnsi="Times New Roman" w:eastAsia="宋体" w:cs="Times New Roman"/>
          <w:sz w:val="32"/>
          <w:szCs w:val="32"/>
          <w:lang w:val="en-US" w:eastAsia="zh-CN"/>
        </w:rPr>
      </w:pPr>
      <w:r>
        <w:rPr>
          <w:rFonts w:hint="eastAsia" w:ascii="Times New Roman" w:hAnsi="Times New Roman" w:eastAsia="宋体" w:cs="Times New Roman"/>
          <w:sz w:val="32"/>
          <w:szCs w:val="32"/>
          <w:lang w:val="en-US" w:eastAsia="zh-CN"/>
        </w:rPr>
        <w:t>18、</w:t>
      </w:r>
      <w:r>
        <w:rPr>
          <w:rFonts w:hint="eastAsia" w:ascii="宋体" w:hAnsi="宋体" w:eastAsia="宋体" w:cs="宋体"/>
          <w:sz w:val="32"/>
          <w:szCs w:val="32"/>
        </w:rPr>
        <w:t>中标人应配备</w:t>
      </w:r>
      <w:r>
        <w:rPr>
          <w:rFonts w:hint="eastAsia" w:ascii="宋体" w:hAnsi="宋体" w:eastAsia="宋体" w:cs="宋体"/>
          <w:sz w:val="32"/>
          <w:szCs w:val="32"/>
          <w:lang w:val="en-US" w:eastAsia="zh-CN"/>
        </w:rPr>
        <w:t>技术员1名、施工员1名、质量员1名、安全员1名。</w:t>
      </w:r>
      <w:r>
        <w:rPr>
          <w:rFonts w:hint="eastAsia" w:ascii="宋体" w:hAnsi="宋体" w:eastAsia="宋体" w:cs="宋体"/>
          <w:sz w:val="32"/>
          <w:szCs w:val="32"/>
        </w:rPr>
        <w:t>主要管理人员每</w:t>
      </w:r>
      <w:r>
        <w:rPr>
          <w:rFonts w:hint="eastAsia" w:ascii="宋体" w:hAnsi="宋体" w:eastAsia="宋体" w:cs="宋体"/>
          <w:sz w:val="32"/>
          <w:szCs w:val="32"/>
          <w:lang w:eastAsia="zh-CN"/>
        </w:rPr>
        <w:t>月</w:t>
      </w:r>
      <w:r>
        <w:rPr>
          <w:rFonts w:hint="eastAsia" w:ascii="宋体" w:hAnsi="宋体" w:eastAsia="宋体" w:cs="宋体"/>
          <w:sz w:val="32"/>
          <w:szCs w:val="32"/>
        </w:rPr>
        <w:t>现场履职时间需满足</w:t>
      </w:r>
      <w:r>
        <w:rPr>
          <w:rFonts w:hint="eastAsia" w:ascii="宋体" w:hAnsi="宋体" w:cs="宋体"/>
          <w:sz w:val="32"/>
          <w:szCs w:val="32"/>
          <w:lang w:eastAsia="zh-CN"/>
        </w:rPr>
        <w:t>招标人</w:t>
      </w:r>
      <w:r>
        <w:rPr>
          <w:rFonts w:hint="eastAsia" w:ascii="宋体" w:hAnsi="宋体" w:eastAsia="宋体" w:cs="宋体"/>
          <w:sz w:val="32"/>
          <w:szCs w:val="32"/>
        </w:rPr>
        <w:t>要求</w:t>
      </w:r>
      <w:r>
        <w:rPr>
          <w:rFonts w:hint="eastAsia" w:ascii="宋体" w:hAnsi="宋体" w:eastAsia="宋体" w:cs="宋体"/>
          <w:sz w:val="32"/>
          <w:szCs w:val="32"/>
          <w:lang w:eastAsia="zh-CN"/>
        </w:rPr>
        <w:t>。</w:t>
      </w:r>
    </w:p>
    <w:p w14:paraId="5F02ECAA">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eastAsia" w:ascii="Times New Roman" w:hAnsi="Times New Roman" w:cs="Times New Roman"/>
          <w:kern w:val="0"/>
          <w:sz w:val="24"/>
          <w:szCs w:val="24"/>
          <w:highlight w:val="none"/>
          <w:lang w:val="en-US" w:eastAsia="zh-CN"/>
        </w:rPr>
      </w:pPr>
    </w:p>
    <w:p w14:paraId="5245694A">
      <w:pPr>
        <w:keepNext w:val="0"/>
        <w:keepLines w:val="0"/>
        <w:pageBreakBefore w:val="0"/>
        <w:widowControl w:val="0"/>
        <w:kinsoku/>
        <w:wordWrap w:val="0"/>
        <w:overflowPunct/>
        <w:topLinePunct w:val="0"/>
        <w:autoSpaceDE/>
        <w:autoSpaceDN/>
        <w:bidi w:val="0"/>
        <w:adjustRightInd/>
        <w:snapToGrid/>
        <w:spacing w:line="440" w:lineRule="exact"/>
        <w:ind w:firstLine="643" w:firstLineChars="200"/>
        <w:jc w:val="both"/>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1D9EF067">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八</w:t>
      </w:r>
      <w:r>
        <w:rPr>
          <w:rFonts w:hint="default" w:ascii="Times New Roman" w:hAnsi="Times New Roman" w:cs="Times New Roman" w:eastAsiaTheme="majorEastAsia"/>
          <w:b/>
          <w:bCs/>
          <w:sz w:val="32"/>
          <w:szCs w:val="32"/>
          <w:highlight w:val="none"/>
          <w:lang w:val="en-US" w:eastAsia="zh-CN"/>
        </w:rPr>
        <w:t>章 投标文件格式</w:t>
      </w:r>
    </w:p>
    <w:p w14:paraId="4C71340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64009747">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1A680B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eastAsia" w:ascii="Times New Roman" w:hAnsi="Times New Roman" w:eastAsia="黑体" w:cs="Times New Roman"/>
          <w:kern w:val="0"/>
          <w:sz w:val="32"/>
          <w:szCs w:val="32"/>
          <w:highlight w:val="none"/>
          <w:u w:val="none"/>
          <w:shd w:val="clear" w:color="auto" w:fill="auto"/>
          <w:lang w:val="en-US" w:eastAsia="zh-CN"/>
        </w:rPr>
        <w:t>亳州逸合府一期施工总承包项目保温工程专业分包（二次）</w:t>
      </w:r>
    </w:p>
    <w:p w14:paraId="0A33989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0B879E7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4065F3ED">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14:paraId="76ABE9B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14:paraId="763C330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0EA90DB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7675720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7D29335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63" w:edGrp="everyone"/>
      <w:r>
        <w:rPr>
          <w:rFonts w:hint="default" w:ascii="Times New Roman" w:hAnsi="Times New Roman" w:eastAsia="楷体" w:cs="Times New Roman"/>
          <w:kern w:val="0"/>
          <w:sz w:val="28"/>
          <w:szCs w:val="28"/>
          <w:highlight w:val="none"/>
          <w:shd w:val="clear" w:color="auto" w:fill="auto"/>
          <w:lang w:val="en-US" w:eastAsia="zh-CN"/>
        </w:rPr>
        <w:t>BZJK-20</w:t>
      </w:r>
      <w:r>
        <w:rPr>
          <w:rFonts w:hint="eastAsia" w:ascii="Times New Roman" w:hAnsi="Times New Roman" w:eastAsia="楷体" w:cs="Times New Roman"/>
          <w:kern w:val="0"/>
          <w:sz w:val="28"/>
          <w:szCs w:val="28"/>
          <w:highlight w:val="none"/>
          <w:shd w:val="clear" w:color="auto" w:fill="auto"/>
          <w:lang w:val="en-US" w:eastAsia="zh-CN"/>
        </w:rPr>
        <w:t>24</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w:t>
      </w:r>
      <w:r>
        <w:rPr>
          <w:rFonts w:hint="default" w:ascii="Times New Roman" w:hAnsi="Times New Roman" w:eastAsia="楷体" w:cs="Times New Roman"/>
          <w:kern w:val="0"/>
          <w:sz w:val="28"/>
          <w:szCs w:val="28"/>
          <w:highlight w:val="none"/>
          <w:shd w:val="clear" w:color="auto" w:fill="auto"/>
          <w:lang w:val="en-US" w:eastAsia="zh-CN"/>
        </w:rPr>
        <w:t>号</w:t>
      </w:r>
      <w:permEnd w:id="63"/>
    </w:p>
    <w:p w14:paraId="731B56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03FCA29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C2771F7">
      <w:pPr>
        <w:keepNext w:val="0"/>
        <w:keepLines w:val="0"/>
        <w:pageBreakBefore w:val="0"/>
        <w:widowControl w:val="0"/>
        <w:kinsoku/>
        <w:wordWrap w:val="0"/>
        <w:overflowPunct/>
        <w:topLinePunct w:val="0"/>
        <w:autoSpaceDE/>
        <w:autoSpaceDN/>
        <w:bidi w:val="0"/>
        <w:adjustRightInd/>
        <w:snapToGrid/>
        <w:spacing w:line="240" w:lineRule="auto"/>
        <w:ind w:firstLine="640" w:firstLineChars="2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投标单位：</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7308DCB2">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24"/>
          <w:szCs w:val="24"/>
          <w:highlight w:val="none"/>
          <w:u w:val="none"/>
          <w:shd w:val="clear" w:color="auto" w:fill="auto"/>
          <w:lang w:val="en-US" w:eastAsia="zh-CN"/>
        </w:rPr>
        <w:t>（</w:t>
      </w:r>
      <w:r>
        <w:rPr>
          <w:rFonts w:hint="eastAsia" w:ascii="Times New Roman" w:hAnsi="Times New Roman" w:eastAsia="楷体" w:cs="Times New Roman"/>
          <w:kern w:val="0"/>
          <w:sz w:val="24"/>
          <w:szCs w:val="24"/>
          <w:highlight w:val="none"/>
          <w:u w:val="none"/>
          <w:shd w:val="clear" w:color="auto" w:fill="auto"/>
          <w:lang w:val="en-US" w:eastAsia="zh-CN"/>
        </w:rPr>
        <w:t>签字或盖章</w:t>
      </w:r>
      <w:r>
        <w:rPr>
          <w:rFonts w:hint="default" w:ascii="Times New Roman" w:hAnsi="Times New Roman" w:eastAsia="楷体" w:cs="Times New Roman"/>
          <w:kern w:val="0"/>
          <w:sz w:val="24"/>
          <w:szCs w:val="24"/>
          <w:highlight w:val="none"/>
          <w:u w:val="none"/>
          <w:shd w:val="clear" w:color="auto" w:fill="auto"/>
          <w:lang w:val="en-US" w:eastAsia="zh-CN"/>
        </w:rPr>
        <w:t>）</w:t>
      </w:r>
    </w:p>
    <w:p w14:paraId="1D233EE2">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499161F7">
      <w:pPr>
        <w:pStyle w:val="3"/>
        <w:jc w:val="center"/>
        <w:rPr>
          <w:rFonts w:hint="default" w:ascii="Times New Roman" w:hAnsi="Times New Roman" w:cs="Times New Roman"/>
        </w:rPr>
      </w:pPr>
      <w:bookmarkStart w:id="257" w:name="_Toc247514246"/>
      <w:bookmarkStart w:id="258" w:name="_Toc152045787"/>
      <w:bookmarkStart w:id="259" w:name="_Toc247527827"/>
      <w:bookmarkStart w:id="260" w:name="_Toc152042576"/>
      <w:bookmarkStart w:id="261" w:name="_Toc300835209"/>
      <w:bookmarkStart w:id="262" w:name="_Toc144974856"/>
      <w:r>
        <w:rPr>
          <w:rFonts w:hint="default" w:ascii="Times New Roman" w:hAnsi="Times New Roman" w:cs="Times New Roman"/>
        </w:rPr>
        <w:t>目    录</w:t>
      </w:r>
      <w:bookmarkEnd w:id="257"/>
      <w:bookmarkEnd w:id="258"/>
      <w:bookmarkEnd w:id="259"/>
      <w:bookmarkEnd w:id="260"/>
      <w:bookmarkEnd w:id="261"/>
      <w:bookmarkEnd w:id="262"/>
    </w:p>
    <w:p w14:paraId="1AB87ED6">
      <w:pPr>
        <w:spacing w:line="540" w:lineRule="exact"/>
        <w:rPr>
          <w:rFonts w:hint="default" w:ascii="Times New Roman" w:hAnsi="Times New Roman" w:cs="Times New Roman"/>
        </w:rPr>
      </w:pPr>
    </w:p>
    <w:tbl>
      <w:tblPr>
        <w:tblStyle w:val="17"/>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0758C7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52B01C03">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55BFAAA8">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11951E19">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55EAEE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810FAEB">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0650E8E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投标函及投标函附录</w:t>
            </w:r>
          </w:p>
        </w:tc>
        <w:tc>
          <w:tcPr>
            <w:tcW w:w="2840" w:type="dxa"/>
            <w:vAlign w:val="center"/>
          </w:tcPr>
          <w:p w14:paraId="49307EAE">
            <w:pPr>
              <w:spacing w:line="540" w:lineRule="exact"/>
              <w:jc w:val="center"/>
              <w:rPr>
                <w:rFonts w:hint="default" w:ascii="Times New Roman" w:hAnsi="Times New Roman" w:cs="Times New Roman"/>
                <w:vertAlign w:val="baseline"/>
              </w:rPr>
            </w:pPr>
          </w:p>
        </w:tc>
      </w:tr>
      <w:tr w14:paraId="1320B3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6C250EC">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21201B7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法定代表人身份证明</w:t>
            </w:r>
          </w:p>
        </w:tc>
        <w:tc>
          <w:tcPr>
            <w:tcW w:w="2840" w:type="dxa"/>
            <w:vAlign w:val="center"/>
          </w:tcPr>
          <w:p w14:paraId="3CDAA48F">
            <w:pPr>
              <w:spacing w:line="540" w:lineRule="exact"/>
              <w:jc w:val="center"/>
              <w:rPr>
                <w:rFonts w:hint="default" w:ascii="Times New Roman" w:hAnsi="Times New Roman" w:cs="Times New Roman"/>
                <w:vertAlign w:val="baseline"/>
              </w:rPr>
            </w:pPr>
          </w:p>
        </w:tc>
      </w:tr>
      <w:tr w14:paraId="394EAA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149BC4B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5AF560C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rPr>
              <w:t>授权委托书</w:t>
            </w:r>
          </w:p>
        </w:tc>
        <w:tc>
          <w:tcPr>
            <w:tcW w:w="2840" w:type="dxa"/>
            <w:vAlign w:val="center"/>
          </w:tcPr>
          <w:p w14:paraId="2F7AEDF8">
            <w:pPr>
              <w:spacing w:line="540" w:lineRule="exact"/>
              <w:jc w:val="center"/>
              <w:rPr>
                <w:rFonts w:hint="default" w:ascii="Times New Roman" w:hAnsi="Times New Roman" w:cs="Times New Roman"/>
                <w:vertAlign w:val="baseline"/>
              </w:rPr>
            </w:pPr>
          </w:p>
        </w:tc>
      </w:tr>
      <w:tr w14:paraId="665AE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282F4AF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544FF393">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val="en-US" w:eastAsia="zh-CN"/>
              </w:rPr>
              <w:t>联合体协议书（如要求）</w:t>
            </w:r>
          </w:p>
        </w:tc>
        <w:tc>
          <w:tcPr>
            <w:tcW w:w="2840" w:type="dxa"/>
            <w:vAlign w:val="center"/>
          </w:tcPr>
          <w:p w14:paraId="0618B8EE">
            <w:pPr>
              <w:spacing w:line="540" w:lineRule="exact"/>
              <w:jc w:val="center"/>
              <w:rPr>
                <w:rFonts w:hint="default" w:ascii="Times New Roman" w:hAnsi="Times New Roman" w:cs="Times New Roman"/>
                <w:vertAlign w:val="baseline"/>
              </w:rPr>
            </w:pPr>
          </w:p>
        </w:tc>
      </w:tr>
      <w:tr w14:paraId="25F54F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4B1B39E6">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2C366F79">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投标保证金</w:t>
            </w:r>
          </w:p>
        </w:tc>
        <w:tc>
          <w:tcPr>
            <w:tcW w:w="2840" w:type="dxa"/>
            <w:vAlign w:val="center"/>
          </w:tcPr>
          <w:p w14:paraId="6768AA04">
            <w:pPr>
              <w:spacing w:line="540" w:lineRule="exact"/>
              <w:jc w:val="center"/>
              <w:rPr>
                <w:rFonts w:hint="default" w:ascii="Times New Roman" w:hAnsi="Times New Roman" w:cs="Times New Roman"/>
                <w:vertAlign w:val="baseline"/>
              </w:rPr>
            </w:pPr>
          </w:p>
        </w:tc>
      </w:tr>
      <w:tr w14:paraId="56CBCE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B4B0C1F">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六</w:t>
            </w:r>
          </w:p>
        </w:tc>
        <w:tc>
          <w:tcPr>
            <w:tcW w:w="4681" w:type="dxa"/>
            <w:vAlign w:val="center"/>
          </w:tcPr>
          <w:p w14:paraId="3F080825">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已标价工程量清单</w:t>
            </w:r>
          </w:p>
        </w:tc>
        <w:tc>
          <w:tcPr>
            <w:tcW w:w="2840" w:type="dxa"/>
            <w:vAlign w:val="center"/>
          </w:tcPr>
          <w:p w14:paraId="4144490C">
            <w:pPr>
              <w:spacing w:line="540" w:lineRule="exact"/>
              <w:jc w:val="center"/>
              <w:rPr>
                <w:rFonts w:hint="default" w:ascii="Times New Roman" w:hAnsi="Times New Roman" w:cs="Times New Roman"/>
                <w:vertAlign w:val="baseline"/>
              </w:rPr>
            </w:pPr>
          </w:p>
        </w:tc>
      </w:tr>
      <w:tr w14:paraId="53877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B054C5B">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79E62F57">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施工方案</w:t>
            </w:r>
          </w:p>
        </w:tc>
        <w:tc>
          <w:tcPr>
            <w:tcW w:w="2840" w:type="dxa"/>
            <w:vAlign w:val="center"/>
          </w:tcPr>
          <w:p w14:paraId="135A5FDB">
            <w:pPr>
              <w:spacing w:line="540" w:lineRule="exact"/>
              <w:jc w:val="center"/>
              <w:rPr>
                <w:rFonts w:hint="default" w:ascii="Times New Roman" w:hAnsi="Times New Roman" w:cs="Times New Roman"/>
                <w:vertAlign w:val="baseline"/>
              </w:rPr>
            </w:pPr>
          </w:p>
        </w:tc>
      </w:tr>
      <w:tr w14:paraId="658055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8116A11">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vAlign w:val="center"/>
          </w:tcPr>
          <w:p w14:paraId="28C9027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项目管理机构</w:t>
            </w:r>
          </w:p>
        </w:tc>
        <w:tc>
          <w:tcPr>
            <w:tcW w:w="2840" w:type="dxa"/>
            <w:vAlign w:val="center"/>
          </w:tcPr>
          <w:p w14:paraId="47D60504">
            <w:pPr>
              <w:spacing w:line="540" w:lineRule="exact"/>
              <w:jc w:val="center"/>
              <w:rPr>
                <w:rFonts w:hint="default" w:ascii="Times New Roman" w:hAnsi="Times New Roman" w:cs="Times New Roman"/>
                <w:vertAlign w:val="baseline"/>
              </w:rPr>
            </w:pPr>
          </w:p>
        </w:tc>
      </w:tr>
      <w:tr w14:paraId="4D951A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B1F5080">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kern w:val="2"/>
                <w:sz w:val="21"/>
                <w:szCs w:val="24"/>
                <w:highlight w:val="none"/>
                <w:lang w:val="en-US" w:eastAsia="zh-CN" w:bidi="ar-SA"/>
              </w:rPr>
              <w:t>九</w:t>
            </w:r>
          </w:p>
        </w:tc>
        <w:tc>
          <w:tcPr>
            <w:tcW w:w="4681" w:type="dxa"/>
            <w:vAlign w:val="center"/>
          </w:tcPr>
          <w:p w14:paraId="46483DCA">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1FAD02B9">
            <w:pPr>
              <w:spacing w:line="540" w:lineRule="exact"/>
              <w:jc w:val="center"/>
              <w:rPr>
                <w:rFonts w:hint="default" w:ascii="Times New Roman" w:hAnsi="Times New Roman" w:cs="Times New Roman"/>
                <w:vertAlign w:val="baseline"/>
              </w:rPr>
            </w:pPr>
          </w:p>
        </w:tc>
      </w:tr>
      <w:tr w14:paraId="67C0E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02EEFB3">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十</w:t>
            </w:r>
          </w:p>
        </w:tc>
        <w:tc>
          <w:tcPr>
            <w:tcW w:w="4681" w:type="dxa"/>
            <w:vAlign w:val="center"/>
          </w:tcPr>
          <w:p w14:paraId="29711699">
            <w:pPr>
              <w:spacing w:line="540" w:lineRule="exact"/>
              <w:jc w:val="center"/>
              <w:rPr>
                <w:rFonts w:hint="default" w:ascii="Times New Roman" w:hAnsi="Times New Roman" w:cs="Times New Roman"/>
                <w:highlight w:val="none"/>
                <w:lang w:val="en-US" w:eastAsia="zh-CN"/>
              </w:rPr>
            </w:pPr>
            <w:r>
              <w:rPr>
                <w:rFonts w:hint="eastAsia" w:ascii="Times New Roman" w:hAnsi="Times New Roman" w:cs="Times New Roman"/>
                <w:highlight w:val="none"/>
                <w:lang w:val="en-US" w:eastAsia="zh-CN"/>
              </w:rPr>
              <w:t>其他资料</w:t>
            </w:r>
          </w:p>
        </w:tc>
        <w:tc>
          <w:tcPr>
            <w:tcW w:w="2840" w:type="dxa"/>
            <w:vAlign w:val="center"/>
          </w:tcPr>
          <w:p w14:paraId="10CADF6A">
            <w:pPr>
              <w:spacing w:line="540" w:lineRule="exact"/>
              <w:jc w:val="center"/>
              <w:rPr>
                <w:rFonts w:hint="default" w:ascii="Times New Roman" w:hAnsi="Times New Roman" w:cs="Times New Roman"/>
                <w:vertAlign w:val="baseline"/>
              </w:rPr>
            </w:pPr>
          </w:p>
        </w:tc>
      </w:tr>
    </w:tbl>
    <w:p w14:paraId="57839879">
      <w:pPr>
        <w:spacing w:line="540" w:lineRule="exact"/>
        <w:rPr>
          <w:rFonts w:hint="default" w:ascii="Times New Roman" w:hAnsi="Times New Roman" w:cs="Times New Roman" w:eastAsiaTheme="minorEastAsia"/>
          <w:highlight w:val="none"/>
          <w:lang w:val="en-US" w:eastAsia="zh-CN"/>
        </w:rPr>
      </w:pPr>
    </w:p>
    <w:p w14:paraId="12F5EC9C">
      <w:pPr>
        <w:spacing w:line="540" w:lineRule="exact"/>
        <w:rPr>
          <w:rFonts w:hint="default" w:ascii="Times New Roman" w:hAnsi="Times New Roman" w:cs="Times New Roman"/>
          <w:highlight w:val="none"/>
          <w:lang w:val="en-US" w:eastAsia="zh-CN"/>
        </w:rPr>
      </w:pPr>
    </w:p>
    <w:p w14:paraId="6995F193">
      <w:pPr>
        <w:spacing w:line="540" w:lineRule="exact"/>
        <w:rPr>
          <w:rFonts w:hint="default" w:ascii="Times New Roman" w:hAnsi="Times New Roman" w:cs="Times New Roman"/>
        </w:rPr>
      </w:pPr>
      <w:r>
        <w:rPr>
          <w:rFonts w:hint="default" w:ascii="Times New Roman" w:hAnsi="Times New Roman" w:cs="Times New Roman"/>
        </w:rPr>
        <w:t xml:space="preserve"> </w:t>
      </w:r>
    </w:p>
    <w:p w14:paraId="4A484751">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5C637610">
      <w:pPr>
        <w:pStyle w:val="3"/>
        <w:jc w:val="center"/>
        <w:rPr>
          <w:rFonts w:hint="default" w:ascii="Times New Roman" w:hAnsi="Times New Roman" w:cs="Times New Roman"/>
        </w:rPr>
      </w:pPr>
      <w:bookmarkStart w:id="263" w:name="_Toc152045788"/>
      <w:bookmarkStart w:id="264" w:name="_Toc247527828"/>
      <w:bookmarkStart w:id="265" w:name="_Toc144974857"/>
      <w:bookmarkStart w:id="266" w:name="_Toc300835210"/>
      <w:bookmarkStart w:id="267" w:name="_Toc247514247"/>
      <w:bookmarkStart w:id="268" w:name="_Toc152042577"/>
      <w:r>
        <w:rPr>
          <w:rFonts w:hint="default" w:ascii="Times New Roman" w:hAnsi="Times New Roman" w:cs="Times New Roman"/>
        </w:rPr>
        <w:t>一、投标函及投标函附录</w:t>
      </w:r>
      <w:bookmarkEnd w:id="263"/>
      <w:bookmarkEnd w:id="264"/>
      <w:bookmarkEnd w:id="265"/>
      <w:bookmarkEnd w:id="266"/>
      <w:bookmarkEnd w:id="267"/>
      <w:bookmarkEnd w:id="268"/>
    </w:p>
    <w:p w14:paraId="6CA87DA0">
      <w:pPr>
        <w:spacing w:line="440" w:lineRule="exact"/>
        <w:rPr>
          <w:rFonts w:hint="default" w:ascii="Times New Roman" w:hAnsi="Times New Roman" w:eastAsia="黑体" w:cs="Times New Roman"/>
          <w:sz w:val="20"/>
          <w:szCs w:val="20"/>
        </w:rPr>
      </w:pPr>
    </w:p>
    <w:p w14:paraId="36077438">
      <w:pPr>
        <w:pStyle w:val="4"/>
        <w:rPr>
          <w:rFonts w:hint="default" w:ascii="Times New Roman" w:hAnsi="Times New Roman" w:cs="Times New Roman"/>
        </w:rPr>
      </w:pPr>
      <w:bookmarkStart w:id="269" w:name="_Toc247514248"/>
      <w:bookmarkStart w:id="270" w:name="_Toc247527829"/>
      <w:bookmarkStart w:id="271" w:name="_Toc300835211"/>
      <w:bookmarkStart w:id="272" w:name="_Toc144974858"/>
      <w:bookmarkStart w:id="273" w:name="_Toc152042578"/>
      <w:bookmarkStart w:id="274" w:name="_Toc152045789"/>
      <w:r>
        <w:rPr>
          <w:rFonts w:hint="default" w:ascii="Times New Roman" w:hAnsi="Times New Roman" w:cs="Times New Roman"/>
        </w:rPr>
        <w:t>（一）投标函</w:t>
      </w:r>
      <w:bookmarkEnd w:id="269"/>
      <w:bookmarkEnd w:id="270"/>
      <w:bookmarkEnd w:id="271"/>
      <w:bookmarkEnd w:id="272"/>
      <w:bookmarkEnd w:id="273"/>
      <w:bookmarkEnd w:id="274"/>
    </w:p>
    <w:p w14:paraId="476ACB1C">
      <w:pPr>
        <w:spacing w:line="440" w:lineRule="exact"/>
        <w:rPr>
          <w:rFonts w:hint="default" w:ascii="Times New Roman" w:hAnsi="Times New Roman" w:cs="Times New Roman"/>
          <w:sz w:val="20"/>
          <w:szCs w:val="20"/>
        </w:rPr>
      </w:pPr>
    </w:p>
    <w:p w14:paraId="1FA04F13">
      <w:pPr>
        <w:spacing w:line="440" w:lineRule="exact"/>
        <w:rPr>
          <w:rFonts w:hint="default" w:ascii="Times New Roman" w:hAnsi="Times New Roman" w:cs="Times New Roman"/>
          <w:szCs w:val="21"/>
        </w:rPr>
      </w:pPr>
      <w:r>
        <w:rPr>
          <w:rFonts w:hint="default"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p>
    <w:p w14:paraId="25D43A45">
      <w:pPr>
        <w:spacing w:line="440" w:lineRule="exact"/>
        <w:ind w:firstLine="420" w:firstLineChars="200"/>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已仔细研究了</w:t>
      </w:r>
      <w:bookmarkStart w:id="403" w:name="_GoBack"/>
      <w:bookmarkEnd w:id="403"/>
      <w:r>
        <w:rPr>
          <w:rFonts w:hint="default" w:ascii="Times New Roman" w:hAnsi="Times New Roman" w:cs="Times New Roman"/>
          <w:szCs w:val="21"/>
          <w:u w:val="single"/>
          <w:lang w:val="en-US" w:eastAsia="zh-CN"/>
        </w:rPr>
        <w:t>亳州逸合府一期施工总承包项目保温工程专业分包</w:t>
      </w:r>
      <w:r>
        <w:rPr>
          <w:rFonts w:hint="eastAsia" w:ascii="Times New Roman" w:hAnsi="Times New Roman" w:cs="Times New Roman"/>
          <w:szCs w:val="21"/>
          <w:u w:val="single"/>
          <w:lang w:eastAsia="zh-CN"/>
        </w:rPr>
        <w:t>（</w:t>
      </w:r>
      <w:r>
        <w:rPr>
          <w:rFonts w:hint="eastAsia" w:ascii="Times New Roman" w:hAnsi="Times New Roman" w:cs="Times New Roman"/>
          <w:szCs w:val="21"/>
          <w:u w:val="single"/>
          <w:lang w:val="en-US" w:eastAsia="zh-CN"/>
        </w:rPr>
        <w:t>二次</w:t>
      </w:r>
      <w:r>
        <w:rPr>
          <w:rFonts w:hint="eastAsia" w:ascii="Times New Roman" w:hAnsi="Times New Roman" w:cs="Times New Roman"/>
          <w:szCs w:val="21"/>
          <w:u w:val="single"/>
          <w:lang w:eastAsia="zh-CN"/>
        </w:rPr>
        <w:t>）</w:t>
      </w:r>
      <w:r>
        <w:rPr>
          <w:rFonts w:hint="default" w:ascii="Times New Roman" w:hAnsi="Times New Roman" w:cs="Times New Roman"/>
          <w:szCs w:val="21"/>
        </w:rPr>
        <w:t>招标文件的全部内容，愿意以</w:t>
      </w:r>
      <w:permStart w:id="64"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w:t>
      </w:r>
      <w:permEnd w:id="64"/>
      <w:r>
        <w:rPr>
          <w:rFonts w:hint="eastAsia" w:ascii="Times New Roman" w:hAnsi="Times New Roman" w:cs="Times New Roman"/>
          <w:szCs w:val="21"/>
          <w:lang w:val="en-US" w:eastAsia="zh-CN"/>
        </w:rPr>
        <w:t>的投标总报价（</w:t>
      </w:r>
      <w:permStart w:id="65" w:edGrp="everyone"/>
      <w:r>
        <w:rPr>
          <w:rFonts w:hint="eastAsia" w:ascii="Times New Roman" w:hAnsi="Times New Roman" w:cs="Times New Roman"/>
          <w:szCs w:val="21"/>
          <w:lang w:val="en-US" w:eastAsia="zh-CN"/>
        </w:rPr>
        <w:t>其中增值税税率：9%</w:t>
      </w:r>
      <w:permEnd w:id="65"/>
      <w:r>
        <w:rPr>
          <w:rFonts w:hint="eastAsia" w:ascii="Times New Roman" w:hAnsi="Times New Roman" w:cs="Times New Roman"/>
          <w:szCs w:val="21"/>
          <w:lang w:val="en-US" w:eastAsia="zh-CN"/>
        </w:rPr>
        <w:t>），工期自招标人下达开工指令起3个月</w:t>
      </w:r>
      <w:r>
        <w:rPr>
          <w:rFonts w:hint="eastAsia" w:ascii="Times New Roman" w:hAnsi="Times New Roman" w:cs="Times New Roman"/>
          <w:szCs w:val="21"/>
          <w:u w:val="none"/>
          <w:lang w:val="en-US" w:eastAsia="zh-CN"/>
        </w:rPr>
        <w:t>，按合同约定实施和完成承包工程，修补工程中的任何缺陷，</w:t>
      </w:r>
      <w:permStart w:id="66" w:edGrp="everyone"/>
      <w:r>
        <w:rPr>
          <w:rFonts w:hint="eastAsia" w:ascii="Times New Roman" w:hAnsi="Times New Roman" w:cs="Times New Roman"/>
          <w:szCs w:val="21"/>
          <w:u w:val="none"/>
          <w:lang w:val="en-US" w:eastAsia="zh-CN"/>
        </w:rPr>
        <w:t>工程质量达到</w:t>
      </w:r>
      <w:r>
        <w:rPr>
          <w:rFonts w:hint="default" w:ascii="Times New Roman" w:hAnsi="Times New Roman" w:cs="Times New Roman"/>
          <w:szCs w:val="21"/>
          <w:u w:val="single"/>
        </w:rPr>
        <w:t xml:space="preserve">       </w:t>
      </w:r>
      <w:r>
        <w:rPr>
          <w:rFonts w:hint="eastAsia" w:ascii="Times New Roman" w:hAnsi="Times New Roman" w:cs="Times New Roman"/>
          <w:szCs w:val="21"/>
          <w:u w:val="none"/>
          <w:lang w:eastAsia="zh-CN"/>
        </w:rPr>
        <w:t>。</w:t>
      </w:r>
      <w:permEnd w:id="66"/>
      <w:r>
        <w:rPr>
          <w:rFonts w:hint="eastAsia" w:ascii="Times New Roman" w:hAnsi="Times New Roman" w:cs="Times New Roman"/>
          <w:szCs w:val="21"/>
          <w:u w:val="none"/>
          <w:lang w:val="en-US" w:eastAsia="zh-CN"/>
        </w:rPr>
        <w:t xml:space="preserve">      </w:t>
      </w:r>
    </w:p>
    <w:p w14:paraId="3B800CD7">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w:t>
      </w:r>
      <w:r>
        <w:rPr>
          <w:rFonts w:hint="eastAsia" w:ascii="Times New Roman" w:hAnsi="Times New Roman" w:cs="Times New Roman"/>
          <w:szCs w:val="21"/>
          <w:lang w:eastAsia="zh-CN"/>
        </w:rPr>
        <w:t>招标人</w:t>
      </w:r>
      <w:r>
        <w:rPr>
          <w:rFonts w:hint="default" w:ascii="Times New Roman" w:hAnsi="Times New Roman" w:cs="Times New Roman"/>
          <w:szCs w:val="21"/>
        </w:rPr>
        <w:t>承诺在招标文件规定的投标有效期内不修改、撤销投标文件</w:t>
      </w:r>
      <w:r>
        <w:rPr>
          <w:rFonts w:hint="eastAsia" w:ascii="Times New Roman" w:hAnsi="Times New Roman" w:cs="Times New Roman"/>
          <w:szCs w:val="21"/>
          <w:lang w:eastAsia="zh-CN"/>
        </w:rPr>
        <w:t>。</w:t>
      </w:r>
    </w:p>
    <w:p w14:paraId="27319CB6">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3．随同本投标函提交投标保证金一份，金额为人民币（大写）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w:t>
      </w:r>
    </w:p>
    <w:p w14:paraId="136CF976">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4．如</w:t>
      </w:r>
      <w:r>
        <w:rPr>
          <w:rFonts w:hint="eastAsia" w:ascii="Times New Roman" w:hAnsi="Times New Roman" w:cs="Times New Roman"/>
          <w:szCs w:val="21"/>
          <w:lang w:eastAsia="zh-CN"/>
        </w:rPr>
        <w:t>招标人</w:t>
      </w:r>
      <w:r>
        <w:rPr>
          <w:rFonts w:hint="default" w:ascii="Times New Roman" w:hAnsi="Times New Roman" w:cs="Times New Roman"/>
          <w:szCs w:val="21"/>
        </w:rPr>
        <w:t>中标：</w:t>
      </w:r>
    </w:p>
    <w:p w14:paraId="4BB461D9">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（1）</w:t>
      </w:r>
      <w:r>
        <w:rPr>
          <w:rFonts w:hint="eastAsia" w:ascii="Times New Roman" w:hAnsi="Times New Roman" w:cs="Times New Roman"/>
          <w:szCs w:val="21"/>
          <w:lang w:eastAsia="zh-CN"/>
        </w:rPr>
        <w:t>招标人</w:t>
      </w:r>
      <w:r>
        <w:rPr>
          <w:rFonts w:hint="default" w:ascii="Times New Roman" w:hAnsi="Times New Roman" w:cs="Times New Roman"/>
          <w:szCs w:val="21"/>
        </w:rPr>
        <w:t>承诺在收到中标通知书后，在中标通知书规定的期限内与你方签订合同</w:t>
      </w:r>
      <w:r>
        <w:rPr>
          <w:rFonts w:hint="eastAsia" w:ascii="Times New Roman" w:hAnsi="Times New Roman" w:cs="Times New Roman"/>
          <w:szCs w:val="21"/>
          <w:lang w:eastAsia="zh-CN"/>
        </w:rPr>
        <w:t>。</w:t>
      </w:r>
    </w:p>
    <w:p w14:paraId="590BB2CA">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（2）随同本投标函递交的投标函附录属于合同文件的组成部分</w:t>
      </w:r>
      <w:r>
        <w:rPr>
          <w:rFonts w:hint="eastAsia" w:ascii="Times New Roman" w:hAnsi="Times New Roman" w:cs="Times New Roman"/>
          <w:szCs w:val="21"/>
          <w:lang w:eastAsia="zh-CN"/>
        </w:rPr>
        <w:t>。</w:t>
      </w:r>
    </w:p>
    <w:p w14:paraId="6D81ECAE">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（3）</w:t>
      </w:r>
      <w:r>
        <w:rPr>
          <w:rFonts w:hint="eastAsia" w:ascii="Times New Roman" w:hAnsi="Times New Roman" w:cs="Times New Roman"/>
          <w:szCs w:val="21"/>
          <w:lang w:eastAsia="zh-CN"/>
        </w:rPr>
        <w:t>招标人</w:t>
      </w:r>
      <w:r>
        <w:rPr>
          <w:rFonts w:hint="default" w:ascii="Times New Roman" w:hAnsi="Times New Roman" w:cs="Times New Roman"/>
          <w:szCs w:val="21"/>
        </w:rPr>
        <w:t>承诺按照招标文件规定向你方递交履约担保</w:t>
      </w:r>
      <w:r>
        <w:rPr>
          <w:rFonts w:hint="eastAsia" w:ascii="Times New Roman" w:hAnsi="Times New Roman" w:cs="Times New Roman"/>
          <w:szCs w:val="21"/>
          <w:lang w:eastAsia="zh-CN"/>
        </w:rPr>
        <w:t>。</w:t>
      </w:r>
    </w:p>
    <w:p w14:paraId="50CEA7C3">
      <w:pPr>
        <w:spacing w:line="440" w:lineRule="exact"/>
        <w:ind w:firstLine="718" w:firstLineChars="342"/>
        <w:rPr>
          <w:rFonts w:hint="eastAsia" w:ascii="Times New Roman" w:hAnsi="Times New Roman" w:cs="Times New Roman" w:eastAsiaTheme="minorEastAsia"/>
          <w:szCs w:val="21"/>
          <w:lang w:eastAsia="zh-CN"/>
        </w:rPr>
      </w:pPr>
      <w:r>
        <w:rPr>
          <w:rFonts w:hint="default" w:ascii="Times New Roman" w:hAnsi="Times New Roman" w:cs="Times New Roman"/>
          <w:szCs w:val="21"/>
        </w:rPr>
        <w:t>（4）</w:t>
      </w:r>
      <w:r>
        <w:rPr>
          <w:rFonts w:hint="eastAsia" w:ascii="Times New Roman" w:hAnsi="Times New Roman" w:cs="Times New Roman"/>
          <w:szCs w:val="21"/>
          <w:lang w:eastAsia="zh-CN"/>
        </w:rPr>
        <w:t>招标人</w:t>
      </w:r>
      <w:r>
        <w:rPr>
          <w:rFonts w:hint="default" w:ascii="Times New Roman" w:hAnsi="Times New Roman" w:cs="Times New Roman"/>
          <w:szCs w:val="21"/>
        </w:rPr>
        <w:t>承诺在合同约定的期限内完成并移交全部合同工程</w:t>
      </w:r>
      <w:r>
        <w:rPr>
          <w:rFonts w:hint="eastAsia" w:ascii="Times New Roman" w:hAnsi="Times New Roman" w:cs="Times New Roman"/>
          <w:szCs w:val="21"/>
          <w:lang w:eastAsia="zh-CN"/>
        </w:rPr>
        <w:t>。</w:t>
      </w:r>
    </w:p>
    <w:p w14:paraId="454FB35B">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5．</w:t>
      </w:r>
      <w:r>
        <w:rPr>
          <w:rFonts w:hint="eastAsia" w:ascii="Times New Roman" w:hAnsi="Times New Roman" w:cs="Times New Roman"/>
          <w:lang w:eastAsia="zh-CN"/>
        </w:rPr>
        <w:t>招标人</w:t>
      </w:r>
      <w:r>
        <w:rPr>
          <w:rFonts w:hint="default" w:ascii="Times New Roman" w:hAnsi="Times New Roman" w:cs="Times New Roman"/>
        </w:rPr>
        <w:t>在此声明，所递交的投标文件及有关资料内容完整、真实和准确，且不存在第二章</w:t>
      </w:r>
      <w:r>
        <w:rPr>
          <w:rFonts w:hint="eastAsia" w:ascii="Times New Roman" w:hAnsi="Times New Roman" w:cs="Times New Roman"/>
          <w:lang w:eastAsia="zh-CN"/>
        </w:rPr>
        <w:t>“</w:t>
      </w:r>
      <w:r>
        <w:rPr>
          <w:rFonts w:hint="default" w:ascii="Times New Roman" w:hAnsi="Times New Roman" w:cs="Times New Roman"/>
        </w:rPr>
        <w:t>投标人须知</w:t>
      </w:r>
      <w:r>
        <w:rPr>
          <w:rFonts w:hint="eastAsia" w:ascii="Times New Roman" w:hAnsi="Times New Roman" w:cs="Times New Roman"/>
          <w:lang w:eastAsia="zh-CN"/>
        </w:rPr>
        <w:t>”</w:t>
      </w:r>
      <w:r>
        <w:rPr>
          <w:rFonts w:hint="default" w:ascii="Times New Roman" w:hAnsi="Times New Roman" w:cs="Times New Roman"/>
        </w:rPr>
        <w:t>第1.4.</w:t>
      </w:r>
      <w:r>
        <w:rPr>
          <w:rFonts w:hint="eastAsia" w:ascii="Times New Roman" w:hAnsi="Times New Roman" w:cs="Times New Roman"/>
          <w:lang w:val="en-US" w:eastAsia="zh-CN"/>
        </w:rPr>
        <w:t>2</w:t>
      </w:r>
      <w:r>
        <w:rPr>
          <w:rFonts w:hint="default" w:ascii="Times New Roman" w:hAnsi="Times New Roman" w:cs="Times New Roman"/>
        </w:rPr>
        <w:t>项和第1.4.</w:t>
      </w:r>
      <w:r>
        <w:rPr>
          <w:rFonts w:hint="eastAsia" w:ascii="Times New Roman" w:hAnsi="Times New Roman" w:cs="Times New Roman"/>
          <w:lang w:val="en-US" w:eastAsia="zh-CN"/>
        </w:rPr>
        <w:t>3</w:t>
      </w:r>
      <w:r>
        <w:rPr>
          <w:rFonts w:hint="default" w:ascii="Times New Roman" w:hAnsi="Times New Roman" w:cs="Times New Roman"/>
        </w:rPr>
        <w:t>项规定的任何一种情形</w:t>
      </w:r>
      <w:r>
        <w:rPr>
          <w:rFonts w:hint="eastAsia" w:ascii="Times New Roman" w:hAnsi="Times New Roman" w:cs="Times New Roman"/>
          <w:lang w:eastAsia="zh-CN"/>
        </w:rPr>
        <w:t>。</w:t>
      </w:r>
    </w:p>
    <w:p w14:paraId="2572144F">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r>
        <w:rPr>
          <w:rFonts w:hint="eastAsia" w:ascii="Times New Roman" w:hAnsi="Times New Roman" w:cs="Times New Roman"/>
          <w:szCs w:val="21"/>
          <w:lang w:eastAsia="zh-CN"/>
        </w:rPr>
        <w:t>。</w:t>
      </w:r>
    </w:p>
    <w:p w14:paraId="18A3F640">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投 标 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63EB3B6C">
      <w:pPr>
        <w:spacing w:line="440" w:lineRule="exact"/>
        <w:ind w:firstLine="3675" w:firstLineChars="175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7BB236C1">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7F371D71">
      <w:pPr>
        <w:spacing w:line="440" w:lineRule="exact"/>
        <w:ind w:firstLine="3675" w:firstLineChars="1750"/>
        <w:rPr>
          <w:rFonts w:hint="default" w:ascii="Times New Roman" w:hAnsi="Times New Roman" w:cs="Times New Roman"/>
          <w:szCs w:val="21"/>
        </w:rPr>
      </w:pPr>
      <w:r>
        <w:rPr>
          <w:rFonts w:hint="eastAsia" w:ascii="Times New Roman" w:hAnsi="Times New Roman" w:cs="Times New Roman"/>
          <w:szCs w:val="21"/>
          <w:lang w:val="en-US" w:eastAsia="zh-CN"/>
        </w:rPr>
        <w:t>网址</w:t>
      </w:r>
      <w:r>
        <w:rPr>
          <w:rFonts w:hint="default" w:ascii="Times New Roman" w:hAnsi="Times New Roman" w:cs="Times New Roman"/>
          <w:szCs w:val="21"/>
        </w:rPr>
        <w:t>：</w:t>
      </w:r>
      <w:r>
        <w:rPr>
          <w:rFonts w:hint="default" w:ascii="Times New Roman" w:hAnsi="Times New Roman" w:cs="Times New Roman"/>
          <w:szCs w:val="21"/>
          <w:u w:val="single"/>
        </w:rPr>
        <w:t xml:space="preserve">                                     </w:t>
      </w:r>
    </w:p>
    <w:p w14:paraId="7E83BE05">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p>
    <w:p w14:paraId="15837EB7">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传真：</w:t>
      </w:r>
      <w:r>
        <w:rPr>
          <w:rFonts w:hint="default" w:ascii="Times New Roman" w:hAnsi="Times New Roman" w:cs="Times New Roman"/>
          <w:szCs w:val="21"/>
          <w:u w:val="single"/>
        </w:rPr>
        <w:t xml:space="preserve">                                     </w:t>
      </w:r>
    </w:p>
    <w:p w14:paraId="6E0647F5">
      <w:pPr>
        <w:spacing w:line="440" w:lineRule="exact"/>
        <w:ind w:firstLine="3675" w:firstLineChars="175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p>
    <w:p w14:paraId="43A3BF61">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245EBC71">
      <w:pPr>
        <w:pStyle w:val="4"/>
        <w:rPr>
          <w:rFonts w:hint="default" w:ascii="Times New Roman" w:hAnsi="Times New Roman" w:cs="Times New Roman"/>
        </w:rPr>
      </w:pPr>
      <w:bookmarkStart w:id="275" w:name="_Toc247514249"/>
      <w:bookmarkStart w:id="276" w:name="_Toc144974859"/>
      <w:bookmarkStart w:id="277" w:name="_Toc152042579"/>
      <w:bookmarkStart w:id="278" w:name="_Toc300835212"/>
      <w:bookmarkStart w:id="279" w:name="_Toc247527830"/>
      <w:bookmarkStart w:id="280" w:name="_Toc152045790"/>
    </w:p>
    <w:p w14:paraId="31F981E6">
      <w:pPr>
        <w:pStyle w:val="4"/>
        <w:rPr>
          <w:rFonts w:hint="default" w:ascii="Times New Roman" w:hAnsi="Times New Roman" w:cs="Times New Roman"/>
        </w:rPr>
      </w:pPr>
      <w:r>
        <w:rPr>
          <w:rFonts w:hint="default" w:ascii="Times New Roman" w:hAnsi="Times New Roman" w:cs="Times New Roman"/>
        </w:rPr>
        <w:t>（二）投标函附录</w:t>
      </w:r>
      <w:bookmarkEnd w:id="275"/>
      <w:bookmarkEnd w:id="276"/>
      <w:bookmarkEnd w:id="277"/>
      <w:bookmarkEnd w:id="278"/>
      <w:bookmarkEnd w:id="279"/>
      <w:bookmarkEnd w:id="280"/>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01"/>
        <w:gridCol w:w="3345"/>
        <w:gridCol w:w="924"/>
      </w:tblGrid>
      <w:tr w14:paraId="6226F9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6AF1ACF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序号</w:t>
            </w:r>
          </w:p>
        </w:tc>
        <w:tc>
          <w:tcPr>
            <w:tcW w:w="1701" w:type="dxa"/>
            <w:noWrap w:val="0"/>
            <w:vAlign w:val="center"/>
          </w:tcPr>
          <w:p w14:paraId="5CB19395">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条款名称</w:t>
            </w:r>
          </w:p>
        </w:tc>
        <w:tc>
          <w:tcPr>
            <w:tcW w:w="3345" w:type="dxa"/>
            <w:noWrap w:val="0"/>
            <w:vAlign w:val="center"/>
          </w:tcPr>
          <w:p w14:paraId="48C898A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约定内容</w:t>
            </w:r>
          </w:p>
        </w:tc>
        <w:tc>
          <w:tcPr>
            <w:tcW w:w="924" w:type="dxa"/>
            <w:noWrap w:val="0"/>
            <w:vAlign w:val="center"/>
          </w:tcPr>
          <w:p w14:paraId="40757B3B">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b/>
                <w:bCs/>
                <w:szCs w:val="21"/>
              </w:rPr>
            </w:pPr>
            <w:r>
              <w:rPr>
                <w:rFonts w:hint="default" w:ascii="Times New Roman" w:hAnsi="Times New Roman" w:cs="Times New Roman"/>
                <w:b/>
                <w:bCs/>
                <w:szCs w:val="21"/>
              </w:rPr>
              <w:t>备注</w:t>
            </w:r>
          </w:p>
        </w:tc>
      </w:tr>
      <w:tr w14:paraId="026C65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39456F6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1</w:t>
            </w:r>
          </w:p>
        </w:tc>
        <w:tc>
          <w:tcPr>
            <w:tcW w:w="1701" w:type="dxa"/>
            <w:noWrap w:val="0"/>
            <w:vAlign w:val="center"/>
          </w:tcPr>
          <w:p w14:paraId="087060C3">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项目</w:t>
            </w:r>
            <w:r>
              <w:rPr>
                <w:rFonts w:hint="eastAsia" w:ascii="Times New Roman" w:hAnsi="Times New Roman" w:cs="Times New Roman"/>
                <w:szCs w:val="21"/>
                <w:lang w:val="en-US" w:eastAsia="zh-CN"/>
              </w:rPr>
              <w:t>负责人</w:t>
            </w:r>
          </w:p>
        </w:tc>
        <w:tc>
          <w:tcPr>
            <w:tcW w:w="3345" w:type="dxa"/>
            <w:noWrap w:val="0"/>
            <w:vAlign w:val="center"/>
          </w:tcPr>
          <w:p w14:paraId="57222606">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r>
              <w:rPr>
                <w:rFonts w:hint="default" w:ascii="Times New Roman" w:hAnsi="Times New Roman" w:cs="Times New Roman"/>
                <w:szCs w:val="21"/>
              </w:rPr>
              <w:t>姓名：</w:t>
            </w:r>
          </w:p>
          <w:p w14:paraId="2B85343D">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szCs w:val="21"/>
                <w:lang w:val="en-US" w:eastAsia="zh-CN"/>
              </w:rPr>
            </w:pPr>
            <w:r>
              <w:rPr>
                <w:rFonts w:hint="default" w:ascii="Times New Roman" w:hAnsi="Times New Roman" w:cs="Times New Roman"/>
                <w:szCs w:val="21"/>
                <w:lang w:val="en-US" w:eastAsia="zh-CN"/>
              </w:rPr>
              <w:t>身份证号：</w:t>
            </w:r>
          </w:p>
        </w:tc>
        <w:tc>
          <w:tcPr>
            <w:tcW w:w="924" w:type="dxa"/>
            <w:noWrap w:val="0"/>
            <w:vAlign w:val="center"/>
          </w:tcPr>
          <w:p w14:paraId="047CBF8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r w14:paraId="4A239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7897AF4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2</w:t>
            </w:r>
          </w:p>
        </w:tc>
        <w:tc>
          <w:tcPr>
            <w:tcW w:w="1701" w:type="dxa"/>
            <w:noWrap w:val="0"/>
            <w:vAlign w:val="center"/>
          </w:tcPr>
          <w:p w14:paraId="225CB4B1">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工期</w:t>
            </w:r>
          </w:p>
        </w:tc>
        <w:tc>
          <w:tcPr>
            <w:tcW w:w="3345" w:type="dxa"/>
            <w:noWrap w:val="0"/>
            <w:vAlign w:val="center"/>
          </w:tcPr>
          <w:p w14:paraId="752CC020">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67" w:edGrp="everyone"/>
            <w:r>
              <w:rPr>
                <w:rFonts w:hint="default" w:ascii="Times New Roman" w:hAnsi="Times New Roman" w:cs="Times New Roman"/>
                <w:szCs w:val="21"/>
              </w:rPr>
              <w:t>天数：</w:t>
            </w:r>
            <w:r>
              <w:rPr>
                <w:rFonts w:hint="default" w:ascii="Times New Roman" w:hAnsi="Times New Roman" w:cs="Times New Roman"/>
                <w:szCs w:val="21"/>
                <w:lang w:val="en-US" w:eastAsia="zh-CN"/>
              </w:rPr>
              <w:t>自招标人下达开工指令起3个月</w:t>
            </w:r>
            <w:permEnd w:id="67"/>
          </w:p>
        </w:tc>
        <w:tc>
          <w:tcPr>
            <w:tcW w:w="924" w:type="dxa"/>
            <w:noWrap w:val="0"/>
            <w:vAlign w:val="center"/>
          </w:tcPr>
          <w:p w14:paraId="3CA4D651">
            <w:pPr>
              <w:keepNext w:val="0"/>
              <w:keepLines w:val="0"/>
              <w:pageBreakBefore w:val="0"/>
              <w:widowControl w:val="0"/>
              <w:kinsoku/>
              <w:wordWrap/>
              <w:overflowPunct/>
              <w:topLinePunct w:val="0"/>
              <w:autoSpaceDE/>
              <w:autoSpaceDN/>
              <w:bidi w:val="0"/>
              <w:adjustRightInd/>
              <w:snapToGrid/>
              <w:spacing w:line="440" w:lineRule="exact"/>
              <w:ind w:firstLine="718" w:firstLineChars="342"/>
              <w:jc w:val="center"/>
              <w:textAlignment w:val="auto"/>
              <w:rPr>
                <w:rFonts w:hint="default" w:ascii="Times New Roman" w:hAnsi="Times New Roman" w:cs="Times New Roman"/>
                <w:szCs w:val="21"/>
              </w:rPr>
            </w:pPr>
          </w:p>
        </w:tc>
      </w:tr>
      <w:tr w14:paraId="7F68C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0" w:type="dxa"/>
            <w:noWrap w:val="0"/>
            <w:vAlign w:val="center"/>
          </w:tcPr>
          <w:p w14:paraId="1EA62E7F">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3</w:t>
            </w:r>
          </w:p>
        </w:tc>
        <w:tc>
          <w:tcPr>
            <w:tcW w:w="1701" w:type="dxa"/>
            <w:noWrap w:val="0"/>
            <w:vAlign w:val="center"/>
          </w:tcPr>
          <w:p w14:paraId="52EE4FFD">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r>
              <w:rPr>
                <w:rFonts w:hint="default" w:ascii="Times New Roman" w:hAnsi="Times New Roman" w:cs="Times New Roman"/>
                <w:szCs w:val="21"/>
              </w:rPr>
              <w:t>缺陷责任期</w:t>
            </w:r>
          </w:p>
        </w:tc>
        <w:tc>
          <w:tcPr>
            <w:tcW w:w="3345" w:type="dxa"/>
            <w:noWrap w:val="0"/>
            <w:vAlign w:val="center"/>
          </w:tcPr>
          <w:p w14:paraId="0786DCE5">
            <w:pPr>
              <w:keepNext w:val="0"/>
              <w:keepLines w:val="0"/>
              <w:pageBreakBefore w:val="0"/>
              <w:widowControl w:val="0"/>
              <w:kinsoku/>
              <w:wordWrap/>
              <w:overflowPunct/>
              <w:topLinePunct w:val="0"/>
              <w:autoSpaceDE/>
              <w:autoSpaceDN/>
              <w:bidi w:val="0"/>
              <w:adjustRightInd/>
              <w:snapToGrid/>
              <w:spacing w:line="440" w:lineRule="exact"/>
              <w:jc w:val="both"/>
              <w:textAlignment w:val="auto"/>
              <w:rPr>
                <w:rFonts w:hint="default" w:ascii="Times New Roman" w:hAnsi="Times New Roman" w:cs="Times New Roman"/>
                <w:szCs w:val="21"/>
              </w:rPr>
            </w:pPr>
            <w:permStart w:id="68" w:edGrp="everyone"/>
            <w:r>
              <w:rPr>
                <w:rFonts w:hint="default" w:ascii="Times New Roman" w:hAnsi="Times New Roman" w:cs="Times New Roman"/>
                <w:szCs w:val="21"/>
                <w:lang w:val="en-US" w:eastAsia="zh-CN"/>
              </w:rPr>
              <w:t>自竣工验收合格之日起2年。</w:t>
            </w:r>
            <w:permEnd w:id="68"/>
          </w:p>
        </w:tc>
        <w:tc>
          <w:tcPr>
            <w:tcW w:w="924" w:type="dxa"/>
            <w:noWrap w:val="0"/>
            <w:vAlign w:val="center"/>
          </w:tcPr>
          <w:p w14:paraId="4A9B739C">
            <w:pPr>
              <w:keepNext w:val="0"/>
              <w:keepLines w:val="0"/>
              <w:pageBreakBefore w:val="0"/>
              <w:widowControl w:val="0"/>
              <w:kinsoku/>
              <w:wordWrap/>
              <w:overflowPunct/>
              <w:topLinePunct w:val="0"/>
              <w:autoSpaceDE/>
              <w:autoSpaceDN/>
              <w:bidi w:val="0"/>
              <w:adjustRightInd/>
              <w:snapToGrid/>
              <w:spacing w:line="440" w:lineRule="exact"/>
              <w:jc w:val="center"/>
              <w:textAlignment w:val="auto"/>
              <w:rPr>
                <w:rFonts w:hint="default" w:ascii="Times New Roman" w:hAnsi="Times New Roman" w:cs="Times New Roman"/>
                <w:szCs w:val="21"/>
              </w:rPr>
            </w:pPr>
          </w:p>
        </w:tc>
      </w:tr>
    </w:tbl>
    <w:p w14:paraId="16DC6F69">
      <w:pPr>
        <w:spacing w:line="440" w:lineRule="exact"/>
        <w:rPr>
          <w:rFonts w:hint="default" w:ascii="Times New Roman" w:hAnsi="Times New Roman" w:eastAsia="黑体" w:cs="Times New Roman"/>
          <w:sz w:val="20"/>
          <w:szCs w:val="20"/>
        </w:rPr>
      </w:pPr>
      <w:r>
        <w:rPr>
          <w:rFonts w:hint="default" w:ascii="Times New Roman" w:hAnsi="Times New Roman" w:cs="Times New Roman"/>
          <w:szCs w:val="21"/>
        </w:rPr>
        <w:br w:type="page"/>
      </w:r>
    </w:p>
    <w:p w14:paraId="7A4466AB">
      <w:pPr>
        <w:pStyle w:val="3"/>
        <w:jc w:val="center"/>
        <w:rPr>
          <w:rFonts w:hint="default" w:ascii="Times New Roman" w:hAnsi="Times New Roman" w:cs="Times New Roman"/>
        </w:rPr>
      </w:pPr>
      <w:bookmarkStart w:id="281" w:name="_Toc144974860"/>
      <w:bookmarkStart w:id="282" w:name="_Toc300835213"/>
      <w:bookmarkStart w:id="283" w:name="_Toc247514283"/>
      <w:bookmarkStart w:id="284" w:name="_Toc247527831"/>
      <w:bookmarkStart w:id="285" w:name="_Toc152042580"/>
      <w:bookmarkStart w:id="286" w:name="_Toc152045791"/>
      <w:r>
        <w:rPr>
          <w:rFonts w:hint="default" w:ascii="Times New Roman" w:hAnsi="Times New Roman" w:cs="Times New Roman"/>
        </w:rPr>
        <w:t>二、法定代表人身份证明</w:t>
      </w:r>
      <w:bookmarkEnd w:id="281"/>
      <w:bookmarkEnd w:id="282"/>
      <w:bookmarkEnd w:id="283"/>
      <w:bookmarkEnd w:id="284"/>
      <w:bookmarkEnd w:id="285"/>
      <w:bookmarkEnd w:id="286"/>
    </w:p>
    <w:p w14:paraId="65A6F1F2">
      <w:pPr>
        <w:spacing w:line="440" w:lineRule="exact"/>
        <w:rPr>
          <w:rFonts w:hint="default" w:ascii="Times New Roman" w:hAnsi="Times New Roman" w:cs="Times New Roman"/>
          <w:sz w:val="20"/>
          <w:szCs w:val="20"/>
        </w:rPr>
      </w:pPr>
    </w:p>
    <w:p w14:paraId="60497A1E">
      <w:pPr>
        <w:spacing w:line="440" w:lineRule="exact"/>
        <w:rPr>
          <w:rFonts w:hint="default" w:ascii="Times New Roman" w:hAnsi="Times New Roman" w:cs="Times New Roman"/>
          <w:szCs w:val="21"/>
        </w:rPr>
      </w:pPr>
    </w:p>
    <w:p w14:paraId="59A1DF88">
      <w:pPr>
        <w:spacing w:line="440" w:lineRule="exact"/>
        <w:rPr>
          <w:rFonts w:hint="default" w:ascii="Times New Roman" w:hAnsi="Times New Roman" w:cs="Times New Roman"/>
          <w:szCs w:val="21"/>
        </w:rPr>
      </w:pPr>
      <w:r>
        <w:rPr>
          <w:rFonts w:hint="default" w:ascii="Times New Roman" w:hAnsi="Times New Roman" w:cs="Times New Roman"/>
          <w:szCs w:val="21"/>
        </w:rPr>
        <w:t>投标人名称：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9CDACC3">
      <w:pPr>
        <w:spacing w:line="440" w:lineRule="exact"/>
        <w:rPr>
          <w:rFonts w:hint="default" w:ascii="Times New Roman" w:hAnsi="Times New Roman" w:cs="Times New Roman"/>
          <w:szCs w:val="21"/>
        </w:rPr>
      </w:pPr>
      <w:r>
        <w:rPr>
          <w:rFonts w:hint="default" w:ascii="Times New Roman" w:hAnsi="Times New Roman" w:cs="Times New Roman"/>
          <w:szCs w:val="21"/>
        </w:rPr>
        <w:t>单位性质：</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B0C7911">
      <w:pPr>
        <w:spacing w:line="440" w:lineRule="exact"/>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p>
    <w:p w14:paraId="15F08C4C">
      <w:pPr>
        <w:spacing w:line="440" w:lineRule="exact"/>
        <w:rPr>
          <w:rFonts w:hint="default" w:ascii="Times New Roman" w:hAnsi="Times New Roman" w:cs="Times New Roman"/>
          <w:szCs w:val="21"/>
        </w:rPr>
      </w:pPr>
      <w:r>
        <w:rPr>
          <w:rFonts w:hint="default" w:ascii="Times New Roman" w:hAnsi="Times New Roman" w:cs="Times New Roman"/>
          <w:szCs w:val="21"/>
        </w:rPr>
        <w:t>成立时间：</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7DB5516">
      <w:pPr>
        <w:spacing w:line="440" w:lineRule="exact"/>
        <w:rPr>
          <w:rFonts w:hint="default" w:ascii="Times New Roman" w:hAnsi="Times New Roman" w:cs="Times New Roman"/>
          <w:szCs w:val="21"/>
        </w:rPr>
      </w:pPr>
      <w:r>
        <w:rPr>
          <w:rFonts w:hint="default" w:ascii="Times New Roman" w:hAnsi="Times New Roman" w:cs="Times New Roman"/>
          <w:szCs w:val="21"/>
        </w:rPr>
        <w:t>经营期限：</w:t>
      </w:r>
      <w:r>
        <w:rPr>
          <w:rFonts w:hint="default" w:ascii="Times New Roman" w:hAnsi="Times New Roman" w:cs="Times New Roman"/>
          <w:szCs w:val="21"/>
          <w:u w:val="single"/>
        </w:rPr>
        <w:t xml:space="preserve">                               </w:t>
      </w:r>
    </w:p>
    <w:p w14:paraId="39C81153">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2B8357EB">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（投标人名称）的法定代表人</w:t>
      </w:r>
      <w:r>
        <w:rPr>
          <w:rFonts w:hint="eastAsia" w:ascii="Times New Roman" w:hAnsi="Times New Roman" w:cs="Times New Roman"/>
          <w:szCs w:val="21"/>
          <w:lang w:eastAsia="zh-CN"/>
        </w:rPr>
        <w:t>。</w:t>
      </w:r>
    </w:p>
    <w:p w14:paraId="0C27E7DA">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特此证明</w:t>
      </w:r>
      <w:r>
        <w:rPr>
          <w:rFonts w:hint="eastAsia" w:ascii="Times New Roman" w:hAnsi="Times New Roman" w:cs="Times New Roman"/>
          <w:szCs w:val="21"/>
          <w:lang w:eastAsia="zh-CN"/>
        </w:rPr>
        <w:t>。</w:t>
      </w:r>
    </w:p>
    <w:p w14:paraId="404C8B52">
      <w:pPr>
        <w:spacing w:line="440" w:lineRule="exact"/>
        <w:rPr>
          <w:rFonts w:hint="default" w:ascii="Times New Roman" w:hAnsi="Times New Roman" w:cs="Times New Roman"/>
          <w:szCs w:val="21"/>
        </w:rPr>
      </w:pPr>
    </w:p>
    <w:p w14:paraId="4F82AED2">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附：法定代表人身份证复印件</w:t>
      </w:r>
      <w:r>
        <w:rPr>
          <w:rFonts w:hint="eastAsia" w:ascii="Times New Roman" w:hAnsi="Times New Roman" w:cs="Times New Roman"/>
          <w:szCs w:val="21"/>
          <w:lang w:eastAsia="zh-CN"/>
        </w:rPr>
        <w:t>。</w:t>
      </w:r>
    </w:p>
    <w:p w14:paraId="4E597CB6">
      <w:pPr>
        <w:spacing w:line="440" w:lineRule="exact"/>
        <w:rPr>
          <w:rFonts w:hint="default" w:ascii="Times New Roman" w:hAnsi="Times New Roman" w:cs="Times New Roman"/>
          <w:szCs w:val="21"/>
        </w:rPr>
      </w:pPr>
    </w:p>
    <w:p w14:paraId="48C1B915">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1D087F4B">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39F57219">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620F9F04">
      <w:pPr>
        <w:pStyle w:val="3"/>
        <w:jc w:val="center"/>
        <w:rPr>
          <w:rFonts w:hint="default" w:ascii="Times New Roman" w:hAnsi="Times New Roman" w:cs="Times New Roman"/>
        </w:rPr>
      </w:pPr>
      <w:bookmarkStart w:id="287" w:name="_Toc152042581"/>
      <w:bookmarkStart w:id="288" w:name="_Toc300835214"/>
      <w:bookmarkStart w:id="289" w:name="_Toc247527832"/>
      <w:bookmarkStart w:id="290" w:name="_Toc247514284"/>
      <w:bookmarkStart w:id="291" w:name="_Toc144974861"/>
      <w:bookmarkStart w:id="292" w:name="_Toc152045792"/>
      <w:r>
        <w:rPr>
          <w:rFonts w:hint="eastAsia" w:ascii="Times New Roman" w:hAnsi="Times New Roman" w:cs="Times New Roman"/>
          <w:lang w:val="en-US" w:eastAsia="zh-CN"/>
        </w:rPr>
        <w:t>三</w:t>
      </w:r>
      <w:r>
        <w:rPr>
          <w:rFonts w:hint="default" w:ascii="Times New Roman" w:hAnsi="Times New Roman" w:cs="Times New Roman"/>
        </w:rPr>
        <w:t>、授权委托书</w:t>
      </w:r>
      <w:bookmarkEnd w:id="287"/>
      <w:bookmarkEnd w:id="288"/>
      <w:bookmarkEnd w:id="289"/>
      <w:bookmarkEnd w:id="290"/>
      <w:bookmarkEnd w:id="291"/>
      <w:bookmarkEnd w:id="292"/>
    </w:p>
    <w:p w14:paraId="6896B098">
      <w:pPr>
        <w:spacing w:line="440" w:lineRule="exact"/>
        <w:rPr>
          <w:rFonts w:hint="default" w:ascii="Times New Roman" w:hAnsi="Times New Roman" w:eastAsia="黑体" w:cs="Times New Roman"/>
          <w:szCs w:val="21"/>
        </w:rPr>
      </w:pPr>
    </w:p>
    <w:p w14:paraId="219F3982">
      <w:pPr>
        <w:topLinePunct/>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（投标人名称）的法定代表人，现委托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w:t>
      </w:r>
      <w:r>
        <w:rPr>
          <w:rFonts w:hint="eastAsia" w:ascii="Times New Roman" w:hAnsi="Times New Roman" w:cs="Times New Roman"/>
          <w:szCs w:val="21"/>
          <w:lang w:eastAsia="zh-CN"/>
        </w:rPr>
        <w:t>招标人</w:t>
      </w:r>
      <w:r>
        <w:rPr>
          <w:rFonts w:hint="default" w:ascii="Times New Roman" w:hAnsi="Times New Roman" w:cs="Times New Roman"/>
          <w:szCs w:val="21"/>
        </w:rPr>
        <w:t>代理人</w:t>
      </w:r>
      <w:r>
        <w:rPr>
          <w:rFonts w:hint="eastAsia" w:ascii="Times New Roman" w:hAnsi="Times New Roman" w:cs="Times New Roman"/>
          <w:szCs w:val="21"/>
          <w:lang w:eastAsia="zh-CN"/>
        </w:rPr>
        <w:t>。</w:t>
      </w:r>
      <w:r>
        <w:rPr>
          <w:rFonts w:hint="default" w:ascii="Times New Roman" w:hAnsi="Times New Roman" w:cs="Times New Roman"/>
          <w:szCs w:val="21"/>
        </w:rPr>
        <w:t>代理人根据授权，以</w:t>
      </w:r>
      <w:r>
        <w:rPr>
          <w:rFonts w:hint="eastAsia" w:ascii="Times New Roman" w:hAnsi="Times New Roman" w:cs="Times New Roman"/>
          <w:szCs w:val="21"/>
          <w:lang w:eastAsia="zh-CN"/>
        </w:rPr>
        <w:t>招标人</w:t>
      </w:r>
      <w:r>
        <w:rPr>
          <w:rFonts w:hint="default" w:ascii="Times New Roman" w:hAnsi="Times New Roman" w:cs="Times New Roman"/>
          <w:szCs w:val="21"/>
        </w:rPr>
        <w:t>名义签署、澄清、说明、补正、递交、撤回、修改</w:t>
      </w:r>
      <w:r>
        <w:rPr>
          <w:rFonts w:hint="default" w:ascii="Times New Roman" w:hAnsi="Times New Roman" w:cs="Times New Roman"/>
          <w:szCs w:val="21"/>
          <w:u w:val="single"/>
        </w:rPr>
        <w:t xml:space="preserve">           </w:t>
      </w:r>
      <w:r>
        <w:rPr>
          <w:rFonts w:hint="default" w:ascii="Times New Roman" w:hAnsi="Times New Roman" w:cs="Times New Roman"/>
          <w:szCs w:val="21"/>
        </w:rPr>
        <w:t>（项目名称）投标文件、签订合同和处理有关事宜，其法律后果由</w:t>
      </w:r>
      <w:r>
        <w:rPr>
          <w:rFonts w:hint="eastAsia" w:ascii="Times New Roman" w:hAnsi="Times New Roman" w:cs="Times New Roman"/>
          <w:szCs w:val="21"/>
          <w:lang w:eastAsia="zh-CN"/>
        </w:rPr>
        <w:t>招标人</w:t>
      </w:r>
      <w:r>
        <w:rPr>
          <w:rFonts w:hint="default" w:ascii="Times New Roman" w:hAnsi="Times New Roman" w:cs="Times New Roman"/>
          <w:szCs w:val="21"/>
        </w:rPr>
        <w:t>承担</w:t>
      </w:r>
      <w:r>
        <w:rPr>
          <w:rFonts w:hint="eastAsia" w:ascii="Times New Roman" w:hAnsi="Times New Roman" w:cs="Times New Roman"/>
          <w:szCs w:val="21"/>
          <w:lang w:eastAsia="zh-CN"/>
        </w:rPr>
        <w:t>。</w:t>
      </w:r>
    </w:p>
    <w:p w14:paraId="4B089D95">
      <w:pPr>
        <w:spacing w:line="440" w:lineRule="exact"/>
        <w:rPr>
          <w:rFonts w:hint="eastAsia" w:ascii="Times New Roman" w:hAnsi="Times New Roman" w:cs="Times New Roman" w:eastAsiaTheme="minorEastAsia"/>
          <w:szCs w:val="21"/>
          <w:lang w:eastAsia="zh-CN"/>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eastAsia" w:ascii="Times New Roman" w:hAnsi="Times New Roman" w:cs="Times New Roman"/>
          <w:szCs w:val="21"/>
          <w:lang w:eastAsia="zh-CN"/>
        </w:rPr>
        <w:t>。</w:t>
      </w:r>
    </w:p>
    <w:p w14:paraId="2F65AD59">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代理人无转委托权</w:t>
      </w:r>
      <w:r>
        <w:rPr>
          <w:rFonts w:hint="eastAsia" w:ascii="Times New Roman" w:hAnsi="Times New Roman" w:cs="Times New Roman"/>
          <w:szCs w:val="21"/>
          <w:lang w:eastAsia="zh-CN"/>
        </w:rPr>
        <w:t>。</w:t>
      </w:r>
    </w:p>
    <w:p w14:paraId="3F9111BE">
      <w:pPr>
        <w:spacing w:line="440" w:lineRule="exact"/>
        <w:ind w:firstLine="420" w:firstLineChars="200"/>
        <w:rPr>
          <w:rFonts w:hint="eastAsia" w:ascii="Times New Roman" w:hAnsi="Times New Roman" w:cs="Times New Roman" w:eastAsiaTheme="minorEastAsia"/>
          <w:szCs w:val="21"/>
          <w:lang w:val="en-US" w:eastAsia="zh-CN"/>
        </w:rPr>
      </w:pPr>
      <w:r>
        <w:rPr>
          <w:rFonts w:hint="default" w:ascii="Times New Roman" w:hAnsi="Times New Roman" w:cs="Times New Roman"/>
          <w:szCs w:val="21"/>
        </w:rPr>
        <w:t>附：法定代表人身份证明、委托代理人身份证复印件、委托代理人</w:t>
      </w:r>
      <w:permStart w:id="69" w:edGrp="everyone"/>
      <w:r>
        <w:rPr>
          <w:rFonts w:hint="default" w:ascii="Times New Roman" w:hAnsi="Times New Roman" w:cs="Times New Roman"/>
          <w:szCs w:val="21"/>
        </w:rPr>
        <w:t>202</w:t>
      </w:r>
      <w:r>
        <w:rPr>
          <w:rFonts w:hint="eastAsia" w:ascii="Times New Roman" w:hAnsi="Times New Roman" w:cs="Times New Roman"/>
          <w:szCs w:val="21"/>
          <w:lang w:val="en-US" w:eastAsia="zh-CN"/>
        </w:rPr>
        <w:t>4</w:t>
      </w:r>
      <w:r>
        <w:rPr>
          <w:rFonts w:hint="default" w:ascii="Times New Roman" w:hAnsi="Times New Roman" w:cs="Times New Roman"/>
          <w:szCs w:val="21"/>
        </w:rPr>
        <w:t>年1月</w:t>
      </w:r>
      <w:permEnd w:id="69"/>
      <w:r>
        <w:rPr>
          <w:rFonts w:hint="default" w:ascii="Times New Roman" w:hAnsi="Times New Roman" w:cs="Times New Roman"/>
          <w:szCs w:val="21"/>
        </w:rPr>
        <w:t>以来任意连续3个月的养老保险证明复印件</w:t>
      </w:r>
      <w:r>
        <w:rPr>
          <w:rFonts w:hint="eastAsia" w:ascii="Times New Roman" w:hAnsi="Times New Roman" w:cs="Times New Roman"/>
          <w:szCs w:val="21"/>
          <w:lang w:eastAsia="zh-CN"/>
        </w:rPr>
        <w:t>。</w:t>
      </w:r>
    </w:p>
    <w:p w14:paraId="433C1C7D">
      <w:pPr>
        <w:spacing w:line="440" w:lineRule="exact"/>
        <w:rPr>
          <w:rFonts w:hint="default" w:ascii="Times New Roman" w:hAnsi="Times New Roman" w:cs="Times New Roman"/>
          <w:szCs w:val="21"/>
        </w:rPr>
      </w:pPr>
    </w:p>
    <w:p w14:paraId="0F92E6B7">
      <w:pPr>
        <w:spacing w:line="440" w:lineRule="exact"/>
        <w:rPr>
          <w:rFonts w:hint="default" w:ascii="Times New Roman" w:hAnsi="Times New Roman" w:cs="Times New Roman"/>
          <w:szCs w:val="21"/>
        </w:rPr>
      </w:pPr>
    </w:p>
    <w:p w14:paraId="0B671E4A">
      <w:pPr>
        <w:spacing w:line="440" w:lineRule="exact"/>
        <w:rPr>
          <w:rFonts w:hint="default" w:ascii="Times New Roman" w:hAnsi="Times New Roman" w:cs="Times New Roman"/>
          <w:szCs w:val="21"/>
        </w:rPr>
      </w:pPr>
      <w:r>
        <w:rPr>
          <w:rFonts w:hint="default" w:ascii="Times New Roman" w:hAnsi="Times New Roman" w:cs="Times New Roman"/>
          <w:szCs w:val="21"/>
        </w:rPr>
        <w:t>投标人：</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4D56E711">
      <w:pPr>
        <w:spacing w:line="440" w:lineRule="exact"/>
        <w:rPr>
          <w:rFonts w:hint="default" w:ascii="Times New Roman" w:hAnsi="Times New Roman" w:cs="Times New Roman"/>
          <w:szCs w:val="21"/>
        </w:rPr>
      </w:pPr>
    </w:p>
    <w:p w14:paraId="67DF53B0">
      <w:pPr>
        <w:spacing w:line="440" w:lineRule="exact"/>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w:t>
      </w:r>
    </w:p>
    <w:p w14:paraId="425CC91D">
      <w:pPr>
        <w:spacing w:line="440" w:lineRule="exact"/>
        <w:rPr>
          <w:rFonts w:hint="default" w:ascii="Times New Roman" w:hAnsi="Times New Roman" w:cs="Times New Roman"/>
          <w:szCs w:val="21"/>
        </w:rPr>
      </w:pPr>
    </w:p>
    <w:p w14:paraId="23EE71C9">
      <w:pPr>
        <w:spacing w:line="440" w:lineRule="exact"/>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5AF1F14B">
      <w:pPr>
        <w:spacing w:line="440" w:lineRule="exact"/>
        <w:rPr>
          <w:rFonts w:hint="default" w:ascii="Times New Roman" w:hAnsi="Times New Roman" w:cs="Times New Roman"/>
          <w:szCs w:val="21"/>
        </w:rPr>
      </w:pPr>
    </w:p>
    <w:p w14:paraId="4EE7005B">
      <w:pPr>
        <w:spacing w:line="440" w:lineRule="exact"/>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签字或盖章</w:t>
      </w:r>
      <w:r>
        <w:rPr>
          <w:rFonts w:hint="default" w:ascii="Times New Roman" w:hAnsi="Times New Roman" w:cs="Times New Roman"/>
          <w:szCs w:val="21"/>
        </w:rPr>
        <w:t xml:space="preserve">） </w:t>
      </w:r>
    </w:p>
    <w:p w14:paraId="58F80B68">
      <w:pPr>
        <w:spacing w:line="440" w:lineRule="exact"/>
        <w:rPr>
          <w:rFonts w:hint="default" w:ascii="Times New Roman" w:hAnsi="Times New Roman" w:cs="Times New Roman"/>
          <w:szCs w:val="21"/>
        </w:rPr>
      </w:pPr>
    </w:p>
    <w:p w14:paraId="63477240">
      <w:pPr>
        <w:spacing w:line="440" w:lineRule="exact"/>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p>
    <w:p w14:paraId="115DE5EB">
      <w:pPr>
        <w:spacing w:line="440" w:lineRule="exact"/>
        <w:rPr>
          <w:rFonts w:hint="default" w:ascii="Times New Roman" w:hAnsi="Times New Roman" w:cs="Times New Roman"/>
          <w:szCs w:val="21"/>
        </w:rPr>
      </w:pPr>
    </w:p>
    <w:p w14:paraId="572F0BE0">
      <w:pPr>
        <w:spacing w:line="440" w:lineRule="exact"/>
        <w:ind w:firstLine="1575" w:firstLineChars="7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3C95FD61">
      <w:pPr>
        <w:spacing w:line="400" w:lineRule="exact"/>
        <w:rPr>
          <w:rFonts w:hint="default" w:ascii="Times New Roman" w:hAnsi="Times New Roman" w:cs="Times New Roman"/>
        </w:rPr>
      </w:pPr>
      <w:r>
        <w:rPr>
          <w:rFonts w:hint="default" w:ascii="Times New Roman" w:hAnsi="Times New Roman" w:eastAsia="黑体" w:cs="Times New Roman"/>
          <w:sz w:val="20"/>
          <w:szCs w:val="20"/>
        </w:rPr>
        <w:br w:type="page"/>
      </w:r>
    </w:p>
    <w:p w14:paraId="4D2C3184">
      <w:pPr>
        <w:pStyle w:val="3"/>
        <w:keepNext w:val="0"/>
        <w:keepLines w:val="0"/>
        <w:jc w:val="center"/>
        <w:rPr>
          <w:rFonts w:hint="eastAsia"/>
          <w:color w:val="000000"/>
        </w:rPr>
      </w:pPr>
      <w:bookmarkStart w:id="293" w:name="_Toc300835216"/>
      <w:bookmarkStart w:id="294" w:name="_Toc247514286"/>
      <w:bookmarkStart w:id="295" w:name="_Toc152045794"/>
      <w:bookmarkStart w:id="296" w:name="_Toc144974862"/>
      <w:bookmarkStart w:id="297" w:name="_Toc247527834"/>
      <w:bookmarkStart w:id="298" w:name="_Toc152042583"/>
      <w:r>
        <w:rPr>
          <w:rFonts w:hint="eastAsia"/>
          <w:color w:val="000000"/>
        </w:rPr>
        <w:t>三</w:t>
      </w:r>
      <w:r>
        <w:rPr>
          <w:color w:val="000000"/>
        </w:rPr>
        <w:t>、</w:t>
      </w:r>
      <w:r>
        <w:rPr>
          <w:rFonts w:hint="eastAsia"/>
          <w:color w:val="000000"/>
        </w:rPr>
        <w:t>联合体协议书</w:t>
      </w:r>
    </w:p>
    <w:p w14:paraId="7897E995">
      <w:pPr>
        <w:pStyle w:val="9"/>
        <w:adjustRightInd w:val="0"/>
        <w:snapToGrid w:val="0"/>
        <w:spacing w:line="300" w:lineRule="auto"/>
        <w:jc w:val="center"/>
        <w:rPr>
          <w:rFonts w:hint="eastAsia" w:hAnsi="宋体"/>
          <w:color w:val="000000"/>
        </w:rPr>
      </w:pPr>
      <w:r>
        <w:rPr>
          <w:rFonts w:hint="eastAsia" w:hAnsi="宋体"/>
          <w:color w:val="000000"/>
        </w:rPr>
        <w:t>（如果采用联合体投标的，则适用此表，否则不适用）</w:t>
      </w:r>
    </w:p>
    <w:p w14:paraId="400A774F">
      <w:pPr>
        <w:pStyle w:val="9"/>
        <w:adjustRightInd w:val="0"/>
        <w:snapToGrid w:val="0"/>
        <w:spacing w:line="300" w:lineRule="auto"/>
        <w:rPr>
          <w:rFonts w:hint="eastAsia" w:ascii="Times New Roman" w:hAnsi="Times New Roman" w:eastAsia="黑体"/>
          <w:color w:val="000000"/>
        </w:rPr>
      </w:pPr>
    </w:p>
    <w:p w14:paraId="7DA43B5F">
      <w:pPr>
        <w:topLinePunct/>
        <w:spacing w:line="440" w:lineRule="exact"/>
        <w:ind w:firstLine="420" w:firstLineChars="200"/>
        <w:rPr>
          <w:rFonts w:hint="eastAsia" w:eastAsiaTheme="minorEastAsia"/>
          <w:color w:val="000000"/>
          <w:szCs w:val="21"/>
          <w:lang w:eastAsia="zh-CN"/>
        </w:rPr>
      </w:pP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（所有成员单位名称）自愿组成</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rFonts w:hint="eastAsia"/>
          <w:color w:val="000000"/>
          <w:szCs w:val="21"/>
        </w:rPr>
        <w:t>（</w:t>
      </w:r>
      <w:r>
        <w:rPr>
          <w:color w:val="000000"/>
          <w:szCs w:val="21"/>
        </w:rPr>
        <w:t>联合体名称</w:t>
      </w:r>
      <w:r>
        <w:rPr>
          <w:rFonts w:hint="eastAsia"/>
          <w:color w:val="000000"/>
          <w:szCs w:val="21"/>
        </w:rPr>
        <w:t>）联合体</w:t>
      </w:r>
      <w:r>
        <w:rPr>
          <w:color w:val="000000"/>
          <w:szCs w:val="21"/>
        </w:rPr>
        <w:t>，共同参加</w:t>
      </w:r>
      <w:r>
        <w:rPr>
          <w:color w:val="000000"/>
          <w:szCs w:val="21"/>
          <w:u w:val="single"/>
        </w:rPr>
        <w:t xml:space="preserve">    </w:t>
      </w:r>
      <w:r>
        <w:rPr>
          <w:rFonts w:hint="eastAsia"/>
          <w:color w:val="000000"/>
          <w:szCs w:val="21"/>
          <w:u w:val="single"/>
        </w:rPr>
        <w:t xml:space="preserve">         </w:t>
      </w:r>
      <w:r>
        <w:rPr>
          <w:color w:val="000000"/>
          <w:szCs w:val="21"/>
          <w:u w:val="single"/>
        </w:rPr>
        <w:t xml:space="preserve">       </w:t>
      </w:r>
      <w:r>
        <w:rPr>
          <w:color w:val="000000"/>
          <w:szCs w:val="21"/>
        </w:rPr>
        <w:t>标段施工投标</w:t>
      </w:r>
      <w:r>
        <w:rPr>
          <w:rFonts w:hint="eastAsia"/>
          <w:color w:val="000000"/>
          <w:szCs w:val="21"/>
          <w:lang w:eastAsia="zh-CN"/>
        </w:rPr>
        <w:t>。</w:t>
      </w:r>
      <w:r>
        <w:rPr>
          <w:color w:val="000000"/>
          <w:szCs w:val="21"/>
        </w:rPr>
        <w:t>现就联合体投标事宜订立如下协议</w:t>
      </w:r>
      <w:r>
        <w:rPr>
          <w:rFonts w:hint="eastAsia"/>
          <w:color w:val="000000"/>
          <w:szCs w:val="21"/>
          <w:lang w:eastAsia="zh-CN"/>
        </w:rPr>
        <w:t>。</w:t>
      </w:r>
    </w:p>
    <w:p w14:paraId="21DF8440">
      <w:pPr>
        <w:topLinePunct/>
        <w:spacing w:line="440" w:lineRule="exact"/>
        <w:ind w:firstLine="420" w:firstLineChars="200"/>
        <w:rPr>
          <w:rFonts w:hint="eastAsia" w:eastAsiaTheme="minorEastAsia"/>
          <w:color w:val="000000"/>
          <w:szCs w:val="21"/>
          <w:lang w:eastAsia="zh-CN"/>
        </w:rPr>
      </w:pPr>
      <w:r>
        <w:rPr>
          <w:color w:val="000000"/>
          <w:szCs w:val="21"/>
        </w:rPr>
        <w:t>1、</w:t>
      </w:r>
      <w:r>
        <w:rPr>
          <w:color w:val="000000"/>
          <w:szCs w:val="21"/>
          <w:u w:val="single"/>
        </w:rPr>
        <w:t xml:space="preserve">       </w:t>
      </w:r>
      <w:r>
        <w:rPr>
          <w:color w:val="000000"/>
          <w:szCs w:val="21"/>
        </w:rPr>
        <w:t>（某成员单位名称）为</w:t>
      </w:r>
      <w:r>
        <w:rPr>
          <w:color w:val="000000"/>
          <w:szCs w:val="21"/>
          <w:u w:val="single"/>
        </w:rPr>
        <w:t xml:space="preserve">     </w:t>
      </w:r>
      <w:r>
        <w:rPr>
          <w:color w:val="000000"/>
          <w:szCs w:val="21"/>
        </w:rPr>
        <w:t>（联合体名称）牵头人</w:t>
      </w:r>
      <w:r>
        <w:rPr>
          <w:rFonts w:hint="eastAsia"/>
          <w:color w:val="000000"/>
          <w:szCs w:val="21"/>
          <w:lang w:eastAsia="zh-CN"/>
        </w:rPr>
        <w:t>。</w:t>
      </w:r>
    </w:p>
    <w:p w14:paraId="1DAD2C27">
      <w:pPr>
        <w:topLinePunct/>
        <w:spacing w:line="440" w:lineRule="exact"/>
        <w:ind w:firstLine="420" w:firstLineChars="200"/>
        <w:rPr>
          <w:rFonts w:hint="eastAsia" w:eastAsiaTheme="minorEastAsia"/>
          <w:color w:val="000000"/>
          <w:szCs w:val="21"/>
          <w:lang w:eastAsia="zh-CN"/>
        </w:rPr>
      </w:pPr>
      <w:r>
        <w:rPr>
          <w:color w:val="000000"/>
          <w:szCs w:val="21"/>
        </w:rPr>
        <w:t>2、联合体牵头人</w:t>
      </w:r>
      <w:r>
        <w:rPr>
          <w:rFonts w:hint="eastAsia"/>
          <w:color w:val="000000"/>
          <w:szCs w:val="21"/>
        </w:rPr>
        <w:t>合法代表联合体各成员负责本招标项目投标文件编制和合同谈判活动，并代表联合体提交和接收相关的资料、信息及指示，并处理与之有关的一切事务，</w:t>
      </w:r>
      <w:r>
        <w:rPr>
          <w:color w:val="000000"/>
          <w:szCs w:val="21"/>
        </w:rPr>
        <w:t>负责合同实施阶段的主办、组织和协调工作</w:t>
      </w:r>
      <w:r>
        <w:rPr>
          <w:rFonts w:hint="eastAsia"/>
          <w:color w:val="000000"/>
          <w:szCs w:val="21"/>
          <w:lang w:eastAsia="zh-CN"/>
        </w:rPr>
        <w:t>。</w:t>
      </w:r>
    </w:p>
    <w:p w14:paraId="09688B72">
      <w:pPr>
        <w:topLinePunct/>
        <w:spacing w:line="440" w:lineRule="exact"/>
        <w:ind w:firstLine="420" w:firstLineChars="200"/>
        <w:rPr>
          <w:rFonts w:hint="eastAsia" w:eastAsiaTheme="minorEastAsia"/>
          <w:color w:val="000000"/>
          <w:szCs w:val="21"/>
          <w:lang w:eastAsia="zh-CN"/>
        </w:rPr>
      </w:pPr>
      <w:r>
        <w:rPr>
          <w:color w:val="000000"/>
          <w:szCs w:val="21"/>
        </w:rPr>
        <w:t>3、联合体将严格按照招标文件的各项要求，递交投标文件，履行合同，并对外承担连带责任</w:t>
      </w:r>
      <w:r>
        <w:rPr>
          <w:rFonts w:hint="eastAsia"/>
          <w:color w:val="000000"/>
          <w:szCs w:val="21"/>
          <w:lang w:eastAsia="zh-CN"/>
        </w:rPr>
        <w:t>。</w:t>
      </w:r>
    </w:p>
    <w:p w14:paraId="0966C07B">
      <w:pPr>
        <w:topLinePunct/>
        <w:spacing w:line="440" w:lineRule="exact"/>
        <w:ind w:firstLine="420" w:firstLineChars="200"/>
        <w:rPr>
          <w:rFonts w:hint="eastAsia" w:eastAsiaTheme="minorEastAsia"/>
          <w:color w:val="000000"/>
          <w:szCs w:val="21"/>
          <w:lang w:eastAsia="zh-CN"/>
        </w:rPr>
      </w:pPr>
      <w:r>
        <w:rPr>
          <w:color w:val="000000"/>
          <w:szCs w:val="21"/>
        </w:rPr>
        <w:t>4、联合体各成员单位内部的职责分工如下：</w:t>
      </w:r>
      <w:r>
        <w:rPr>
          <w:color w:val="000000"/>
          <w:szCs w:val="21"/>
          <w:u w:val="single"/>
        </w:rPr>
        <w:t xml:space="preserve">                 </w:t>
      </w:r>
      <w:r>
        <w:rPr>
          <w:color w:val="000000"/>
          <w:szCs w:val="21"/>
        </w:rPr>
        <w:t xml:space="preserve"> </w:t>
      </w:r>
      <w:r>
        <w:rPr>
          <w:rFonts w:hint="eastAsia"/>
          <w:color w:val="000000"/>
          <w:szCs w:val="21"/>
          <w:lang w:eastAsia="zh-CN"/>
        </w:rPr>
        <w:t>。</w:t>
      </w:r>
    </w:p>
    <w:p w14:paraId="53C6D3F4">
      <w:pPr>
        <w:topLinePunct/>
        <w:spacing w:line="440" w:lineRule="exact"/>
        <w:ind w:firstLine="420" w:firstLineChars="200"/>
        <w:rPr>
          <w:color w:val="000000"/>
          <w:szCs w:val="21"/>
        </w:rPr>
      </w:pPr>
      <w:r>
        <w:rPr>
          <w:color w:val="000000"/>
          <w:szCs w:val="21"/>
        </w:rPr>
        <w:t>5、本协议书自签署之日起生效，合同履行完毕后自动失效</w:t>
      </w:r>
      <w:r>
        <w:rPr>
          <w:rFonts w:hint="eastAsia"/>
          <w:color w:val="000000"/>
          <w:szCs w:val="21"/>
          <w:lang w:eastAsia="zh-CN"/>
        </w:rPr>
        <w:t>。</w:t>
      </w:r>
      <w:r>
        <w:rPr>
          <w:color w:val="000000"/>
          <w:szCs w:val="21"/>
        </w:rPr>
        <w:t xml:space="preserve"> </w:t>
      </w:r>
    </w:p>
    <w:p w14:paraId="6E1E8B18">
      <w:pPr>
        <w:topLinePunct/>
        <w:spacing w:line="440" w:lineRule="exact"/>
        <w:ind w:firstLine="420" w:firstLineChars="200"/>
        <w:rPr>
          <w:rFonts w:hint="eastAsia" w:eastAsiaTheme="minorEastAsia"/>
          <w:color w:val="000000"/>
          <w:szCs w:val="21"/>
          <w:lang w:eastAsia="zh-CN"/>
        </w:rPr>
      </w:pPr>
      <w:r>
        <w:rPr>
          <w:color w:val="000000"/>
          <w:szCs w:val="21"/>
        </w:rPr>
        <w:t>6、本协议书一式</w:t>
      </w:r>
      <w:r>
        <w:rPr>
          <w:color w:val="000000"/>
          <w:szCs w:val="21"/>
          <w:u w:val="single"/>
        </w:rPr>
        <w:t xml:space="preserve">   </w:t>
      </w:r>
      <w:r>
        <w:rPr>
          <w:color w:val="000000"/>
          <w:szCs w:val="21"/>
        </w:rPr>
        <w:t>份，联合体成员和招标人各执一份</w:t>
      </w:r>
      <w:r>
        <w:rPr>
          <w:rFonts w:hint="eastAsia"/>
          <w:color w:val="000000"/>
          <w:szCs w:val="21"/>
          <w:lang w:eastAsia="zh-CN"/>
        </w:rPr>
        <w:t>。</w:t>
      </w:r>
    </w:p>
    <w:p w14:paraId="5929EFC1">
      <w:pPr>
        <w:topLinePunct/>
        <w:spacing w:line="440" w:lineRule="exact"/>
        <w:rPr>
          <w:rFonts w:hint="eastAsia"/>
          <w:color w:val="000000"/>
          <w:szCs w:val="21"/>
        </w:rPr>
      </w:pPr>
    </w:p>
    <w:p w14:paraId="5BBE2F0C">
      <w:pPr>
        <w:topLinePunct/>
        <w:spacing w:line="440" w:lineRule="exact"/>
        <w:rPr>
          <w:color w:val="000000"/>
          <w:szCs w:val="21"/>
        </w:rPr>
      </w:pPr>
      <w:r>
        <w:rPr>
          <w:color w:val="000000"/>
          <w:szCs w:val="21"/>
        </w:rPr>
        <w:t>牵头人名称：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4AFC27F8">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352B06BA">
      <w:pPr>
        <w:topLinePunct/>
        <w:spacing w:line="440" w:lineRule="exact"/>
        <w:rPr>
          <w:color w:val="000000"/>
          <w:szCs w:val="21"/>
        </w:rPr>
      </w:pPr>
      <w:r>
        <w:rPr>
          <w:color w:val="000000"/>
          <w:szCs w:val="21"/>
        </w:rPr>
        <w:t>成员一名称：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10870423">
      <w:pPr>
        <w:topLinePunct/>
        <w:spacing w:line="440" w:lineRule="exact"/>
        <w:rPr>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279694F8">
      <w:pPr>
        <w:topLinePunct/>
        <w:spacing w:line="440" w:lineRule="exact"/>
        <w:rPr>
          <w:color w:val="000000"/>
          <w:szCs w:val="21"/>
        </w:rPr>
      </w:pPr>
      <w:r>
        <w:rPr>
          <w:color w:val="000000"/>
          <w:szCs w:val="21"/>
        </w:rPr>
        <w:t>成员二名称：</w:t>
      </w:r>
      <w:r>
        <w:rPr>
          <w:color w:val="000000"/>
          <w:szCs w:val="21"/>
          <w:u w:val="single"/>
        </w:rPr>
        <w:t xml:space="preserve">                                 </w:t>
      </w:r>
      <w:r>
        <w:rPr>
          <w:color w:val="000000"/>
          <w:szCs w:val="21"/>
        </w:rPr>
        <w:t>（盖单位</w:t>
      </w:r>
      <w:r>
        <w:rPr>
          <w:rFonts w:hint="eastAsia"/>
          <w:color w:val="000000"/>
          <w:szCs w:val="21"/>
        </w:rPr>
        <w:t>公</w:t>
      </w:r>
      <w:r>
        <w:rPr>
          <w:color w:val="000000"/>
          <w:szCs w:val="21"/>
        </w:rPr>
        <w:t>章）</w:t>
      </w:r>
    </w:p>
    <w:p w14:paraId="753C5103">
      <w:pPr>
        <w:topLinePunct/>
        <w:spacing w:line="440" w:lineRule="exact"/>
        <w:rPr>
          <w:rFonts w:ascii="宋体" w:hAnsi="宋体"/>
          <w:color w:val="000000"/>
          <w:szCs w:val="21"/>
        </w:rPr>
      </w:pPr>
      <w:r>
        <w:rPr>
          <w:color w:val="000000"/>
          <w:szCs w:val="21"/>
        </w:rPr>
        <w:t>法定代表人或其委托代理人：</w:t>
      </w:r>
      <w:r>
        <w:rPr>
          <w:color w:val="000000"/>
          <w:szCs w:val="21"/>
          <w:u w:val="single"/>
        </w:rPr>
        <w:t xml:space="preserve">                       </w:t>
      </w:r>
      <w:r>
        <w:rPr>
          <w:rFonts w:hint="eastAsia"/>
          <w:color w:val="000000"/>
          <w:szCs w:val="21"/>
        </w:rPr>
        <w:t>（</w:t>
      </w:r>
      <w:r>
        <w:rPr>
          <w:rFonts w:hint="eastAsia"/>
          <w:color w:val="000000"/>
          <w:szCs w:val="21"/>
          <w:lang w:eastAsia="zh-CN"/>
        </w:rPr>
        <w:t>签字或盖章</w:t>
      </w:r>
      <w:r>
        <w:rPr>
          <w:rFonts w:hint="eastAsia"/>
          <w:color w:val="000000"/>
          <w:szCs w:val="21"/>
        </w:rPr>
        <w:t>）</w:t>
      </w:r>
    </w:p>
    <w:p w14:paraId="39ECAA97">
      <w:pPr>
        <w:topLinePunct/>
        <w:spacing w:line="440" w:lineRule="exact"/>
        <w:rPr>
          <w:rFonts w:hint="eastAsia" w:ascii="宋体" w:hAnsi="宋体"/>
          <w:color w:val="000000"/>
          <w:szCs w:val="21"/>
        </w:rPr>
      </w:pPr>
      <w:r>
        <w:rPr>
          <w:rFonts w:hint="eastAsia" w:ascii="宋体" w:hAnsi="宋体"/>
          <w:color w:val="000000"/>
          <w:szCs w:val="21"/>
        </w:rPr>
        <w:t>……</w:t>
      </w:r>
    </w:p>
    <w:p w14:paraId="6F4D6534">
      <w:pPr>
        <w:topLinePunct/>
        <w:spacing w:line="440" w:lineRule="exact"/>
        <w:rPr>
          <w:rFonts w:hint="eastAsia" w:ascii="宋体" w:hAnsi="宋体"/>
          <w:color w:val="000000"/>
          <w:szCs w:val="21"/>
        </w:rPr>
      </w:pPr>
    </w:p>
    <w:p w14:paraId="7EFE1EDF">
      <w:pPr>
        <w:topLinePunct/>
        <w:spacing w:line="440" w:lineRule="exact"/>
        <w:rPr>
          <w:rFonts w:hint="eastAsia" w:ascii="宋体" w:hAnsi="宋体"/>
          <w:color w:val="000000"/>
          <w:szCs w:val="21"/>
        </w:rPr>
      </w:pPr>
    </w:p>
    <w:p w14:paraId="27592FFB">
      <w:pPr>
        <w:topLinePunct/>
        <w:spacing w:line="440" w:lineRule="exact"/>
        <w:jc w:val="right"/>
        <w:rPr>
          <w:color w:val="000000"/>
        </w:rPr>
      </w:pPr>
      <w:r>
        <w:rPr>
          <w:color w:val="000000"/>
          <w:u w:val="single"/>
        </w:rPr>
        <w:t xml:space="preserve">        </w:t>
      </w:r>
      <w:r>
        <w:rPr>
          <w:color w:val="000000"/>
        </w:rPr>
        <w:t>年</w:t>
      </w:r>
      <w:r>
        <w:rPr>
          <w:color w:val="000000"/>
          <w:u w:val="single"/>
        </w:rPr>
        <w:t xml:space="preserve">   </w:t>
      </w:r>
      <w:r>
        <w:rPr>
          <w:rFonts w:hint="eastAsia"/>
          <w:color w:val="000000"/>
          <w:u w:val="single"/>
        </w:rPr>
        <w:t xml:space="preserve">   </w:t>
      </w:r>
      <w:r>
        <w:rPr>
          <w:color w:val="000000"/>
          <w:u w:val="single"/>
        </w:rPr>
        <w:t xml:space="preserve"> </w:t>
      </w:r>
      <w:r>
        <w:rPr>
          <w:color w:val="000000"/>
        </w:rPr>
        <w:t>月</w:t>
      </w:r>
      <w:r>
        <w:rPr>
          <w:color w:val="000000"/>
          <w:u w:val="single"/>
        </w:rPr>
        <w:t xml:space="preserve"> </w:t>
      </w:r>
      <w:r>
        <w:rPr>
          <w:rFonts w:hint="eastAsia"/>
          <w:color w:val="000000"/>
          <w:u w:val="single"/>
        </w:rPr>
        <w:t xml:space="preserve">   </w:t>
      </w:r>
      <w:r>
        <w:rPr>
          <w:color w:val="000000"/>
          <w:u w:val="single"/>
        </w:rPr>
        <w:t xml:space="preserve">   </w:t>
      </w:r>
      <w:r>
        <w:rPr>
          <w:color w:val="000000"/>
        </w:rPr>
        <w:t>日</w:t>
      </w:r>
    </w:p>
    <w:p w14:paraId="5ED81660"/>
    <w:p w14:paraId="64EF2784">
      <w:pPr>
        <w:pStyle w:val="13"/>
      </w:pPr>
    </w:p>
    <w:p w14:paraId="795FC58E">
      <w:pPr>
        <w:pStyle w:val="13"/>
      </w:pPr>
    </w:p>
    <w:p w14:paraId="4904A997">
      <w:pPr>
        <w:pStyle w:val="3"/>
        <w:jc w:val="center"/>
        <w:rPr>
          <w:rFonts w:hint="default" w:ascii="Times New Roman" w:hAnsi="Times New Roman" w:cs="Times New Roman"/>
        </w:rPr>
      </w:pPr>
      <w:r>
        <w:rPr>
          <w:rFonts w:hint="eastAsia" w:ascii="Times New Roman" w:hAnsi="Times New Roman" w:cs="Times New Roman"/>
          <w:lang w:val="en-US" w:eastAsia="zh-CN"/>
        </w:rPr>
        <w:t>五</w:t>
      </w:r>
      <w:r>
        <w:rPr>
          <w:rFonts w:hint="default" w:ascii="Times New Roman" w:hAnsi="Times New Roman" w:cs="Times New Roman"/>
        </w:rPr>
        <w:t>、投标保证金</w:t>
      </w:r>
      <w:bookmarkEnd w:id="293"/>
      <w:bookmarkEnd w:id="294"/>
      <w:bookmarkEnd w:id="295"/>
      <w:bookmarkEnd w:id="296"/>
      <w:bookmarkEnd w:id="297"/>
      <w:bookmarkEnd w:id="298"/>
    </w:p>
    <w:p w14:paraId="4986FC31">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9"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或投标人公章</w:t>
      </w:r>
      <w:r>
        <w:rPr>
          <w:rFonts w:hint="default" w:ascii="Times New Roman" w:hAnsi="Times New Roman" w:cs="Times New Roman" w:eastAsiaTheme="minorEastAsia"/>
          <w:b w:val="0"/>
          <w:bCs/>
          <w:color w:val="000000"/>
          <w:kern w:val="0"/>
          <w:sz w:val="24"/>
          <w:szCs w:val="24"/>
          <w:highlight w:val="none"/>
        </w:rPr>
        <w:t>）：</w:t>
      </w:r>
    </w:p>
    <w:p w14:paraId="3649526A">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09889FE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D07879C">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F36F7F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A0FAAD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59D4D3E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2247311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A2B6DA7">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96201D0">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4977937">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1DF54487">
      <w:pPr>
        <w:spacing w:line="440" w:lineRule="exact"/>
        <w:rPr>
          <w:rFonts w:hint="default" w:ascii="Times New Roman" w:hAnsi="Times New Roman" w:cs="Times New Roman"/>
          <w:b/>
          <w:bCs/>
        </w:rPr>
      </w:pPr>
    </w:p>
    <w:bookmarkEnd w:id="299"/>
    <w:p w14:paraId="180A2C6C">
      <w:pPr>
        <w:rPr>
          <w:rFonts w:hint="default" w:ascii="Times New Roman" w:hAnsi="Times New Roman" w:cs="Times New Roman"/>
        </w:rPr>
      </w:pPr>
      <w:bookmarkStart w:id="300" w:name="_Toc247527835"/>
      <w:bookmarkStart w:id="301" w:name="_Toc152045795"/>
      <w:bookmarkStart w:id="302" w:name="_Toc300835218"/>
      <w:bookmarkStart w:id="303" w:name="_Toc247514287"/>
      <w:bookmarkStart w:id="304" w:name="_Toc144974863"/>
      <w:bookmarkStart w:id="305" w:name="_Toc152042584"/>
      <w:r>
        <w:rPr>
          <w:rFonts w:hint="default" w:ascii="Times New Roman" w:hAnsi="Times New Roman" w:cs="Times New Roman"/>
        </w:rPr>
        <w:br w:type="page"/>
      </w:r>
    </w:p>
    <w:p w14:paraId="657A2AD8">
      <w:pPr>
        <w:pStyle w:val="3"/>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六</w:t>
      </w:r>
      <w:r>
        <w:rPr>
          <w:rFonts w:hint="default" w:ascii="Times New Roman" w:hAnsi="Times New Roman" w:cs="Times New Roman"/>
        </w:rPr>
        <w:t>、</w:t>
      </w:r>
      <w:bookmarkEnd w:id="300"/>
      <w:bookmarkEnd w:id="301"/>
      <w:bookmarkEnd w:id="302"/>
      <w:bookmarkEnd w:id="303"/>
      <w:bookmarkEnd w:id="304"/>
      <w:bookmarkEnd w:id="305"/>
      <w:r>
        <w:rPr>
          <w:rFonts w:hint="eastAsia" w:ascii="Times New Roman" w:hAnsi="Times New Roman" w:cs="Times New Roman"/>
          <w:lang w:val="en-US" w:eastAsia="zh-CN"/>
        </w:rPr>
        <w:t>已标价工程量清单</w:t>
      </w:r>
    </w:p>
    <w:p w14:paraId="23E5F438">
      <w:pPr>
        <w:rPr>
          <w:rFonts w:hint="default" w:ascii="Times New Roman" w:hAnsi="Times New Roman" w:cs="Times New Roman"/>
        </w:rPr>
      </w:pPr>
      <w:bookmarkStart w:id="306" w:name="_Toc247514288"/>
      <w:bookmarkStart w:id="307" w:name="_Toc152045796"/>
      <w:bookmarkStart w:id="308" w:name="_Toc247527836"/>
      <w:bookmarkStart w:id="309" w:name="_Toc152042585"/>
      <w:bookmarkStart w:id="310" w:name="_Toc144974864"/>
      <w:bookmarkStart w:id="311" w:name="_Toc300835221"/>
    </w:p>
    <w:tbl>
      <w:tblPr>
        <w:tblStyle w:val="16"/>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shd w:val="clear" w:color="auto" w:fill="auto"/>
        <w:tblLayout w:type="autofit"/>
        <w:tblCellMar>
          <w:top w:w="0" w:type="dxa"/>
          <w:left w:w="108" w:type="dxa"/>
          <w:bottom w:w="0" w:type="dxa"/>
          <w:right w:w="108" w:type="dxa"/>
        </w:tblCellMar>
      </w:tblPr>
      <w:tblGrid>
        <w:gridCol w:w="416"/>
        <w:gridCol w:w="648"/>
        <w:gridCol w:w="2756"/>
        <w:gridCol w:w="573"/>
        <w:gridCol w:w="1016"/>
        <w:gridCol w:w="764"/>
        <w:gridCol w:w="772"/>
        <w:gridCol w:w="994"/>
        <w:gridCol w:w="583"/>
      </w:tblGrid>
      <w:tr w14:paraId="0B5F84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atLeast"/>
        </w:trPr>
        <w:tc>
          <w:tcPr>
            <w:tcW w:w="5000" w:type="pct"/>
            <w:gridSpan w:val="9"/>
            <w:tcBorders>
              <w:tl2br w:val="nil"/>
              <w:tr2bl w:val="nil"/>
            </w:tcBorders>
            <w:shd w:val="clear" w:color="auto" w:fill="auto"/>
            <w:noWrap/>
            <w:vAlign w:val="center"/>
          </w:tcPr>
          <w:p w14:paraId="4EECCB6B">
            <w:pPr>
              <w:keepNext w:val="0"/>
              <w:keepLines w:val="0"/>
              <w:widowControl/>
              <w:suppressLineNumbers w:val="0"/>
              <w:jc w:val="center"/>
              <w:textAlignment w:val="center"/>
              <w:rPr>
                <w:rFonts w:hint="eastAsia" w:ascii="宋体" w:hAnsi="宋体" w:eastAsia="宋体" w:cs="宋体"/>
                <w:b/>
                <w:bCs/>
                <w:i w:val="0"/>
                <w:iCs w:val="0"/>
                <w:color w:val="000000"/>
                <w:sz w:val="32"/>
                <w:szCs w:val="32"/>
                <w:u w:val="none"/>
              </w:rPr>
            </w:pPr>
            <w:r>
              <w:rPr>
                <w:rFonts w:hint="eastAsia" w:ascii="宋体" w:hAnsi="宋体" w:eastAsia="宋体" w:cs="宋体"/>
                <w:b/>
                <w:bCs/>
                <w:i w:val="0"/>
                <w:iCs w:val="0"/>
                <w:color w:val="000000"/>
                <w:kern w:val="0"/>
                <w:sz w:val="32"/>
                <w:szCs w:val="32"/>
                <w:u w:val="none"/>
                <w:lang w:val="en-US" w:eastAsia="zh-CN" w:bidi="ar"/>
              </w:rPr>
              <w:t>工程量清单表</w:t>
            </w:r>
          </w:p>
        </w:tc>
      </w:tr>
      <w:tr w14:paraId="5FA41F7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3" w:hRule="atLeast"/>
        </w:trPr>
        <w:tc>
          <w:tcPr>
            <w:tcW w:w="5000" w:type="pct"/>
            <w:gridSpan w:val="9"/>
            <w:tcBorders>
              <w:tl2br w:val="nil"/>
              <w:tr2bl w:val="nil"/>
            </w:tcBorders>
            <w:shd w:val="clear" w:color="auto" w:fill="auto"/>
            <w:vAlign w:val="center"/>
          </w:tcPr>
          <w:p w14:paraId="3A180046">
            <w:pPr>
              <w:jc w:val="left"/>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工程名称：亳州逸合府一期施工总承包项目</w:t>
            </w:r>
          </w:p>
        </w:tc>
      </w:tr>
      <w:tr w14:paraId="6C404A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0" w:hRule="atLeast"/>
        </w:trPr>
        <w:tc>
          <w:tcPr>
            <w:tcW w:w="244" w:type="pct"/>
            <w:tcBorders>
              <w:tl2br w:val="nil"/>
              <w:tr2bl w:val="nil"/>
            </w:tcBorders>
            <w:shd w:val="clear" w:color="auto" w:fill="FFFFFF"/>
            <w:vAlign w:val="center"/>
          </w:tcPr>
          <w:p w14:paraId="13CD38D4">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序号</w:t>
            </w:r>
          </w:p>
        </w:tc>
        <w:tc>
          <w:tcPr>
            <w:tcW w:w="381" w:type="pct"/>
            <w:tcBorders>
              <w:tl2br w:val="nil"/>
              <w:tr2bl w:val="nil"/>
            </w:tcBorders>
            <w:shd w:val="clear" w:color="auto" w:fill="FFFFFF"/>
            <w:vAlign w:val="center"/>
          </w:tcPr>
          <w:p w14:paraId="780EA7DA">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项目名称</w:t>
            </w:r>
          </w:p>
        </w:tc>
        <w:tc>
          <w:tcPr>
            <w:tcW w:w="1617" w:type="pct"/>
            <w:tcBorders>
              <w:tl2br w:val="nil"/>
              <w:tr2bl w:val="nil"/>
            </w:tcBorders>
            <w:shd w:val="clear" w:color="auto" w:fill="FFFFFF"/>
            <w:vAlign w:val="center"/>
          </w:tcPr>
          <w:p w14:paraId="52AC00C4">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项目特征描述</w:t>
            </w:r>
          </w:p>
        </w:tc>
        <w:tc>
          <w:tcPr>
            <w:tcW w:w="336" w:type="pct"/>
            <w:tcBorders>
              <w:tl2br w:val="nil"/>
              <w:tr2bl w:val="nil"/>
            </w:tcBorders>
            <w:shd w:val="clear" w:color="auto" w:fill="FFFFFF"/>
            <w:vAlign w:val="center"/>
          </w:tcPr>
          <w:p w14:paraId="721AAB5C">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计量</w:t>
            </w:r>
            <w:r>
              <w:rPr>
                <w:rFonts w:hint="eastAsia" w:ascii="黑体" w:hAnsi="宋体" w:eastAsia="黑体" w:cs="黑体"/>
                <w:i w:val="0"/>
                <w:iCs w:val="0"/>
                <w:color w:val="000000"/>
                <w:kern w:val="0"/>
                <w:sz w:val="20"/>
                <w:szCs w:val="20"/>
                <w:u w:val="none"/>
                <w:lang w:val="en-US" w:eastAsia="zh-CN" w:bidi="ar"/>
              </w:rPr>
              <w:br w:type="textWrapping"/>
            </w:r>
            <w:r>
              <w:rPr>
                <w:rFonts w:hint="eastAsia" w:ascii="黑体" w:hAnsi="宋体" w:eastAsia="黑体" w:cs="黑体"/>
                <w:i w:val="0"/>
                <w:iCs w:val="0"/>
                <w:color w:val="000000"/>
                <w:kern w:val="0"/>
                <w:sz w:val="20"/>
                <w:szCs w:val="20"/>
                <w:u w:val="none"/>
                <w:lang w:val="en-US" w:eastAsia="zh-CN" w:bidi="ar"/>
              </w:rPr>
              <w:t>单位</w:t>
            </w:r>
          </w:p>
        </w:tc>
        <w:tc>
          <w:tcPr>
            <w:tcW w:w="596" w:type="pct"/>
            <w:tcBorders>
              <w:tl2br w:val="nil"/>
              <w:tr2bl w:val="nil"/>
            </w:tcBorders>
            <w:shd w:val="clear" w:color="auto" w:fill="FFFFFF"/>
            <w:vAlign w:val="center"/>
          </w:tcPr>
          <w:p w14:paraId="6EE8176F">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工程量</w:t>
            </w:r>
          </w:p>
        </w:tc>
        <w:tc>
          <w:tcPr>
            <w:tcW w:w="448" w:type="pct"/>
            <w:tcBorders>
              <w:tl2br w:val="nil"/>
              <w:tr2bl w:val="nil"/>
            </w:tcBorders>
            <w:shd w:val="clear" w:color="auto" w:fill="FFFFFF"/>
            <w:vAlign w:val="center"/>
          </w:tcPr>
          <w:p w14:paraId="5D5571E2">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单价控制价（含税9%，元）</w:t>
            </w:r>
          </w:p>
        </w:tc>
        <w:tc>
          <w:tcPr>
            <w:tcW w:w="451" w:type="pct"/>
            <w:tcBorders>
              <w:tl2br w:val="nil"/>
              <w:tr2bl w:val="nil"/>
            </w:tcBorders>
            <w:shd w:val="clear" w:color="auto" w:fill="FFFFFF"/>
            <w:vAlign w:val="center"/>
          </w:tcPr>
          <w:p w14:paraId="035070C1">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单价报价（含税9%，元）</w:t>
            </w:r>
          </w:p>
        </w:tc>
        <w:tc>
          <w:tcPr>
            <w:tcW w:w="583" w:type="pct"/>
            <w:tcBorders>
              <w:tl2br w:val="nil"/>
              <w:tr2bl w:val="nil"/>
            </w:tcBorders>
            <w:shd w:val="clear" w:color="auto" w:fill="FFFFFF"/>
            <w:vAlign w:val="center"/>
          </w:tcPr>
          <w:p w14:paraId="664E42B7">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总价（含税9%，元）</w:t>
            </w:r>
          </w:p>
        </w:tc>
        <w:tc>
          <w:tcPr>
            <w:tcW w:w="340" w:type="pct"/>
            <w:tcBorders>
              <w:tl2br w:val="nil"/>
              <w:tr2bl w:val="nil"/>
            </w:tcBorders>
            <w:shd w:val="clear" w:color="auto" w:fill="FFFFFF"/>
            <w:vAlign w:val="center"/>
          </w:tcPr>
          <w:p w14:paraId="56B3F350">
            <w:pPr>
              <w:keepNext w:val="0"/>
              <w:keepLines w:val="0"/>
              <w:widowControl/>
              <w:suppressLineNumbers w:val="0"/>
              <w:jc w:val="center"/>
              <w:textAlignment w:val="center"/>
              <w:rPr>
                <w:rFonts w:hint="eastAsia" w:ascii="黑体" w:hAnsi="宋体" w:eastAsia="黑体" w:cs="黑体"/>
                <w:i w:val="0"/>
                <w:iCs w:val="0"/>
                <w:color w:val="000000"/>
                <w:sz w:val="20"/>
                <w:szCs w:val="20"/>
                <w:u w:val="none"/>
              </w:rPr>
            </w:pPr>
            <w:r>
              <w:rPr>
                <w:rFonts w:hint="eastAsia" w:ascii="黑体" w:hAnsi="宋体" w:eastAsia="黑体" w:cs="黑体"/>
                <w:i w:val="0"/>
                <w:iCs w:val="0"/>
                <w:color w:val="000000"/>
                <w:kern w:val="0"/>
                <w:sz w:val="20"/>
                <w:szCs w:val="20"/>
                <w:u w:val="none"/>
                <w:lang w:val="en-US" w:eastAsia="zh-CN" w:bidi="ar"/>
              </w:rPr>
              <w:t>备注</w:t>
            </w:r>
          </w:p>
        </w:tc>
      </w:tr>
      <w:tr w14:paraId="35CADF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20" w:hRule="atLeast"/>
        </w:trPr>
        <w:tc>
          <w:tcPr>
            <w:tcW w:w="244" w:type="pct"/>
            <w:tcBorders>
              <w:tl2br w:val="nil"/>
              <w:tr2bl w:val="nil"/>
            </w:tcBorders>
            <w:shd w:val="clear" w:color="auto" w:fill="auto"/>
            <w:vAlign w:val="center"/>
          </w:tcPr>
          <w:p w14:paraId="4FD1350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w:t>
            </w:r>
          </w:p>
        </w:tc>
        <w:tc>
          <w:tcPr>
            <w:tcW w:w="381" w:type="pct"/>
            <w:tcBorders>
              <w:tl2br w:val="nil"/>
              <w:tr2bl w:val="nil"/>
            </w:tcBorders>
            <w:shd w:val="clear" w:color="auto" w:fill="auto"/>
            <w:vAlign w:val="center"/>
          </w:tcPr>
          <w:p w14:paraId="03463AC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w:t>
            </w:r>
          </w:p>
        </w:tc>
        <w:tc>
          <w:tcPr>
            <w:tcW w:w="1617" w:type="pct"/>
            <w:tcBorders>
              <w:tl2br w:val="nil"/>
              <w:tr2bl w:val="nil"/>
            </w:tcBorders>
            <w:shd w:val="clear" w:color="auto" w:fill="auto"/>
            <w:vAlign w:val="center"/>
          </w:tcPr>
          <w:p w14:paraId="4612E34D">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1、90mm厚保温层挤塑聚苯乙烯泡沫塑料板(XPS);</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2、最薄30厚LC5.0轻集料混凝土2%找坡层;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3、其他：具体要求及做法详见图纸及规范，满足验收要求</w:t>
            </w:r>
          </w:p>
        </w:tc>
        <w:tc>
          <w:tcPr>
            <w:tcW w:w="336" w:type="pct"/>
            <w:tcBorders>
              <w:tl2br w:val="nil"/>
              <w:tr2bl w:val="nil"/>
            </w:tcBorders>
            <w:shd w:val="clear" w:color="auto" w:fill="auto"/>
            <w:vAlign w:val="center"/>
          </w:tcPr>
          <w:p w14:paraId="77B7DDD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w:t>
            </w:r>
            <w:r>
              <w:rPr>
                <w:rFonts w:hint="eastAsia" w:ascii="宋体" w:hAnsi="宋体" w:eastAsia="宋体" w:cs="宋体"/>
                <w:i w:val="0"/>
                <w:iCs w:val="0"/>
                <w:color w:val="000000"/>
                <w:kern w:val="0"/>
                <w:sz w:val="20"/>
                <w:szCs w:val="20"/>
                <w:u w:val="none"/>
                <w:vertAlign w:val="baseline"/>
                <w:lang w:val="en-US" w:eastAsia="zh-CN" w:bidi="ar"/>
              </w:rPr>
              <w:t>2</w:t>
            </w:r>
          </w:p>
        </w:tc>
        <w:tc>
          <w:tcPr>
            <w:tcW w:w="596" w:type="pct"/>
            <w:tcBorders>
              <w:tl2br w:val="nil"/>
              <w:tr2bl w:val="nil"/>
            </w:tcBorders>
            <w:shd w:val="clear" w:color="auto" w:fill="auto"/>
            <w:vAlign w:val="center"/>
          </w:tcPr>
          <w:p w14:paraId="0741E9E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11809.29</w:t>
            </w:r>
          </w:p>
        </w:tc>
        <w:tc>
          <w:tcPr>
            <w:tcW w:w="448" w:type="pct"/>
            <w:tcBorders>
              <w:tl2br w:val="nil"/>
              <w:tr2bl w:val="nil"/>
            </w:tcBorders>
            <w:shd w:val="clear" w:color="auto" w:fill="auto"/>
            <w:vAlign w:val="center"/>
          </w:tcPr>
          <w:p w14:paraId="4BB787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62.33 </w:t>
            </w:r>
          </w:p>
        </w:tc>
        <w:tc>
          <w:tcPr>
            <w:tcW w:w="451" w:type="pct"/>
            <w:tcBorders>
              <w:tl2br w:val="nil"/>
              <w:tr2bl w:val="nil"/>
            </w:tcBorders>
            <w:shd w:val="clear" w:color="auto" w:fill="auto"/>
            <w:vAlign w:val="center"/>
          </w:tcPr>
          <w:p w14:paraId="698B5B6B">
            <w:pPr>
              <w:jc w:val="center"/>
              <w:rPr>
                <w:rFonts w:hint="eastAsia" w:ascii="宋体" w:hAnsi="宋体" w:eastAsia="宋体" w:cs="宋体"/>
                <w:i w:val="0"/>
                <w:iCs w:val="0"/>
                <w:color w:val="000000"/>
                <w:sz w:val="20"/>
                <w:szCs w:val="20"/>
                <w:u w:val="none"/>
              </w:rPr>
            </w:pPr>
          </w:p>
        </w:tc>
        <w:tc>
          <w:tcPr>
            <w:tcW w:w="583" w:type="pct"/>
            <w:tcBorders>
              <w:tl2br w:val="nil"/>
              <w:tr2bl w:val="nil"/>
            </w:tcBorders>
            <w:shd w:val="clear" w:color="auto" w:fill="auto"/>
            <w:vAlign w:val="center"/>
          </w:tcPr>
          <w:p w14:paraId="503FD49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40" w:type="pct"/>
            <w:tcBorders>
              <w:tl2br w:val="nil"/>
              <w:tr2bl w:val="nil"/>
            </w:tcBorders>
            <w:shd w:val="clear" w:color="auto" w:fill="auto"/>
            <w:vAlign w:val="center"/>
          </w:tcPr>
          <w:p w14:paraId="48BAB0AD">
            <w:pPr>
              <w:jc w:val="center"/>
              <w:rPr>
                <w:rFonts w:hint="eastAsia" w:ascii="宋体" w:hAnsi="宋体" w:eastAsia="宋体" w:cs="宋体"/>
                <w:i w:val="0"/>
                <w:iCs w:val="0"/>
                <w:color w:val="000000"/>
                <w:sz w:val="20"/>
                <w:szCs w:val="20"/>
                <w:u w:val="none"/>
              </w:rPr>
            </w:pPr>
          </w:p>
        </w:tc>
      </w:tr>
      <w:tr w14:paraId="53F1FC0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60" w:hRule="atLeast"/>
        </w:trPr>
        <w:tc>
          <w:tcPr>
            <w:tcW w:w="244" w:type="pct"/>
            <w:tcBorders>
              <w:tl2br w:val="nil"/>
              <w:tr2bl w:val="nil"/>
            </w:tcBorders>
            <w:shd w:val="clear" w:color="auto" w:fill="auto"/>
            <w:vAlign w:val="center"/>
          </w:tcPr>
          <w:p w14:paraId="52F3527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2</w:t>
            </w:r>
          </w:p>
        </w:tc>
        <w:tc>
          <w:tcPr>
            <w:tcW w:w="381" w:type="pct"/>
            <w:tcBorders>
              <w:tl2br w:val="nil"/>
              <w:tr2bl w:val="nil"/>
            </w:tcBorders>
            <w:shd w:val="clear" w:color="auto" w:fill="auto"/>
            <w:vAlign w:val="center"/>
          </w:tcPr>
          <w:p w14:paraId="02232C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屋面2</w:t>
            </w:r>
          </w:p>
        </w:tc>
        <w:tc>
          <w:tcPr>
            <w:tcW w:w="1617" w:type="pct"/>
            <w:tcBorders>
              <w:tl2br w:val="nil"/>
              <w:tr2bl w:val="nil"/>
            </w:tcBorders>
            <w:shd w:val="clear" w:color="auto" w:fill="auto"/>
            <w:vAlign w:val="center"/>
          </w:tcPr>
          <w:p w14:paraId="29A46C8F">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1、最薄30厚LC5.0轻集料混凝土2%找坡层;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2、其他：具体要求及做法详见图纸及规范，满足验收要求</w:t>
            </w:r>
          </w:p>
        </w:tc>
        <w:tc>
          <w:tcPr>
            <w:tcW w:w="336" w:type="pct"/>
            <w:tcBorders>
              <w:tl2br w:val="nil"/>
              <w:tr2bl w:val="nil"/>
            </w:tcBorders>
            <w:shd w:val="clear" w:color="auto" w:fill="auto"/>
            <w:vAlign w:val="center"/>
          </w:tcPr>
          <w:p w14:paraId="5A9A11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96" w:type="pct"/>
            <w:tcBorders>
              <w:tl2br w:val="nil"/>
              <w:tr2bl w:val="nil"/>
            </w:tcBorders>
            <w:shd w:val="clear" w:color="auto" w:fill="auto"/>
            <w:vAlign w:val="center"/>
          </w:tcPr>
          <w:p w14:paraId="79C5C79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364.28</w:t>
            </w:r>
          </w:p>
        </w:tc>
        <w:tc>
          <w:tcPr>
            <w:tcW w:w="448" w:type="pct"/>
            <w:tcBorders>
              <w:tl2br w:val="nil"/>
              <w:tr2bl w:val="nil"/>
            </w:tcBorders>
            <w:shd w:val="clear" w:color="auto" w:fill="auto"/>
            <w:vAlign w:val="center"/>
          </w:tcPr>
          <w:p w14:paraId="7B21EAE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59.00 </w:t>
            </w:r>
          </w:p>
        </w:tc>
        <w:tc>
          <w:tcPr>
            <w:tcW w:w="451" w:type="pct"/>
            <w:tcBorders>
              <w:tl2br w:val="nil"/>
              <w:tr2bl w:val="nil"/>
            </w:tcBorders>
            <w:shd w:val="clear" w:color="auto" w:fill="auto"/>
            <w:vAlign w:val="center"/>
          </w:tcPr>
          <w:p w14:paraId="7402BEBC">
            <w:pPr>
              <w:jc w:val="center"/>
              <w:rPr>
                <w:rFonts w:hint="eastAsia" w:ascii="宋体" w:hAnsi="宋体" w:eastAsia="宋体" w:cs="宋体"/>
                <w:i w:val="0"/>
                <w:iCs w:val="0"/>
                <w:color w:val="000000"/>
                <w:sz w:val="20"/>
                <w:szCs w:val="20"/>
                <w:u w:val="none"/>
              </w:rPr>
            </w:pPr>
          </w:p>
        </w:tc>
        <w:tc>
          <w:tcPr>
            <w:tcW w:w="583" w:type="pct"/>
            <w:tcBorders>
              <w:tl2br w:val="nil"/>
              <w:tr2bl w:val="nil"/>
            </w:tcBorders>
            <w:shd w:val="clear" w:color="auto" w:fill="auto"/>
            <w:vAlign w:val="center"/>
          </w:tcPr>
          <w:p w14:paraId="0F6FDF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40" w:type="pct"/>
            <w:tcBorders>
              <w:tl2br w:val="nil"/>
              <w:tr2bl w:val="nil"/>
            </w:tcBorders>
            <w:shd w:val="clear" w:color="auto" w:fill="auto"/>
            <w:vAlign w:val="center"/>
          </w:tcPr>
          <w:p w14:paraId="3F47B2DD">
            <w:pPr>
              <w:jc w:val="center"/>
              <w:rPr>
                <w:rFonts w:hint="eastAsia" w:ascii="宋体" w:hAnsi="宋体" w:eastAsia="宋体" w:cs="宋体"/>
                <w:i w:val="0"/>
                <w:iCs w:val="0"/>
                <w:color w:val="000000"/>
                <w:sz w:val="20"/>
                <w:szCs w:val="20"/>
                <w:u w:val="none"/>
              </w:rPr>
            </w:pPr>
          </w:p>
        </w:tc>
      </w:tr>
      <w:tr w14:paraId="0D73FE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20" w:hRule="atLeast"/>
        </w:trPr>
        <w:tc>
          <w:tcPr>
            <w:tcW w:w="244" w:type="pct"/>
            <w:tcBorders>
              <w:tl2br w:val="nil"/>
              <w:tr2bl w:val="nil"/>
            </w:tcBorders>
            <w:shd w:val="clear" w:color="auto" w:fill="auto"/>
            <w:vAlign w:val="center"/>
          </w:tcPr>
          <w:p w14:paraId="0C9841D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w:t>
            </w:r>
          </w:p>
        </w:tc>
        <w:tc>
          <w:tcPr>
            <w:tcW w:w="381" w:type="pct"/>
            <w:tcBorders>
              <w:tl2br w:val="nil"/>
              <w:tr2bl w:val="nil"/>
            </w:tcBorders>
            <w:shd w:val="clear" w:color="auto" w:fill="auto"/>
            <w:vAlign w:val="center"/>
          </w:tcPr>
          <w:p w14:paraId="6A0A4FC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屋面3</w:t>
            </w:r>
          </w:p>
        </w:tc>
        <w:tc>
          <w:tcPr>
            <w:tcW w:w="1617" w:type="pct"/>
            <w:tcBorders>
              <w:tl2br w:val="nil"/>
              <w:tr2bl w:val="nil"/>
            </w:tcBorders>
            <w:shd w:val="clear" w:color="auto" w:fill="auto"/>
            <w:vAlign w:val="center"/>
          </w:tcPr>
          <w:p w14:paraId="0464BA0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屋面一:保温不上人平屋面,参图集12J201第B2页B1,做法如下(自上而下):</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1、80厚挤塑聚苯乙烯泡沫塑料板(XPS)(燃烧性能等级B1级);</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2、未尽事宜详见设计图纸、图集、答疑、招标文件、政府相关文件、规范等其他资料，满足验收要求</w:t>
            </w:r>
          </w:p>
        </w:tc>
        <w:tc>
          <w:tcPr>
            <w:tcW w:w="336" w:type="pct"/>
            <w:tcBorders>
              <w:tl2br w:val="nil"/>
              <w:tr2bl w:val="nil"/>
            </w:tcBorders>
            <w:shd w:val="clear" w:color="auto" w:fill="auto"/>
            <w:vAlign w:val="center"/>
          </w:tcPr>
          <w:p w14:paraId="771E10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96" w:type="pct"/>
            <w:tcBorders>
              <w:tl2br w:val="nil"/>
              <w:tr2bl w:val="nil"/>
            </w:tcBorders>
            <w:shd w:val="clear" w:color="auto" w:fill="auto"/>
            <w:vAlign w:val="center"/>
          </w:tcPr>
          <w:p w14:paraId="3AE08B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396</w:t>
            </w:r>
          </w:p>
        </w:tc>
        <w:tc>
          <w:tcPr>
            <w:tcW w:w="448" w:type="pct"/>
            <w:tcBorders>
              <w:tl2br w:val="nil"/>
              <w:tr2bl w:val="nil"/>
            </w:tcBorders>
            <w:shd w:val="clear" w:color="auto" w:fill="auto"/>
            <w:vAlign w:val="center"/>
          </w:tcPr>
          <w:p w14:paraId="222E084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49.67 </w:t>
            </w:r>
          </w:p>
        </w:tc>
        <w:tc>
          <w:tcPr>
            <w:tcW w:w="451" w:type="pct"/>
            <w:tcBorders>
              <w:tl2br w:val="nil"/>
              <w:tr2bl w:val="nil"/>
            </w:tcBorders>
            <w:shd w:val="clear" w:color="auto" w:fill="auto"/>
            <w:vAlign w:val="center"/>
          </w:tcPr>
          <w:p w14:paraId="6654139F">
            <w:pPr>
              <w:jc w:val="center"/>
              <w:rPr>
                <w:rFonts w:hint="eastAsia" w:ascii="宋体" w:hAnsi="宋体" w:eastAsia="宋体" w:cs="宋体"/>
                <w:i w:val="0"/>
                <w:iCs w:val="0"/>
                <w:color w:val="000000"/>
                <w:sz w:val="20"/>
                <w:szCs w:val="20"/>
                <w:u w:val="none"/>
              </w:rPr>
            </w:pPr>
          </w:p>
        </w:tc>
        <w:tc>
          <w:tcPr>
            <w:tcW w:w="583" w:type="pct"/>
            <w:tcBorders>
              <w:tl2br w:val="nil"/>
              <w:tr2bl w:val="nil"/>
            </w:tcBorders>
            <w:shd w:val="clear" w:color="auto" w:fill="auto"/>
            <w:vAlign w:val="center"/>
          </w:tcPr>
          <w:p w14:paraId="489E3BD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40" w:type="pct"/>
            <w:tcBorders>
              <w:tl2br w:val="nil"/>
              <w:tr2bl w:val="nil"/>
            </w:tcBorders>
            <w:shd w:val="clear" w:color="auto" w:fill="auto"/>
            <w:vAlign w:val="center"/>
          </w:tcPr>
          <w:p w14:paraId="0B01AB24">
            <w:pPr>
              <w:jc w:val="center"/>
              <w:rPr>
                <w:rFonts w:hint="eastAsia" w:ascii="宋体" w:hAnsi="宋体" w:eastAsia="宋体" w:cs="宋体"/>
                <w:i w:val="0"/>
                <w:iCs w:val="0"/>
                <w:color w:val="000000"/>
                <w:sz w:val="20"/>
                <w:szCs w:val="20"/>
                <w:u w:val="none"/>
              </w:rPr>
            </w:pPr>
          </w:p>
        </w:tc>
      </w:tr>
      <w:tr w14:paraId="0D2456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620" w:hRule="atLeast"/>
        </w:trPr>
        <w:tc>
          <w:tcPr>
            <w:tcW w:w="244" w:type="pct"/>
            <w:tcBorders>
              <w:tl2br w:val="nil"/>
              <w:tr2bl w:val="nil"/>
            </w:tcBorders>
            <w:shd w:val="clear" w:color="auto" w:fill="auto"/>
            <w:vAlign w:val="center"/>
          </w:tcPr>
          <w:p w14:paraId="1379F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4</w:t>
            </w:r>
          </w:p>
        </w:tc>
        <w:tc>
          <w:tcPr>
            <w:tcW w:w="381" w:type="pct"/>
            <w:tcBorders>
              <w:tl2br w:val="nil"/>
              <w:tr2bl w:val="nil"/>
            </w:tcBorders>
            <w:shd w:val="clear" w:color="auto" w:fill="auto"/>
            <w:vAlign w:val="center"/>
          </w:tcPr>
          <w:p w14:paraId="03A0216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保温隔热墙面</w:t>
            </w:r>
          </w:p>
        </w:tc>
        <w:tc>
          <w:tcPr>
            <w:tcW w:w="1617" w:type="pct"/>
            <w:tcBorders>
              <w:tl2br w:val="nil"/>
              <w:tr2bl w:val="nil"/>
            </w:tcBorders>
            <w:shd w:val="clear" w:color="auto" w:fill="auto"/>
            <w:vAlign w:val="center"/>
          </w:tcPr>
          <w:p w14:paraId="66568482">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1、保温隔热部位：分户墙（两侧均同）</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2、保温隔热材料品种、规格及厚度：10厚无机轻集料保温砂浆</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3、具体详见图纸、图集、答疑、招标文件、政府相关文件、规范等其他资料，满足验收要求</w:t>
            </w:r>
          </w:p>
        </w:tc>
        <w:tc>
          <w:tcPr>
            <w:tcW w:w="336" w:type="pct"/>
            <w:tcBorders>
              <w:tl2br w:val="nil"/>
              <w:tr2bl w:val="nil"/>
            </w:tcBorders>
            <w:shd w:val="clear" w:color="auto" w:fill="auto"/>
            <w:vAlign w:val="center"/>
          </w:tcPr>
          <w:p w14:paraId="72389E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96" w:type="pct"/>
            <w:tcBorders>
              <w:tl2br w:val="nil"/>
              <w:tr2bl w:val="nil"/>
            </w:tcBorders>
            <w:shd w:val="clear" w:color="auto" w:fill="auto"/>
            <w:vAlign w:val="center"/>
          </w:tcPr>
          <w:p w14:paraId="77CF09F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18683.37</w:t>
            </w:r>
          </w:p>
        </w:tc>
        <w:tc>
          <w:tcPr>
            <w:tcW w:w="448" w:type="pct"/>
            <w:tcBorders>
              <w:tl2br w:val="nil"/>
              <w:tr2bl w:val="nil"/>
            </w:tcBorders>
            <w:shd w:val="clear" w:color="auto" w:fill="auto"/>
            <w:vAlign w:val="center"/>
          </w:tcPr>
          <w:p w14:paraId="21397E7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34.33 </w:t>
            </w:r>
          </w:p>
        </w:tc>
        <w:tc>
          <w:tcPr>
            <w:tcW w:w="451" w:type="pct"/>
            <w:tcBorders>
              <w:tl2br w:val="nil"/>
              <w:tr2bl w:val="nil"/>
            </w:tcBorders>
            <w:shd w:val="clear" w:color="auto" w:fill="auto"/>
            <w:vAlign w:val="center"/>
          </w:tcPr>
          <w:p w14:paraId="0D320741">
            <w:pPr>
              <w:jc w:val="center"/>
              <w:rPr>
                <w:rFonts w:hint="eastAsia" w:ascii="宋体" w:hAnsi="宋体" w:eastAsia="宋体" w:cs="宋体"/>
                <w:i w:val="0"/>
                <w:iCs w:val="0"/>
                <w:color w:val="000000"/>
                <w:sz w:val="20"/>
                <w:szCs w:val="20"/>
                <w:u w:val="none"/>
              </w:rPr>
            </w:pPr>
          </w:p>
        </w:tc>
        <w:tc>
          <w:tcPr>
            <w:tcW w:w="583" w:type="pct"/>
            <w:tcBorders>
              <w:tl2br w:val="nil"/>
              <w:tr2bl w:val="nil"/>
            </w:tcBorders>
            <w:shd w:val="clear" w:color="auto" w:fill="auto"/>
            <w:vAlign w:val="center"/>
          </w:tcPr>
          <w:p w14:paraId="397CAD9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40" w:type="pct"/>
            <w:tcBorders>
              <w:tl2br w:val="nil"/>
              <w:tr2bl w:val="nil"/>
            </w:tcBorders>
            <w:shd w:val="clear" w:color="auto" w:fill="auto"/>
            <w:vAlign w:val="center"/>
          </w:tcPr>
          <w:p w14:paraId="2739A195">
            <w:pPr>
              <w:jc w:val="center"/>
              <w:rPr>
                <w:rFonts w:hint="eastAsia" w:ascii="宋体" w:hAnsi="宋体" w:eastAsia="宋体" w:cs="宋体"/>
                <w:i w:val="0"/>
                <w:iCs w:val="0"/>
                <w:color w:val="000000"/>
                <w:sz w:val="20"/>
                <w:szCs w:val="20"/>
                <w:u w:val="none"/>
              </w:rPr>
            </w:pPr>
          </w:p>
        </w:tc>
      </w:tr>
      <w:tr w14:paraId="42884B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940" w:hRule="atLeast"/>
        </w:trPr>
        <w:tc>
          <w:tcPr>
            <w:tcW w:w="244" w:type="pct"/>
            <w:tcBorders>
              <w:tl2br w:val="nil"/>
              <w:tr2bl w:val="nil"/>
            </w:tcBorders>
            <w:shd w:val="clear" w:color="auto" w:fill="auto"/>
            <w:vAlign w:val="center"/>
          </w:tcPr>
          <w:p w14:paraId="0C35CFE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5</w:t>
            </w:r>
          </w:p>
        </w:tc>
        <w:tc>
          <w:tcPr>
            <w:tcW w:w="381" w:type="pct"/>
            <w:tcBorders>
              <w:tl2br w:val="nil"/>
              <w:tr2bl w:val="nil"/>
            </w:tcBorders>
            <w:shd w:val="clear" w:color="auto" w:fill="auto"/>
            <w:vAlign w:val="center"/>
          </w:tcPr>
          <w:p w14:paraId="24D96C8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保温隔热天棚</w:t>
            </w:r>
          </w:p>
        </w:tc>
        <w:tc>
          <w:tcPr>
            <w:tcW w:w="1617" w:type="pct"/>
            <w:tcBorders>
              <w:tl2br w:val="nil"/>
              <w:tr2bl w:val="nil"/>
            </w:tcBorders>
            <w:shd w:val="clear" w:color="auto" w:fill="auto"/>
            <w:vAlign w:val="center"/>
          </w:tcPr>
          <w:p w14:paraId="710A8329">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1、保温隔热部位：架空层</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2、保温隔热材料品种、规格、厚度：45厚复合轻集料匀质保温板</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3、粘结材料种类、做法：6厚抹面胶浆+锚栓+耐碱玻纤网布</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4、现浇钢筋混凝土楼板,板底扫净,刷界面剂一道</w:t>
            </w:r>
            <w:r>
              <w:rPr>
                <w:rFonts w:hint="eastAsia" w:ascii="宋体" w:hAnsi="宋体" w:eastAsia="宋体" w:cs="宋体"/>
                <w:i w:val="0"/>
                <w:iCs w:val="0"/>
                <w:color w:val="000000"/>
                <w:kern w:val="0"/>
                <w:sz w:val="20"/>
                <w:szCs w:val="20"/>
                <w:u w:val="none"/>
                <w:lang w:val="en-US" w:eastAsia="zh-CN" w:bidi="ar"/>
              </w:rPr>
              <w:br w:type="textWrapping"/>
            </w:r>
            <w:r>
              <w:rPr>
                <w:rFonts w:hint="eastAsia" w:ascii="宋体" w:hAnsi="宋体" w:eastAsia="宋体" w:cs="宋体"/>
                <w:i w:val="0"/>
                <w:iCs w:val="0"/>
                <w:color w:val="000000"/>
                <w:kern w:val="0"/>
                <w:sz w:val="20"/>
                <w:szCs w:val="20"/>
                <w:u w:val="none"/>
                <w:lang w:val="en-US" w:eastAsia="zh-CN" w:bidi="ar"/>
              </w:rPr>
              <w:t>5、具体详见图纸、图集、答疑、招标文件、政府相关文件、规范等其他资料，满足验收要求</w:t>
            </w:r>
          </w:p>
        </w:tc>
        <w:tc>
          <w:tcPr>
            <w:tcW w:w="336" w:type="pct"/>
            <w:tcBorders>
              <w:tl2br w:val="nil"/>
              <w:tr2bl w:val="nil"/>
            </w:tcBorders>
            <w:shd w:val="clear" w:color="auto" w:fill="auto"/>
            <w:vAlign w:val="center"/>
          </w:tcPr>
          <w:p w14:paraId="665B713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m2</w:t>
            </w:r>
          </w:p>
        </w:tc>
        <w:tc>
          <w:tcPr>
            <w:tcW w:w="596" w:type="pct"/>
            <w:tcBorders>
              <w:tl2br w:val="nil"/>
              <w:tr2bl w:val="nil"/>
            </w:tcBorders>
            <w:shd w:val="clear" w:color="auto" w:fill="auto"/>
            <w:vAlign w:val="center"/>
          </w:tcPr>
          <w:p w14:paraId="0EB730F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1495.39</w:t>
            </w:r>
          </w:p>
        </w:tc>
        <w:tc>
          <w:tcPr>
            <w:tcW w:w="448" w:type="pct"/>
            <w:tcBorders>
              <w:tl2br w:val="nil"/>
              <w:tr2bl w:val="nil"/>
            </w:tcBorders>
            <w:shd w:val="clear" w:color="auto" w:fill="auto"/>
            <w:vAlign w:val="center"/>
          </w:tcPr>
          <w:p w14:paraId="36B3A74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 xml:space="preserve">67.00 </w:t>
            </w:r>
          </w:p>
        </w:tc>
        <w:tc>
          <w:tcPr>
            <w:tcW w:w="451" w:type="pct"/>
            <w:tcBorders>
              <w:tl2br w:val="nil"/>
              <w:tr2bl w:val="nil"/>
            </w:tcBorders>
            <w:shd w:val="clear" w:color="auto" w:fill="auto"/>
            <w:vAlign w:val="center"/>
          </w:tcPr>
          <w:p w14:paraId="0CD122F6">
            <w:pPr>
              <w:jc w:val="center"/>
              <w:rPr>
                <w:rFonts w:hint="eastAsia" w:ascii="宋体" w:hAnsi="宋体" w:eastAsia="宋体" w:cs="宋体"/>
                <w:i w:val="0"/>
                <w:iCs w:val="0"/>
                <w:color w:val="000000"/>
                <w:sz w:val="20"/>
                <w:szCs w:val="20"/>
                <w:u w:val="none"/>
              </w:rPr>
            </w:pPr>
          </w:p>
        </w:tc>
        <w:tc>
          <w:tcPr>
            <w:tcW w:w="583" w:type="pct"/>
            <w:tcBorders>
              <w:tl2br w:val="nil"/>
              <w:tr2bl w:val="nil"/>
            </w:tcBorders>
            <w:shd w:val="clear" w:color="auto" w:fill="auto"/>
            <w:vAlign w:val="center"/>
          </w:tcPr>
          <w:p w14:paraId="5853E265">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p>
        </w:tc>
        <w:tc>
          <w:tcPr>
            <w:tcW w:w="340" w:type="pct"/>
            <w:tcBorders>
              <w:tl2br w:val="nil"/>
              <w:tr2bl w:val="nil"/>
            </w:tcBorders>
            <w:shd w:val="clear" w:color="auto" w:fill="auto"/>
            <w:vAlign w:val="center"/>
          </w:tcPr>
          <w:p w14:paraId="1127633B">
            <w:pPr>
              <w:jc w:val="center"/>
              <w:rPr>
                <w:rFonts w:hint="eastAsia" w:ascii="宋体" w:hAnsi="宋体" w:eastAsia="宋体" w:cs="宋体"/>
                <w:i w:val="0"/>
                <w:iCs w:val="0"/>
                <w:color w:val="000000"/>
                <w:sz w:val="20"/>
                <w:szCs w:val="20"/>
                <w:u w:val="none"/>
              </w:rPr>
            </w:pPr>
          </w:p>
        </w:tc>
      </w:tr>
      <w:tr w14:paraId="0B3E4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2" w:hRule="atLeast"/>
        </w:trPr>
        <w:tc>
          <w:tcPr>
            <w:tcW w:w="4075" w:type="pct"/>
            <w:gridSpan w:val="7"/>
            <w:tcBorders>
              <w:tl2br w:val="nil"/>
              <w:tr2bl w:val="nil"/>
            </w:tcBorders>
            <w:shd w:val="clear" w:color="auto" w:fill="auto"/>
            <w:noWrap/>
            <w:vAlign w:val="bottom"/>
          </w:tcPr>
          <w:p w14:paraId="0F1F4AEC">
            <w:pPr>
              <w:keepNext w:val="0"/>
              <w:keepLines w:val="0"/>
              <w:widowControl/>
              <w:suppressLineNumbers w:val="0"/>
              <w:jc w:val="center"/>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合计</w:t>
            </w:r>
          </w:p>
        </w:tc>
        <w:tc>
          <w:tcPr>
            <w:tcW w:w="583" w:type="pct"/>
            <w:tcBorders>
              <w:tl2br w:val="nil"/>
              <w:tr2bl w:val="nil"/>
            </w:tcBorders>
            <w:shd w:val="clear" w:color="auto" w:fill="auto"/>
            <w:noWrap/>
            <w:vAlign w:val="bottom"/>
          </w:tcPr>
          <w:p w14:paraId="6A6E3DC8">
            <w:pPr>
              <w:keepNext w:val="0"/>
              <w:keepLines w:val="0"/>
              <w:widowControl/>
              <w:suppressLineNumbers w:val="0"/>
              <w:jc w:val="center"/>
              <w:textAlignment w:val="bottom"/>
              <w:rPr>
                <w:rFonts w:ascii="Arial" w:hAnsi="Arial" w:cs="Arial"/>
                <w:i w:val="0"/>
                <w:iCs w:val="0"/>
                <w:color w:val="000000"/>
                <w:sz w:val="20"/>
                <w:szCs w:val="20"/>
                <w:u w:val="none"/>
              </w:rPr>
            </w:pPr>
          </w:p>
        </w:tc>
        <w:tc>
          <w:tcPr>
            <w:tcW w:w="340" w:type="pct"/>
            <w:tcBorders>
              <w:tl2br w:val="nil"/>
              <w:tr2bl w:val="nil"/>
            </w:tcBorders>
            <w:shd w:val="clear" w:color="auto" w:fill="auto"/>
            <w:noWrap/>
            <w:vAlign w:val="bottom"/>
          </w:tcPr>
          <w:p w14:paraId="561506C3">
            <w:pPr>
              <w:jc w:val="center"/>
              <w:rPr>
                <w:rFonts w:hint="default" w:ascii="Arial" w:hAnsi="Arial" w:cs="Arial"/>
                <w:i w:val="0"/>
                <w:iCs w:val="0"/>
                <w:color w:val="000000"/>
                <w:sz w:val="20"/>
                <w:szCs w:val="20"/>
                <w:u w:val="none"/>
              </w:rPr>
            </w:pPr>
          </w:p>
        </w:tc>
      </w:tr>
    </w:tbl>
    <w:p w14:paraId="785A605F">
      <w:pPr>
        <w:rPr>
          <w:rFonts w:hint="eastAsia" w:ascii="Times New Roman" w:hAnsi="Times New Roman" w:cs="Times New Roman" w:eastAsiaTheme="minorEastAsia"/>
          <w:lang w:val="en-US" w:eastAsia="zh-CN"/>
        </w:rPr>
      </w:pPr>
    </w:p>
    <w:p w14:paraId="6FA162A7">
      <w:pPr>
        <w:rPr>
          <w:rFonts w:hint="default" w:ascii="Times New Roman" w:hAnsi="Times New Roman" w:cs="Times New Roman"/>
        </w:rPr>
      </w:pPr>
    </w:p>
    <w:p w14:paraId="7E001EFC">
      <w:pPr>
        <w:rPr>
          <w:rFonts w:hint="default" w:ascii="Times New Roman" w:hAnsi="Times New Roman" w:cs="Times New Roman"/>
        </w:rPr>
      </w:pPr>
    </w:p>
    <w:p w14:paraId="3CBF3EBE">
      <w:pPr>
        <w:rPr>
          <w:rFonts w:hint="default" w:ascii="Times New Roman" w:hAnsi="Times New Roman" w:cs="Times New Roman"/>
        </w:rPr>
      </w:pPr>
      <w:r>
        <w:rPr>
          <w:rFonts w:hint="default" w:ascii="Times New Roman" w:hAnsi="Times New Roman" w:cs="Times New Roman"/>
        </w:rPr>
        <w:br w:type="page"/>
      </w:r>
    </w:p>
    <w:p w14:paraId="0BEF579D">
      <w:pPr>
        <w:pStyle w:val="3"/>
        <w:jc w:val="center"/>
        <w:rPr>
          <w:rFonts w:hint="default" w:ascii="Times New Roman" w:hAnsi="Times New Roman" w:eastAsia="黑体" w:cs="Times New Roman"/>
          <w:highlight w:val="none"/>
          <w:lang w:val="en-US" w:eastAsia="zh-CN"/>
        </w:rPr>
      </w:pPr>
      <w:r>
        <w:rPr>
          <w:rFonts w:hint="eastAsia" w:ascii="Times New Roman" w:hAnsi="Times New Roman" w:cs="Times New Roman"/>
          <w:highlight w:val="none"/>
          <w:lang w:val="en-US" w:eastAsia="zh-CN"/>
        </w:rPr>
        <w:t>七</w:t>
      </w:r>
      <w:r>
        <w:rPr>
          <w:rFonts w:hint="default" w:ascii="Times New Roman" w:hAnsi="Times New Roman" w:cs="Times New Roman"/>
          <w:highlight w:val="none"/>
        </w:rPr>
        <w:t>、</w:t>
      </w:r>
      <w:bookmarkEnd w:id="306"/>
      <w:bookmarkEnd w:id="307"/>
      <w:bookmarkEnd w:id="308"/>
      <w:bookmarkEnd w:id="309"/>
      <w:bookmarkEnd w:id="310"/>
      <w:bookmarkEnd w:id="311"/>
      <w:r>
        <w:rPr>
          <w:rFonts w:hint="eastAsia" w:ascii="Times New Roman" w:hAnsi="Times New Roman" w:cs="Times New Roman"/>
          <w:highlight w:val="none"/>
          <w:lang w:val="en-US" w:eastAsia="zh-CN"/>
        </w:rPr>
        <w:t>施工方案</w:t>
      </w:r>
    </w:p>
    <w:p w14:paraId="71E5B2DA">
      <w:pPr>
        <w:spacing w:line="440" w:lineRule="exact"/>
        <w:rPr>
          <w:rFonts w:hint="default" w:ascii="Times New Roman" w:hAnsi="Times New Roman" w:eastAsia="黑体" w:cs="Times New Roman"/>
          <w:szCs w:val="21"/>
          <w:highlight w:val="green"/>
        </w:rPr>
      </w:pPr>
    </w:p>
    <w:p w14:paraId="122AD80A">
      <w:pPr>
        <w:tabs>
          <w:tab w:val="left" w:pos="720"/>
        </w:tabs>
        <w:spacing w:line="440" w:lineRule="exact"/>
        <w:ind w:firstLine="420" w:firstLineChars="200"/>
        <w:rPr>
          <w:rFonts w:hint="eastAsia" w:ascii="Times New Roman" w:hAnsi="Times New Roman" w:cs="Times New Roman" w:eastAsiaTheme="minorEastAsia"/>
          <w:szCs w:val="21"/>
          <w:lang w:eastAsia="zh-CN"/>
        </w:rPr>
      </w:pPr>
      <w:bookmarkStart w:id="312" w:name="_Toc300835223"/>
      <w:r>
        <w:rPr>
          <w:rFonts w:hint="default" w:ascii="Times New Roman" w:hAnsi="Times New Roman" w:cs="Times New Roman"/>
          <w:szCs w:val="21"/>
        </w:rPr>
        <w:t xml:space="preserve">1. </w:t>
      </w:r>
      <w:r>
        <w:rPr>
          <w:rFonts w:hint="default" w:ascii="Times New Roman" w:hAnsi="Times New Roman" w:cs="Times New Roman"/>
          <w:szCs w:val="21"/>
        </w:rPr>
        <w:tab/>
      </w:r>
      <w:r>
        <w:rPr>
          <w:rFonts w:hint="default" w:ascii="Times New Roman" w:hAnsi="Times New Roman" w:cs="Times New Roman"/>
          <w:szCs w:val="21"/>
        </w:rPr>
        <w:t>投标人编制</w:t>
      </w:r>
      <w:r>
        <w:rPr>
          <w:rFonts w:hint="eastAsia" w:ascii="Times New Roman" w:hAnsi="Times New Roman" w:cs="Times New Roman"/>
          <w:szCs w:val="21"/>
          <w:lang w:eastAsia="zh-CN"/>
        </w:rPr>
        <w:t>施工方案</w:t>
      </w:r>
      <w:r>
        <w:rPr>
          <w:rFonts w:hint="default" w:ascii="Times New Roman" w:hAnsi="Times New Roman" w:cs="Times New Roman"/>
          <w:szCs w:val="21"/>
        </w:rPr>
        <w:t>的要求：编制时应简明扼要地说明施工方法，工程质量、安全生产、文明施工、环境保护、冬雨季施工、工程进度、技术组织等主要措施</w:t>
      </w:r>
      <w:r>
        <w:rPr>
          <w:rFonts w:hint="eastAsia" w:ascii="Times New Roman" w:hAnsi="Times New Roman" w:cs="Times New Roman"/>
          <w:szCs w:val="21"/>
          <w:lang w:eastAsia="zh-CN"/>
        </w:rPr>
        <w:t>。</w:t>
      </w:r>
      <w:r>
        <w:rPr>
          <w:rFonts w:hint="default" w:ascii="Times New Roman" w:hAnsi="Times New Roman" w:cs="Times New Roman"/>
          <w:szCs w:val="21"/>
        </w:rPr>
        <w:t>用图表形式阐明本项目的施工总平面、进度计划以及拟投入主要施工设备、劳动力、项目管理机构等</w:t>
      </w:r>
      <w:r>
        <w:rPr>
          <w:rFonts w:hint="eastAsia" w:ascii="Times New Roman" w:hAnsi="Times New Roman" w:cs="Times New Roman"/>
          <w:szCs w:val="21"/>
          <w:lang w:eastAsia="zh-CN"/>
        </w:rPr>
        <w:t>。</w:t>
      </w:r>
    </w:p>
    <w:p w14:paraId="26F34B0E">
      <w:pPr>
        <w:tabs>
          <w:tab w:val="left" w:pos="720"/>
        </w:tabs>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2. 图表及格式要求：</w:t>
      </w:r>
    </w:p>
    <w:p w14:paraId="5AEA654A">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附表一  拟投入的主要施工设备表</w:t>
      </w:r>
    </w:p>
    <w:p w14:paraId="6C08A3B2">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附表二  劳动力计划表</w:t>
      </w:r>
    </w:p>
    <w:p w14:paraId="659E736E">
      <w:pPr>
        <w:tabs>
          <w:tab w:val="left" w:pos="720"/>
        </w:tabs>
        <w:spacing w:line="440" w:lineRule="exact"/>
        <w:ind w:firstLine="756" w:firstLineChars="360"/>
        <w:rPr>
          <w:rFonts w:hint="default" w:ascii="Times New Roman" w:hAnsi="Times New Roman" w:cs="Times New Roman"/>
          <w:szCs w:val="21"/>
        </w:rPr>
      </w:pPr>
      <w:r>
        <w:rPr>
          <w:rFonts w:hint="default" w:ascii="Times New Roman" w:hAnsi="Times New Roman" w:cs="Times New Roman"/>
          <w:szCs w:val="21"/>
        </w:rPr>
        <w:t>附表三  进度计划</w:t>
      </w:r>
    </w:p>
    <w:p w14:paraId="6DE71B2C">
      <w:pPr>
        <w:rPr>
          <w:rFonts w:hint="default" w:ascii="Times New Roman" w:hAnsi="Times New Roman" w:cs="Times New Roman"/>
          <w:szCs w:val="21"/>
        </w:rPr>
      </w:pPr>
      <w:r>
        <w:rPr>
          <w:rFonts w:hint="default" w:ascii="Times New Roman" w:hAnsi="Times New Roman" w:cs="Times New Roman"/>
          <w:szCs w:val="21"/>
        </w:rPr>
        <w:br w:type="page"/>
      </w:r>
    </w:p>
    <w:p w14:paraId="33FDF390">
      <w:pPr>
        <w:pStyle w:val="4"/>
        <w:rPr>
          <w:rFonts w:hint="default" w:ascii="Times New Roman" w:hAnsi="Times New Roman" w:cs="Times New Roman"/>
        </w:rPr>
      </w:pPr>
      <w:bookmarkStart w:id="313" w:name="_Toc152042586"/>
      <w:bookmarkStart w:id="314" w:name="_Toc179632817"/>
      <w:bookmarkStart w:id="315" w:name="_Toc144974865"/>
      <w:bookmarkStart w:id="316" w:name="_Toc296602610"/>
      <w:bookmarkStart w:id="317" w:name="_Toc246997108"/>
      <w:bookmarkStart w:id="318" w:name="_Toc152045797"/>
      <w:bookmarkStart w:id="319" w:name="_Toc247085883"/>
      <w:bookmarkStart w:id="320" w:name="_Toc246996365"/>
      <w:r>
        <w:rPr>
          <w:rFonts w:hint="default" w:ascii="Times New Roman" w:hAnsi="Times New Roman" w:cs="Times New Roman"/>
        </w:rPr>
        <w:t>附表一：拟投入本项目的主要施工设备表</w:t>
      </w:r>
      <w:bookmarkEnd w:id="313"/>
      <w:bookmarkEnd w:id="314"/>
      <w:bookmarkEnd w:id="315"/>
      <w:bookmarkEnd w:id="316"/>
      <w:bookmarkEnd w:id="317"/>
      <w:bookmarkEnd w:id="318"/>
      <w:bookmarkEnd w:id="319"/>
      <w:bookmarkEnd w:id="320"/>
    </w:p>
    <w:tbl>
      <w:tblPr>
        <w:tblStyle w:val="16"/>
        <w:tblW w:w="0" w:type="auto"/>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5"/>
        <w:gridCol w:w="1086"/>
        <w:gridCol w:w="761"/>
        <w:gridCol w:w="990"/>
        <w:gridCol w:w="672"/>
        <w:gridCol w:w="738"/>
        <w:gridCol w:w="1212"/>
        <w:gridCol w:w="874"/>
        <w:gridCol w:w="1055"/>
        <w:gridCol w:w="691"/>
      </w:tblGrid>
      <w:tr w14:paraId="5C3505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67249FAC">
            <w:pPr>
              <w:spacing w:line="440" w:lineRule="exact"/>
              <w:rPr>
                <w:rFonts w:hint="default" w:ascii="Times New Roman" w:hAnsi="Times New Roman" w:cs="Times New Roman"/>
                <w:szCs w:val="21"/>
              </w:rPr>
            </w:pPr>
            <w:r>
              <w:rPr>
                <w:rFonts w:hint="default" w:ascii="Times New Roman" w:hAnsi="Times New Roman" w:cs="Times New Roman"/>
                <w:szCs w:val="21"/>
              </w:rPr>
              <w:t>序号</w:t>
            </w:r>
          </w:p>
        </w:tc>
        <w:tc>
          <w:tcPr>
            <w:tcW w:w="1086" w:type="dxa"/>
            <w:noWrap w:val="0"/>
            <w:vAlign w:val="center"/>
          </w:tcPr>
          <w:p w14:paraId="4D987539">
            <w:pPr>
              <w:spacing w:line="440" w:lineRule="exact"/>
              <w:jc w:val="center"/>
              <w:rPr>
                <w:rFonts w:hint="default" w:ascii="Times New Roman" w:hAnsi="Times New Roman" w:cs="Times New Roman"/>
                <w:szCs w:val="21"/>
              </w:rPr>
            </w:pPr>
            <w:r>
              <w:rPr>
                <w:rFonts w:hint="default" w:ascii="Times New Roman" w:hAnsi="Times New Roman" w:cs="Times New Roman"/>
                <w:szCs w:val="21"/>
              </w:rPr>
              <w:t>设备名称</w:t>
            </w:r>
          </w:p>
        </w:tc>
        <w:tc>
          <w:tcPr>
            <w:tcW w:w="761" w:type="dxa"/>
            <w:noWrap w:val="0"/>
            <w:vAlign w:val="center"/>
          </w:tcPr>
          <w:p w14:paraId="28218979">
            <w:pPr>
              <w:spacing w:line="440" w:lineRule="exact"/>
              <w:jc w:val="center"/>
              <w:rPr>
                <w:rFonts w:hint="default" w:ascii="Times New Roman" w:hAnsi="Times New Roman" w:cs="Times New Roman"/>
                <w:szCs w:val="21"/>
              </w:rPr>
            </w:pPr>
            <w:r>
              <w:rPr>
                <w:rFonts w:hint="default" w:ascii="Times New Roman" w:hAnsi="Times New Roman" w:cs="Times New Roman"/>
                <w:szCs w:val="21"/>
              </w:rPr>
              <w:t>型号</w:t>
            </w:r>
          </w:p>
          <w:p w14:paraId="5C7D7051">
            <w:pPr>
              <w:spacing w:line="440" w:lineRule="exact"/>
              <w:jc w:val="center"/>
              <w:rPr>
                <w:rFonts w:hint="default" w:ascii="Times New Roman" w:hAnsi="Times New Roman" w:cs="Times New Roman"/>
                <w:szCs w:val="21"/>
              </w:rPr>
            </w:pPr>
            <w:r>
              <w:rPr>
                <w:rFonts w:hint="default" w:ascii="Times New Roman" w:hAnsi="Times New Roman" w:cs="Times New Roman"/>
                <w:szCs w:val="21"/>
              </w:rPr>
              <w:t>规格</w:t>
            </w:r>
          </w:p>
        </w:tc>
        <w:tc>
          <w:tcPr>
            <w:tcW w:w="990" w:type="dxa"/>
            <w:noWrap w:val="0"/>
            <w:vAlign w:val="center"/>
          </w:tcPr>
          <w:p w14:paraId="1A7FD5B6">
            <w:pPr>
              <w:spacing w:line="440" w:lineRule="exact"/>
              <w:jc w:val="center"/>
              <w:rPr>
                <w:rFonts w:hint="default" w:ascii="Times New Roman" w:hAnsi="Times New Roman" w:cs="Times New Roman"/>
                <w:szCs w:val="21"/>
              </w:rPr>
            </w:pPr>
            <w:r>
              <w:rPr>
                <w:rFonts w:hint="default" w:ascii="Times New Roman" w:hAnsi="Times New Roman" w:cs="Times New Roman"/>
                <w:szCs w:val="21"/>
              </w:rPr>
              <w:t>数量</w:t>
            </w:r>
          </w:p>
        </w:tc>
        <w:tc>
          <w:tcPr>
            <w:tcW w:w="672" w:type="dxa"/>
            <w:noWrap w:val="0"/>
            <w:vAlign w:val="center"/>
          </w:tcPr>
          <w:p w14:paraId="1DCFA311">
            <w:pPr>
              <w:spacing w:line="440" w:lineRule="exact"/>
              <w:jc w:val="center"/>
              <w:rPr>
                <w:rFonts w:hint="default" w:ascii="Times New Roman" w:hAnsi="Times New Roman" w:cs="Times New Roman"/>
                <w:szCs w:val="21"/>
              </w:rPr>
            </w:pPr>
            <w:r>
              <w:rPr>
                <w:rFonts w:hint="default" w:ascii="Times New Roman" w:hAnsi="Times New Roman" w:cs="Times New Roman"/>
                <w:szCs w:val="21"/>
              </w:rPr>
              <w:t>国别</w:t>
            </w:r>
          </w:p>
          <w:p w14:paraId="35261CB7">
            <w:pPr>
              <w:spacing w:line="440" w:lineRule="exact"/>
              <w:jc w:val="center"/>
              <w:rPr>
                <w:rFonts w:hint="default" w:ascii="Times New Roman" w:hAnsi="Times New Roman" w:cs="Times New Roman"/>
                <w:szCs w:val="21"/>
              </w:rPr>
            </w:pPr>
            <w:r>
              <w:rPr>
                <w:rFonts w:hint="default" w:ascii="Times New Roman" w:hAnsi="Times New Roman" w:cs="Times New Roman"/>
                <w:szCs w:val="21"/>
              </w:rPr>
              <w:t>产地</w:t>
            </w:r>
          </w:p>
        </w:tc>
        <w:tc>
          <w:tcPr>
            <w:tcW w:w="738" w:type="dxa"/>
            <w:noWrap w:val="0"/>
            <w:vAlign w:val="center"/>
          </w:tcPr>
          <w:p w14:paraId="1099E465">
            <w:pPr>
              <w:spacing w:line="440" w:lineRule="exact"/>
              <w:jc w:val="center"/>
              <w:rPr>
                <w:rFonts w:hint="default" w:ascii="Times New Roman" w:hAnsi="Times New Roman" w:cs="Times New Roman"/>
                <w:szCs w:val="21"/>
              </w:rPr>
            </w:pPr>
            <w:r>
              <w:rPr>
                <w:rFonts w:hint="default" w:ascii="Times New Roman" w:hAnsi="Times New Roman" w:cs="Times New Roman"/>
                <w:szCs w:val="21"/>
              </w:rPr>
              <w:t>制造</w:t>
            </w:r>
          </w:p>
          <w:p w14:paraId="02813D71">
            <w:pPr>
              <w:spacing w:line="440" w:lineRule="exact"/>
              <w:jc w:val="center"/>
              <w:rPr>
                <w:rFonts w:hint="default" w:ascii="Times New Roman" w:hAnsi="Times New Roman" w:cs="Times New Roman"/>
                <w:szCs w:val="21"/>
              </w:rPr>
            </w:pPr>
            <w:r>
              <w:rPr>
                <w:rFonts w:hint="default" w:ascii="Times New Roman" w:hAnsi="Times New Roman" w:cs="Times New Roman"/>
                <w:szCs w:val="21"/>
              </w:rPr>
              <w:t>年份</w:t>
            </w:r>
          </w:p>
        </w:tc>
        <w:tc>
          <w:tcPr>
            <w:tcW w:w="1212" w:type="dxa"/>
            <w:noWrap w:val="0"/>
            <w:vAlign w:val="center"/>
          </w:tcPr>
          <w:p w14:paraId="253A9FA9">
            <w:pPr>
              <w:spacing w:line="440" w:lineRule="exact"/>
              <w:jc w:val="center"/>
              <w:rPr>
                <w:rFonts w:hint="default" w:ascii="Times New Roman" w:hAnsi="Times New Roman" w:cs="Times New Roman"/>
                <w:szCs w:val="21"/>
              </w:rPr>
            </w:pPr>
            <w:r>
              <w:rPr>
                <w:rFonts w:hint="default" w:ascii="Times New Roman" w:hAnsi="Times New Roman" w:cs="Times New Roman"/>
                <w:szCs w:val="21"/>
              </w:rPr>
              <w:t>额定功率（kW）</w:t>
            </w:r>
          </w:p>
        </w:tc>
        <w:tc>
          <w:tcPr>
            <w:tcW w:w="874" w:type="dxa"/>
            <w:noWrap w:val="0"/>
            <w:vAlign w:val="center"/>
          </w:tcPr>
          <w:p w14:paraId="7FA7AAD9">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生产</w:t>
            </w:r>
          </w:p>
          <w:p w14:paraId="6314A564">
            <w:pPr>
              <w:spacing w:line="440" w:lineRule="exact"/>
              <w:jc w:val="center"/>
              <w:rPr>
                <w:rFonts w:hint="default" w:ascii="Times New Roman" w:hAnsi="Times New Roman" w:cs="Times New Roman"/>
                <w:szCs w:val="21"/>
              </w:rPr>
            </w:pPr>
            <w:r>
              <w:rPr>
                <w:rFonts w:hint="default" w:ascii="Times New Roman" w:hAnsi="Times New Roman" w:cs="Times New Roman"/>
                <w:szCs w:val="21"/>
              </w:rPr>
              <w:t>能力</w:t>
            </w:r>
          </w:p>
        </w:tc>
        <w:tc>
          <w:tcPr>
            <w:tcW w:w="1055" w:type="dxa"/>
            <w:noWrap w:val="0"/>
            <w:vAlign w:val="center"/>
          </w:tcPr>
          <w:p w14:paraId="3D2BCD6F">
            <w:pPr>
              <w:spacing w:line="440" w:lineRule="exact"/>
              <w:jc w:val="center"/>
              <w:rPr>
                <w:rFonts w:hint="default" w:ascii="Times New Roman" w:hAnsi="Times New Roman" w:cs="Times New Roman"/>
                <w:szCs w:val="21"/>
              </w:rPr>
            </w:pPr>
            <w:r>
              <w:rPr>
                <w:rFonts w:hint="default" w:ascii="Times New Roman" w:hAnsi="Times New Roman" w:cs="Times New Roman"/>
                <w:szCs w:val="21"/>
              </w:rPr>
              <w:t>用于施工部位</w:t>
            </w:r>
          </w:p>
        </w:tc>
        <w:tc>
          <w:tcPr>
            <w:tcW w:w="691" w:type="dxa"/>
            <w:noWrap w:val="0"/>
            <w:vAlign w:val="center"/>
          </w:tcPr>
          <w:p w14:paraId="456BC614">
            <w:pPr>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r>
      <w:tr w14:paraId="33DB9E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120CF7A">
            <w:pPr>
              <w:spacing w:line="440" w:lineRule="exact"/>
              <w:jc w:val="center"/>
              <w:rPr>
                <w:rFonts w:hint="default" w:ascii="Times New Roman" w:hAnsi="Times New Roman" w:cs="Times New Roman"/>
                <w:szCs w:val="21"/>
              </w:rPr>
            </w:pPr>
          </w:p>
        </w:tc>
        <w:tc>
          <w:tcPr>
            <w:tcW w:w="1086" w:type="dxa"/>
            <w:noWrap w:val="0"/>
            <w:vAlign w:val="center"/>
          </w:tcPr>
          <w:p w14:paraId="50522E7D">
            <w:pPr>
              <w:spacing w:line="440" w:lineRule="exact"/>
              <w:jc w:val="center"/>
              <w:rPr>
                <w:rFonts w:hint="default" w:ascii="Times New Roman" w:hAnsi="Times New Roman" w:cs="Times New Roman"/>
                <w:szCs w:val="21"/>
              </w:rPr>
            </w:pPr>
          </w:p>
        </w:tc>
        <w:tc>
          <w:tcPr>
            <w:tcW w:w="761" w:type="dxa"/>
            <w:noWrap w:val="0"/>
            <w:vAlign w:val="center"/>
          </w:tcPr>
          <w:p w14:paraId="77C465E2">
            <w:pPr>
              <w:spacing w:line="440" w:lineRule="exact"/>
              <w:jc w:val="center"/>
              <w:rPr>
                <w:rFonts w:hint="default" w:ascii="Times New Roman" w:hAnsi="Times New Roman" w:cs="Times New Roman"/>
                <w:szCs w:val="21"/>
              </w:rPr>
            </w:pPr>
          </w:p>
        </w:tc>
        <w:tc>
          <w:tcPr>
            <w:tcW w:w="990" w:type="dxa"/>
            <w:noWrap w:val="0"/>
            <w:vAlign w:val="center"/>
          </w:tcPr>
          <w:p w14:paraId="14A3A4F4">
            <w:pPr>
              <w:spacing w:line="440" w:lineRule="exact"/>
              <w:jc w:val="center"/>
              <w:rPr>
                <w:rFonts w:hint="default" w:ascii="Times New Roman" w:hAnsi="Times New Roman" w:cs="Times New Roman"/>
                <w:szCs w:val="21"/>
              </w:rPr>
            </w:pPr>
          </w:p>
        </w:tc>
        <w:tc>
          <w:tcPr>
            <w:tcW w:w="672" w:type="dxa"/>
            <w:noWrap w:val="0"/>
            <w:vAlign w:val="center"/>
          </w:tcPr>
          <w:p w14:paraId="45D7C7B3">
            <w:pPr>
              <w:spacing w:line="440" w:lineRule="exact"/>
              <w:jc w:val="center"/>
              <w:rPr>
                <w:rFonts w:hint="default" w:ascii="Times New Roman" w:hAnsi="Times New Roman" w:cs="Times New Roman"/>
                <w:szCs w:val="21"/>
              </w:rPr>
            </w:pPr>
          </w:p>
        </w:tc>
        <w:tc>
          <w:tcPr>
            <w:tcW w:w="738" w:type="dxa"/>
            <w:noWrap w:val="0"/>
            <w:vAlign w:val="center"/>
          </w:tcPr>
          <w:p w14:paraId="0D873B4A">
            <w:pPr>
              <w:spacing w:line="440" w:lineRule="exact"/>
              <w:jc w:val="center"/>
              <w:rPr>
                <w:rFonts w:hint="default" w:ascii="Times New Roman" w:hAnsi="Times New Roman" w:cs="Times New Roman"/>
                <w:szCs w:val="21"/>
              </w:rPr>
            </w:pPr>
          </w:p>
        </w:tc>
        <w:tc>
          <w:tcPr>
            <w:tcW w:w="1212" w:type="dxa"/>
            <w:noWrap w:val="0"/>
            <w:vAlign w:val="center"/>
          </w:tcPr>
          <w:p w14:paraId="79A0D1DE">
            <w:pPr>
              <w:spacing w:line="440" w:lineRule="exact"/>
              <w:jc w:val="center"/>
              <w:rPr>
                <w:rFonts w:hint="default" w:ascii="Times New Roman" w:hAnsi="Times New Roman" w:cs="Times New Roman"/>
                <w:szCs w:val="21"/>
              </w:rPr>
            </w:pPr>
          </w:p>
        </w:tc>
        <w:tc>
          <w:tcPr>
            <w:tcW w:w="874" w:type="dxa"/>
            <w:noWrap w:val="0"/>
            <w:vAlign w:val="center"/>
          </w:tcPr>
          <w:p w14:paraId="3DDB3E28">
            <w:pPr>
              <w:spacing w:line="440" w:lineRule="exact"/>
              <w:jc w:val="center"/>
              <w:rPr>
                <w:rFonts w:hint="default" w:ascii="Times New Roman" w:hAnsi="Times New Roman" w:cs="Times New Roman"/>
                <w:szCs w:val="21"/>
              </w:rPr>
            </w:pPr>
          </w:p>
        </w:tc>
        <w:tc>
          <w:tcPr>
            <w:tcW w:w="1055" w:type="dxa"/>
            <w:noWrap w:val="0"/>
            <w:vAlign w:val="center"/>
          </w:tcPr>
          <w:p w14:paraId="315E1AFB">
            <w:pPr>
              <w:spacing w:line="440" w:lineRule="exact"/>
              <w:jc w:val="center"/>
              <w:rPr>
                <w:rFonts w:hint="default" w:ascii="Times New Roman" w:hAnsi="Times New Roman" w:cs="Times New Roman"/>
                <w:szCs w:val="21"/>
              </w:rPr>
            </w:pPr>
          </w:p>
        </w:tc>
        <w:tc>
          <w:tcPr>
            <w:tcW w:w="691" w:type="dxa"/>
            <w:noWrap w:val="0"/>
            <w:vAlign w:val="center"/>
          </w:tcPr>
          <w:p w14:paraId="0F0AAE99">
            <w:pPr>
              <w:spacing w:line="440" w:lineRule="exact"/>
              <w:jc w:val="center"/>
              <w:rPr>
                <w:rFonts w:hint="default" w:ascii="Times New Roman" w:hAnsi="Times New Roman" w:cs="Times New Roman"/>
                <w:szCs w:val="21"/>
              </w:rPr>
            </w:pPr>
          </w:p>
        </w:tc>
      </w:tr>
      <w:tr w14:paraId="54FF40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center"/>
          </w:tcPr>
          <w:p w14:paraId="7A4AD1D5">
            <w:pPr>
              <w:spacing w:line="440" w:lineRule="exact"/>
              <w:jc w:val="center"/>
              <w:rPr>
                <w:rFonts w:hint="default" w:ascii="Times New Roman" w:hAnsi="Times New Roman" w:cs="Times New Roman"/>
                <w:szCs w:val="21"/>
              </w:rPr>
            </w:pPr>
          </w:p>
        </w:tc>
        <w:tc>
          <w:tcPr>
            <w:tcW w:w="1086" w:type="dxa"/>
            <w:noWrap w:val="0"/>
            <w:vAlign w:val="center"/>
          </w:tcPr>
          <w:p w14:paraId="4BED5044">
            <w:pPr>
              <w:spacing w:line="440" w:lineRule="exact"/>
              <w:jc w:val="center"/>
              <w:rPr>
                <w:rFonts w:hint="default" w:ascii="Times New Roman" w:hAnsi="Times New Roman" w:cs="Times New Roman"/>
                <w:szCs w:val="21"/>
              </w:rPr>
            </w:pPr>
          </w:p>
        </w:tc>
        <w:tc>
          <w:tcPr>
            <w:tcW w:w="761" w:type="dxa"/>
            <w:noWrap w:val="0"/>
            <w:vAlign w:val="center"/>
          </w:tcPr>
          <w:p w14:paraId="18C97529">
            <w:pPr>
              <w:spacing w:line="440" w:lineRule="exact"/>
              <w:jc w:val="center"/>
              <w:rPr>
                <w:rFonts w:hint="default" w:ascii="Times New Roman" w:hAnsi="Times New Roman" w:cs="Times New Roman"/>
                <w:szCs w:val="21"/>
              </w:rPr>
            </w:pPr>
          </w:p>
        </w:tc>
        <w:tc>
          <w:tcPr>
            <w:tcW w:w="990" w:type="dxa"/>
            <w:noWrap w:val="0"/>
            <w:vAlign w:val="center"/>
          </w:tcPr>
          <w:p w14:paraId="0230E385">
            <w:pPr>
              <w:spacing w:line="440" w:lineRule="exact"/>
              <w:jc w:val="center"/>
              <w:rPr>
                <w:rFonts w:hint="default" w:ascii="Times New Roman" w:hAnsi="Times New Roman" w:cs="Times New Roman"/>
                <w:szCs w:val="21"/>
              </w:rPr>
            </w:pPr>
          </w:p>
        </w:tc>
        <w:tc>
          <w:tcPr>
            <w:tcW w:w="672" w:type="dxa"/>
            <w:noWrap w:val="0"/>
            <w:vAlign w:val="center"/>
          </w:tcPr>
          <w:p w14:paraId="3A83C544">
            <w:pPr>
              <w:spacing w:line="440" w:lineRule="exact"/>
              <w:jc w:val="center"/>
              <w:rPr>
                <w:rFonts w:hint="default" w:ascii="Times New Roman" w:hAnsi="Times New Roman" w:cs="Times New Roman"/>
                <w:szCs w:val="21"/>
              </w:rPr>
            </w:pPr>
          </w:p>
        </w:tc>
        <w:tc>
          <w:tcPr>
            <w:tcW w:w="738" w:type="dxa"/>
            <w:noWrap w:val="0"/>
            <w:vAlign w:val="center"/>
          </w:tcPr>
          <w:p w14:paraId="20FAAA19">
            <w:pPr>
              <w:spacing w:line="440" w:lineRule="exact"/>
              <w:jc w:val="center"/>
              <w:rPr>
                <w:rFonts w:hint="default" w:ascii="Times New Roman" w:hAnsi="Times New Roman" w:cs="Times New Roman"/>
                <w:szCs w:val="21"/>
              </w:rPr>
            </w:pPr>
          </w:p>
        </w:tc>
        <w:tc>
          <w:tcPr>
            <w:tcW w:w="1212" w:type="dxa"/>
            <w:noWrap w:val="0"/>
            <w:vAlign w:val="center"/>
          </w:tcPr>
          <w:p w14:paraId="31D10639">
            <w:pPr>
              <w:spacing w:line="440" w:lineRule="exact"/>
              <w:jc w:val="center"/>
              <w:rPr>
                <w:rFonts w:hint="default" w:ascii="Times New Roman" w:hAnsi="Times New Roman" w:cs="Times New Roman"/>
                <w:szCs w:val="21"/>
              </w:rPr>
            </w:pPr>
          </w:p>
        </w:tc>
        <w:tc>
          <w:tcPr>
            <w:tcW w:w="874" w:type="dxa"/>
            <w:noWrap w:val="0"/>
            <w:vAlign w:val="center"/>
          </w:tcPr>
          <w:p w14:paraId="627F2783">
            <w:pPr>
              <w:spacing w:line="440" w:lineRule="exact"/>
              <w:jc w:val="center"/>
              <w:rPr>
                <w:rFonts w:hint="default" w:ascii="Times New Roman" w:hAnsi="Times New Roman" w:cs="Times New Roman"/>
                <w:szCs w:val="21"/>
              </w:rPr>
            </w:pPr>
          </w:p>
        </w:tc>
        <w:tc>
          <w:tcPr>
            <w:tcW w:w="1055" w:type="dxa"/>
            <w:noWrap w:val="0"/>
            <w:vAlign w:val="center"/>
          </w:tcPr>
          <w:p w14:paraId="528E44E0">
            <w:pPr>
              <w:spacing w:line="440" w:lineRule="exact"/>
              <w:jc w:val="center"/>
              <w:rPr>
                <w:rFonts w:hint="default" w:ascii="Times New Roman" w:hAnsi="Times New Roman" w:cs="Times New Roman"/>
                <w:szCs w:val="21"/>
              </w:rPr>
            </w:pPr>
          </w:p>
        </w:tc>
        <w:tc>
          <w:tcPr>
            <w:tcW w:w="691" w:type="dxa"/>
            <w:noWrap w:val="0"/>
            <w:vAlign w:val="center"/>
          </w:tcPr>
          <w:p w14:paraId="1D17EABC">
            <w:pPr>
              <w:spacing w:line="440" w:lineRule="exact"/>
              <w:jc w:val="center"/>
              <w:rPr>
                <w:rFonts w:hint="default" w:ascii="Times New Roman" w:hAnsi="Times New Roman" w:cs="Times New Roman"/>
                <w:szCs w:val="21"/>
              </w:rPr>
            </w:pPr>
          </w:p>
        </w:tc>
      </w:tr>
      <w:tr w14:paraId="2CBBB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6590F4E">
            <w:pPr>
              <w:spacing w:line="440" w:lineRule="exact"/>
              <w:jc w:val="center"/>
              <w:rPr>
                <w:rFonts w:hint="default" w:ascii="Times New Roman" w:hAnsi="Times New Roman" w:cs="Times New Roman"/>
                <w:szCs w:val="21"/>
              </w:rPr>
            </w:pPr>
          </w:p>
        </w:tc>
        <w:tc>
          <w:tcPr>
            <w:tcW w:w="1086" w:type="dxa"/>
            <w:noWrap w:val="0"/>
            <w:vAlign w:val="top"/>
          </w:tcPr>
          <w:p w14:paraId="3C297280">
            <w:pPr>
              <w:spacing w:line="440" w:lineRule="exact"/>
              <w:jc w:val="center"/>
              <w:rPr>
                <w:rFonts w:hint="default" w:ascii="Times New Roman" w:hAnsi="Times New Roman" w:cs="Times New Roman"/>
                <w:szCs w:val="21"/>
              </w:rPr>
            </w:pPr>
          </w:p>
        </w:tc>
        <w:tc>
          <w:tcPr>
            <w:tcW w:w="761" w:type="dxa"/>
            <w:noWrap w:val="0"/>
            <w:vAlign w:val="top"/>
          </w:tcPr>
          <w:p w14:paraId="6D9EE599">
            <w:pPr>
              <w:spacing w:line="440" w:lineRule="exact"/>
              <w:jc w:val="center"/>
              <w:rPr>
                <w:rFonts w:hint="default" w:ascii="Times New Roman" w:hAnsi="Times New Roman" w:cs="Times New Roman"/>
                <w:szCs w:val="21"/>
              </w:rPr>
            </w:pPr>
          </w:p>
        </w:tc>
        <w:tc>
          <w:tcPr>
            <w:tcW w:w="990" w:type="dxa"/>
            <w:noWrap w:val="0"/>
            <w:vAlign w:val="top"/>
          </w:tcPr>
          <w:p w14:paraId="55E81AF1">
            <w:pPr>
              <w:spacing w:line="440" w:lineRule="exact"/>
              <w:jc w:val="center"/>
              <w:rPr>
                <w:rFonts w:hint="default" w:ascii="Times New Roman" w:hAnsi="Times New Roman" w:cs="Times New Roman"/>
                <w:szCs w:val="21"/>
              </w:rPr>
            </w:pPr>
          </w:p>
        </w:tc>
        <w:tc>
          <w:tcPr>
            <w:tcW w:w="672" w:type="dxa"/>
            <w:noWrap w:val="0"/>
            <w:vAlign w:val="top"/>
          </w:tcPr>
          <w:p w14:paraId="573F555F">
            <w:pPr>
              <w:spacing w:line="440" w:lineRule="exact"/>
              <w:jc w:val="center"/>
              <w:rPr>
                <w:rFonts w:hint="default" w:ascii="Times New Roman" w:hAnsi="Times New Roman" w:cs="Times New Roman"/>
                <w:szCs w:val="21"/>
              </w:rPr>
            </w:pPr>
          </w:p>
        </w:tc>
        <w:tc>
          <w:tcPr>
            <w:tcW w:w="738" w:type="dxa"/>
            <w:noWrap w:val="0"/>
            <w:vAlign w:val="top"/>
          </w:tcPr>
          <w:p w14:paraId="77CB7BED">
            <w:pPr>
              <w:spacing w:line="440" w:lineRule="exact"/>
              <w:jc w:val="center"/>
              <w:rPr>
                <w:rFonts w:hint="default" w:ascii="Times New Roman" w:hAnsi="Times New Roman" w:cs="Times New Roman"/>
                <w:szCs w:val="21"/>
              </w:rPr>
            </w:pPr>
          </w:p>
        </w:tc>
        <w:tc>
          <w:tcPr>
            <w:tcW w:w="1212" w:type="dxa"/>
            <w:noWrap w:val="0"/>
            <w:vAlign w:val="top"/>
          </w:tcPr>
          <w:p w14:paraId="1ABA10D0">
            <w:pPr>
              <w:spacing w:line="440" w:lineRule="exact"/>
              <w:jc w:val="center"/>
              <w:rPr>
                <w:rFonts w:hint="default" w:ascii="Times New Roman" w:hAnsi="Times New Roman" w:cs="Times New Roman"/>
                <w:szCs w:val="21"/>
              </w:rPr>
            </w:pPr>
          </w:p>
        </w:tc>
        <w:tc>
          <w:tcPr>
            <w:tcW w:w="874" w:type="dxa"/>
            <w:noWrap w:val="0"/>
            <w:vAlign w:val="top"/>
          </w:tcPr>
          <w:p w14:paraId="1CDEFB20">
            <w:pPr>
              <w:spacing w:line="440" w:lineRule="exact"/>
              <w:jc w:val="center"/>
              <w:rPr>
                <w:rFonts w:hint="default" w:ascii="Times New Roman" w:hAnsi="Times New Roman" w:cs="Times New Roman"/>
                <w:szCs w:val="21"/>
              </w:rPr>
            </w:pPr>
          </w:p>
        </w:tc>
        <w:tc>
          <w:tcPr>
            <w:tcW w:w="1055" w:type="dxa"/>
            <w:noWrap w:val="0"/>
            <w:vAlign w:val="top"/>
          </w:tcPr>
          <w:p w14:paraId="0FC56BCC">
            <w:pPr>
              <w:spacing w:line="440" w:lineRule="exact"/>
              <w:jc w:val="center"/>
              <w:rPr>
                <w:rFonts w:hint="default" w:ascii="Times New Roman" w:hAnsi="Times New Roman" w:cs="Times New Roman"/>
                <w:szCs w:val="21"/>
              </w:rPr>
            </w:pPr>
          </w:p>
        </w:tc>
        <w:tc>
          <w:tcPr>
            <w:tcW w:w="691" w:type="dxa"/>
            <w:noWrap w:val="0"/>
            <w:vAlign w:val="top"/>
          </w:tcPr>
          <w:p w14:paraId="1A082682">
            <w:pPr>
              <w:spacing w:line="440" w:lineRule="exact"/>
              <w:jc w:val="center"/>
              <w:rPr>
                <w:rFonts w:hint="default" w:ascii="Times New Roman" w:hAnsi="Times New Roman" w:cs="Times New Roman"/>
                <w:szCs w:val="21"/>
              </w:rPr>
            </w:pPr>
          </w:p>
        </w:tc>
      </w:tr>
      <w:tr w14:paraId="60F2BC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F96B9D4">
            <w:pPr>
              <w:spacing w:line="440" w:lineRule="exact"/>
              <w:jc w:val="center"/>
              <w:rPr>
                <w:rFonts w:hint="default" w:ascii="Times New Roman" w:hAnsi="Times New Roman" w:cs="Times New Roman"/>
                <w:szCs w:val="21"/>
              </w:rPr>
            </w:pPr>
          </w:p>
        </w:tc>
        <w:tc>
          <w:tcPr>
            <w:tcW w:w="1086" w:type="dxa"/>
            <w:noWrap w:val="0"/>
            <w:vAlign w:val="top"/>
          </w:tcPr>
          <w:p w14:paraId="33BFB533">
            <w:pPr>
              <w:spacing w:line="440" w:lineRule="exact"/>
              <w:jc w:val="center"/>
              <w:rPr>
                <w:rFonts w:hint="default" w:ascii="Times New Roman" w:hAnsi="Times New Roman" w:cs="Times New Roman"/>
                <w:szCs w:val="21"/>
              </w:rPr>
            </w:pPr>
          </w:p>
        </w:tc>
        <w:tc>
          <w:tcPr>
            <w:tcW w:w="761" w:type="dxa"/>
            <w:noWrap w:val="0"/>
            <w:vAlign w:val="top"/>
          </w:tcPr>
          <w:p w14:paraId="7CD335CF">
            <w:pPr>
              <w:spacing w:line="440" w:lineRule="exact"/>
              <w:jc w:val="center"/>
              <w:rPr>
                <w:rFonts w:hint="default" w:ascii="Times New Roman" w:hAnsi="Times New Roman" w:cs="Times New Roman"/>
                <w:szCs w:val="21"/>
              </w:rPr>
            </w:pPr>
          </w:p>
        </w:tc>
        <w:tc>
          <w:tcPr>
            <w:tcW w:w="990" w:type="dxa"/>
            <w:noWrap w:val="0"/>
            <w:vAlign w:val="top"/>
          </w:tcPr>
          <w:p w14:paraId="65433C87">
            <w:pPr>
              <w:spacing w:line="440" w:lineRule="exact"/>
              <w:jc w:val="center"/>
              <w:rPr>
                <w:rFonts w:hint="default" w:ascii="Times New Roman" w:hAnsi="Times New Roman" w:cs="Times New Roman"/>
                <w:szCs w:val="21"/>
              </w:rPr>
            </w:pPr>
          </w:p>
        </w:tc>
        <w:tc>
          <w:tcPr>
            <w:tcW w:w="672" w:type="dxa"/>
            <w:noWrap w:val="0"/>
            <w:vAlign w:val="top"/>
          </w:tcPr>
          <w:p w14:paraId="4FEBFC4B">
            <w:pPr>
              <w:spacing w:line="440" w:lineRule="exact"/>
              <w:jc w:val="center"/>
              <w:rPr>
                <w:rFonts w:hint="default" w:ascii="Times New Roman" w:hAnsi="Times New Roman" w:cs="Times New Roman"/>
                <w:szCs w:val="21"/>
              </w:rPr>
            </w:pPr>
          </w:p>
        </w:tc>
        <w:tc>
          <w:tcPr>
            <w:tcW w:w="738" w:type="dxa"/>
            <w:noWrap w:val="0"/>
            <w:vAlign w:val="top"/>
          </w:tcPr>
          <w:p w14:paraId="61AEBEF2">
            <w:pPr>
              <w:spacing w:line="440" w:lineRule="exact"/>
              <w:jc w:val="center"/>
              <w:rPr>
                <w:rFonts w:hint="default" w:ascii="Times New Roman" w:hAnsi="Times New Roman" w:cs="Times New Roman"/>
                <w:szCs w:val="21"/>
              </w:rPr>
            </w:pPr>
          </w:p>
        </w:tc>
        <w:tc>
          <w:tcPr>
            <w:tcW w:w="1212" w:type="dxa"/>
            <w:noWrap w:val="0"/>
            <w:vAlign w:val="top"/>
          </w:tcPr>
          <w:p w14:paraId="0AE59FDE">
            <w:pPr>
              <w:spacing w:line="440" w:lineRule="exact"/>
              <w:jc w:val="center"/>
              <w:rPr>
                <w:rFonts w:hint="default" w:ascii="Times New Roman" w:hAnsi="Times New Roman" w:cs="Times New Roman"/>
                <w:szCs w:val="21"/>
              </w:rPr>
            </w:pPr>
          </w:p>
        </w:tc>
        <w:tc>
          <w:tcPr>
            <w:tcW w:w="874" w:type="dxa"/>
            <w:noWrap w:val="0"/>
            <w:vAlign w:val="top"/>
          </w:tcPr>
          <w:p w14:paraId="7D170F15">
            <w:pPr>
              <w:spacing w:line="440" w:lineRule="exact"/>
              <w:jc w:val="center"/>
              <w:rPr>
                <w:rFonts w:hint="default" w:ascii="Times New Roman" w:hAnsi="Times New Roman" w:cs="Times New Roman"/>
                <w:szCs w:val="21"/>
              </w:rPr>
            </w:pPr>
          </w:p>
        </w:tc>
        <w:tc>
          <w:tcPr>
            <w:tcW w:w="1055" w:type="dxa"/>
            <w:noWrap w:val="0"/>
            <w:vAlign w:val="top"/>
          </w:tcPr>
          <w:p w14:paraId="6D567C62">
            <w:pPr>
              <w:spacing w:line="440" w:lineRule="exact"/>
              <w:jc w:val="center"/>
              <w:rPr>
                <w:rFonts w:hint="default" w:ascii="Times New Roman" w:hAnsi="Times New Roman" w:cs="Times New Roman"/>
                <w:szCs w:val="21"/>
              </w:rPr>
            </w:pPr>
          </w:p>
        </w:tc>
        <w:tc>
          <w:tcPr>
            <w:tcW w:w="691" w:type="dxa"/>
            <w:noWrap w:val="0"/>
            <w:vAlign w:val="top"/>
          </w:tcPr>
          <w:p w14:paraId="65FA98A0">
            <w:pPr>
              <w:spacing w:line="440" w:lineRule="exact"/>
              <w:jc w:val="center"/>
              <w:rPr>
                <w:rFonts w:hint="default" w:ascii="Times New Roman" w:hAnsi="Times New Roman" w:cs="Times New Roman"/>
                <w:szCs w:val="21"/>
              </w:rPr>
            </w:pPr>
          </w:p>
        </w:tc>
      </w:tr>
      <w:tr w14:paraId="64573A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E5E768D">
            <w:pPr>
              <w:spacing w:line="440" w:lineRule="exact"/>
              <w:jc w:val="center"/>
              <w:rPr>
                <w:rFonts w:hint="default" w:ascii="Times New Roman" w:hAnsi="Times New Roman" w:cs="Times New Roman"/>
                <w:szCs w:val="21"/>
              </w:rPr>
            </w:pPr>
          </w:p>
        </w:tc>
        <w:tc>
          <w:tcPr>
            <w:tcW w:w="1086" w:type="dxa"/>
            <w:noWrap w:val="0"/>
            <w:vAlign w:val="top"/>
          </w:tcPr>
          <w:p w14:paraId="5D992C9A">
            <w:pPr>
              <w:spacing w:line="440" w:lineRule="exact"/>
              <w:jc w:val="center"/>
              <w:rPr>
                <w:rFonts w:hint="default" w:ascii="Times New Roman" w:hAnsi="Times New Roman" w:cs="Times New Roman"/>
                <w:szCs w:val="21"/>
              </w:rPr>
            </w:pPr>
          </w:p>
        </w:tc>
        <w:tc>
          <w:tcPr>
            <w:tcW w:w="761" w:type="dxa"/>
            <w:noWrap w:val="0"/>
            <w:vAlign w:val="top"/>
          </w:tcPr>
          <w:p w14:paraId="55E1107B">
            <w:pPr>
              <w:spacing w:line="440" w:lineRule="exact"/>
              <w:jc w:val="center"/>
              <w:rPr>
                <w:rFonts w:hint="default" w:ascii="Times New Roman" w:hAnsi="Times New Roman" w:cs="Times New Roman"/>
                <w:szCs w:val="21"/>
              </w:rPr>
            </w:pPr>
          </w:p>
        </w:tc>
        <w:tc>
          <w:tcPr>
            <w:tcW w:w="990" w:type="dxa"/>
            <w:noWrap w:val="0"/>
            <w:vAlign w:val="top"/>
          </w:tcPr>
          <w:p w14:paraId="6D325009">
            <w:pPr>
              <w:spacing w:line="440" w:lineRule="exact"/>
              <w:jc w:val="center"/>
              <w:rPr>
                <w:rFonts w:hint="default" w:ascii="Times New Roman" w:hAnsi="Times New Roman" w:cs="Times New Roman"/>
                <w:szCs w:val="21"/>
              </w:rPr>
            </w:pPr>
          </w:p>
        </w:tc>
        <w:tc>
          <w:tcPr>
            <w:tcW w:w="672" w:type="dxa"/>
            <w:noWrap w:val="0"/>
            <w:vAlign w:val="top"/>
          </w:tcPr>
          <w:p w14:paraId="68502607">
            <w:pPr>
              <w:spacing w:line="440" w:lineRule="exact"/>
              <w:jc w:val="center"/>
              <w:rPr>
                <w:rFonts w:hint="default" w:ascii="Times New Roman" w:hAnsi="Times New Roman" w:cs="Times New Roman"/>
                <w:szCs w:val="21"/>
              </w:rPr>
            </w:pPr>
          </w:p>
        </w:tc>
        <w:tc>
          <w:tcPr>
            <w:tcW w:w="738" w:type="dxa"/>
            <w:noWrap w:val="0"/>
            <w:vAlign w:val="top"/>
          </w:tcPr>
          <w:p w14:paraId="2B371A5F">
            <w:pPr>
              <w:spacing w:line="440" w:lineRule="exact"/>
              <w:jc w:val="center"/>
              <w:rPr>
                <w:rFonts w:hint="default" w:ascii="Times New Roman" w:hAnsi="Times New Roman" w:cs="Times New Roman"/>
                <w:szCs w:val="21"/>
              </w:rPr>
            </w:pPr>
          </w:p>
        </w:tc>
        <w:tc>
          <w:tcPr>
            <w:tcW w:w="1212" w:type="dxa"/>
            <w:noWrap w:val="0"/>
            <w:vAlign w:val="top"/>
          </w:tcPr>
          <w:p w14:paraId="2183703A">
            <w:pPr>
              <w:spacing w:line="440" w:lineRule="exact"/>
              <w:jc w:val="center"/>
              <w:rPr>
                <w:rFonts w:hint="default" w:ascii="Times New Roman" w:hAnsi="Times New Roman" w:cs="Times New Roman"/>
                <w:szCs w:val="21"/>
              </w:rPr>
            </w:pPr>
          </w:p>
        </w:tc>
        <w:tc>
          <w:tcPr>
            <w:tcW w:w="874" w:type="dxa"/>
            <w:noWrap w:val="0"/>
            <w:vAlign w:val="top"/>
          </w:tcPr>
          <w:p w14:paraId="6ABDBF50">
            <w:pPr>
              <w:spacing w:line="440" w:lineRule="exact"/>
              <w:jc w:val="center"/>
              <w:rPr>
                <w:rFonts w:hint="default" w:ascii="Times New Roman" w:hAnsi="Times New Roman" w:cs="Times New Roman"/>
                <w:szCs w:val="21"/>
              </w:rPr>
            </w:pPr>
          </w:p>
        </w:tc>
        <w:tc>
          <w:tcPr>
            <w:tcW w:w="1055" w:type="dxa"/>
            <w:noWrap w:val="0"/>
            <w:vAlign w:val="top"/>
          </w:tcPr>
          <w:p w14:paraId="01B9B9ED">
            <w:pPr>
              <w:spacing w:line="440" w:lineRule="exact"/>
              <w:jc w:val="center"/>
              <w:rPr>
                <w:rFonts w:hint="default" w:ascii="Times New Roman" w:hAnsi="Times New Roman" w:cs="Times New Roman"/>
                <w:szCs w:val="21"/>
              </w:rPr>
            </w:pPr>
          </w:p>
        </w:tc>
        <w:tc>
          <w:tcPr>
            <w:tcW w:w="691" w:type="dxa"/>
            <w:noWrap w:val="0"/>
            <w:vAlign w:val="top"/>
          </w:tcPr>
          <w:p w14:paraId="4E8E604C">
            <w:pPr>
              <w:spacing w:line="440" w:lineRule="exact"/>
              <w:jc w:val="center"/>
              <w:rPr>
                <w:rFonts w:hint="default" w:ascii="Times New Roman" w:hAnsi="Times New Roman" w:cs="Times New Roman"/>
                <w:szCs w:val="21"/>
              </w:rPr>
            </w:pPr>
          </w:p>
        </w:tc>
      </w:tr>
      <w:tr w14:paraId="645331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8EC6E9D">
            <w:pPr>
              <w:spacing w:line="440" w:lineRule="exact"/>
              <w:jc w:val="center"/>
              <w:rPr>
                <w:rFonts w:hint="default" w:ascii="Times New Roman" w:hAnsi="Times New Roman" w:cs="Times New Roman"/>
                <w:szCs w:val="21"/>
              </w:rPr>
            </w:pPr>
          </w:p>
        </w:tc>
        <w:tc>
          <w:tcPr>
            <w:tcW w:w="1086" w:type="dxa"/>
            <w:noWrap w:val="0"/>
            <w:vAlign w:val="top"/>
          </w:tcPr>
          <w:p w14:paraId="261BB83F">
            <w:pPr>
              <w:spacing w:line="440" w:lineRule="exact"/>
              <w:jc w:val="center"/>
              <w:rPr>
                <w:rFonts w:hint="default" w:ascii="Times New Roman" w:hAnsi="Times New Roman" w:cs="Times New Roman"/>
                <w:szCs w:val="21"/>
              </w:rPr>
            </w:pPr>
          </w:p>
        </w:tc>
        <w:tc>
          <w:tcPr>
            <w:tcW w:w="761" w:type="dxa"/>
            <w:noWrap w:val="0"/>
            <w:vAlign w:val="top"/>
          </w:tcPr>
          <w:p w14:paraId="4C1D7DE6">
            <w:pPr>
              <w:spacing w:line="440" w:lineRule="exact"/>
              <w:jc w:val="center"/>
              <w:rPr>
                <w:rFonts w:hint="default" w:ascii="Times New Roman" w:hAnsi="Times New Roman" w:cs="Times New Roman"/>
                <w:szCs w:val="21"/>
              </w:rPr>
            </w:pPr>
          </w:p>
        </w:tc>
        <w:tc>
          <w:tcPr>
            <w:tcW w:w="990" w:type="dxa"/>
            <w:noWrap w:val="0"/>
            <w:vAlign w:val="top"/>
          </w:tcPr>
          <w:p w14:paraId="05F8D434">
            <w:pPr>
              <w:spacing w:line="440" w:lineRule="exact"/>
              <w:jc w:val="center"/>
              <w:rPr>
                <w:rFonts w:hint="default" w:ascii="Times New Roman" w:hAnsi="Times New Roman" w:cs="Times New Roman"/>
                <w:szCs w:val="21"/>
              </w:rPr>
            </w:pPr>
          </w:p>
        </w:tc>
        <w:tc>
          <w:tcPr>
            <w:tcW w:w="672" w:type="dxa"/>
            <w:noWrap w:val="0"/>
            <w:vAlign w:val="top"/>
          </w:tcPr>
          <w:p w14:paraId="0C4676CB">
            <w:pPr>
              <w:spacing w:line="440" w:lineRule="exact"/>
              <w:jc w:val="center"/>
              <w:rPr>
                <w:rFonts w:hint="default" w:ascii="Times New Roman" w:hAnsi="Times New Roman" w:cs="Times New Roman"/>
                <w:szCs w:val="21"/>
              </w:rPr>
            </w:pPr>
          </w:p>
        </w:tc>
        <w:tc>
          <w:tcPr>
            <w:tcW w:w="738" w:type="dxa"/>
            <w:noWrap w:val="0"/>
            <w:vAlign w:val="top"/>
          </w:tcPr>
          <w:p w14:paraId="1450175A">
            <w:pPr>
              <w:spacing w:line="440" w:lineRule="exact"/>
              <w:jc w:val="center"/>
              <w:rPr>
                <w:rFonts w:hint="default" w:ascii="Times New Roman" w:hAnsi="Times New Roman" w:cs="Times New Roman"/>
                <w:szCs w:val="21"/>
              </w:rPr>
            </w:pPr>
          </w:p>
        </w:tc>
        <w:tc>
          <w:tcPr>
            <w:tcW w:w="1212" w:type="dxa"/>
            <w:noWrap w:val="0"/>
            <w:vAlign w:val="top"/>
          </w:tcPr>
          <w:p w14:paraId="7D8C2C59">
            <w:pPr>
              <w:spacing w:line="440" w:lineRule="exact"/>
              <w:jc w:val="center"/>
              <w:rPr>
                <w:rFonts w:hint="default" w:ascii="Times New Roman" w:hAnsi="Times New Roman" w:cs="Times New Roman"/>
                <w:szCs w:val="21"/>
              </w:rPr>
            </w:pPr>
          </w:p>
        </w:tc>
        <w:tc>
          <w:tcPr>
            <w:tcW w:w="874" w:type="dxa"/>
            <w:noWrap w:val="0"/>
            <w:vAlign w:val="top"/>
          </w:tcPr>
          <w:p w14:paraId="4996F1C1">
            <w:pPr>
              <w:spacing w:line="440" w:lineRule="exact"/>
              <w:jc w:val="center"/>
              <w:rPr>
                <w:rFonts w:hint="default" w:ascii="Times New Roman" w:hAnsi="Times New Roman" w:cs="Times New Roman"/>
                <w:szCs w:val="21"/>
              </w:rPr>
            </w:pPr>
          </w:p>
        </w:tc>
        <w:tc>
          <w:tcPr>
            <w:tcW w:w="1055" w:type="dxa"/>
            <w:noWrap w:val="0"/>
            <w:vAlign w:val="top"/>
          </w:tcPr>
          <w:p w14:paraId="74C2F4BD">
            <w:pPr>
              <w:spacing w:line="440" w:lineRule="exact"/>
              <w:jc w:val="center"/>
              <w:rPr>
                <w:rFonts w:hint="default" w:ascii="Times New Roman" w:hAnsi="Times New Roman" w:cs="Times New Roman"/>
                <w:szCs w:val="21"/>
              </w:rPr>
            </w:pPr>
          </w:p>
        </w:tc>
        <w:tc>
          <w:tcPr>
            <w:tcW w:w="691" w:type="dxa"/>
            <w:noWrap w:val="0"/>
            <w:vAlign w:val="top"/>
          </w:tcPr>
          <w:p w14:paraId="7B4F5358">
            <w:pPr>
              <w:spacing w:line="440" w:lineRule="exact"/>
              <w:jc w:val="center"/>
              <w:rPr>
                <w:rFonts w:hint="default" w:ascii="Times New Roman" w:hAnsi="Times New Roman" w:cs="Times New Roman"/>
                <w:szCs w:val="21"/>
              </w:rPr>
            </w:pPr>
          </w:p>
        </w:tc>
      </w:tr>
      <w:tr w14:paraId="79DB7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2E2D547">
            <w:pPr>
              <w:spacing w:line="440" w:lineRule="exact"/>
              <w:jc w:val="center"/>
              <w:rPr>
                <w:rFonts w:hint="default" w:ascii="Times New Roman" w:hAnsi="Times New Roman" w:cs="Times New Roman"/>
                <w:szCs w:val="21"/>
              </w:rPr>
            </w:pPr>
          </w:p>
        </w:tc>
        <w:tc>
          <w:tcPr>
            <w:tcW w:w="1086" w:type="dxa"/>
            <w:noWrap w:val="0"/>
            <w:vAlign w:val="top"/>
          </w:tcPr>
          <w:p w14:paraId="527C79B9">
            <w:pPr>
              <w:spacing w:line="440" w:lineRule="exact"/>
              <w:jc w:val="center"/>
              <w:rPr>
                <w:rFonts w:hint="default" w:ascii="Times New Roman" w:hAnsi="Times New Roman" w:cs="Times New Roman"/>
                <w:szCs w:val="21"/>
              </w:rPr>
            </w:pPr>
          </w:p>
        </w:tc>
        <w:tc>
          <w:tcPr>
            <w:tcW w:w="761" w:type="dxa"/>
            <w:noWrap w:val="0"/>
            <w:vAlign w:val="top"/>
          </w:tcPr>
          <w:p w14:paraId="6EF29259">
            <w:pPr>
              <w:spacing w:line="440" w:lineRule="exact"/>
              <w:jc w:val="center"/>
              <w:rPr>
                <w:rFonts w:hint="default" w:ascii="Times New Roman" w:hAnsi="Times New Roman" w:cs="Times New Roman"/>
                <w:szCs w:val="21"/>
              </w:rPr>
            </w:pPr>
          </w:p>
        </w:tc>
        <w:tc>
          <w:tcPr>
            <w:tcW w:w="990" w:type="dxa"/>
            <w:noWrap w:val="0"/>
            <w:vAlign w:val="top"/>
          </w:tcPr>
          <w:p w14:paraId="5A9EFED3">
            <w:pPr>
              <w:spacing w:line="440" w:lineRule="exact"/>
              <w:jc w:val="center"/>
              <w:rPr>
                <w:rFonts w:hint="default" w:ascii="Times New Roman" w:hAnsi="Times New Roman" w:cs="Times New Roman"/>
                <w:szCs w:val="21"/>
              </w:rPr>
            </w:pPr>
          </w:p>
        </w:tc>
        <w:tc>
          <w:tcPr>
            <w:tcW w:w="672" w:type="dxa"/>
            <w:noWrap w:val="0"/>
            <w:vAlign w:val="top"/>
          </w:tcPr>
          <w:p w14:paraId="7D1CC342">
            <w:pPr>
              <w:spacing w:line="440" w:lineRule="exact"/>
              <w:jc w:val="center"/>
              <w:rPr>
                <w:rFonts w:hint="default" w:ascii="Times New Roman" w:hAnsi="Times New Roman" w:cs="Times New Roman"/>
                <w:szCs w:val="21"/>
              </w:rPr>
            </w:pPr>
          </w:p>
        </w:tc>
        <w:tc>
          <w:tcPr>
            <w:tcW w:w="738" w:type="dxa"/>
            <w:noWrap w:val="0"/>
            <w:vAlign w:val="top"/>
          </w:tcPr>
          <w:p w14:paraId="03828121">
            <w:pPr>
              <w:spacing w:line="440" w:lineRule="exact"/>
              <w:jc w:val="center"/>
              <w:rPr>
                <w:rFonts w:hint="default" w:ascii="Times New Roman" w:hAnsi="Times New Roman" w:cs="Times New Roman"/>
                <w:szCs w:val="21"/>
              </w:rPr>
            </w:pPr>
          </w:p>
        </w:tc>
        <w:tc>
          <w:tcPr>
            <w:tcW w:w="1212" w:type="dxa"/>
            <w:noWrap w:val="0"/>
            <w:vAlign w:val="top"/>
          </w:tcPr>
          <w:p w14:paraId="172AD062">
            <w:pPr>
              <w:spacing w:line="440" w:lineRule="exact"/>
              <w:jc w:val="center"/>
              <w:rPr>
                <w:rFonts w:hint="default" w:ascii="Times New Roman" w:hAnsi="Times New Roman" w:cs="Times New Roman"/>
                <w:szCs w:val="21"/>
              </w:rPr>
            </w:pPr>
          </w:p>
        </w:tc>
        <w:tc>
          <w:tcPr>
            <w:tcW w:w="874" w:type="dxa"/>
            <w:noWrap w:val="0"/>
            <w:vAlign w:val="top"/>
          </w:tcPr>
          <w:p w14:paraId="683596EF">
            <w:pPr>
              <w:spacing w:line="440" w:lineRule="exact"/>
              <w:jc w:val="center"/>
              <w:rPr>
                <w:rFonts w:hint="default" w:ascii="Times New Roman" w:hAnsi="Times New Roman" w:cs="Times New Roman"/>
                <w:szCs w:val="21"/>
              </w:rPr>
            </w:pPr>
          </w:p>
        </w:tc>
        <w:tc>
          <w:tcPr>
            <w:tcW w:w="1055" w:type="dxa"/>
            <w:noWrap w:val="0"/>
            <w:vAlign w:val="top"/>
          </w:tcPr>
          <w:p w14:paraId="39C4CDB0">
            <w:pPr>
              <w:spacing w:line="440" w:lineRule="exact"/>
              <w:jc w:val="center"/>
              <w:rPr>
                <w:rFonts w:hint="default" w:ascii="Times New Roman" w:hAnsi="Times New Roman" w:cs="Times New Roman"/>
                <w:szCs w:val="21"/>
              </w:rPr>
            </w:pPr>
          </w:p>
        </w:tc>
        <w:tc>
          <w:tcPr>
            <w:tcW w:w="691" w:type="dxa"/>
            <w:noWrap w:val="0"/>
            <w:vAlign w:val="top"/>
          </w:tcPr>
          <w:p w14:paraId="2F44A4D9">
            <w:pPr>
              <w:spacing w:line="440" w:lineRule="exact"/>
              <w:jc w:val="center"/>
              <w:rPr>
                <w:rFonts w:hint="default" w:ascii="Times New Roman" w:hAnsi="Times New Roman" w:cs="Times New Roman"/>
                <w:szCs w:val="21"/>
              </w:rPr>
            </w:pPr>
          </w:p>
        </w:tc>
      </w:tr>
      <w:tr w14:paraId="5B0BBB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5B75AA6">
            <w:pPr>
              <w:spacing w:line="440" w:lineRule="exact"/>
              <w:jc w:val="center"/>
              <w:rPr>
                <w:rFonts w:hint="default" w:ascii="Times New Roman" w:hAnsi="Times New Roman" w:cs="Times New Roman"/>
                <w:szCs w:val="21"/>
              </w:rPr>
            </w:pPr>
          </w:p>
        </w:tc>
        <w:tc>
          <w:tcPr>
            <w:tcW w:w="1086" w:type="dxa"/>
            <w:noWrap w:val="0"/>
            <w:vAlign w:val="top"/>
          </w:tcPr>
          <w:p w14:paraId="7CA4CF1F">
            <w:pPr>
              <w:spacing w:line="440" w:lineRule="exact"/>
              <w:jc w:val="center"/>
              <w:rPr>
                <w:rFonts w:hint="default" w:ascii="Times New Roman" w:hAnsi="Times New Roman" w:cs="Times New Roman"/>
                <w:szCs w:val="21"/>
              </w:rPr>
            </w:pPr>
          </w:p>
        </w:tc>
        <w:tc>
          <w:tcPr>
            <w:tcW w:w="761" w:type="dxa"/>
            <w:noWrap w:val="0"/>
            <w:vAlign w:val="top"/>
          </w:tcPr>
          <w:p w14:paraId="6A555F12">
            <w:pPr>
              <w:spacing w:line="440" w:lineRule="exact"/>
              <w:jc w:val="center"/>
              <w:rPr>
                <w:rFonts w:hint="default" w:ascii="Times New Roman" w:hAnsi="Times New Roman" w:cs="Times New Roman"/>
                <w:szCs w:val="21"/>
              </w:rPr>
            </w:pPr>
          </w:p>
        </w:tc>
        <w:tc>
          <w:tcPr>
            <w:tcW w:w="990" w:type="dxa"/>
            <w:noWrap w:val="0"/>
            <w:vAlign w:val="top"/>
          </w:tcPr>
          <w:p w14:paraId="62A85A47">
            <w:pPr>
              <w:spacing w:line="440" w:lineRule="exact"/>
              <w:jc w:val="center"/>
              <w:rPr>
                <w:rFonts w:hint="default" w:ascii="Times New Roman" w:hAnsi="Times New Roman" w:cs="Times New Roman"/>
                <w:szCs w:val="21"/>
              </w:rPr>
            </w:pPr>
          </w:p>
        </w:tc>
        <w:tc>
          <w:tcPr>
            <w:tcW w:w="672" w:type="dxa"/>
            <w:noWrap w:val="0"/>
            <w:vAlign w:val="top"/>
          </w:tcPr>
          <w:p w14:paraId="16DA47A7">
            <w:pPr>
              <w:spacing w:line="440" w:lineRule="exact"/>
              <w:jc w:val="center"/>
              <w:rPr>
                <w:rFonts w:hint="default" w:ascii="Times New Roman" w:hAnsi="Times New Roman" w:cs="Times New Roman"/>
                <w:szCs w:val="21"/>
              </w:rPr>
            </w:pPr>
          </w:p>
        </w:tc>
        <w:tc>
          <w:tcPr>
            <w:tcW w:w="738" w:type="dxa"/>
            <w:noWrap w:val="0"/>
            <w:vAlign w:val="top"/>
          </w:tcPr>
          <w:p w14:paraId="6081007A">
            <w:pPr>
              <w:spacing w:line="440" w:lineRule="exact"/>
              <w:jc w:val="center"/>
              <w:rPr>
                <w:rFonts w:hint="default" w:ascii="Times New Roman" w:hAnsi="Times New Roman" w:cs="Times New Roman"/>
                <w:szCs w:val="21"/>
              </w:rPr>
            </w:pPr>
          </w:p>
        </w:tc>
        <w:tc>
          <w:tcPr>
            <w:tcW w:w="1212" w:type="dxa"/>
            <w:noWrap w:val="0"/>
            <w:vAlign w:val="top"/>
          </w:tcPr>
          <w:p w14:paraId="11155E85">
            <w:pPr>
              <w:spacing w:line="440" w:lineRule="exact"/>
              <w:jc w:val="center"/>
              <w:rPr>
                <w:rFonts w:hint="default" w:ascii="Times New Roman" w:hAnsi="Times New Roman" w:cs="Times New Roman"/>
                <w:szCs w:val="21"/>
              </w:rPr>
            </w:pPr>
          </w:p>
        </w:tc>
        <w:tc>
          <w:tcPr>
            <w:tcW w:w="874" w:type="dxa"/>
            <w:noWrap w:val="0"/>
            <w:vAlign w:val="top"/>
          </w:tcPr>
          <w:p w14:paraId="244EC68A">
            <w:pPr>
              <w:spacing w:line="440" w:lineRule="exact"/>
              <w:jc w:val="center"/>
              <w:rPr>
                <w:rFonts w:hint="default" w:ascii="Times New Roman" w:hAnsi="Times New Roman" w:cs="Times New Roman"/>
                <w:szCs w:val="21"/>
              </w:rPr>
            </w:pPr>
          </w:p>
        </w:tc>
        <w:tc>
          <w:tcPr>
            <w:tcW w:w="1055" w:type="dxa"/>
            <w:noWrap w:val="0"/>
            <w:vAlign w:val="top"/>
          </w:tcPr>
          <w:p w14:paraId="0E18F107">
            <w:pPr>
              <w:spacing w:line="440" w:lineRule="exact"/>
              <w:jc w:val="center"/>
              <w:rPr>
                <w:rFonts w:hint="default" w:ascii="Times New Roman" w:hAnsi="Times New Roman" w:cs="Times New Roman"/>
                <w:szCs w:val="21"/>
              </w:rPr>
            </w:pPr>
          </w:p>
        </w:tc>
        <w:tc>
          <w:tcPr>
            <w:tcW w:w="691" w:type="dxa"/>
            <w:noWrap w:val="0"/>
            <w:vAlign w:val="top"/>
          </w:tcPr>
          <w:p w14:paraId="33ABDDBA">
            <w:pPr>
              <w:spacing w:line="440" w:lineRule="exact"/>
              <w:jc w:val="center"/>
              <w:rPr>
                <w:rFonts w:hint="default" w:ascii="Times New Roman" w:hAnsi="Times New Roman" w:cs="Times New Roman"/>
                <w:szCs w:val="21"/>
              </w:rPr>
            </w:pPr>
          </w:p>
        </w:tc>
      </w:tr>
      <w:tr w14:paraId="6D876F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7A4C04F7">
            <w:pPr>
              <w:spacing w:line="440" w:lineRule="exact"/>
              <w:jc w:val="center"/>
              <w:rPr>
                <w:rFonts w:hint="default" w:ascii="Times New Roman" w:hAnsi="Times New Roman" w:cs="Times New Roman"/>
                <w:szCs w:val="21"/>
              </w:rPr>
            </w:pPr>
          </w:p>
        </w:tc>
        <w:tc>
          <w:tcPr>
            <w:tcW w:w="1086" w:type="dxa"/>
            <w:noWrap w:val="0"/>
            <w:vAlign w:val="top"/>
          </w:tcPr>
          <w:p w14:paraId="1735B107">
            <w:pPr>
              <w:spacing w:line="440" w:lineRule="exact"/>
              <w:jc w:val="center"/>
              <w:rPr>
                <w:rFonts w:hint="default" w:ascii="Times New Roman" w:hAnsi="Times New Roman" w:cs="Times New Roman"/>
                <w:szCs w:val="21"/>
              </w:rPr>
            </w:pPr>
          </w:p>
        </w:tc>
        <w:tc>
          <w:tcPr>
            <w:tcW w:w="761" w:type="dxa"/>
            <w:noWrap w:val="0"/>
            <w:vAlign w:val="top"/>
          </w:tcPr>
          <w:p w14:paraId="4DF84BCF">
            <w:pPr>
              <w:spacing w:line="440" w:lineRule="exact"/>
              <w:jc w:val="center"/>
              <w:rPr>
                <w:rFonts w:hint="default" w:ascii="Times New Roman" w:hAnsi="Times New Roman" w:cs="Times New Roman"/>
                <w:szCs w:val="21"/>
              </w:rPr>
            </w:pPr>
          </w:p>
        </w:tc>
        <w:tc>
          <w:tcPr>
            <w:tcW w:w="990" w:type="dxa"/>
            <w:noWrap w:val="0"/>
            <w:vAlign w:val="top"/>
          </w:tcPr>
          <w:p w14:paraId="568E2D8F">
            <w:pPr>
              <w:spacing w:line="440" w:lineRule="exact"/>
              <w:jc w:val="center"/>
              <w:rPr>
                <w:rFonts w:hint="default" w:ascii="Times New Roman" w:hAnsi="Times New Roman" w:cs="Times New Roman"/>
                <w:szCs w:val="21"/>
              </w:rPr>
            </w:pPr>
          </w:p>
        </w:tc>
        <w:tc>
          <w:tcPr>
            <w:tcW w:w="672" w:type="dxa"/>
            <w:noWrap w:val="0"/>
            <w:vAlign w:val="top"/>
          </w:tcPr>
          <w:p w14:paraId="43BB91A2">
            <w:pPr>
              <w:spacing w:line="440" w:lineRule="exact"/>
              <w:jc w:val="center"/>
              <w:rPr>
                <w:rFonts w:hint="default" w:ascii="Times New Roman" w:hAnsi="Times New Roman" w:cs="Times New Roman"/>
                <w:szCs w:val="21"/>
              </w:rPr>
            </w:pPr>
          </w:p>
        </w:tc>
        <w:tc>
          <w:tcPr>
            <w:tcW w:w="738" w:type="dxa"/>
            <w:noWrap w:val="0"/>
            <w:vAlign w:val="top"/>
          </w:tcPr>
          <w:p w14:paraId="25E1F7FD">
            <w:pPr>
              <w:spacing w:line="440" w:lineRule="exact"/>
              <w:jc w:val="center"/>
              <w:rPr>
                <w:rFonts w:hint="default" w:ascii="Times New Roman" w:hAnsi="Times New Roman" w:cs="Times New Roman"/>
                <w:szCs w:val="21"/>
              </w:rPr>
            </w:pPr>
          </w:p>
        </w:tc>
        <w:tc>
          <w:tcPr>
            <w:tcW w:w="1212" w:type="dxa"/>
            <w:noWrap w:val="0"/>
            <w:vAlign w:val="top"/>
          </w:tcPr>
          <w:p w14:paraId="3F5B5612">
            <w:pPr>
              <w:spacing w:line="440" w:lineRule="exact"/>
              <w:jc w:val="center"/>
              <w:rPr>
                <w:rFonts w:hint="default" w:ascii="Times New Roman" w:hAnsi="Times New Roman" w:cs="Times New Roman"/>
                <w:szCs w:val="21"/>
              </w:rPr>
            </w:pPr>
          </w:p>
        </w:tc>
        <w:tc>
          <w:tcPr>
            <w:tcW w:w="874" w:type="dxa"/>
            <w:noWrap w:val="0"/>
            <w:vAlign w:val="top"/>
          </w:tcPr>
          <w:p w14:paraId="05992648">
            <w:pPr>
              <w:spacing w:line="440" w:lineRule="exact"/>
              <w:jc w:val="center"/>
              <w:rPr>
                <w:rFonts w:hint="default" w:ascii="Times New Roman" w:hAnsi="Times New Roman" w:cs="Times New Roman"/>
                <w:szCs w:val="21"/>
              </w:rPr>
            </w:pPr>
          </w:p>
        </w:tc>
        <w:tc>
          <w:tcPr>
            <w:tcW w:w="1055" w:type="dxa"/>
            <w:noWrap w:val="0"/>
            <w:vAlign w:val="top"/>
          </w:tcPr>
          <w:p w14:paraId="0EE2491A">
            <w:pPr>
              <w:spacing w:line="440" w:lineRule="exact"/>
              <w:jc w:val="center"/>
              <w:rPr>
                <w:rFonts w:hint="default" w:ascii="Times New Roman" w:hAnsi="Times New Roman" w:cs="Times New Roman"/>
                <w:szCs w:val="21"/>
              </w:rPr>
            </w:pPr>
          </w:p>
        </w:tc>
        <w:tc>
          <w:tcPr>
            <w:tcW w:w="691" w:type="dxa"/>
            <w:noWrap w:val="0"/>
            <w:vAlign w:val="top"/>
          </w:tcPr>
          <w:p w14:paraId="522439B1">
            <w:pPr>
              <w:spacing w:line="440" w:lineRule="exact"/>
              <w:jc w:val="center"/>
              <w:rPr>
                <w:rFonts w:hint="default" w:ascii="Times New Roman" w:hAnsi="Times New Roman" w:cs="Times New Roman"/>
                <w:szCs w:val="21"/>
              </w:rPr>
            </w:pPr>
          </w:p>
        </w:tc>
      </w:tr>
      <w:tr w14:paraId="53908D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92F1BC1">
            <w:pPr>
              <w:spacing w:line="440" w:lineRule="exact"/>
              <w:jc w:val="center"/>
              <w:rPr>
                <w:rFonts w:hint="default" w:ascii="Times New Roman" w:hAnsi="Times New Roman" w:cs="Times New Roman"/>
                <w:szCs w:val="21"/>
              </w:rPr>
            </w:pPr>
          </w:p>
        </w:tc>
        <w:tc>
          <w:tcPr>
            <w:tcW w:w="1086" w:type="dxa"/>
            <w:noWrap w:val="0"/>
            <w:vAlign w:val="top"/>
          </w:tcPr>
          <w:p w14:paraId="11A24795">
            <w:pPr>
              <w:spacing w:line="440" w:lineRule="exact"/>
              <w:jc w:val="center"/>
              <w:rPr>
                <w:rFonts w:hint="default" w:ascii="Times New Roman" w:hAnsi="Times New Roman" w:cs="Times New Roman"/>
                <w:szCs w:val="21"/>
              </w:rPr>
            </w:pPr>
          </w:p>
        </w:tc>
        <w:tc>
          <w:tcPr>
            <w:tcW w:w="761" w:type="dxa"/>
            <w:noWrap w:val="0"/>
            <w:vAlign w:val="top"/>
          </w:tcPr>
          <w:p w14:paraId="439261BC">
            <w:pPr>
              <w:spacing w:line="440" w:lineRule="exact"/>
              <w:jc w:val="center"/>
              <w:rPr>
                <w:rFonts w:hint="default" w:ascii="Times New Roman" w:hAnsi="Times New Roman" w:cs="Times New Roman"/>
                <w:szCs w:val="21"/>
              </w:rPr>
            </w:pPr>
          </w:p>
        </w:tc>
        <w:tc>
          <w:tcPr>
            <w:tcW w:w="990" w:type="dxa"/>
            <w:noWrap w:val="0"/>
            <w:vAlign w:val="top"/>
          </w:tcPr>
          <w:p w14:paraId="54838B9D">
            <w:pPr>
              <w:spacing w:line="440" w:lineRule="exact"/>
              <w:jc w:val="center"/>
              <w:rPr>
                <w:rFonts w:hint="default" w:ascii="Times New Roman" w:hAnsi="Times New Roman" w:cs="Times New Roman"/>
                <w:szCs w:val="21"/>
              </w:rPr>
            </w:pPr>
          </w:p>
        </w:tc>
        <w:tc>
          <w:tcPr>
            <w:tcW w:w="672" w:type="dxa"/>
            <w:noWrap w:val="0"/>
            <w:vAlign w:val="top"/>
          </w:tcPr>
          <w:p w14:paraId="2562CA34">
            <w:pPr>
              <w:spacing w:line="440" w:lineRule="exact"/>
              <w:jc w:val="center"/>
              <w:rPr>
                <w:rFonts w:hint="default" w:ascii="Times New Roman" w:hAnsi="Times New Roman" w:cs="Times New Roman"/>
                <w:szCs w:val="21"/>
              </w:rPr>
            </w:pPr>
          </w:p>
        </w:tc>
        <w:tc>
          <w:tcPr>
            <w:tcW w:w="738" w:type="dxa"/>
            <w:noWrap w:val="0"/>
            <w:vAlign w:val="top"/>
          </w:tcPr>
          <w:p w14:paraId="7B647515">
            <w:pPr>
              <w:spacing w:line="440" w:lineRule="exact"/>
              <w:jc w:val="center"/>
              <w:rPr>
                <w:rFonts w:hint="default" w:ascii="Times New Roman" w:hAnsi="Times New Roman" w:cs="Times New Roman"/>
                <w:szCs w:val="21"/>
              </w:rPr>
            </w:pPr>
          </w:p>
        </w:tc>
        <w:tc>
          <w:tcPr>
            <w:tcW w:w="1212" w:type="dxa"/>
            <w:noWrap w:val="0"/>
            <w:vAlign w:val="top"/>
          </w:tcPr>
          <w:p w14:paraId="4B26F45A">
            <w:pPr>
              <w:spacing w:line="440" w:lineRule="exact"/>
              <w:jc w:val="center"/>
              <w:rPr>
                <w:rFonts w:hint="default" w:ascii="Times New Roman" w:hAnsi="Times New Roman" w:cs="Times New Roman"/>
                <w:szCs w:val="21"/>
              </w:rPr>
            </w:pPr>
          </w:p>
        </w:tc>
        <w:tc>
          <w:tcPr>
            <w:tcW w:w="874" w:type="dxa"/>
            <w:noWrap w:val="0"/>
            <w:vAlign w:val="top"/>
          </w:tcPr>
          <w:p w14:paraId="4EDEF002">
            <w:pPr>
              <w:spacing w:line="440" w:lineRule="exact"/>
              <w:jc w:val="center"/>
              <w:rPr>
                <w:rFonts w:hint="default" w:ascii="Times New Roman" w:hAnsi="Times New Roman" w:cs="Times New Roman"/>
                <w:szCs w:val="21"/>
              </w:rPr>
            </w:pPr>
          </w:p>
        </w:tc>
        <w:tc>
          <w:tcPr>
            <w:tcW w:w="1055" w:type="dxa"/>
            <w:noWrap w:val="0"/>
            <w:vAlign w:val="top"/>
          </w:tcPr>
          <w:p w14:paraId="2E90D44A">
            <w:pPr>
              <w:spacing w:line="440" w:lineRule="exact"/>
              <w:jc w:val="center"/>
              <w:rPr>
                <w:rFonts w:hint="default" w:ascii="Times New Roman" w:hAnsi="Times New Roman" w:cs="Times New Roman"/>
                <w:szCs w:val="21"/>
              </w:rPr>
            </w:pPr>
          </w:p>
        </w:tc>
        <w:tc>
          <w:tcPr>
            <w:tcW w:w="691" w:type="dxa"/>
            <w:noWrap w:val="0"/>
            <w:vAlign w:val="top"/>
          </w:tcPr>
          <w:p w14:paraId="649FD46D">
            <w:pPr>
              <w:spacing w:line="440" w:lineRule="exact"/>
              <w:jc w:val="center"/>
              <w:rPr>
                <w:rFonts w:hint="default" w:ascii="Times New Roman" w:hAnsi="Times New Roman" w:cs="Times New Roman"/>
                <w:szCs w:val="21"/>
              </w:rPr>
            </w:pPr>
          </w:p>
        </w:tc>
      </w:tr>
      <w:tr w14:paraId="49CD4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5FC1CC8">
            <w:pPr>
              <w:spacing w:line="440" w:lineRule="exact"/>
              <w:jc w:val="center"/>
              <w:rPr>
                <w:rFonts w:hint="default" w:ascii="Times New Roman" w:hAnsi="Times New Roman" w:cs="Times New Roman"/>
                <w:szCs w:val="21"/>
              </w:rPr>
            </w:pPr>
          </w:p>
        </w:tc>
        <w:tc>
          <w:tcPr>
            <w:tcW w:w="1086" w:type="dxa"/>
            <w:noWrap w:val="0"/>
            <w:vAlign w:val="top"/>
          </w:tcPr>
          <w:p w14:paraId="3448137C">
            <w:pPr>
              <w:spacing w:line="440" w:lineRule="exact"/>
              <w:jc w:val="center"/>
              <w:rPr>
                <w:rFonts w:hint="default" w:ascii="Times New Roman" w:hAnsi="Times New Roman" w:cs="Times New Roman"/>
                <w:szCs w:val="21"/>
              </w:rPr>
            </w:pPr>
          </w:p>
        </w:tc>
        <w:tc>
          <w:tcPr>
            <w:tcW w:w="761" w:type="dxa"/>
            <w:noWrap w:val="0"/>
            <w:vAlign w:val="top"/>
          </w:tcPr>
          <w:p w14:paraId="3958D2B7">
            <w:pPr>
              <w:spacing w:line="440" w:lineRule="exact"/>
              <w:jc w:val="center"/>
              <w:rPr>
                <w:rFonts w:hint="default" w:ascii="Times New Roman" w:hAnsi="Times New Roman" w:cs="Times New Roman"/>
                <w:szCs w:val="21"/>
              </w:rPr>
            </w:pPr>
          </w:p>
        </w:tc>
        <w:tc>
          <w:tcPr>
            <w:tcW w:w="990" w:type="dxa"/>
            <w:noWrap w:val="0"/>
            <w:vAlign w:val="top"/>
          </w:tcPr>
          <w:p w14:paraId="5C172C71">
            <w:pPr>
              <w:spacing w:line="440" w:lineRule="exact"/>
              <w:jc w:val="center"/>
              <w:rPr>
                <w:rFonts w:hint="default" w:ascii="Times New Roman" w:hAnsi="Times New Roman" w:cs="Times New Roman"/>
                <w:szCs w:val="21"/>
              </w:rPr>
            </w:pPr>
          </w:p>
        </w:tc>
        <w:tc>
          <w:tcPr>
            <w:tcW w:w="672" w:type="dxa"/>
            <w:noWrap w:val="0"/>
            <w:vAlign w:val="top"/>
          </w:tcPr>
          <w:p w14:paraId="18607193">
            <w:pPr>
              <w:spacing w:line="440" w:lineRule="exact"/>
              <w:jc w:val="center"/>
              <w:rPr>
                <w:rFonts w:hint="default" w:ascii="Times New Roman" w:hAnsi="Times New Roman" w:cs="Times New Roman"/>
                <w:szCs w:val="21"/>
              </w:rPr>
            </w:pPr>
          </w:p>
        </w:tc>
        <w:tc>
          <w:tcPr>
            <w:tcW w:w="738" w:type="dxa"/>
            <w:noWrap w:val="0"/>
            <w:vAlign w:val="top"/>
          </w:tcPr>
          <w:p w14:paraId="4F180BD4">
            <w:pPr>
              <w:spacing w:line="440" w:lineRule="exact"/>
              <w:jc w:val="center"/>
              <w:rPr>
                <w:rFonts w:hint="default" w:ascii="Times New Roman" w:hAnsi="Times New Roman" w:cs="Times New Roman"/>
                <w:szCs w:val="21"/>
              </w:rPr>
            </w:pPr>
          </w:p>
        </w:tc>
        <w:tc>
          <w:tcPr>
            <w:tcW w:w="1212" w:type="dxa"/>
            <w:noWrap w:val="0"/>
            <w:vAlign w:val="top"/>
          </w:tcPr>
          <w:p w14:paraId="0058BC52">
            <w:pPr>
              <w:spacing w:line="440" w:lineRule="exact"/>
              <w:jc w:val="center"/>
              <w:rPr>
                <w:rFonts w:hint="default" w:ascii="Times New Roman" w:hAnsi="Times New Roman" w:cs="Times New Roman"/>
                <w:szCs w:val="21"/>
              </w:rPr>
            </w:pPr>
          </w:p>
        </w:tc>
        <w:tc>
          <w:tcPr>
            <w:tcW w:w="874" w:type="dxa"/>
            <w:noWrap w:val="0"/>
            <w:vAlign w:val="top"/>
          </w:tcPr>
          <w:p w14:paraId="109A5B69">
            <w:pPr>
              <w:spacing w:line="440" w:lineRule="exact"/>
              <w:jc w:val="center"/>
              <w:rPr>
                <w:rFonts w:hint="default" w:ascii="Times New Roman" w:hAnsi="Times New Roman" w:cs="Times New Roman"/>
                <w:szCs w:val="21"/>
              </w:rPr>
            </w:pPr>
          </w:p>
        </w:tc>
        <w:tc>
          <w:tcPr>
            <w:tcW w:w="1055" w:type="dxa"/>
            <w:noWrap w:val="0"/>
            <w:vAlign w:val="top"/>
          </w:tcPr>
          <w:p w14:paraId="3A375228">
            <w:pPr>
              <w:spacing w:line="440" w:lineRule="exact"/>
              <w:jc w:val="center"/>
              <w:rPr>
                <w:rFonts w:hint="default" w:ascii="Times New Roman" w:hAnsi="Times New Roman" w:cs="Times New Roman"/>
                <w:szCs w:val="21"/>
              </w:rPr>
            </w:pPr>
          </w:p>
        </w:tc>
        <w:tc>
          <w:tcPr>
            <w:tcW w:w="691" w:type="dxa"/>
            <w:noWrap w:val="0"/>
            <w:vAlign w:val="top"/>
          </w:tcPr>
          <w:p w14:paraId="7EA36567">
            <w:pPr>
              <w:spacing w:line="440" w:lineRule="exact"/>
              <w:jc w:val="center"/>
              <w:rPr>
                <w:rFonts w:hint="default" w:ascii="Times New Roman" w:hAnsi="Times New Roman" w:cs="Times New Roman"/>
                <w:szCs w:val="21"/>
              </w:rPr>
            </w:pPr>
          </w:p>
        </w:tc>
      </w:tr>
      <w:tr w14:paraId="705D0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37F73517">
            <w:pPr>
              <w:spacing w:line="440" w:lineRule="exact"/>
              <w:jc w:val="center"/>
              <w:rPr>
                <w:rFonts w:hint="default" w:ascii="Times New Roman" w:hAnsi="Times New Roman" w:cs="Times New Roman"/>
                <w:szCs w:val="21"/>
              </w:rPr>
            </w:pPr>
          </w:p>
        </w:tc>
        <w:tc>
          <w:tcPr>
            <w:tcW w:w="1086" w:type="dxa"/>
            <w:noWrap w:val="0"/>
            <w:vAlign w:val="top"/>
          </w:tcPr>
          <w:p w14:paraId="4AB7F250">
            <w:pPr>
              <w:spacing w:line="440" w:lineRule="exact"/>
              <w:jc w:val="center"/>
              <w:rPr>
                <w:rFonts w:hint="default" w:ascii="Times New Roman" w:hAnsi="Times New Roman" w:cs="Times New Roman"/>
                <w:szCs w:val="21"/>
              </w:rPr>
            </w:pPr>
          </w:p>
        </w:tc>
        <w:tc>
          <w:tcPr>
            <w:tcW w:w="761" w:type="dxa"/>
            <w:noWrap w:val="0"/>
            <w:vAlign w:val="top"/>
          </w:tcPr>
          <w:p w14:paraId="7BC06A95">
            <w:pPr>
              <w:spacing w:line="440" w:lineRule="exact"/>
              <w:jc w:val="center"/>
              <w:rPr>
                <w:rFonts w:hint="default" w:ascii="Times New Roman" w:hAnsi="Times New Roman" w:cs="Times New Roman"/>
                <w:szCs w:val="21"/>
              </w:rPr>
            </w:pPr>
          </w:p>
        </w:tc>
        <w:tc>
          <w:tcPr>
            <w:tcW w:w="990" w:type="dxa"/>
            <w:noWrap w:val="0"/>
            <w:vAlign w:val="top"/>
          </w:tcPr>
          <w:p w14:paraId="23D4D469">
            <w:pPr>
              <w:spacing w:line="440" w:lineRule="exact"/>
              <w:jc w:val="center"/>
              <w:rPr>
                <w:rFonts w:hint="default" w:ascii="Times New Roman" w:hAnsi="Times New Roman" w:cs="Times New Roman"/>
                <w:szCs w:val="21"/>
              </w:rPr>
            </w:pPr>
          </w:p>
        </w:tc>
        <w:tc>
          <w:tcPr>
            <w:tcW w:w="672" w:type="dxa"/>
            <w:noWrap w:val="0"/>
            <w:vAlign w:val="top"/>
          </w:tcPr>
          <w:p w14:paraId="49DF702B">
            <w:pPr>
              <w:spacing w:line="440" w:lineRule="exact"/>
              <w:jc w:val="center"/>
              <w:rPr>
                <w:rFonts w:hint="default" w:ascii="Times New Roman" w:hAnsi="Times New Roman" w:cs="Times New Roman"/>
                <w:szCs w:val="21"/>
              </w:rPr>
            </w:pPr>
          </w:p>
        </w:tc>
        <w:tc>
          <w:tcPr>
            <w:tcW w:w="738" w:type="dxa"/>
            <w:noWrap w:val="0"/>
            <w:vAlign w:val="top"/>
          </w:tcPr>
          <w:p w14:paraId="2AACFAA2">
            <w:pPr>
              <w:spacing w:line="440" w:lineRule="exact"/>
              <w:jc w:val="center"/>
              <w:rPr>
                <w:rFonts w:hint="default" w:ascii="Times New Roman" w:hAnsi="Times New Roman" w:cs="Times New Roman"/>
                <w:szCs w:val="21"/>
              </w:rPr>
            </w:pPr>
          </w:p>
        </w:tc>
        <w:tc>
          <w:tcPr>
            <w:tcW w:w="1212" w:type="dxa"/>
            <w:noWrap w:val="0"/>
            <w:vAlign w:val="top"/>
          </w:tcPr>
          <w:p w14:paraId="68993E0C">
            <w:pPr>
              <w:spacing w:line="440" w:lineRule="exact"/>
              <w:jc w:val="center"/>
              <w:rPr>
                <w:rFonts w:hint="default" w:ascii="Times New Roman" w:hAnsi="Times New Roman" w:cs="Times New Roman"/>
                <w:szCs w:val="21"/>
              </w:rPr>
            </w:pPr>
          </w:p>
        </w:tc>
        <w:tc>
          <w:tcPr>
            <w:tcW w:w="874" w:type="dxa"/>
            <w:noWrap w:val="0"/>
            <w:vAlign w:val="top"/>
          </w:tcPr>
          <w:p w14:paraId="1C814318">
            <w:pPr>
              <w:spacing w:line="440" w:lineRule="exact"/>
              <w:jc w:val="center"/>
              <w:rPr>
                <w:rFonts w:hint="default" w:ascii="Times New Roman" w:hAnsi="Times New Roman" w:cs="Times New Roman"/>
                <w:szCs w:val="21"/>
              </w:rPr>
            </w:pPr>
          </w:p>
        </w:tc>
        <w:tc>
          <w:tcPr>
            <w:tcW w:w="1055" w:type="dxa"/>
            <w:noWrap w:val="0"/>
            <w:vAlign w:val="top"/>
          </w:tcPr>
          <w:p w14:paraId="19D4E4F4">
            <w:pPr>
              <w:spacing w:line="440" w:lineRule="exact"/>
              <w:jc w:val="center"/>
              <w:rPr>
                <w:rFonts w:hint="default" w:ascii="Times New Roman" w:hAnsi="Times New Roman" w:cs="Times New Roman"/>
                <w:szCs w:val="21"/>
              </w:rPr>
            </w:pPr>
          </w:p>
        </w:tc>
        <w:tc>
          <w:tcPr>
            <w:tcW w:w="691" w:type="dxa"/>
            <w:noWrap w:val="0"/>
            <w:vAlign w:val="top"/>
          </w:tcPr>
          <w:p w14:paraId="6C6FF77C">
            <w:pPr>
              <w:spacing w:line="440" w:lineRule="exact"/>
              <w:jc w:val="center"/>
              <w:rPr>
                <w:rFonts w:hint="default" w:ascii="Times New Roman" w:hAnsi="Times New Roman" w:cs="Times New Roman"/>
                <w:szCs w:val="21"/>
              </w:rPr>
            </w:pPr>
          </w:p>
        </w:tc>
      </w:tr>
      <w:tr w14:paraId="14406A5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42F06BF">
            <w:pPr>
              <w:spacing w:line="440" w:lineRule="exact"/>
              <w:jc w:val="center"/>
              <w:rPr>
                <w:rFonts w:hint="default" w:ascii="Times New Roman" w:hAnsi="Times New Roman" w:cs="Times New Roman"/>
                <w:szCs w:val="21"/>
              </w:rPr>
            </w:pPr>
          </w:p>
        </w:tc>
        <w:tc>
          <w:tcPr>
            <w:tcW w:w="1086" w:type="dxa"/>
            <w:noWrap w:val="0"/>
            <w:vAlign w:val="top"/>
          </w:tcPr>
          <w:p w14:paraId="3425AF70">
            <w:pPr>
              <w:spacing w:line="440" w:lineRule="exact"/>
              <w:jc w:val="center"/>
              <w:rPr>
                <w:rFonts w:hint="default" w:ascii="Times New Roman" w:hAnsi="Times New Roman" w:cs="Times New Roman"/>
                <w:szCs w:val="21"/>
              </w:rPr>
            </w:pPr>
          </w:p>
        </w:tc>
        <w:tc>
          <w:tcPr>
            <w:tcW w:w="761" w:type="dxa"/>
            <w:noWrap w:val="0"/>
            <w:vAlign w:val="top"/>
          </w:tcPr>
          <w:p w14:paraId="2416F7A9">
            <w:pPr>
              <w:spacing w:line="440" w:lineRule="exact"/>
              <w:jc w:val="center"/>
              <w:rPr>
                <w:rFonts w:hint="default" w:ascii="Times New Roman" w:hAnsi="Times New Roman" w:cs="Times New Roman"/>
                <w:szCs w:val="21"/>
              </w:rPr>
            </w:pPr>
          </w:p>
        </w:tc>
        <w:tc>
          <w:tcPr>
            <w:tcW w:w="990" w:type="dxa"/>
            <w:noWrap w:val="0"/>
            <w:vAlign w:val="top"/>
          </w:tcPr>
          <w:p w14:paraId="355A4470">
            <w:pPr>
              <w:spacing w:line="440" w:lineRule="exact"/>
              <w:jc w:val="center"/>
              <w:rPr>
                <w:rFonts w:hint="default" w:ascii="Times New Roman" w:hAnsi="Times New Roman" w:cs="Times New Roman"/>
                <w:szCs w:val="21"/>
              </w:rPr>
            </w:pPr>
          </w:p>
        </w:tc>
        <w:tc>
          <w:tcPr>
            <w:tcW w:w="672" w:type="dxa"/>
            <w:noWrap w:val="0"/>
            <w:vAlign w:val="top"/>
          </w:tcPr>
          <w:p w14:paraId="5122B4E0">
            <w:pPr>
              <w:spacing w:line="440" w:lineRule="exact"/>
              <w:jc w:val="center"/>
              <w:rPr>
                <w:rFonts w:hint="default" w:ascii="Times New Roman" w:hAnsi="Times New Roman" w:cs="Times New Roman"/>
                <w:szCs w:val="21"/>
              </w:rPr>
            </w:pPr>
          </w:p>
        </w:tc>
        <w:tc>
          <w:tcPr>
            <w:tcW w:w="738" w:type="dxa"/>
            <w:noWrap w:val="0"/>
            <w:vAlign w:val="top"/>
          </w:tcPr>
          <w:p w14:paraId="5F0E4CCC">
            <w:pPr>
              <w:spacing w:line="440" w:lineRule="exact"/>
              <w:jc w:val="center"/>
              <w:rPr>
                <w:rFonts w:hint="default" w:ascii="Times New Roman" w:hAnsi="Times New Roman" w:cs="Times New Roman"/>
                <w:szCs w:val="21"/>
              </w:rPr>
            </w:pPr>
          </w:p>
        </w:tc>
        <w:tc>
          <w:tcPr>
            <w:tcW w:w="1212" w:type="dxa"/>
            <w:noWrap w:val="0"/>
            <w:vAlign w:val="top"/>
          </w:tcPr>
          <w:p w14:paraId="7DEF8E35">
            <w:pPr>
              <w:spacing w:line="440" w:lineRule="exact"/>
              <w:jc w:val="center"/>
              <w:rPr>
                <w:rFonts w:hint="default" w:ascii="Times New Roman" w:hAnsi="Times New Roman" w:cs="Times New Roman"/>
                <w:szCs w:val="21"/>
              </w:rPr>
            </w:pPr>
          </w:p>
        </w:tc>
        <w:tc>
          <w:tcPr>
            <w:tcW w:w="874" w:type="dxa"/>
            <w:noWrap w:val="0"/>
            <w:vAlign w:val="top"/>
          </w:tcPr>
          <w:p w14:paraId="61D032DA">
            <w:pPr>
              <w:spacing w:line="440" w:lineRule="exact"/>
              <w:jc w:val="center"/>
              <w:rPr>
                <w:rFonts w:hint="default" w:ascii="Times New Roman" w:hAnsi="Times New Roman" w:cs="Times New Roman"/>
                <w:szCs w:val="21"/>
              </w:rPr>
            </w:pPr>
          </w:p>
        </w:tc>
        <w:tc>
          <w:tcPr>
            <w:tcW w:w="1055" w:type="dxa"/>
            <w:noWrap w:val="0"/>
            <w:vAlign w:val="top"/>
          </w:tcPr>
          <w:p w14:paraId="4BEC10AA">
            <w:pPr>
              <w:spacing w:line="440" w:lineRule="exact"/>
              <w:jc w:val="center"/>
              <w:rPr>
                <w:rFonts w:hint="default" w:ascii="Times New Roman" w:hAnsi="Times New Roman" w:cs="Times New Roman"/>
                <w:szCs w:val="21"/>
              </w:rPr>
            </w:pPr>
          </w:p>
        </w:tc>
        <w:tc>
          <w:tcPr>
            <w:tcW w:w="691" w:type="dxa"/>
            <w:noWrap w:val="0"/>
            <w:vAlign w:val="top"/>
          </w:tcPr>
          <w:p w14:paraId="12F7A229">
            <w:pPr>
              <w:spacing w:line="440" w:lineRule="exact"/>
              <w:jc w:val="center"/>
              <w:rPr>
                <w:rFonts w:hint="default" w:ascii="Times New Roman" w:hAnsi="Times New Roman" w:cs="Times New Roman"/>
                <w:szCs w:val="21"/>
              </w:rPr>
            </w:pPr>
          </w:p>
        </w:tc>
      </w:tr>
      <w:tr w14:paraId="25E6EA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FD3C4D0">
            <w:pPr>
              <w:spacing w:line="440" w:lineRule="exact"/>
              <w:jc w:val="center"/>
              <w:rPr>
                <w:rFonts w:hint="default" w:ascii="Times New Roman" w:hAnsi="Times New Roman" w:cs="Times New Roman"/>
                <w:szCs w:val="21"/>
              </w:rPr>
            </w:pPr>
          </w:p>
        </w:tc>
        <w:tc>
          <w:tcPr>
            <w:tcW w:w="1086" w:type="dxa"/>
            <w:noWrap w:val="0"/>
            <w:vAlign w:val="top"/>
          </w:tcPr>
          <w:p w14:paraId="75844D3A">
            <w:pPr>
              <w:spacing w:line="440" w:lineRule="exact"/>
              <w:jc w:val="center"/>
              <w:rPr>
                <w:rFonts w:hint="default" w:ascii="Times New Roman" w:hAnsi="Times New Roman" w:cs="Times New Roman"/>
                <w:szCs w:val="21"/>
              </w:rPr>
            </w:pPr>
          </w:p>
        </w:tc>
        <w:tc>
          <w:tcPr>
            <w:tcW w:w="761" w:type="dxa"/>
            <w:noWrap w:val="0"/>
            <w:vAlign w:val="top"/>
          </w:tcPr>
          <w:p w14:paraId="372633A5">
            <w:pPr>
              <w:spacing w:line="440" w:lineRule="exact"/>
              <w:jc w:val="center"/>
              <w:rPr>
                <w:rFonts w:hint="default" w:ascii="Times New Roman" w:hAnsi="Times New Roman" w:cs="Times New Roman"/>
                <w:szCs w:val="21"/>
              </w:rPr>
            </w:pPr>
          </w:p>
        </w:tc>
        <w:tc>
          <w:tcPr>
            <w:tcW w:w="990" w:type="dxa"/>
            <w:noWrap w:val="0"/>
            <w:vAlign w:val="top"/>
          </w:tcPr>
          <w:p w14:paraId="1BF94190">
            <w:pPr>
              <w:spacing w:line="440" w:lineRule="exact"/>
              <w:jc w:val="center"/>
              <w:rPr>
                <w:rFonts w:hint="default" w:ascii="Times New Roman" w:hAnsi="Times New Roman" w:cs="Times New Roman"/>
                <w:szCs w:val="21"/>
              </w:rPr>
            </w:pPr>
          </w:p>
        </w:tc>
        <w:tc>
          <w:tcPr>
            <w:tcW w:w="672" w:type="dxa"/>
            <w:noWrap w:val="0"/>
            <w:vAlign w:val="top"/>
          </w:tcPr>
          <w:p w14:paraId="36AD8CF7">
            <w:pPr>
              <w:spacing w:line="440" w:lineRule="exact"/>
              <w:jc w:val="center"/>
              <w:rPr>
                <w:rFonts w:hint="default" w:ascii="Times New Roman" w:hAnsi="Times New Roman" w:cs="Times New Roman"/>
                <w:szCs w:val="21"/>
              </w:rPr>
            </w:pPr>
          </w:p>
        </w:tc>
        <w:tc>
          <w:tcPr>
            <w:tcW w:w="738" w:type="dxa"/>
            <w:noWrap w:val="0"/>
            <w:vAlign w:val="top"/>
          </w:tcPr>
          <w:p w14:paraId="0BD5C605">
            <w:pPr>
              <w:spacing w:line="440" w:lineRule="exact"/>
              <w:jc w:val="center"/>
              <w:rPr>
                <w:rFonts w:hint="default" w:ascii="Times New Roman" w:hAnsi="Times New Roman" w:cs="Times New Roman"/>
                <w:szCs w:val="21"/>
              </w:rPr>
            </w:pPr>
          </w:p>
        </w:tc>
        <w:tc>
          <w:tcPr>
            <w:tcW w:w="1212" w:type="dxa"/>
            <w:noWrap w:val="0"/>
            <w:vAlign w:val="top"/>
          </w:tcPr>
          <w:p w14:paraId="6E258F40">
            <w:pPr>
              <w:spacing w:line="440" w:lineRule="exact"/>
              <w:jc w:val="center"/>
              <w:rPr>
                <w:rFonts w:hint="default" w:ascii="Times New Roman" w:hAnsi="Times New Roman" w:cs="Times New Roman"/>
                <w:szCs w:val="21"/>
              </w:rPr>
            </w:pPr>
          </w:p>
        </w:tc>
        <w:tc>
          <w:tcPr>
            <w:tcW w:w="874" w:type="dxa"/>
            <w:noWrap w:val="0"/>
            <w:vAlign w:val="top"/>
          </w:tcPr>
          <w:p w14:paraId="1F75074C">
            <w:pPr>
              <w:spacing w:line="440" w:lineRule="exact"/>
              <w:jc w:val="center"/>
              <w:rPr>
                <w:rFonts w:hint="default" w:ascii="Times New Roman" w:hAnsi="Times New Roman" w:cs="Times New Roman"/>
                <w:szCs w:val="21"/>
              </w:rPr>
            </w:pPr>
          </w:p>
        </w:tc>
        <w:tc>
          <w:tcPr>
            <w:tcW w:w="1055" w:type="dxa"/>
            <w:noWrap w:val="0"/>
            <w:vAlign w:val="top"/>
          </w:tcPr>
          <w:p w14:paraId="738BDF24">
            <w:pPr>
              <w:spacing w:line="440" w:lineRule="exact"/>
              <w:jc w:val="center"/>
              <w:rPr>
                <w:rFonts w:hint="default" w:ascii="Times New Roman" w:hAnsi="Times New Roman" w:cs="Times New Roman"/>
                <w:szCs w:val="21"/>
              </w:rPr>
            </w:pPr>
          </w:p>
        </w:tc>
        <w:tc>
          <w:tcPr>
            <w:tcW w:w="691" w:type="dxa"/>
            <w:noWrap w:val="0"/>
            <w:vAlign w:val="top"/>
          </w:tcPr>
          <w:p w14:paraId="240AFCDD">
            <w:pPr>
              <w:spacing w:line="440" w:lineRule="exact"/>
              <w:jc w:val="center"/>
              <w:rPr>
                <w:rFonts w:hint="default" w:ascii="Times New Roman" w:hAnsi="Times New Roman" w:cs="Times New Roman"/>
                <w:szCs w:val="21"/>
              </w:rPr>
            </w:pPr>
          </w:p>
        </w:tc>
      </w:tr>
      <w:tr w14:paraId="400B9F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1B1C87F5">
            <w:pPr>
              <w:spacing w:line="440" w:lineRule="exact"/>
              <w:jc w:val="center"/>
              <w:rPr>
                <w:rFonts w:hint="default" w:ascii="Times New Roman" w:hAnsi="Times New Roman" w:cs="Times New Roman"/>
                <w:szCs w:val="21"/>
              </w:rPr>
            </w:pPr>
          </w:p>
        </w:tc>
        <w:tc>
          <w:tcPr>
            <w:tcW w:w="1086" w:type="dxa"/>
            <w:noWrap w:val="0"/>
            <w:vAlign w:val="top"/>
          </w:tcPr>
          <w:p w14:paraId="4ED057EA">
            <w:pPr>
              <w:spacing w:line="440" w:lineRule="exact"/>
              <w:jc w:val="center"/>
              <w:rPr>
                <w:rFonts w:hint="default" w:ascii="Times New Roman" w:hAnsi="Times New Roman" w:cs="Times New Roman"/>
                <w:szCs w:val="21"/>
              </w:rPr>
            </w:pPr>
          </w:p>
        </w:tc>
        <w:tc>
          <w:tcPr>
            <w:tcW w:w="761" w:type="dxa"/>
            <w:noWrap w:val="0"/>
            <w:vAlign w:val="top"/>
          </w:tcPr>
          <w:p w14:paraId="3AA6B268">
            <w:pPr>
              <w:spacing w:line="440" w:lineRule="exact"/>
              <w:jc w:val="center"/>
              <w:rPr>
                <w:rFonts w:hint="default" w:ascii="Times New Roman" w:hAnsi="Times New Roman" w:cs="Times New Roman"/>
                <w:szCs w:val="21"/>
              </w:rPr>
            </w:pPr>
          </w:p>
        </w:tc>
        <w:tc>
          <w:tcPr>
            <w:tcW w:w="990" w:type="dxa"/>
            <w:noWrap w:val="0"/>
            <w:vAlign w:val="top"/>
          </w:tcPr>
          <w:p w14:paraId="54AF2EB4">
            <w:pPr>
              <w:spacing w:line="440" w:lineRule="exact"/>
              <w:jc w:val="center"/>
              <w:rPr>
                <w:rFonts w:hint="default" w:ascii="Times New Roman" w:hAnsi="Times New Roman" w:cs="Times New Roman"/>
                <w:szCs w:val="21"/>
              </w:rPr>
            </w:pPr>
          </w:p>
        </w:tc>
        <w:tc>
          <w:tcPr>
            <w:tcW w:w="672" w:type="dxa"/>
            <w:noWrap w:val="0"/>
            <w:vAlign w:val="top"/>
          </w:tcPr>
          <w:p w14:paraId="094CDF07">
            <w:pPr>
              <w:spacing w:line="440" w:lineRule="exact"/>
              <w:jc w:val="center"/>
              <w:rPr>
                <w:rFonts w:hint="default" w:ascii="Times New Roman" w:hAnsi="Times New Roman" w:cs="Times New Roman"/>
                <w:szCs w:val="21"/>
              </w:rPr>
            </w:pPr>
          </w:p>
        </w:tc>
        <w:tc>
          <w:tcPr>
            <w:tcW w:w="738" w:type="dxa"/>
            <w:noWrap w:val="0"/>
            <w:vAlign w:val="top"/>
          </w:tcPr>
          <w:p w14:paraId="3E5B6572">
            <w:pPr>
              <w:spacing w:line="440" w:lineRule="exact"/>
              <w:jc w:val="center"/>
              <w:rPr>
                <w:rFonts w:hint="default" w:ascii="Times New Roman" w:hAnsi="Times New Roman" w:cs="Times New Roman"/>
                <w:szCs w:val="21"/>
              </w:rPr>
            </w:pPr>
          </w:p>
        </w:tc>
        <w:tc>
          <w:tcPr>
            <w:tcW w:w="1212" w:type="dxa"/>
            <w:noWrap w:val="0"/>
            <w:vAlign w:val="top"/>
          </w:tcPr>
          <w:p w14:paraId="7223A523">
            <w:pPr>
              <w:spacing w:line="440" w:lineRule="exact"/>
              <w:jc w:val="center"/>
              <w:rPr>
                <w:rFonts w:hint="default" w:ascii="Times New Roman" w:hAnsi="Times New Roman" w:cs="Times New Roman"/>
                <w:szCs w:val="21"/>
              </w:rPr>
            </w:pPr>
          </w:p>
        </w:tc>
        <w:tc>
          <w:tcPr>
            <w:tcW w:w="874" w:type="dxa"/>
            <w:noWrap w:val="0"/>
            <w:vAlign w:val="top"/>
          </w:tcPr>
          <w:p w14:paraId="69BC1CFF">
            <w:pPr>
              <w:spacing w:line="440" w:lineRule="exact"/>
              <w:jc w:val="center"/>
              <w:rPr>
                <w:rFonts w:hint="default" w:ascii="Times New Roman" w:hAnsi="Times New Roman" w:cs="Times New Roman"/>
                <w:szCs w:val="21"/>
              </w:rPr>
            </w:pPr>
          </w:p>
        </w:tc>
        <w:tc>
          <w:tcPr>
            <w:tcW w:w="1055" w:type="dxa"/>
            <w:noWrap w:val="0"/>
            <w:vAlign w:val="top"/>
          </w:tcPr>
          <w:p w14:paraId="0137E09F">
            <w:pPr>
              <w:spacing w:line="440" w:lineRule="exact"/>
              <w:jc w:val="center"/>
              <w:rPr>
                <w:rFonts w:hint="default" w:ascii="Times New Roman" w:hAnsi="Times New Roman" w:cs="Times New Roman"/>
                <w:szCs w:val="21"/>
              </w:rPr>
            </w:pPr>
          </w:p>
        </w:tc>
        <w:tc>
          <w:tcPr>
            <w:tcW w:w="691" w:type="dxa"/>
            <w:noWrap w:val="0"/>
            <w:vAlign w:val="top"/>
          </w:tcPr>
          <w:p w14:paraId="1FB766EC">
            <w:pPr>
              <w:spacing w:line="440" w:lineRule="exact"/>
              <w:jc w:val="center"/>
              <w:rPr>
                <w:rFonts w:hint="default" w:ascii="Times New Roman" w:hAnsi="Times New Roman" w:cs="Times New Roman"/>
                <w:szCs w:val="21"/>
              </w:rPr>
            </w:pPr>
          </w:p>
        </w:tc>
      </w:tr>
      <w:tr w14:paraId="4DF34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CF71B07">
            <w:pPr>
              <w:spacing w:line="440" w:lineRule="exact"/>
              <w:jc w:val="center"/>
              <w:rPr>
                <w:rFonts w:hint="default" w:ascii="Times New Roman" w:hAnsi="Times New Roman" w:cs="Times New Roman"/>
                <w:szCs w:val="21"/>
              </w:rPr>
            </w:pPr>
          </w:p>
        </w:tc>
        <w:tc>
          <w:tcPr>
            <w:tcW w:w="1086" w:type="dxa"/>
            <w:noWrap w:val="0"/>
            <w:vAlign w:val="top"/>
          </w:tcPr>
          <w:p w14:paraId="1C847207">
            <w:pPr>
              <w:spacing w:line="440" w:lineRule="exact"/>
              <w:jc w:val="center"/>
              <w:rPr>
                <w:rFonts w:hint="default" w:ascii="Times New Roman" w:hAnsi="Times New Roman" w:cs="Times New Roman"/>
                <w:szCs w:val="21"/>
              </w:rPr>
            </w:pPr>
          </w:p>
        </w:tc>
        <w:tc>
          <w:tcPr>
            <w:tcW w:w="761" w:type="dxa"/>
            <w:noWrap w:val="0"/>
            <w:vAlign w:val="top"/>
          </w:tcPr>
          <w:p w14:paraId="4D6CAFD6">
            <w:pPr>
              <w:spacing w:line="440" w:lineRule="exact"/>
              <w:jc w:val="center"/>
              <w:rPr>
                <w:rFonts w:hint="default" w:ascii="Times New Roman" w:hAnsi="Times New Roman" w:cs="Times New Roman"/>
                <w:szCs w:val="21"/>
              </w:rPr>
            </w:pPr>
          </w:p>
        </w:tc>
        <w:tc>
          <w:tcPr>
            <w:tcW w:w="990" w:type="dxa"/>
            <w:noWrap w:val="0"/>
            <w:vAlign w:val="top"/>
          </w:tcPr>
          <w:p w14:paraId="4BC033EB">
            <w:pPr>
              <w:spacing w:line="440" w:lineRule="exact"/>
              <w:jc w:val="center"/>
              <w:rPr>
                <w:rFonts w:hint="default" w:ascii="Times New Roman" w:hAnsi="Times New Roman" w:cs="Times New Roman"/>
                <w:szCs w:val="21"/>
              </w:rPr>
            </w:pPr>
          </w:p>
        </w:tc>
        <w:tc>
          <w:tcPr>
            <w:tcW w:w="672" w:type="dxa"/>
            <w:noWrap w:val="0"/>
            <w:vAlign w:val="top"/>
          </w:tcPr>
          <w:p w14:paraId="67D356D7">
            <w:pPr>
              <w:spacing w:line="440" w:lineRule="exact"/>
              <w:jc w:val="center"/>
              <w:rPr>
                <w:rFonts w:hint="default" w:ascii="Times New Roman" w:hAnsi="Times New Roman" w:cs="Times New Roman"/>
                <w:szCs w:val="21"/>
              </w:rPr>
            </w:pPr>
          </w:p>
        </w:tc>
        <w:tc>
          <w:tcPr>
            <w:tcW w:w="738" w:type="dxa"/>
            <w:noWrap w:val="0"/>
            <w:vAlign w:val="top"/>
          </w:tcPr>
          <w:p w14:paraId="1531A503">
            <w:pPr>
              <w:spacing w:line="440" w:lineRule="exact"/>
              <w:jc w:val="center"/>
              <w:rPr>
                <w:rFonts w:hint="default" w:ascii="Times New Roman" w:hAnsi="Times New Roman" w:cs="Times New Roman"/>
                <w:szCs w:val="21"/>
              </w:rPr>
            </w:pPr>
          </w:p>
        </w:tc>
        <w:tc>
          <w:tcPr>
            <w:tcW w:w="1212" w:type="dxa"/>
            <w:noWrap w:val="0"/>
            <w:vAlign w:val="top"/>
          </w:tcPr>
          <w:p w14:paraId="0ADFD8C0">
            <w:pPr>
              <w:spacing w:line="440" w:lineRule="exact"/>
              <w:jc w:val="center"/>
              <w:rPr>
                <w:rFonts w:hint="default" w:ascii="Times New Roman" w:hAnsi="Times New Roman" w:cs="Times New Roman"/>
                <w:szCs w:val="21"/>
              </w:rPr>
            </w:pPr>
          </w:p>
        </w:tc>
        <w:tc>
          <w:tcPr>
            <w:tcW w:w="874" w:type="dxa"/>
            <w:noWrap w:val="0"/>
            <w:vAlign w:val="top"/>
          </w:tcPr>
          <w:p w14:paraId="67846668">
            <w:pPr>
              <w:spacing w:line="440" w:lineRule="exact"/>
              <w:jc w:val="center"/>
              <w:rPr>
                <w:rFonts w:hint="default" w:ascii="Times New Roman" w:hAnsi="Times New Roman" w:cs="Times New Roman"/>
                <w:szCs w:val="21"/>
              </w:rPr>
            </w:pPr>
          </w:p>
        </w:tc>
        <w:tc>
          <w:tcPr>
            <w:tcW w:w="1055" w:type="dxa"/>
            <w:noWrap w:val="0"/>
            <w:vAlign w:val="top"/>
          </w:tcPr>
          <w:p w14:paraId="4F8FF856">
            <w:pPr>
              <w:spacing w:line="440" w:lineRule="exact"/>
              <w:jc w:val="center"/>
              <w:rPr>
                <w:rFonts w:hint="default" w:ascii="Times New Roman" w:hAnsi="Times New Roman" w:cs="Times New Roman"/>
                <w:szCs w:val="21"/>
              </w:rPr>
            </w:pPr>
          </w:p>
        </w:tc>
        <w:tc>
          <w:tcPr>
            <w:tcW w:w="691" w:type="dxa"/>
            <w:noWrap w:val="0"/>
            <w:vAlign w:val="top"/>
          </w:tcPr>
          <w:p w14:paraId="29346E7E">
            <w:pPr>
              <w:spacing w:line="440" w:lineRule="exact"/>
              <w:jc w:val="center"/>
              <w:rPr>
                <w:rFonts w:hint="default" w:ascii="Times New Roman" w:hAnsi="Times New Roman" w:cs="Times New Roman"/>
                <w:szCs w:val="21"/>
              </w:rPr>
            </w:pPr>
          </w:p>
        </w:tc>
      </w:tr>
      <w:tr w14:paraId="33E59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5DFC12B">
            <w:pPr>
              <w:spacing w:line="440" w:lineRule="exact"/>
              <w:jc w:val="center"/>
              <w:rPr>
                <w:rFonts w:hint="default" w:ascii="Times New Roman" w:hAnsi="Times New Roman" w:cs="Times New Roman"/>
                <w:szCs w:val="21"/>
              </w:rPr>
            </w:pPr>
          </w:p>
        </w:tc>
        <w:tc>
          <w:tcPr>
            <w:tcW w:w="1086" w:type="dxa"/>
            <w:noWrap w:val="0"/>
            <w:vAlign w:val="top"/>
          </w:tcPr>
          <w:p w14:paraId="01FB51F0">
            <w:pPr>
              <w:spacing w:line="440" w:lineRule="exact"/>
              <w:jc w:val="center"/>
              <w:rPr>
                <w:rFonts w:hint="default" w:ascii="Times New Roman" w:hAnsi="Times New Roman" w:cs="Times New Roman"/>
                <w:szCs w:val="21"/>
              </w:rPr>
            </w:pPr>
          </w:p>
        </w:tc>
        <w:tc>
          <w:tcPr>
            <w:tcW w:w="761" w:type="dxa"/>
            <w:noWrap w:val="0"/>
            <w:vAlign w:val="top"/>
          </w:tcPr>
          <w:p w14:paraId="715BF46D">
            <w:pPr>
              <w:spacing w:line="440" w:lineRule="exact"/>
              <w:jc w:val="center"/>
              <w:rPr>
                <w:rFonts w:hint="default" w:ascii="Times New Roman" w:hAnsi="Times New Roman" w:cs="Times New Roman"/>
                <w:szCs w:val="21"/>
              </w:rPr>
            </w:pPr>
          </w:p>
        </w:tc>
        <w:tc>
          <w:tcPr>
            <w:tcW w:w="990" w:type="dxa"/>
            <w:noWrap w:val="0"/>
            <w:vAlign w:val="top"/>
          </w:tcPr>
          <w:p w14:paraId="4628C014">
            <w:pPr>
              <w:spacing w:line="440" w:lineRule="exact"/>
              <w:jc w:val="center"/>
              <w:rPr>
                <w:rFonts w:hint="default" w:ascii="Times New Roman" w:hAnsi="Times New Roman" w:cs="Times New Roman"/>
                <w:szCs w:val="21"/>
              </w:rPr>
            </w:pPr>
          </w:p>
        </w:tc>
        <w:tc>
          <w:tcPr>
            <w:tcW w:w="672" w:type="dxa"/>
            <w:noWrap w:val="0"/>
            <w:vAlign w:val="top"/>
          </w:tcPr>
          <w:p w14:paraId="37E74B54">
            <w:pPr>
              <w:spacing w:line="440" w:lineRule="exact"/>
              <w:jc w:val="center"/>
              <w:rPr>
                <w:rFonts w:hint="default" w:ascii="Times New Roman" w:hAnsi="Times New Roman" w:cs="Times New Roman"/>
                <w:szCs w:val="21"/>
              </w:rPr>
            </w:pPr>
          </w:p>
        </w:tc>
        <w:tc>
          <w:tcPr>
            <w:tcW w:w="738" w:type="dxa"/>
            <w:noWrap w:val="0"/>
            <w:vAlign w:val="top"/>
          </w:tcPr>
          <w:p w14:paraId="087BD60A">
            <w:pPr>
              <w:spacing w:line="440" w:lineRule="exact"/>
              <w:jc w:val="center"/>
              <w:rPr>
                <w:rFonts w:hint="default" w:ascii="Times New Roman" w:hAnsi="Times New Roman" w:cs="Times New Roman"/>
                <w:szCs w:val="21"/>
              </w:rPr>
            </w:pPr>
          </w:p>
        </w:tc>
        <w:tc>
          <w:tcPr>
            <w:tcW w:w="1212" w:type="dxa"/>
            <w:noWrap w:val="0"/>
            <w:vAlign w:val="top"/>
          </w:tcPr>
          <w:p w14:paraId="2C0C1C7A">
            <w:pPr>
              <w:spacing w:line="440" w:lineRule="exact"/>
              <w:jc w:val="center"/>
              <w:rPr>
                <w:rFonts w:hint="default" w:ascii="Times New Roman" w:hAnsi="Times New Roman" w:cs="Times New Roman"/>
                <w:szCs w:val="21"/>
              </w:rPr>
            </w:pPr>
          </w:p>
        </w:tc>
        <w:tc>
          <w:tcPr>
            <w:tcW w:w="874" w:type="dxa"/>
            <w:noWrap w:val="0"/>
            <w:vAlign w:val="top"/>
          </w:tcPr>
          <w:p w14:paraId="4C6656D7">
            <w:pPr>
              <w:spacing w:line="440" w:lineRule="exact"/>
              <w:jc w:val="center"/>
              <w:rPr>
                <w:rFonts w:hint="default" w:ascii="Times New Roman" w:hAnsi="Times New Roman" w:cs="Times New Roman"/>
                <w:szCs w:val="21"/>
              </w:rPr>
            </w:pPr>
          </w:p>
        </w:tc>
        <w:tc>
          <w:tcPr>
            <w:tcW w:w="1055" w:type="dxa"/>
            <w:noWrap w:val="0"/>
            <w:vAlign w:val="top"/>
          </w:tcPr>
          <w:p w14:paraId="01295905">
            <w:pPr>
              <w:spacing w:line="440" w:lineRule="exact"/>
              <w:jc w:val="center"/>
              <w:rPr>
                <w:rFonts w:hint="default" w:ascii="Times New Roman" w:hAnsi="Times New Roman" w:cs="Times New Roman"/>
                <w:szCs w:val="21"/>
              </w:rPr>
            </w:pPr>
          </w:p>
        </w:tc>
        <w:tc>
          <w:tcPr>
            <w:tcW w:w="691" w:type="dxa"/>
            <w:noWrap w:val="0"/>
            <w:vAlign w:val="top"/>
          </w:tcPr>
          <w:p w14:paraId="33DC7E8A">
            <w:pPr>
              <w:spacing w:line="440" w:lineRule="exact"/>
              <w:jc w:val="center"/>
              <w:rPr>
                <w:rFonts w:hint="default" w:ascii="Times New Roman" w:hAnsi="Times New Roman" w:cs="Times New Roman"/>
                <w:szCs w:val="21"/>
              </w:rPr>
            </w:pPr>
          </w:p>
        </w:tc>
      </w:tr>
      <w:tr w14:paraId="5C69F3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62911AD">
            <w:pPr>
              <w:spacing w:line="440" w:lineRule="exact"/>
              <w:jc w:val="center"/>
              <w:rPr>
                <w:rFonts w:hint="default" w:ascii="Times New Roman" w:hAnsi="Times New Roman" w:cs="Times New Roman"/>
                <w:szCs w:val="21"/>
              </w:rPr>
            </w:pPr>
          </w:p>
        </w:tc>
        <w:tc>
          <w:tcPr>
            <w:tcW w:w="1086" w:type="dxa"/>
            <w:noWrap w:val="0"/>
            <w:vAlign w:val="top"/>
          </w:tcPr>
          <w:p w14:paraId="4EF490AF">
            <w:pPr>
              <w:spacing w:line="440" w:lineRule="exact"/>
              <w:jc w:val="center"/>
              <w:rPr>
                <w:rFonts w:hint="default" w:ascii="Times New Roman" w:hAnsi="Times New Roman" w:cs="Times New Roman"/>
                <w:szCs w:val="21"/>
              </w:rPr>
            </w:pPr>
          </w:p>
        </w:tc>
        <w:tc>
          <w:tcPr>
            <w:tcW w:w="761" w:type="dxa"/>
            <w:noWrap w:val="0"/>
            <w:vAlign w:val="top"/>
          </w:tcPr>
          <w:p w14:paraId="1994684E">
            <w:pPr>
              <w:spacing w:line="440" w:lineRule="exact"/>
              <w:jc w:val="center"/>
              <w:rPr>
                <w:rFonts w:hint="default" w:ascii="Times New Roman" w:hAnsi="Times New Roman" w:cs="Times New Roman"/>
                <w:szCs w:val="21"/>
              </w:rPr>
            </w:pPr>
          </w:p>
        </w:tc>
        <w:tc>
          <w:tcPr>
            <w:tcW w:w="990" w:type="dxa"/>
            <w:noWrap w:val="0"/>
            <w:vAlign w:val="top"/>
          </w:tcPr>
          <w:p w14:paraId="5038D887">
            <w:pPr>
              <w:spacing w:line="440" w:lineRule="exact"/>
              <w:jc w:val="center"/>
              <w:rPr>
                <w:rFonts w:hint="default" w:ascii="Times New Roman" w:hAnsi="Times New Roman" w:cs="Times New Roman"/>
                <w:szCs w:val="21"/>
              </w:rPr>
            </w:pPr>
          </w:p>
        </w:tc>
        <w:tc>
          <w:tcPr>
            <w:tcW w:w="672" w:type="dxa"/>
            <w:noWrap w:val="0"/>
            <w:vAlign w:val="top"/>
          </w:tcPr>
          <w:p w14:paraId="334060EE">
            <w:pPr>
              <w:spacing w:line="440" w:lineRule="exact"/>
              <w:jc w:val="center"/>
              <w:rPr>
                <w:rFonts w:hint="default" w:ascii="Times New Roman" w:hAnsi="Times New Roman" w:cs="Times New Roman"/>
                <w:szCs w:val="21"/>
              </w:rPr>
            </w:pPr>
          </w:p>
        </w:tc>
        <w:tc>
          <w:tcPr>
            <w:tcW w:w="738" w:type="dxa"/>
            <w:noWrap w:val="0"/>
            <w:vAlign w:val="top"/>
          </w:tcPr>
          <w:p w14:paraId="7FC96FF7">
            <w:pPr>
              <w:spacing w:line="440" w:lineRule="exact"/>
              <w:jc w:val="center"/>
              <w:rPr>
                <w:rFonts w:hint="default" w:ascii="Times New Roman" w:hAnsi="Times New Roman" w:cs="Times New Roman"/>
                <w:szCs w:val="21"/>
              </w:rPr>
            </w:pPr>
          </w:p>
        </w:tc>
        <w:tc>
          <w:tcPr>
            <w:tcW w:w="1212" w:type="dxa"/>
            <w:noWrap w:val="0"/>
            <w:vAlign w:val="top"/>
          </w:tcPr>
          <w:p w14:paraId="39B5271D">
            <w:pPr>
              <w:spacing w:line="440" w:lineRule="exact"/>
              <w:jc w:val="center"/>
              <w:rPr>
                <w:rFonts w:hint="default" w:ascii="Times New Roman" w:hAnsi="Times New Roman" w:cs="Times New Roman"/>
                <w:szCs w:val="21"/>
              </w:rPr>
            </w:pPr>
          </w:p>
        </w:tc>
        <w:tc>
          <w:tcPr>
            <w:tcW w:w="874" w:type="dxa"/>
            <w:noWrap w:val="0"/>
            <w:vAlign w:val="top"/>
          </w:tcPr>
          <w:p w14:paraId="67C21E49">
            <w:pPr>
              <w:spacing w:line="440" w:lineRule="exact"/>
              <w:jc w:val="center"/>
              <w:rPr>
                <w:rFonts w:hint="default" w:ascii="Times New Roman" w:hAnsi="Times New Roman" w:cs="Times New Roman"/>
                <w:szCs w:val="21"/>
              </w:rPr>
            </w:pPr>
          </w:p>
        </w:tc>
        <w:tc>
          <w:tcPr>
            <w:tcW w:w="1055" w:type="dxa"/>
            <w:noWrap w:val="0"/>
            <w:vAlign w:val="top"/>
          </w:tcPr>
          <w:p w14:paraId="457E647C">
            <w:pPr>
              <w:spacing w:line="440" w:lineRule="exact"/>
              <w:jc w:val="center"/>
              <w:rPr>
                <w:rFonts w:hint="default" w:ascii="Times New Roman" w:hAnsi="Times New Roman" w:cs="Times New Roman"/>
                <w:szCs w:val="21"/>
              </w:rPr>
            </w:pPr>
          </w:p>
        </w:tc>
        <w:tc>
          <w:tcPr>
            <w:tcW w:w="691" w:type="dxa"/>
            <w:noWrap w:val="0"/>
            <w:vAlign w:val="top"/>
          </w:tcPr>
          <w:p w14:paraId="4ECBC6D4">
            <w:pPr>
              <w:spacing w:line="440" w:lineRule="exact"/>
              <w:jc w:val="center"/>
              <w:rPr>
                <w:rFonts w:hint="default" w:ascii="Times New Roman" w:hAnsi="Times New Roman" w:cs="Times New Roman"/>
                <w:szCs w:val="21"/>
              </w:rPr>
            </w:pPr>
          </w:p>
        </w:tc>
      </w:tr>
      <w:tr w14:paraId="1ADF0F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7C533B1">
            <w:pPr>
              <w:spacing w:line="440" w:lineRule="exact"/>
              <w:jc w:val="center"/>
              <w:rPr>
                <w:rFonts w:hint="default" w:ascii="Times New Roman" w:hAnsi="Times New Roman" w:cs="Times New Roman"/>
                <w:szCs w:val="21"/>
              </w:rPr>
            </w:pPr>
          </w:p>
        </w:tc>
        <w:tc>
          <w:tcPr>
            <w:tcW w:w="1086" w:type="dxa"/>
            <w:noWrap w:val="0"/>
            <w:vAlign w:val="top"/>
          </w:tcPr>
          <w:p w14:paraId="6EAD9E47">
            <w:pPr>
              <w:spacing w:line="440" w:lineRule="exact"/>
              <w:jc w:val="center"/>
              <w:rPr>
                <w:rFonts w:hint="default" w:ascii="Times New Roman" w:hAnsi="Times New Roman" w:cs="Times New Roman"/>
                <w:szCs w:val="21"/>
              </w:rPr>
            </w:pPr>
          </w:p>
        </w:tc>
        <w:tc>
          <w:tcPr>
            <w:tcW w:w="761" w:type="dxa"/>
            <w:noWrap w:val="0"/>
            <w:vAlign w:val="top"/>
          </w:tcPr>
          <w:p w14:paraId="06928364">
            <w:pPr>
              <w:spacing w:line="440" w:lineRule="exact"/>
              <w:jc w:val="center"/>
              <w:rPr>
                <w:rFonts w:hint="default" w:ascii="Times New Roman" w:hAnsi="Times New Roman" w:cs="Times New Roman"/>
                <w:szCs w:val="21"/>
              </w:rPr>
            </w:pPr>
          </w:p>
        </w:tc>
        <w:tc>
          <w:tcPr>
            <w:tcW w:w="990" w:type="dxa"/>
            <w:noWrap w:val="0"/>
            <w:vAlign w:val="top"/>
          </w:tcPr>
          <w:p w14:paraId="14C9C15C">
            <w:pPr>
              <w:spacing w:line="440" w:lineRule="exact"/>
              <w:jc w:val="center"/>
              <w:rPr>
                <w:rFonts w:hint="default" w:ascii="Times New Roman" w:hAnsi="Times New Roman" w:cs="Times New Roman"/>
                <w:szCs w:val="21"/>
              </w:rPr>
            </w:pPr>
          </w:p>
        </w:tc>
        <w:tc>
          <w:tcPr>
            <w:tcW w:w="672" w:type="dxa"/>
            <w:noWrap w:val="0"/>
            <w:vAlign w:val="top"/>
          </w:tcPr>
          <w:p w14:paraId="0D34DF13">
            <w:pPr>
              <w:spacing w:line="440" w:lineRule="exact"/>
              <w:jc w:val="center"/>
              <w:rPr>
                <w:rFonts w:hint="default" w:ascii="Times New Roman" w:hAnsi="Times New Roman" w:cs="Times New Roman"/>
                <w:szCs w:val="21"/>
              </w:rPr>
            </w:pPr>
          </w:p>
        </w:tc>
        <w:tc>
          <w:tcPr>
            <w:tcW w:w="738" w:type="dxa"/>
            <w:noWrap w:val="0"/>
            <w:vAlign w:val="top"/>
          </w:tcPr>
          <w:p w14:paraId="5639FD92">
            <w:pPr>
              <w:spacing w:line="440" w:lineRule="exact"/>
              <w:jc w:val="center"/>
              <w:rPr>
                <w:rFonts w:hint="default" w:ascii="Times New Roman" w:hAnsi="Times New Roman" w:cs="Times New Roman"/>
                <w:szCs w:val="21"/>
              </w:rPr>
            </w:pPr>
          </w:p>
        </w:tc>
        <w:tc>
          <w:tcPr>
            <w:tcW w:w="1212" w:type="dxa"/>
            <w:noWrap w:val="0"/>
            <w:vAlign w:val="top"/>
          </w:tcPr>
          <w:p w14:paraId="71865113">
            <w:pPr>
              <w:spacing w:line="440" w:lineRule="exact"/>
              <w:jc w:val="center"/>
              <w:rPr>
                <w:rFonts w:hint="default" w:ascii="Times New Roman" w:hAnsi="Times New Roman" w:cs="Times New Roman"/>
                <w:szCs w:val="21"/>
              </w:rPr>
            </w:pPr>
          </w:p>
        </w:tc>
        <w:tc>
          <w:tcPr>
            <w:tcW w:w="874" w:type="dxa"/>
            <w:noWrap w:val="0"/>
            <w:vAlign w:val="top"/>
          </w:tcPr>
          <w:p w14:paraId="5905CE78">
            <w:pPr>
              <w:spacing w:line="440" w:lineRule="exact"/>
              <w:jc w:val="center"/>
              <w:rPr>
                <w:rFonts w:hint="default" w:ascii="Times New Roman" w:hAnsi="Times New Roman" w:cs="Times New Roman"/>
                <w:szCs w:val="21"/>
              </w:rPr>
            </w:pPr>
          </w:p>
        </w:tc>
        <w:tc>
          <w:tcPr>
            <w:tcW w:w="1055" w:type="dxa"/>
            <w:noWrap w:val="0"/>
            <w:vAlign w:val="top"/>
          </w:tcPr>
          <w:p w14:paraId="600C286E">
            <w:pPr>
              <w:spacing w:line="440" w:lineRule="exact"/>
              <w:jc w:val="center"/>
              <w:rPr>
                <w:rFonts w:hint="default" w:ascii="Times New Roman" w:hAnsi="Times New Roman" w:cs="Times New Roman"/>
                <w:szCs w:val="21"/>
              </w:rPr>
            </w:pPr>
          </w:p>
        </w:tc>
        <w:tc>
          <w:tcPr>
            <w:tcW w:w="691" w:type="dxa"/>
            <w:noWrap w:val="0"/>
            <w:vAlign w:val="top"/>
          </w:tcPr>
          <w:p w14:paraId="2A5AEDE4">
            <w:pPr>
              <w:spacing w:line="440" w:lineRule="exact"/>
              <w:jc w:val="center"/>
              <w:rPr>
                <w:rFonts w:hint="default" w:ascii="Times New Roman" w:hAnsi="Times New Roman" w:cs="Times New Roman"/>
                <w:szCs w:val="21"/>
              </w:rPr>
            </w:pPr>
          </w:p>
        </w:tc>
      </w:tr>
      <w:tr w14:paraId="0AD0E8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349F387">
            <w:pPr>
              <w:spacing w:line="440" w:lineRule="exact"/>
              <w:jc w:val="center"/>
              <w:rPr>
                <w:rFonts w:hint="default" w:ascii="Times New Roman" w:hAnsi="Times New Roman" w:cs="Times New Roman"/>
                <w:szCs w:val="21"/>
              </w:rPr>
            </w:pPr>
          </w:p>
        </w:tc>
        <w:tc>
          <w:tcPr>
            <w:tcW w:w="1086" w:type="dxa"/>
            <w:noWrap w:val="0"/>
            <w:vAlign w:val="top"/>
          </w:tcPr>
          <w:p w14:paraId="75C749BD">
            <w:pPr>
              <w:spacing w:line="440" w:lineRule="exact"/>
              <w:jc w:val="center"/>
              <w:rPr>
                <w:rFonts w:hint="default" w:ascii="Times New Roman" w:hAnsi="Times New Roman" w:cs="Times New Roman"/>
                <w:szCs w:val="21"/>
              </w:rPr>
            </w:pPr>
          </w:p>
        </w:tc>
        <w:tc>
          <w:tcPr>
            <w:tcW w:w="761" w:type="dxa"/>
            <w:noWrap w:val="0"/>
            <w:vAlign w:val="top"/>
          </w:tcPr>
          <w:p w14:paraId="2DF0905C">
            <w:pPr>
              <w:spacing w:line="440" w:lineRule="exact"/>
              <w:jc w:val="center"/>
              <w:rPr>
                <w:rFonts w:hint="default" w:ascii="Times New Roman" w:hAnsi="Times New Roman" w:cs="Times New Roman"/>
                <w:szCs w:val="21"/>
              </w:rPr>
            </w:pPr>
          </w:p>
        </w:tc>
        <w:tc>
          <w:tcPr>
            <w:tcW w:w="990" w:type="dxa"/>
            <w:noWrap w:val="0"/>
            <w:vAlign w:val="top"/>
          </w:tcPr>
          <w:p w14:paraId="0C8E6B52">
            <w:pPr>
              <w:spacing w:line="440" w:lineRule="exact"/>
              <w:jc w:val="center"/>
              <w:rPr>
                <w:rFonts w:hint="default" w:ascii="Times New Roman" w:hAnsi="Times New Roman" w:cs="Times New Roman"/>
                <w:szCs w:val="21"/>
              </w:rPr>
            </w:pPr>
          </w:p>
        </w:tc>
        <w:tc>
          <w:tcPr>
            <w:tcW w:w="672" w:type="dxa"/>
            <w:noWrap w:val="0"/>
            <w:vAlign w:val="top"/>
          </w:tcPr>
          <w:p w14:paraId="4C813C47">
            <w:pPr>
              <w:spacing w:line="440" w:lineRule="exact"/>
              <w:jc w:val="center"/>
              <w:rPr>
                <w:rFonts w:hint="default" w:ascii="Times New Roman" w:hAnsi="Times New Roman" w:cs="Times New Roman"/>
                <w:szCs w:val="21"/>
              </w:rPr>
            </w:pPr>
          </w:p>
        </w:tc>
        <w:tc>
          <w:tcPr>
            <w:tcW w:w="738" w:type="dxa"/>
            <w:noWrap w:val="0"/>
            <w:vAlign w:val="top"/>
          </w:tcPr>
          <w:p w14:paraId="4106378A">
            <w:pPr>
              <w:spacing w:line="440" w:lineRule="exact"/>
              <w:jc w:val="center"/>
              <w:rPr>
                <w:rFonts w:hint="default" w:ascii="Times New Roman" w:hAnsi="Times New Roman" w:cs="Times New Roman"/>
                <w:szCs w:val="21"/>
              </w:rPr>
            </w:pPr>
          </w:p>
        </w:tc>
        <w:tc>
          <w:tcPr>
            <w:tcW w:w="1212" w:type="dxa"/>
            <w:noWrap w:val="0"/>
            <w:vAlign w:val="top"/>
          </w:tcPr>
          <w:p w14:paraId="399B1BF4">
            <w:pPr>
              <w:spacing w:line="440" w:lineRule="exact"/>
              <w:jc w:val="center"/>
              <w:rPr>
                <w:rFonts w:hint="default" w:ascii="Times New Roman" w:hAnsi="Times New Roman" w:cs="Times New Roman"/>
                <w:szCs w:val="21"/>
              </w:rPr>
            </w:pPr>
          </w:p>
        </w:tc>
        <w:tc>
          <w:tcPr>
            <w:tcW w:w="874" w:type="dxa"/>
            <w:noWrap w:val="0"/>
            <w:vAlign w:val="top"/>
          </w:tcPr>
          <w:p w14:paraId="0A52A4B5">
            <w:pPr>
              <w:spacing w:line="440" w:lineRule="exact"/>
              <w:jc w:val="center"/>
              <w:rPr>
                <w:rFonts w:hint="default" w:ascii="Times New Roman" w:hAnsi="Times New Roman" w:cs="Times New Roman"/>
                <w:szCs w:val="21"/>
              </w:rPr>
            </w:pPr>
          </w:p>
        </w:tc>
        <w:tc>
          <w:tcPr>
            <w:tcW w:w="1055" w:type="dxa"/>
            <w:noWrap w:val="0"/>
            <w:vAlign w:val="top"/>
          </w:tcPr>
          <w:p w14:paraId="07318DC7">
            <w:pPr>
              <w:spacing w:line="440" w:lineRule="exact"/>
              <w:jc w:val="center"/>
              <w:rPr>
                <w:rFonts w:hint="default" w:ascii="Times New Roman" w:hAnsi="Times New Roman" w:cs="Times New Roman"/>
                <w:szCs w:val="21"/>
              </w:rPr>
            </w:pPr>
          </w:p>
        </w:tc>
        <w:tc>
          <w:tcPr>
            <w:tcW w:w="691" w:type="dxa"/>
            <w:noWrap w:val="0"/>
            <w:vAlign w:val="top"/>
          </w:tcPr>
          <w:p w14:paraId="7AEFFAFE">
            <w:pPr>
              <w:spacing w:line="440" w:lineRule="exact"/>
              <w:jc w:val="center"/>
              <w:rPr>
                <w:rFonts w:hint="default" w:ascii="Times New Roman" w:hAnsi="Times New Roman" w:cs="Times New Roman"/>
                <w:szCs w:val="21"/>
              </w:rPr>
            </w:pPr>
          </w:p>
        </w:tc>
      </w:tr>
      <w:tr w14:paraId="3892F3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57FCC148">
            <w:pPr>
              <w:spacing w:line="440" w:lineRule="exact"/>
              <w:jc w:val="center"/>
              <w:rPr>
                <w:rFonts w:hint="default" w:ascii="Times New Roman" w:hAnsi="Times New Roman" w:cs="Times New Roman"/>
                <w:szCs w:val="21"/>
              </w:rPr>
            </w:pPr>
          </w:p>
        </w:tc>
        <w:tc>
          <w:tcPr>
            <w:tcW w:w="1086" w:type="dxa"/>
            <w:noWrap w:val="0"/>
            <w:vAlign w:val="top"/>
          </w:tcPr>
          <w:p w14:paraId="04CFAF5D">
            <w:pPr>
              <w:spacing w:line="440" w:lineRule="exact"/>
              <w:jc w:val="center"/>
              <w:rPr>
                <w:rFonts w:hint="default" w:ascii="Times New Roman" w:hAnsi="Times New Roman" w:cs="Times New Roman"/>
                <w:szCs w:val="21"/>
              </w:rPr>
            </w:pPr>
          </w:p>
        </w:tc>
        <w:tc>
          <w:tcPr>
            <w:tcW w:w="761" w:type="dxa"/>
            <w:noWrap w:val="0"/>
            <w:vAlign w:val="top"/>
          </w:tcPr>
          <w:p w14:paraId="709AF633">
            <w:pPr>
              <w:spacing w:line="440" w:lineRule="exact"/>
              <w:jc w:val="center"/>
              <w:rPr>
                <w:rFonts w:hint="default" w:ascii="Times New Roman" w:hAnsi="Times New Roman" w:cs="Times New Roman"/>
                <w:szCs w:val="21"/>
              </w:rPr>
            </w:pPr>
          </w:p>
        </w:tc>
        <w:tc>
          <w:tcPr>
            <w:tcW w:w="990" w:type="dxa"/>
            <w:noWrap w:val="0"/>
            <w:vAlign w:val="top"/>
          </w:tcPr>
          <w:p w14:paraId="7285C087">
            <w:pPr>
              <w:spacing w:line="440" w:lineRule="exact"/>
              <w:jc w:val="center"/>
              <w:rPr>
                <w:rFonts w:hint="default" w:ascii="Times New Roman" w:hAnsi="Times New Roman" w:cs="Times New Roman"/>
                <w:szCs w:val="21"/>
              </w:rPr>
            </w:pPr>
          </w:p>
        </w:tc>
        <w:tc>
          <w:tcPr>
            <w:tcW w:w="672" w:type="dxa"/>
            <w:noWrap w:val="0"/>
            <w:vAlign w:val="top"/>
          </w:tcPr>
          <w:p w14:paraId="277BD09D">
            <w:pPr>
              <w:spacing w:line="440" w:lineRule="exact"/>
              <w:jc w:val="center"/>
              <w:rPr>
                <w:rFonts w:hint="default" w:ascii="Times New Roman" w:hAnsi="Times New Roman" w:cs="Times New Roman"/>
                <w:szCs w:val="21"/>
              </w:rPr>
            </w:pPr>
          </w:p>
        </w:tc>
        <w:tc>
          <w:tcPr>
            <w:tcW w:w="738" w:type="dxa"/>
            <w:noWrap w:val="0"/>
            <w:vAlign w:val="top"/>
          </w:tcPr>
          <w:p w14:paraId="0E93E055">
            <w:pPr>
              <w:spacing w:line="440" w:lineRule="exact"/>
              <w:jc w:val="center"/>
              <w:rPr>
                <w:rFonts w:hint="default" w:ascii="Times New Roman" w:hAnsi="Times New Roman" w:cs="Times New Roman"/>
                <w:szCs w:val="21"/>
              </w:rPr>
            </w:pPr>
          </w:p>
        </w:tc>
        <w:tc>
          <w:tcPr>
            <w:tcW w:w="1212" w:type="dxa"/>
            <w:noWrap w:val="0"/>
            <w:vAlign w:val="top"/>
          </w:tcPr>
          <w:p w14:paraId="5466E591">
            <w:pPr>
              <w:spacing w:line="440" w:lineRule="exact"/>
              <w:jc w:val="center"/>
              <w:rPr>
                <w:rFonts w:hint="default" w:ascii="Times New Roman" w:hAnsi="Times New Roman" w:cs="Times New Roman"/>
                <w:szCs w:val="21"/>
              </w:rPr>
            </w:pPr>
          </w:p>
        </w:tc>
        <w:tc>
          <w:tcPr>
            <w:tcW w:w="874" w:type="dxa"/>
            <w:noWrap w:val="0"/>
            <w:vAlign w:val="top"/>
          </w:tcPr>
          <w:p w14:paraId="334AC4CE">
            <w:pPr>
              <w:spacing w:line="440" w:lineRule="exact"/>
              <w:jc w:val="center"/>
              <w:rPr>
                <w:rFonts w:hint="default" w:ascii="Times New Roman" w:hAnsi="Times New Roman" w:cs="Times New Roman"/>
                <w:szCs w:val="21"/>
              </w:rPr>
            </w:pPr>
          </w:p>
        </w:tc>
        <w:tc>
          <w:tcPr>
            <w:tcW w:w="1055" w:type="dxa"/>
            <w:noWrap w:val="0"/>
            <w:vAlign w:val="top"/>
          </w:tcPr>
          <w:p w14:paraId="6F26678E">
            <w:pPr>
              <w:spacing w:line="440" w:lineRule="exact"/>
              <w:jc w:val="center"/>
              <w:rPr>
                <w:rFonts w:hint="default" w:ascii="Times New Roman" w:hAnsi="Times New Roman" w:cs="Times New Roman"/>
                <w:szCs w:val="21"/>
              </w:rPr>
            </w:pPr>
          </w:p>
        </w:tc>
        <w:tc>
          <w:tcPr>
            <w:tcW w:w="691" w:type="dxa"/>
            <w:noWrap w:val="0"/>
            <w:vAlign w:val="top"/>
          </w:tcPr>
          <w:p w14:paraId="044E9A30">
            <w:pPr>
              <w:spacing w:line="440" w:lineRule="exact"/>
              <w:jc w:val="center"/>
              <w:rPr>
                <w:rFonts w:hint="default" w:ascii="Times New Roman" w:hAnsi="Times New Roman" w:cs="Times New Roman"/>
                <w:szCs w:val="21"/>
              </w:rPr>
            </w:pPr>
          </w:p>
        </w:tc>
      </w:tr>
      <w:tr w14:paraId="6AD924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48EEBFBD">
            <w:pPr>
              <w:spacing w:line="440" w:lineRule="exact"/>
              <w:jc w:val="center"/>
              <w:rPr>
                <w:rFonts w:hint="default" w:ascii="Times New Roman" w:hAnsi="Times New Roman" w:cs="Times New Roman"/>
                <w:szCs w:val="21"/>
              </w:rPr>
            </w:pPr>
          </w:p>
        </w:tc>
        <w:tc>
          <w:tcPr>
            <w:tcW w:w="1086" w:type="dxa"/>
            <w:noWrap w:val="0"/>
            <w:vAlign w:val="top"/>
          </w:tcPr>
          <w:p w14:paraId="1E4E79B4">
            <w:pPr>
              <w:spacing w:line="440" w:lineRule="exact"/>
              <w:jc w:val="center"/>
              <w:rPr>
                <w:rFonts w:hint="default" w:ascii="Times New Roman" w:hAnsi="Times New Roman" w:cs="Times New Roman"/>
                <w:szCs w:val="21"/>
              </w:rPr>
            </w:pPr>
          </w:p>
        </w:tc>
        <w:tc>
          <w:tcPr>
            <w:tcW w:w="761" w:type="dxa"/>
            <w:noWrap w:val="0"/>
            <w:vAlign w:val="top"/>
          </w:tcPr>
          <w:p w14:paraId="6EF30F6F">
            <w:pPr>
              <w:spacing w:line="440" w:lineRule="exact"/>
              <w:jc w:val="center"/>
              <w:rPr>
                <w:rFonts w:hint="default" w:ascii="Times New Roman" w:hAnsi="Times New Roman" w:cs="Times New Roman"/>
                <w:szCs w:val="21"/>
              </w:rPr>
            </w:pPr>
          </w:p>
        </w:tc>
        <w:tc>
          <w:tcPr>
            <w:tcW w:w="990" w:type="dxa"/>
            <w:noWrap w:val="0"/>
            <w:vAlign w:val="top"/>
          </w:tcPr>
          <w:p w14:paraId="1BD226F1">
            <w:pPr>
              <w:spacing w:line="440" w:lineRule="exact"/>
              <w:jc w:val="center"/>
              <w:rPr>
                <w:rFonts w:hint="default" w:ascii="Times New Roman" w:hAnsi="Times New Roman" w:cs="Times New Roman"/>
                <w:szCs w:val="21"/>
              </w:rPr>
            </w:pPr>
          </w:p>
        </w:tc>
        <w:tc>
          <w:tcPr>
            <w:tcW w:w="672" w:type="dxa"/>
            <w:noWrap w:val="0"/>
            <w:vAlign w:val="top"/>
          </w:tcPr>
          <w:p w14:paraId="4EED42AA">
            <w:pPr>
              <w:spacing w:line="440" w:lineRule="exact"/>
              <w:jc w:val="center"/>
              <w:rPr>
                <w:rFonts w:hint="default" w:ascii="Times New Roman" w:hAnsi="Times New Roman" w:cs="Times New Roman"/>
                <w:szCs w:val="21"/>
              </w:rPr>
            </w:pPr>
          </w:p>
        </w:tc>
        <w:tc>
          <w:tcPr>
            <w:tcW w:w="738" w:type="dxa"/>
            <w:noWrap w:val="0"/>
            <w:vAlign w:val="top"/>
          </w:tcPr>
          <w:p w14:paraId="55558FC7">
            <w:pPr>
              <w:spacing w:line="440" w:lineRule="exact"/>
              <w:jc w:val="center"/>
              <w:rPr>
                <w:rFonts w:hint="default" w:ascii="Times New Roman" w:hAnsi="Times New Roman" w:cs="Times New Roman"/>
                <w:szCs w:val="21"/>
              </w:rPr>
            </w:pPr>
          </w:p>
        </w:tc>
        <w:tc>
          <w:tcPr>
            <w:tcW w:w="1212" w:type="dxa"/>
            <w:noWrap w:val="0"/>
            <w:vAlign w:val="top"/>
          </w:tcPr>
          <w:p w14:paraId="2F6C5B27">
            <w:pPr>
              <w:spacing w:line="440" w:lineRule="exact"/>
              <w:jc w:val="center"/>
              <w:rPr>
                <w:rFonts w:hint="default" w:ascii="Times New Roman" w:hAnsi="Times New Roman" w:cs="Times New Roman"/>
                <w:szCs w:val="21"/>
              </w:rPr>
            </w:pPr>
          </w:p>
        </w:tc>
        <w:tc>
          <w:tcPr>
            <w:tcW w:w="874" w:type="dxa"/>
            <w:noWrap w:val="0"/>
            <w:vAlign w:val="top"/>
          </w:tcPr>
          <w:p w14:paraId="2558C415">
            <w:pPr>
              <w:spacing w:line="440" w:lineRule="exact"/>
              <w:jc w:val="center"/>
              <w:rPr>
                <w:rFonts w:hint="default" w:ascii="Times New Roman" w:hAnsi="Times New Roman" w:cs="Times New Roman"/>
                <w:szCs w:val="21"/>
              </w:rPr>
            </w:pPr>
          </w:p>
        </w:tc>
        <w:tc>
          <w:tcPr>
            <w:tcW w:w="1055" w:type="dxa"/>
            <w:noWrap w:val="0"/>
            <w:vAlign w:val="top"/>
          </w:tcPr>
          <w:p w14:paraId="5E8584D8">
            <w:pPr>
              <w:spacing w:line="440" w:lineRule="exact"/>
              <w:jc w:val="center"/>
              <w:rPr>
                <w:rFonts w:hint="default" w:ascii="Times New Roman" w:hAnsi="Times New Roman" w:cs="Times New Roman"/>
                <w:szCs w:val="21"/>
              </w:rPr>
            </w:pPr>
          </w:p>
        </w:tc>
        <w:tc>
          <w:tcPr>
            <w:tcW w:w="691" w:type="dxa"/>
            <w:noWrap w:val="0"/>
            <w:vAlign w:val="top"/>
          </w:tcPr>
          <w:p w14:paraId="1A50831B">
            <w:pPr>
              <w:spacing w:line="440" w:lineRule="exact"/>
              <w:jc w:val="center"/>
              <w:rPr>
                <w:rFonts w:hint="default" w:ascii="Times New Roman" w:hAnsi="Times New Roman" w:cs="Times New Roman"/>
                <w:szCs w:val="21"/>
              </w:rPr>
            </w:pPr>
          </w:p>
        </w:tc>
      </w:tr>
      <w:tr w14:paraId="6088E6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8C769B4">
            <w:pPr>
              <w:spacing w:line="440" w:lineRule="exact"/>
              <w:jc w:val="center"/>
              <w:rPr>
                <w:rFonts w:hint="default" w:ascii="Times New Roman" w:hAnsi="Times New Roman" w:cs="Times New Roman"/>
                <w:szCs w:val="21"/>
              </w:rPr>
            </w:pPr>
          </w:p>
        </w:tc>
        <w:tc>
          <w:tcPr>
            <w:tcW w:w="1086" w:type="dxa"/>
            <w:noWrap w:val="0"/>
            <w:vAlign w:val="top"/>
          </w:tcPr>
          <w:p w14:paraId="04AC76D9">
            <w:pPr>
              <w:spacing w:line="440" w:lineRule="exact"/>
              <w:jc w:val="center"/>
              <w:rPr>
                <w:rFonts w:hint="default" w:ascii="Times New Roman" w:hAnsi="Times New Roman" w:cs="Times New Roman"/>
                <w:szCs w:val="21"/>
              </w:rPr>
            </w:pPr>
          </w:p>
        </w:tc>
        <w:tc>
          <w:tcPr>
            <w:tcW w:w="761" w:type="dxa"/>
            <w:noWrap w:val="0"/>
            <w:vAlign w:val="top"/>
          </w:tcPr>
          <w:p w14:paraId="06AD6B1A">
            <w:pPr>
              <w:spacing w:line="440" w:lineRule="exact"/>
              <w:jc w:val="center"/>
              <w:rPr>
                <w:rFonts w:hint="default" w:ascii="Times New Roman" w:hAnsi="Times New Roman" w:cs="Times New Roman"/>
                <w:szCs w:val="21"/>
              </w:rPr>
            </w:pPr>
          </w:p>
        </w:tc>
        <w:tc>
          <w:tcPr>
            <w:tcW w:w="990" w:type="dxa"/>
            <w:noWrap w:val="0"/>
            <w:vAlign w:val="top"/>
          </w:tcPr>
          <w:p w14:paraId="5BBBA7A4">
            <w:pPr>
              <w:spacing w:line="440" w:lineRule="exact"/>
              <w:jc w:val="center"/>
              <w:rPr>
                <w:rFonts w:hint="default" w:ascii="Times New Roman" w:hAnsi="Times New Roman" w:cs="Times New Roman"/>
                <w:szCs w:val="21"/>
              </w:rPr>
            </w:pPr>
          </w:p>
        </w:tc>
        <w:tc>
          <w:tcPr>
            <w:tcW w:w="672" w:type="dxa"/>
            <w:noWrap w:val="0"/>
            <w:vAlign w:val="top"/>
          </w:tcPr>
          <w:p w14:paraId="2F815666">
            <w:pPr>
              <w:spacing w:line="440" w:lineRule="exact"/>
              <w:jc w:val="center"/>
              <w:rPr>
                <w:rFonts w:hint="default" w:ascii="Times New Roman" w:hAnsi="Times New Roman" w:cs="Times New Roman"/>
                <w:szCs w:val="21"/>
              </w:rPr>
            </w:pPr>
          </w:p>
        </w:tc>
        <w:tc>
          <w:tcPr>
            <w:tcW w:w="738" w:type="dxa"/>
            <w:noWrap w:val="0"/>
            <w:vAlign w:val="top"/>
          </w:tcPr>
          <w:p w14:paraId="01C8CFE4">
            <w:pPr>
              <w:spacing w:line="440" w:lineRule="exact"/>
              <w:jc w:val="center"/>
              <w:rPr>
                <w:rFonts w:hint="default" w:ascii="Times New Roman" w:hAnsi="Times New Roman" w:cs="Times New Roman"/>
                <w:szCs w:val="21"/>
              </w:rPr>
            </w:pPr>
          </w:p>
        </w:tc>
        <w:tc>
          <w:tcPr>
            <w:tcW w:w="1212" w:type="dxa"/>
            <w:noWrap w:val="0"/>
            <w:vAlign w:val="top"/>
          </w:tcPr>
          <w:p w14:paraId="3227C4D9">
            <w:pPr>
              <w:spacing w:line="440" w:lineRule="exact"/>
              <w:jc w:val="center"/>
              <w:rPr>
                <w:rFonts w:hint="default" w:ascii="Times New Roman" w:hAnsi="Times New Roman" w:cs="Times New Roman"/>
                <w:szCs w:val="21"/>
              </w:rPr>
            </w:pPr>
          </w:p>
        </w:tc>
        <w:tc>
          <w:tcPr>
            <w:tcW w:w="874" w:type="dxa"/>
            <w:noWrap w:val="0"/>
            <w:vAlign w:val="top"/>
          </w:tcPr>
          <w:p w14:paraId="15FA08D7">
            <w:pPr>
              <w:spacing w:line="440" w:lineRule="exact"/>
              <w:jc w:val="center"/>
              <w:rPr>
                <w:rFonts w:hint="default" w:ascii="Times New Roman" w:hAnsi="Times New Roman" w:cs="Times New Roman"/>
                <w:szCs w:val="21"/>
              </w:rPr>
            </w:pPr>
          </w:p>
        </w:tc>
        <w:tc>
          <w:tcPr>
            <w:tcW w:w="1055" w:type="dxa"/>
            <w:noWrap w:val="0"/>
            <w:vAlign w:val="top"/>
          </w:tcPr>
          <w:p w14:paraId="07E9ACE7">
            <w:pPr>
              <w:spacing w:line="440" w:lineRule="exact"/>
              <w:jc w:val="center"/>
              <w:rPr>
                <w:rFonts w:hint="default" w:ascii="Times New Roman" w:hAnsi="Times New Roman" w:cs="Times New Roman"/>
                <w:szCs w:val="21"/>
              </w:rPr>
            </w:pPr>
          </w:p>
        </w:tc>
        <w:tc>
          <w:tcPr>
            <w:tcW w:w="691" w:type="dxa"/>
            <w:noWrap w:val="0"/>
            <w:vAlign w:val="top"/>
          </w:tcPr>
          <w:p w14:paraId="7CDDFD47">
            <w:pPr>
              <w:spacing w:line="440" w:lineRule="exact"/>
              <w:jc w:val="center"/>
              <w:rPr>
                <w:rFonts w:hint="default" w:ascii="Times New Roman" w:hAnsi="Times New Roman" w:cs="Times New Roman"/>
                <w:szCs w:val="21"/>
              </w:rPr>
            </w:pPr>
          </w:p>
        </w:tc>
      </w:tr>
      <w:tr w14:paraId="5454AD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65" w:type="dxa"/>
            <w:noWrap w:val="0"/>
            <w:vAlign w:val="top"/>
          </w:tcPr>
          <w:p w14:paraId="249E8C34">
            <w:pPr>
              <w:spacing w:line="440" w:lineRule="exact"/>
              <w:jc w:val="center"/>
              <w:rPr>
                <w:rFonts w:hint="default" w:ascii="Times New Roman" w:hAnsi="Times New Roman" w:cs="Times New Roman"/>
                <w:szCs w:val="21"/>
              </w:rPr>
            </w:pPr>
          </w:p>
        </w:tc>
        <w:tc>
          <w:tcPr>
            <w:tcW w:w="1086" w:type="dxa"/>
            <w:noWrap w:val="0"/>
            <w:vAlign w:val="top"/>
          </w:tcPr>
          <w:p w14:paraId="05A1FA41">
            <w:pPr>
              <w:spacing w:line="440" w:lineRule="exact"/>
              <w:jc w:val="center"/>
              <w:rPr>
                <w:rFonts w:hint="default" w:ascii="Times New Roman" w:hAnsi="Times New Roman" w:cs="Times New Roman"/>
                <w:szCs w:val="21"/>
              </w:rPr>
            </w:pPr>
          </w:p>
        </w:tc>
        <w:tc>
          <w:tcPr>
            <w:tcW w:w="761" w:type="dxa"/>
            <w:noWrap w:val="0"/>
            <w:vAlign w:val="top"/>
          </w:tcPr>
          <w:p w14:paraId="29E9C696">
            <w:pPr>
              <w:spacing w:line="440" w:lineRule="exact"/>
              <w:jc w:val="center"/>
              <w:rPr>
                <w:rFonts w:hint="default" w:ascii="Times New Roman" w:hAnsi="Times New Roman" w:cs="Times New Roman"/>
                <w:szCs w:val="21"/>
              </w:rPr>
            </w:pPr>
          </w:p>
        </w:tc>
        <w:tc>
          <w:tcPr>
            <w:tcW w:w="990" w:type="dxa"/>
            <w:noWrap w:val="0"/>
            <w:vAlign w:val="top"/>
          </w:tcPr>
          <w:p w14:paraId="0C07AA5E">
            <w:pPr>
              <w:spacing w:line="440" w:lineRule="exact"/>
              <w:jc w:val="center"/>
              <w:rPr>
                <w:rFonts w:hint="default" w:ascii="Times New Roman" w:hAnsi="Times New Roman" w:cs="Times New Roman"/>
                <w:szCs w:val="21"/>
              </w:rPr>
            </w:pPr>
          </w:p>
        </w:tc>
        <w:tc>
          <w:tcPr>
            <w:tcW w:w="672" w:type="dxa"/>
            <w:noWrap w:val="0"/>
            <w:vAlign w:val="top"/>
          </w:tcPr>
          <w:p w14:paraId="05B257CF">
            <w:pPr>
              <w:spacing w:line="440" w:lineRule="exact"/>
              <w:jc w:val="center"/>
              <w:rPr>
                <w:rFonts w:hint="default" w:ascii="Times New Roman" w:hAnsi="Times New Roman" w:cs="Times New Roman"/>
                <w:szCs w:val="21"/>
              </w:rPr>
            </w:pPr>
          </w:p>
        </w:tc>
        <w:tc>
          <w:tcPr>
            <w:tcW w:w="738" w:type="dxa"/>
            <w:noWrap w:val="0"/>
            <w:vAlign w:val="top"/>
          </w:tcPr>
          <w:p w14:paraId="68A3CE66">
            <w:pPr>
              <w:spacing w:line="440" w:lineRule="exact"/>
              <w:jc w:val="center"/>
              <w:rPr>
                <w:rFonts w:hint="default" w:ascii="Times New Roman" w:hAnsi="Times New Roman" w:cs="Times New Roman"/>
                <w:szCs w:val="21"/>
              </w:rPr>
            </w:pPr>
          </w:p>
        </w:tc>
        <w:tc>
          <w:tcPr>
            <w:tcW w:w="1212" w:type="dxa"/>
            <w:noWrap w:val="0"/>
            <w:vAlign w:val="top"/>
          </w:tcPr>
          <w:p w14:paraId="204AA94B">
            <w:pPr>
              <w:spacing w:line="440" w:lineRule="exact"/>
              <w:jc w:val="center"/>
              <w:rPr>
                <w:rFonts w:hint="default" w:ascii="Times New Roman" w:hAnsi="Times New Roman" w:cs="Times New Roman"/>
                <w:szCs w:val="21"/>
              </w:rPr>
            </w:pPr>
          </w:p>
        </w:tc>
        <w:tc>
          <w:tcPr>
            <w:tcW w:w="874" w:type="dxa"/>
            <w:noWrap w:val="0"/>
            <w:vAlign w:val="top"/>
          </w:tcPr>
          <w:p w14:paraId="6396F717">
            <w:pPr>
              <w:spacing w:line="440" w:lineRule="exact"/>
              <w:jc w:val="center"/>
              <w:rPr>
                <w:rFonts w:hint="default" w:ascii="Times New Roman" w:hAnsi="Times New Roman" w:cs="Times New Roman"/>
                <w:szCs w:val="21"/>
              </w:rPr>
            </w:pPr>
          </w:p>
        </w:tc>
        <w:tc>
          <w:tcPr>
            <w:tcW w:w="1055" w:type="dxa"/>
            <w:noWrap w:val="0"/>
            <w:vAlign w:val="top"/>
          </w:tcPr>
          <w:p w14:paraId="253062B9">
            <w:pPr>
              <w:spacing w:line="440" w:lineRule="exact"/>
              <w:jc w:val="center"/>
              <w:rPr>
                <w:rFonts w:hint="default" w:ascii="Times New Roman" w:hAnsi="Times New Roman" w:cs="Times New Roman"/>
                <w:szCs w:val="21"/>
              </w:rPr>
            </w:pPr>
          </w:p>
        </w:tc>
        <w:tc>
          <w:tcPr>
            <w:tcW w:w="691" w:type="dxa"/>
            <w:noWrap w:val="0"/>
            <w:vAlign w:val="top"/>
          </w:tcPr>
          <w:p w14:paraId="354A6B42">
            <w:pPr>
              <w:spacing w:line="440" w:lineRule="exact"/>
              <w:jc w:val="center"/>
              <w:rPr>
                <w:rFonts w:hint="default" w:ascii="Times New Roman" w:hAnsi="Times New Roman" w:cs="Times New Roman"/>
                <w:szCs w:val="21"/>
              </w:rPr>
            </w:pPr>
          </w:p>
        </w:tc>
      </w:tr>
    </w:tbl>
    <w:p w14:paraId="7EDB0D01">
      <w:pPr>
        <w:spacing w:line="440" w:lineRule="exact"/>
        <w:rPr>
          <w:rFonts w:hint="default" w:ascii="Times New Roman" w:hAnsi="Times New Roman" w:eastAsia="黑体" w:cs="Times New Roman"/>
          <w:sz w:val="20"/>
          <w:szCs w:val="20"/>
        </w:rPr>
      </w:pPr>
    </w:p>
    <w:p w14:paraId="4C5BE48A">
      <w:pPr>
        <w:spacing w:line="440" w:lineRule="exact"/>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0E310AED">
      <w:pPr>
        <w:pStyle w:val="4"/>
        <w:rPr>
          <w:rFonts w:hint="default" w:ascii="Times New Roman" w:hAnsi="Times New Roman" w:cs="Times New Roman"/>
        </w:rPr>
      </w:pPr>
      <w:bookmarkStart w:id="321" w:name="_Toc152045799"/>
      <w:bookmarkStart w:id="322" w:name="_Toc144974867"/>
      <w:bookmarkStart w:id="323" w:name="_Toc247085884"/>
      <w:bookmarkStart w:id="324" w:name="_Toc246997109"/>
      <w:bookmarkStart w:id="325" w:name="_Toc246996366"/>
      <w:bookmarkStart w:id="326" w:name="_Toc296602611"/>
      <w:bookmarkStart w:id="327" w:name="_Toc152042588"/>
      <w:bookmarkStart w:id="328" w:name="_Toc179632819"/>
      <w:r>
        <w:rPr>
          <w:rFonts w:hint="default" w:ascii="Times New Roman" w:hAnsi="Times New Roman" w:cs="Times New Roman"/>
        </w:rPr>
        <w:t>附表二：劳动力计划表</w:t>
      </w:r>
      <w:bookmarkEnd w:id="321"/>
      <w:bookmarkEnd w:id="322"/>
      <w:bookmarkEnd w:id="323"/>
      <w:bookmarkEnd w:id="324"/>
      <w:bookmarkEnd w:id="325"/>
      <w:bookmarkEnd w:id="326"/>
      <w:bookmarkEnd w:id="327"/>
      <w:bookmarkEnd w:id="328"/>
    </w:p>
    <w:p w14:paraId="541590EE">
      <w:pPr>
        <w:spacing w:line="440" w:lineRule="exact"/>
        <w:ind w:right="200"/>
        <w:jc w:val="right"/>
        <w:rPr>
          <w:rFonts w:hint="default" w:ascii="Times New Roman" w:hAnsi="Times New Roman" w:eastAsia="黑体" w:cs="Times New Roman"/>
          <w:szCs w:val="21"/>
        </w:rPr>
      </w:pPr>
      <w:r>
        <w:rPr>
          <w:rFonts w:hint="default" w:ascii="Times New Roman" w:hAnsi="Times New Roman" w:eastAsia="黑体" w:cs="Times New Roman"/>
          <w:szCs w:val="21"/>
        </w:rPr>
        <w:t>单位：人</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9"/>
        <w:gridCol w:w="1304"/>
        <w:gridCol w:w="1065"/>
        <w:gridCol w:w="1065"/>
        <w:gridCol w:w="1065"/>
        <w:gridCol w:w="1065"/>
        <w:gridCol w:w="1065"/>
        <w:gridCol w:w="1064"/>
      </w:tblGrid>
      <w:tr w14:paraId="3CC45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560D526">
            <w:pPr>
              <w:spacing w:line="440" w:lineRule="exact"/>
              <w:jc w:val="center"/>
              <w:rPr>
                <w:rFonts w:hint="default" w:ascii="Times New Roman" w:hAnsi="Times New Roman" w:cs="Times New Roman"/>
                <w:szCs w:val="21"/>
              </w:rPr>
            </w:pPr>
            <w:r>
              <w:rPr>
                <w:rFonts w:hint="default" w:ascii="Times New Roman" w:hAnsi="Times New Roman" w:cs="Times New Roman"/>
                <w:szCs w:val="21"/>
              </w:rPr>
              <w:t>工种</w:t>
            </w:r>
          </w:p>
        </w:tc>
        <w:tc>
          <w:tcPr>
            <w:tcW w:w="7693" w:type="dxa"/>
            <w:gridSpan w:val="7"/>
            <w:noWrap w:val="0"/>
            <w:vAlign w:val="center"/>
          </w:tcPr>
          <w:p w14:paraId="72E28FE2">
            <w:pPr>
              <w:spacing w:line="440" w:lineRule="exact"/>
              <w:jc w:val="center"/>
              <w:rPr>
                <w:rFonts w:hint="default" w:ascii="Times New Roman" w:hAnsi="Times New Roman" w:cs="Times New Roman"/>
                <w:szCs w:val="21"/>
              </w:rPr>
            </w:pPr>
            <w:r>
              <w:rPr>
                <w:rFonts w:hint="default" w:ascii="Times New Roman" w:hAnsi="Times New Roman" w:cs="Times New Roman"/>
                <w:szCs w:val="21"/>
              </w:rPr>
              <w:t>按工程施工阶段投入劳动力情况</w:t>
            </w:r>
          </w:p>
        </w:tc>
      </w:tr>
      <w:tr w14:paraId="092DE6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077A29C">
            <w:pPr>
              <w:spacing w:line="440" w:lineRule="exact"/>
              <w:jc w:val="center"/>
              <w:rPr>
                <w:rFonts w:hint="default" w:ascii="Times New Roman" w:hAnsi="Times New Roman" w:cs="Times New Roman"/>
                <w:szCs w:val="21"/>
              </w:rPr>
            </w:pPr>
          </w:p>
        </w:tc>
        <w:tc>
          <w:tcPr>
            <w:tcW w:w="1304" w:type="dxa"/>
            <w:noWrap w:val="0"/>
            <w:vAlign w:val="center"/>
          </w:tcPr>
          <w:p w14:paraId="7436DDE0">
            <w:pPr>
              <w:spacing w:line="440" w:lineRule="exact"/>
              <w:jc w:val="center"/>
              <w:rPr>
                <w:rFonts w:hint="default" w:ascii="Times New Roman" w:hAnsi="Times New Roman" w:cs="Times New Roman"/>
                <w:szCs w:val="21"/>
              </w:rPr>
            </w:pPr>
          </w:p>
        </w:tc>
        <w:tc>
          <w:tcPr>
            <w:tcW w:w="1065" w:type="dxa"/>
            <w:noWrap w:val="0"/>
            <w:vAlign w:val="center"/>
          </w:tcPr>
          <w:p w14:paraId="18CB528B">
            <w:pPr>
              <w:spacing w:line="440" w:lineRule="exact"/>
              <w:jc w:val="center"/>
              <w:rPr>
                <w:rFonts w:hint="default" w:ascii="Times New Roman" w:hAnsi="Times New Roman" w:cs="Times New Roman"/>
                <w:szCs w:val="21"/>
              </w:rPr>
            </w:pPr>
          </w:p>
        </w:tc>
        <w:tc>
          <w:tcPr>
            <w:tcW w:w="1065" w:type="dxa"/>
            <w:noWrap w:val="0"/>
            <w:vAlign w:val="center"/>
          </w:tcPr>
          <w:p w14:paraId="46B64A28">
            <w:pPr>
              <w:spacing w:line="440" w:lineRule="exact"/>
              <w:jc w:val="center"/>
              <w:rPr>
                <w:rFonts w:hint="default" w:ascii="Times New Roman" w:hAnsi="Times New Roman" w:cs="Times New Roman"/>
                <w:szCs w:val="21"/>
              </w:rPr>
            </w:pPr>
          </w:p>
        </w:tc>
        <w:tc>
          <w:tcPr>
            <w:tcW w:w="1065" w:type="dxa"/>
            <w:noWrap w:val="0"/>
            <w:vAlign w:val="center"/>
          </w:tcPr>
          <w:p w14:paraId="41D3D127">
            <w:pPr>
              <w:spacing w:line="440" w:lineRule="exact"/>
              <w:jc w:val="center"/>
              <w:rPr>
                <w:rFonts w:hint="default" w:ascii="Times New Roman" w:hAnsi="Times New Roman" w:cs="Times New Roman"/>
                <w:szCs w:val="21"/>
              </w:rPr>
            </w:pPr>
          </w:p>
        </w:tc>
        <w:tc>
          <w:tcPr>
            <w:tcW w:w="1065" w:type="dxa"/>
            <w:noWrap w:val="0"/>
            <w:vAlign w:val="center"/>
          </w:tcPr>
          <w:p w14:paraId="4F926D71">
            <w:pPr>
              <w:spacing w:line="440" w:lineRule="exact"/>
              <w:jc w:val="center"/>
              <w:rPr>
                <w:rFonts w:hint="default" w:ascii="Times New Roman" w:hAnsi="Times New Roman" w:cs="Times New Roman"/>
                <w:szCs w:val="21"/>
              </w:rPr>
            </w:pPr>
          </w:p>
        </w:tc>
        <w:tc>
          <w:tcPr>
            <w:tcW w:w="1065" w:type="dxa"/>
            <w:noWrap w:val="0"/>
            <w:vAlign w:val="center"/>
          </w:tcPr>
          <w:p w14:paraId="0B0237AD">
            <w:pPr>
              <w:spacing w:line="440" w:lineRule="exact"/>
              <w:jc w:val="center"/>
              <w:rPr>
                <w:rFonts w:hint="default" w:ascii="Times New Roman" w:hAnsi="Times New Roman" w:cs="Times New Roman"/>
                <w:szCs w:val="21"/>
              </w:rPr>
            </w:pPr>
          </w:p>
        </w:tc>
        <w:tc>
          <w:tcPr>
            <w:tcW w:w="1064" w:type="dxa"/>
            <w:noWrap w:val="0"/>
            <w:vAlign w:val="center"/>
          </w:tcPr>
          <w:p w14:paraId="23488A22">
            <w:pPr>
              <w:spacing w:line="440" w:lineRule="exact"/>
              <w:jc w:val="center"/>
              <w:rPr>
                <w:rFonts w:hint="default" w:ascii="Times New Roman" w:hAnsi="Times New Roman" w:cs="Times New Roman"/>
                <w:szCs w:val="21"/>
              </w:rPr>
            </w:pPr>
          </w:p>
        </w:tc>
      </w:tr>
      <w:tr w14:paraId="54724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center"/>
          </w:tcPr>
          <w:p w14:paraId="4CDC47FA">
            <w:pPr>
              <w:spacing w:line="440" w:lineRule="exact"/>
              <w:jc w:val="center"/>
              <w:rPr>
                <w:rFonts w:hint="default" w:ascii="Times New Roman" w:hAnsi="Times New Roman" w:cs="Times New Roman"/>
                <w:szCs w:val="21"/>
              </w:rPr>
            </w:pPr>
          </w:p>
        </w:tc>
        <w:tc>
          <w:tcPr>
            <w:tcW w:w="1304" w:type="dxa"/>
            <w:noWrap w:val="0"/>
            <w:vAlign w:val="center"/>
          </w:tcPr>
          <w:p w14:paraId="5787C0EE">
            <w:pPr>
              <w:spacing w:line="440" w:lineRule="exact"/>
              <w:jc w:val="center"/>
              <w:rPr>
                <w:rFonts w:hint="default" w:ascii="Times New Roman" w:hAnsi="Times New Roman" w:cs="Times New Roman"/>
                <w:szCs w:val="21"/>
              </w:rPr>
            </w:pPr>
          </w:p>
        </w:tc>
        <w:tc>
          <w:tcPr>
            <w:tcW w:w="1065" w:type="dxa"/>
            <w:noWrap w:val="0"/>
            <w:vAlign w:val="center"/>
          </w:tcPr>
          <w:p w14:paraId="601C6B1C">
            <w:pPr>
              <w:spacing w:line="440" w:lineRule="exact"/>
              <w:jc w:val="center"/>
              <w:rPr>
                <w:rFonts w:hint="default" w:ascii="Times New Roman" w:hAnsi="Times New Roman" w:cs="Times New Roman"/>
                <w:szCs w:val="21"/>
              </w:rPr>
            </w:pPr>
          </w:p>
        </w:tc>
        <w:tc>
          <w:tcPr>
            <w:tcW w:w="1065" w:type="dxa"/>
            <w:noWrap w:val="0"/>
            <w:vAlign w:val="center"/>
          </w:tcPr>
          <w:p w14:paraId="6B7E1521">
            <w:pPr>
              <w:spacing w:line="440" w:lineRule="exact"/>
              <w:jc w:val="center"/>
              <w:rPr>
                <w:rFonts w:hint="default" w:ascii="Times New Roman" w:hAnsi="Times New Roman" w:cs="Times New Roman"/>
                <w:szCs w:val="21"/>
              </w:rPr>
            </w:pPr>
          </w:p>
        </w:tc>
        <w:tc>
          <w:tcPr>
            <w:tcW w:w="1065" w:type="dxa"/>
            <w:noWrap w:val="0"/>
            <w:vAlign w:val="center"/>
          </w:tcPr>
          <w:p w14:paraId="0712CD6F">
            <w:pPr>
              <w:spacing w:line="440" w:lineRule="exact"/>
              <w:jc w:val="center"/>
              <w:rPr>
                <w:rFonts w:hint="default" w:ascii="Times New Roman" w:hAnsi="Times New Roman" w:cs="Times New Roman"/>
                <w:szCs w:val="21"/>
              </w:rPr>
            </w:pPr>
          </w:p>
        </w:tc>
        <w:tc>
          <w:tcPr>
            <w:tcW w:w="1065" w:type="dxa"/>
            <w:noWrap w:val="0"/>
            <w:vAlign w:val="center"/>
          </w:tcPr>
          <w:p w14:paraId="034B3ABD">
            <w:pPr>
              <w:spacing w:line="440" w:lineRule="exact"/>
              <w:jc w:val="center"/>
              <w:rPr>
                <w:rFonts w:hint="default" w:ascii="Times New Roman" w:hAnsi="Times New Roman" w:cs="Times New Roman"/>
                <w:szCs w:val="21"/>
              </w:rPr>
            </w:pPr>
          </w:p>
        </w:tc>
        <w:tc>
          <w:tcPr>
            <w:tcW w:w="1065" w:type="dxa"/>
            <w:noWrap w:val="0"/>
            <w:vAlign w:val="center"/>
          </w:tcPr>
          <w:p w14:paraId="23F4B6A9">
            <w:pPr>
              <w:spacing w:line="440" w:lineRule="exact"/>
              <w:jc w:val="center"/>
              <w:rPr>
                <w:rFonts w:hint="default" w:ascii="Times New Roman" w:hAnsi="Times New Roman" w:cs="Times New Roman"/>
                <w:szCs w:val="21"/>
              </w:rPr>
            </w:pPr>
          </w:p>
        </w:tc>
        <w:tc>
          <w:tcPr>
            <w:tcW w:w="1064" w:type="dxa"/>
            <w:noWrap w:val="0"/>
            <w:vAlign w:val="center"/>
          </w:tcPr>
          <w:p w14:paraId="2A276989">
            <w:pPr>
              <w:spacing w:line="440" w:lineRule="exact"/>
              <w:jc w:val="center"/>
              <w:rPr>
                <w:rFonts w:hint="default" w:ascii="Times New Roman" w:hAnsi="Times New Roman" w:cs="Times New Roman"/>
                <w:szCs w:val="21"/>
              </w:rPr>
            </w:pPr>
          </w:p>
        </w:tc>
      </w:tr>
      <w:tr w14:paraId="096BC3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733A3FB">
            <w:pPr>
              <w:spacing w:line="440" w:lineRule="exact"/>
              <w:jc w:val="center"/>
              <w:rPr>
                <w:rFonts w:hint="default" w:ascii="Times New Roman" w:hAnsi="Times New Roman" w:cs="Times New Roman"/>
                <w:szCs w:val="21"/>
              </w:rPr>
            </w:pPr>
          </w:p>
        </w:tc>
        <w:tc>
          <w:tcPr>
            <w:tcW w:w="1304" w:type="dxa"/>
            <w:noWrap w:val="0"/>
            <w:vAlign w:val="top"/>
          </w:tcPr>
          <w:p w14:paraId="1736ABD3">
            <w:pPr>
              <w:spacing w:line="440" w:lineRule="exact"/>
              <w:jc w:val="center"/>
              <w:rPr>
                <w:rFonts w:hint="default" w:ascii="Times New Roman" w:hAnsi="Times New Roman" w:cs="Times New Roman"/>
                <w:szCs w:val="21"/>
              </w:rPr>
            </w:pPr>
          </w:p>
        </w:tc>
        <w:tc>
          <w:tcPr>
            <w:tcW w:w="1065" w:type="dxa"/>
            <w:noWrap w:val="0"/>
            <w:vAlign w:val="top"/>
          </w:tcPr>
          <w:p w14:paraId="3FA81348">
            <w:pPr>
              <w:spacing w:line="440" w:lineRule="exact"/>
              <w:jc w:val="center"/>
              <w:rPr>
                <w:rFonts w:hint="default" w:ascii="Times New Roman" w:hAnsi="Times New Roman" w:cs="Times New Roman"/>
                <w:szCs w:val="21"/>
              </w:rPr>
            </w:pPr>
          </w:p>
        </w:tc>
        <w:tc>
          <w:tcPr>
            <w:tcW w:w="1065" w:type="dxa"/>
            <w:noWrap w:val="0"/>
            <w:vAlign w:val="top"/>
          </w:tcPr>
          <w:p w14:paraId="48DDC52D">
            <w:pPr>
              <w:spacing w:line="440" w:lineRule="exact"/>
              <w:jc w:val="center"/>
              <w:rPr>
                <w:rFonts w:hint="default" w:ascii="Times New Roman" w:hAnsi="Times New Roman" w:cs="Times New Roman"/>
                <w:szCs w:val="21"/>
              </w:rPr>
            </w:pPr>
          </w:p>
        </w:tc>
        <w:tc>
          <w:tcPr>
            <w:tcW w:w="1065" w:type="dxa"/>
            <w:noWrap w:val="0"/>
            <w:vAlign w:val="top"/>
          </w:tcPr>
          <w:p w14:paraId="1C20F5B3">
            <w:pPr>
              <w:spacing w:line="440" w:lineRule="exact"/>
              <w:jc w:val="center"/>
              <w:rPr>
                <w:rFonts w:hint="default" w:ascii="Times New Roman" w:hAnsi="Times New Roman" w:cs="Times New Roman"/>
                <w:szCs w:val="21"/>
              </w:rPr>
            </w:pPr>
          </w:p>
        </w:tc>
        <w:tc>
          <w:tcPr>
            <w:tcW w:w="1065" w:type="dxa"/>
            <w:noWrap w:val="0"/>
            <w:vAlign w:val="top"/>
          </w:tcPr>
          <w:p w14:paraId="2E216349">
            <w:pPr>
              <w:spacing w:line="440" w:lineRule="exact"/>
              <w:jc w:val="center"/>
              <w:rPr>
                <w:rFonts w:hint="default" w:ascii="Times New Roman" w:hAnsi="Times New Roman" w:cs="Times New Roman"/>
                <w:szCs w:val="21"/>
              </w:rPr>
            </w:pPr>
          </w:p>
        </w:tc>
        <w:tc>
          <w:tcPr>
            <w:tcW w:w="1065" w:type="dxa"/>
            <w:noWrap w:val="0"/>
            <w:vAlign w:val="top"/>
          </w:tcPr>
          <w:p w14:paraId="3C2F00B3">
            <w:pPr>
              <w:spacing w:line="440" w:lineRule="exact"/>
              <w:jc w:val="center"/>
              <w:rPr>
                <w:rFonts w:hint="default" w:ascii="Times New Roman" w:hAnsi="Times New Roman" w:cs="Times New Roman"/>
                <w:szCs w:val="21"/>
              </w:rPr>
            </w:pPr>
          </w:p>
        </w:tc>
        <w:tc>
          <w:tcPr>
            <w:tcW w:w="1064" w:type="dxa"/>
            <w:noWrap w:val="0"/>
            <w:vAlign w:val="top"/>
          </w:tcPr>
          <w:p w14:paraId="4C4D5C54">
            <w:pPr>
              <w:spacing w:line="440" w:lineRule="exact"/>
              <w:jc w:val="center"/>
              <w:rPr>
                <w:rFonts w:hint="default" w:ascii="Times New Roman" w:hAnsi="Times New Roman" w:cs="Times New Roman"/>
                <w:szCs w:val="21"/>
              </w:rPr>
            </w:pPr>
          </w:p>
        </w:tc>
      </w:tr>
      <w:tr w14:paraId="3097B1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3B8E7B5">
            <w:pPr>
              <w:spacing w:line="440" w:lineRule="exact"/>
              <w:jc w:val="center"/>
              <w:rPr>
                <w:rFonts w:hint="default" w:ascii="Times New Roman" w:hAnsi="Times New Roman" w:cs="Times New Roman"/>
                <w:szCs w:val="21"/>
              </w:rPr>
            </w:pPr>
          </w:p>
        </w:tc>
        <w:tc>
          <w:tcPr>
            <w:tcW w:w="1304" w:type="dxa"/>
            <w:noWrap w:val="0"/>
            <w:vAlign w:val="top"/>
          </w:tcPr>
          <w:p w14:paraId="64205D64">
            <w:pPr>
              <w:spacing w:line="440" w:lineRule="exact"/>
              <w:jc w:val="center"/>
              <w:rPr>
                <w:rFonts w:hint="default" w:ascii="Times New Roman" w:hAnsi="Times New Roman" w:cs="Times New Roman"/>
                <w:szCs w:val="21"/>
              </w:rPr>
            </w:pPr>
          </w:p>
        </w:tc>
        <w:tc>
          <w:tcPr>
            <w:tcW w:w="1065" w:type="dxa"/>
            <w:noWrap w:val="0"/>
            <w:vAlign w:val="top"/>
          </w:tcPr>
          <w:p w14:paraId="4C23B982">
            <w:pPr>
              <w:spacing w:line="440" w:lineRule="exact"/>
              <w:jc w:val="center"/>
              <w:rPr>
                <w:rFonts w:hint="default" w:ascii="Times New Roman" w:hAnsi="Times New Roman" w:cs="Times New Roman"/>
                <w:szCs w:val="21"/>
              </w:rPr>
            </w:pPr>
          </w:p>
        </w:tc>
        <w:tc>
          <w:tcPr>
            <w:tcW w:w="1065" w:type="dxa"/>
            <w:noWrap w:val="0"/>
            <w:vAlign w:val="top"/>
          </w:tcPr>
          <w:p w14:paraId="3D18DFB1">
            <w:pPr>
              <w:spacing w:line="440" w:lineRule="exact"/>
              <w:jc w:val="center"/>
              <w:rPr>
                <w:rFonts w:hint="default" w:ascii="Times New Roman" w:hAnsi="Times New Roman" w:cs="Times New Roman"/>
                <w:szCs w:val="21"/>
              </w:rPr>
            </w:pPr>
          </w:p>
        </w:tc>
        <w:tc>
          <w:tcPr>
            <w:tcW w:w="1065" w:type="dxa"/>
            <w:noWrap w:val="0"/>
            <w:vAlign w:val="top"/>
          </w:tcPr>
          <w:p w14:paraId="2DBB52AF">
            <w:pPr>
              <w:spacing w:line="440" w:lineRule="exact"/>
              <w:jc w:val="center"/>
              <w:rPr>
                <w:rFonts w:hint="default" w:ascii="Times New Roman" w:hAnsi="Times New Roman" w:cs="Times New Roman"/>
                <w:szCs w:val="21"/>
              </w:rPr>
            </w:pPr>
          </w:p>
        </w:tc>
        <w:tc>
          <w:tcPr>
            <w:tcW w:w="1065" w:type="dxa"/>
            <w:noWrap w:val="0"/>
            <w:vAlign w:val="top"/>
          </w:tcPr>
          <w:p w14:paraId="3D418A46">
            <w:pPr>
              <w:spacing w:line="440" w:lineRule="exact"/>
              <w:jc w:val="center"/>
              <w:rPr>
                <w:rFonts w:hint="default" w:ascii="Times New Roman" w:hAnsi="Times New Roman" w:cs="Times New Roman"/>
                <w:szCs w:val="21"/>
              </w:rPr>
            </w:pPr>
          </w:p>
        </w:tc>
        <w:tc>
          <w:tcPr>
            <w:tcW w:w="1065" w:type="dxa"/>
            <w:noWrap w:val="0"/>
            <w:vAlign w:val="top"/>
          </w:tcPr>
          <w:p w14:paraId="3E3D4E47">
            <w:pPr>
              <w:spacing w:line="440" w:lineRule="exact"/>
              <w:jc w:val="center"/>
              <w:rPr>
                <w:rFonts w:hint="default" w:ascii="Times New Roman" w:hAnsi="Times New Roman" w:cs="Times New Roman"/>
                <w:szCs w:val="21"/>
              </w:rPr>
            </w:pPr>
          </w:p>
        </w:tc>
        <w:tc>
          <w:tcPr>
            <w:tcW w:w="1064" w:type="dxa"/>
            <w:noWrap w:val="0"/>
            <w:vAlign w:val="top"/>
          </w:tcPr>
          <w:p w14:paraId="22028AFD">
            <w:pPr>
              <w:spacing w:line="440" w:lineRule="exact"/>
              <w:jc w:val="center"/>
              <w:rPr>
                <w:rFonts w:hint="default" w:ascii="Times New Roman" w:hAnsi="Times New Roman" w:cs="Times New Roman"/>
                <w:szCs w:val="21"/>
              </w:rPr>
            </w:pPr>
          </w:p>
        </w:tc>
      </w:tr>
      <w:tr w14:paraId="728C6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51DF75B">
            <w:pPr>
              <w:spacing w:line="440" w:lineRule="exact"/>
              <w:jc w:val="center"/>
              <w:rPr>
                <w:rFonts w:hint="default" w:ascii="Times New Roman" w:hAnsi="Times New Roman" w:cs="Times New Roman"/>
                <w:szCs w:val="21"/>
              </w:rPr>
            </w:pPr>
          </w:p>
        </w:tc>
        <w:tc>
          <w:tcPr>
            <w:tcW w:w="1304" w:type="dxa"/>
            <w:noWrap w:val="0"/>
            <w:vAlign w:val="top"/>
          </w:tcPr>
          <w:p w14:paraId="30C12B60">
            <w:pPr>
              <w:spacing w:line="440" w:lineRule="exact"/>
              <w:jc w:val="center"/>
              <w:rPr>
                <w:rFonts w:hint="default" w:ascii="Times New Roman" w:hAnsi="Times New Roman" w:cs="Times New Roman"/>
                <w:szCs w:val="21"/>
              </w:rPr>
            </w:pPr>
          </w:p>
        </w:tc>
        <w:tc>
          <w:tcPr>
            <w:tcW w:w="1065" w:type="dxa"/>
            <w:noWrap w:val="0"/>
            <w:vAlign w:val="top"/>
          </w:tcPr>
          <w:p w14:paraId="23F00D78">
            <w:pPr>
              <w:spacing w:line="440" w:lineRule="exact"/>
              <w:jc w:val="center"/>
              <w:rPr>
                <w:rFonts w:hint="default" w:ascii="Times New Roman" w:hAnsi="Times New Roman" w:cs="Times New Roman"/>
                <w:szCs w:val="21"/>
              </w:rPr>
            </w:pPr>
          </w:p>
        </w:tc>
        <w:tc>
          <w:tcPr>
            <w:tcW w:w="1065" w:type="dxa"/>
            <w:noWrap w:val="0"/>
            <w:vAlign w:val="top"/>
          </w:tcPr>
          <w:p w14:paraId="62EF40F7">
            <w:pPr>
              <w:spacing w:line="440" w:lineRule="exact"/>
              <w:jc w:val="center"/>
              <w:rPr>
                <w:rFonts w:hint="default" w:ascii="Times New Roman" w:hAnsi="Times New Roman" w:cs="Times New Roman"/>
                <w:szCs w:val="21"/>
              </w:rPr>
            </w:pPr>
          </w:p>
        </w:tc>
        <w:tc>
          <w:tcPr>
            <w:tcW w:w="1065" w:type="dxa"/>
            <w:noWrap w:val="0"/>
            <w:vAlign w:val="top"/>
          </w:tcPr>
          <w:p w14:paraId="55EF1CF0">
            <w:pPr>
              <w:spacing w:line="440" w:lineRule="exact"/>
              <w:jc w:val="center"/>
              <w:rPr>
                <w:rFonts w:hint="default" w:ascii="Times New Roman" w:hAnsi="Times New Roman" w:cs="Times New Roman"/>
                <w:szCs w:val="21"/>
              </w:rPr>
            </w:pPr>
          </w:p>
        </w:tc>
        <w:tc>
          <w:tcPr>
            <w:tcW w:w="1065" w:type="dxa"/>
            <w:noWrap w:val="0"/>
            <w:vAlign w:val="top"/>
          </w:tcPr>
          <w:p w14:paraId="60C0CA43">
            <w:pPr>
              <w:spacing w:line="440" w:lineRule="exact"/>
              <w:jc w:val="center"/>
              <w:rPr>
                <w:rFonts w:hint="default" w:ascii="Times New Roman" w:hAnsi="Times New Roman" w:cs="Times New Roman"/>
                <w:szCs w:val="21"/>
              </w:rPr>
            </w:pPr>
          </w:p>
        </w:tc>
        <w:tc>
          <w:tcPr>
            <w:tcW w:w="1065" w:type="dxa"/>
            <w:noWrap w:val="0"/>
            <w:vAlign w:val="top"/>
          </w:tcPr>
          <w:p w14:paraId="6325E9B6">
            <w:pPr>
              <w:spacing w:line="440" w:lineRule="exact"/>
              <w:jc w:val="center"/>
              <w:rPr>
                <w:rFonts w:hint="default" w:ascii="Times New Roman" w:hAnsi="Times New Roman" w:cs="Times New Roman"/>
                <w:szCs w:val="21"/>
              </w:rPr>
            </w:pPr>
          </w:p>
        </w:tc>
        <w:tc>
          <w:tcPr>
            <w:tcW w:w="1064" w:type="dxa"/>
            <w:noWrap w:val="0"/>
            <w:vAlign w:val="top"/>
          </w:tcPr>
          <w:p w14:paraId="2CEF90F8">
            <w:pPr>
              <w:spacing w:line="440" w:lineRule="exact"/>
              <w:jc w:val="center"/>
              <w:rPr>
                <w:rFonts w:hint="default" w:ascii="Times New Roman" w:hAnsi="Times New Roman" w:cs="Times New Roman"/>
                <w:szCs w:val="21"/>
              </w:rPr>
            </w:pPr>
          </w:p>
        </w:tc>
      </w:tr>
      <w:tr w14:paraId="41C64F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4B7DF107">
            <w:pPr>
              <w:spacing w:line="440" w:lineRule="exact"/>
              <w:jc w:val="center"/>
              <w:rPr>
                <w:rFonts w:hint="default" w:ascii="Times New Roman" w:hAnsi="Times New Roman" w:cs="Times New Roman"/>
                <w:szCs w:val="21"/>
              </w:rPr>
            </w:pPr>
          </w:p>
        </w:tc>
        <w:tc>
          <w:tcPr>
            <w:tcW w:w="1304" w:type="dxa"/>
            <w:noWrap w:val="0"/>
            <w:vAlign w:val="top"/>
          </w:tcPr>
          <w:p w14:paraId="17EC64B3">
            <w:pPr>
              <w:spacing w:line="440" w:lineRule="exact"/>
              <w:jc w:val="center"/>
              <w:rPr>
                <w:rFonts w:hint="default" w:ascii="Times New Roman" w:hAnsi="Times New Roman" w:cs="Times New Roman"/>
                <w:szCs w:val="21"/>
              </w:rPr>
            </w:pPr>
          </w:p>
        </w:tc>
        <w:tc>
          <w:tcPr>
            <w:tcW w:w="1065" w:type="dxa"/>
            <w:noWrap w:val="0"/>
            <w:vAlign w:val="top"/>
          </w:tcPr>
          <w:p w14:paraId="68D2A2DB">
            <w:pPr>
              <w:spacing w:line="440" w:lineRule="exact"/>
              <w:jc w:val="center"/>
              <w:rPr>
                <w:rFonts w:hint="default" w:ascii="Times New Roman" w:hAnsi="Times New Roman" w:cs="Times New Roman"/>
                <w:szCs w:val="21"/>
              </w:rPr>
            </w:pPr>
          </w:p>
        </w:tc>
        <w:tc>
          <w:tcPr>
            <w:tcW w:w="1065" w:type="dxa"/>
            <w:noWrap w:val="0"/>
            <w:vAlign w:val="top"/>
          </w:tcPr>
          <w:p w14:paraId="5C0EBFE9">
            <w:pPr>
              <w:spacing w:line="440" w:lineRule="exact"/>
              <w:jc w:val="center"/>
              <w:rPr>
                <w:rFonts w:hint="default" w:ascii="Times New Roman" w:hAnsi="Times New Roman" w:cs="Times New Roman"/>
                <w:szCs w:val="21"/>
              </w:rPr>
            </w:pPr>
          </w:p>
        </w:tc>
        <w:tc>
          <w:tcPr>
            <w:tcW w:w="1065" w:type="dxa"/>
            <w:noWrap w:val="0"/>
            <w:vAlign w:val="top"/>
          </w:tcPr>
          <w:p w14:paraId="3A86F3FC">
            <w:pPr>
              <w:spacing w:line="440" w:lineRule="exact"/>
              <w:jc w:val="center"/>
              <w:rPr>
                <w:rFonts w:hint="default" w:ascii="Times New Roman" w:hAnsi="Times New Roman" w:cs="Times New Roman"/>
                <w:szCs w:val="21"/>
              </w:rPr>
            </w:pPr>
          </w:p>
        </w:tc>
        <w:tc>
          <w:tcPr>
            <w:tcW w:w="1065" w:type="dxa"/>
            <w:noWrap w:val="0"/>
            <w:vAlign w:val="top"/>
          </w:tcPr>
          <w:p w14:paraId="75A5FAA1">
            <w:pPr>
              <w:spacing w:line="440" w:lineRule="exact"/>
              <w:jc w:val="center"/>
              <w:rPr>
                <w:rFonts w:hint="default" w:ascii="Times New Roman" w:hAnsi="Times New Roman" w:cs="Times New Roman"/>
                <w:szCs w:val="21"/>
              </w:rPr>
            </w:pPr>
          </w:p>
        </w:tc>
        <w:tc>
          <w:tcPr>
            <w:tcW w:w="1065" w:type="dxa"/>
            <w:noWrap w:val="0"/>
            <w:vAlign w:val="top"/>
          </w:tcPr>
          <w:p w14:paraId="7A964F1F">
            <w:pPr>
              <w:spacing w:line="440" w:lineRule="exact"/>
              <w:jc w:val="center"/>
              <w:rPr>
                <w:rFonts w:hint="default" w:ascii="Times New Roman" w:hAnsi="Times New Roman" w:cs="Times New Roman"/>
                <w:szCs w:val="21"/>
              </w:rPr>
            </w:pPr>
          </w:p>
        </w:tc>
        <w:tc>
          <w:tcPr>
            <w:tcW w:w="1064" w:type="dxa"/>
            <w:noWrap w:val="0"/>
            <w:vAlign w:val="top"/>
          </w:tcPr>
          <w:p w14:paraId="2CB13E20">
            <w:pPr>
              <w:spacing w:line="440" w:lineRule="exact"/>
              <w:jc w:val="center"/>
              <w:rPr>
                <w:rFonts w:hint="default" w:ascii="Times New Roman" w:hAnsi="Times New Roman" w:cs="Times New Roman"/>
                <w:szCs w:val="21"/>
              </w:rPr>
            </w:pPr>
          </w:p>
        </w:tc>
      </w:tr>
      <w:tr w14:paraId="2AC7B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97A0C76">
            <w:pPr>
              <w:spacing w:line="440" w:lineRule="exact"/>
              <w:jc w:val="center"/>
              <w:rPr>
                <w:rFonts w:hint="default" w:ascii="Times New Roman" w:hAnsi="Times New Roman" w:cs="Times New Roman"/>
                <w:szCs w:val="21"/>
              </w:rPr>
            </w:pPr>
          </w:p>
        </w:tc>
        <w:tc>
          <w:tcPr>
            <w:tcW w:w="1304" w:type="dxa"/>
            <w:noWrap w:val="0"/>
            <w:vAlign w:val="top"/>
          </w:tcPr>
          <w:p w14:paraId="7BE3B729">
            <w:pPr>
              <w:spacing w:line="440" w:lineRule="exact"/>
              <w:jc w:val="center"/>
              <w:rPr>
                <w:rFonts w:hint="default" w:ascii="Times New Roman" w:hAnsi="Times New Roman" w:cs="Times New Roman"/>
                <w:szCs w:val="21"/>
              </w:rPr>
            </w:pPr>
          </w:p>
        </w:tc>
        <w:tc>
          <w:tcPr>
            <w:tcW w:w="1065" w:type="dxa"/>
            <w:noWrap w:val="0"/>
            <w:vAlign w:val="top"/>
          </w:tcPr>
          <w:p w14:paraId="758A04B7">
            <w:pPr>
              <w:spacing w:line="440" w:lineRule="exact"/>
              <w:jc w:val="center"/>
              <w:rPr>
                <w:rFonts w:hint="default" w:ascii="Times New Roman" w:hAnsi="Times New Roman" w:cs="Times New Roman"/>
                <w:szCs w:val="21"/>
              </w:rPr>
            </w:pPr>
          </w:p>
        </w:tc>
        <w:tc>
          <w:tcPr>
            <w:tcW w:w="1065" w:type="dxa"/>
            <w:noWrap w:val="0"/>
            <w:vAlign w:val="top"/>
          </w:tcPr>
          <w:p w14:paraId="71CC4AB2">
            <w:pPr>
              <w:spacing w:line="440" w:lineRule="exact"/>
              <w:jc w:val="center"/>
              <w:rPr>
                <w:rFonts w:hint="default" w:ascii="Times New Roman" w:hAnsi="Times New Roman" w:cs="Times New Roman"/>
                <w:szCs w:val="21"/>
              </w:rPr>
            </w:pPr>
          </w:p>
        </w:tc>
        <w:tc>
          <w:tcPr>
            <w:tcW w:w="1065" w:type="dxa"/>
            <w:noWrap w:val="0"/>
            <w:vAlign w:val="top"/>
          </w:tcPr>
          <w:p w14:paraId="5AB6ACD8">
            <w:pPr>
              <w:spacing w:line="440" w:lineRule="exact"/>
              <w:jc w:val="center"/>
              <w:rPr>
                <w:rFonts w:hint="default" w:ascii="Times New Roman" w:hAnsi="Times New Roman" w:cs="Times New Roman"/>
                <w:szCs w:val="21"/>
              </w:rPr>
            </w:pPr>
          </w:p>
        </w:tc>
        <w:tc>
          <w:tcPr>
            <w:tcW w:w="1065" w:type="dxa"/>
            <w:noWrap w:val="0"/>
            <w:vAlign w:val="top"/>
          </w:tcPr>
          <w:p w14:paraId="3AB42E16">
            <w:pPr>
              <w:spacing w:line="440" w:lineRule="exact"/>
              <w:jc w:val="center"/>
              <w:rPr>
                <w:rFonts w:hint="default" w:ascii="Times New Roman" w:hAnsi="Times New Roman" w:cs="Times New Roman"/>
                <w:szCs w:val="21"/>
              </w:rPr>
            </w:pPr>
          </w:p>
        </w:tc>
        <w:tc>
          <w:tcPr>
            <w:tcW w:w="1065" w:type="dxa"/>
            <w:noWrap w:val="0"/>
            <w:vAlign w:val="top"/>
          </w:tcPr>
          <w:p w14:paraId="6855D309">
            <w:pPr>
              <w:spacing w:line="440" w:lineRule="exact"/>
              <w:jc w:val="center"/>
              <w:rPr>
                <w:rFonts w:hint="default" w:ascii="Times New Roman" w:hAnsi="Times New Roman" w:cs="Times New Roman"/>
                <w:szCs w:val="21"/>
              </w:rPr>
            </w:pPr>
          </w:p>
        </w:tc>
        <w:tc>
          <w:tcPr>
            <w:tcW w:w="1064" w:type="dxa"/>
            <w:noWrap w:val="0"/>
            <w:vAlign w:val="top"/>
          </w:tcPr>
          <w:p w14:paraId="2091224E">
            <w:pPr>
              <w:spacing w:line="440" w:lineRule="exact"/>
              <w:jc w:val="center"/>
              <w:rPr>
                <w:rFonts w:hint="default" w:ascii="Times New Roman" w:hAnsi="Times New Roman" w:cs="Times New Roman"/>
                <w:szCs w:val="21"/>
              </w:rPr>
            </w:pPr>
          </w:p>
        </w:tc>
      </w:tr>
      <w:tr w14:paraId="00763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5495E75">
            <w:pPr>
              <w:spacing w:line="440" w:lineRule="exact"/>
              <w:jc w:val="center"/>
              <w:rPr>
                <w:rFonts w:hint="default" w:ascii="Times New Roman" w:hAnsi="Times New Roman" w:cs="Times New Roman"/>
                <w:szCs w:val="21"/>
              </w:rPr>
            </w:pPr>
          </w:p>
        </w:tc>
        <w:tc>
          <w:tcPr>
            <w:tcW w:w="1304" w:type="dxa"/>
            <w:noWrap w:val="0"/>
            <w:vAlign w:val="top"/>
          </w:tcPr>
          <w:p w14:paraId="2A69E7C6">
            <w:pPr>
              <w:spacing w:line="440" w:lineRule="exact"/>
              <w:jc w:val="center"/>
              <w:rPr>
                <w:rFonts w:hint="default" w:ascii="Times New Roman" w:hAnsi="Times New Roman" w:cs="Times New Roman"/>
                <w:szCs w:val="21"/>
              </w:rPr>
            </w:pPr>
          </w:p>
        </w:tc>
        <w:tc>
          <w:tcPr>
            <w:tcW w:w="1065" w:type="dxa"/>
            <w:noWrap w:val="0"/>
            <w:vAlign w:val="top"/>
          </w:tcPr>
          <w:p w14:paraId="0D21899D">
            <w:pPr>
              <w:spacing w:line="440" w:lineRule="exact"/>
              <w:jc w:val="center"/>
              <w:rPr>
                <w:rFonts w:hint="default" w:ascii="Times New Roman" w:hAnsi="Times New Roman" w:cs="Times New Roman"/>
                <w:szCs w:val="21"/>
              </w:rPr>
            </w:pPr>
          </w:p>
        </w:tc>
        <w:tc>
          <w:tcPr>
            <w:tcW w:w="1065" w:type="dxa"/>
            <w:noWrap w:val="0"/>
            <w:vAlign w:val="top"/>
          </w:tcPr>
          <w:p w14:paraId="32DDB8FC">
            <w:pPr>
              <w:spacing w:line="440" w:lineRule="exact"/>
              <w:jc w:val="center"/>
              <w:rPr>
                <w:rFonts w:hint="default" w:ascii="Times New Roman" w:hAnsi="Times New Roman" w:cs="Times New Roman"/>
                <w:szCs w:val="21"/>
              </w:rPr>
            </w:pPr>
          </w:p>
        </w:tc>
        <w:tc>
          <w:tcPr>
            <w:tcW w:w="1065" w:type="dxa"/>
            <w:noWrap w:val="0"/>
            <w:vAlign w:val="top"/>
          </w:tcPr>
          <w:p w14:paraId="09A8DCEE">
            <w:pPr>
              <w:spacing w:line="440" w:lineRule="exact"/>
              <w:jc w:val="center"/>
              <w:rPr>
                <w:rFonts w:hint="default" w:ascii="Times New Roman" w:hAnsi="Times New Roman" w:cs="Times New Roman"/>
                <w:szCs w:val="21"/>
              </w:rPr>
            </w:pPr>
          </w:p>
        </w:tc>
        <w:tc>
          <w:tcPr>
            <w:tcW w:w="1065" w:type="dxa"/>
            <w:noWrap w:val="0"/>
            <w:vAlign w:val="top"/>
          </w:tcPr>
          <w:p w14:paraId="350F320B">
            <w:pPr>
              <w:spacing w:line="440" w:lineRule="exact"/>
              <w:jc w:val="center"/>
              <w:rPr>
                <w:rFonts w:hint="default" w:ascii="Times New Roman" w:hAnsi="Times New Roman" w:cs="Times New Roman"/>
                <w:szCs w:val="21"/>
              </w:rPr>
            </w:pPr>
          </w:p>
        </w:tc>
        <w:tc>
          <w:tcPr>
            <w:tcW w:w="1065" w:type="dxa"/>
            <w:noWrap w:val="0"/>
            <w:vAlign w:val="top"/>
          </w:tcPr>
          <w:p w14:paraId="48ABEF9E">
            <w:pPr>
              <w:spacing w:line="440" w:lineRule="exact"/>
              <w:jc w:val="center"/>
              <w:rPr>
                <w:rFonts w:hint="default" w:ascii="Times New Roman" w:hAnsi="Times New Roman" w:cs="Times New Roman"/>
                <w:szCs w:val="21"/>
              </w:rPr>
            </w:pPr>
          </w:p>
        </w:tc>
        <w:tc>
          <w:tcPr>
            <w:tcW w:w="1064" w:type="dxa"/>
            <w:noWrap w:val="0"/>
            <w:vAlign w:val="top"/>
          </w:tcPr>
          <w:p w14:paraId="5178194C">
            <w:pPr>
              <w:spacing w:line="440" w:lineRule="exact"/>
              <w:jc w:val="center"/>
              <w:rPr>
                <w:rFonts w:hint="default" w:ascii="Times New Roman" w:hAnsi="Times New Roman" w:cs="Times New Roman"/>
                <w:szCs w:val="21"/>
              </w:rPr>
            </w:pPr>
          </w:p>
        </w:tc>
      </w:tr>
      <w:tr w14:paraId="1EB84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55EB69E4">
            <w:pPr>
              <w:spacing w:line="440" w:lineRule="exact"/>
              <w:jc w:val="center"/>
              <w:rPr>
                <w:rFonts w:hint="default" w:ascii="Times New Roman" w:hAnsi="Times New Roman" w:cs="Times New Roman"/>
                <w:szCs w:val="21"/>
              </w:rPr>
            </w:pPr>
          </w:p>
        </w:tc>
        <w:tc>
          <w:tcPr>
            <w:tcW w:w="1304" w:type="dxa"/>
            <w:noWrap w:val="0"/>
            <w:vAlign w:val="top"/>
          </w:tcPr>
          <w:p w14:paraId="487F0B72">
            <w:pPr>
              <w:spacing w:line="440" w:lineRule="exact"/>
              <w:jc w:val="center"/>
              <w:rPr>
                <w:rFonts w:hint="default" w:ascii="Times New Roman" w:hAnsi="Times New Roman" w:cs="Times New Roman"/>
                <w:szCs w:val="21"/>
              </w:rPr>
            </w:pPr>
          </w:p>
        </w:tc>
        <w:tc>
          <w:tcPr>
            <w:tcW w:w="1065" w:type="dxa"/>
            <w:noWrap w:val="0"/>
            <w:vAlign w:val="top"/>
          </w:tcPr>
          <w:p w14:paraId="127AF408">
            <w:pPr>
              <w:spacing w:line="440" w:lineRule="exact"/>
              <w:jc w:val="center"/>
              <w:rPr>
                <w:rFonts w:hint="default" w:ascii="Times New Roman" w:hAnsi="Times New Roman" w:cs="Times New Roman"/>
                <w:szCs w:val="21"/>
              </w:rPr>
            </w:pPr>
          </w:p>
        </w:tc>
        <w:tc>
          <w:tcPr>
            <w:tcW w:w="1065" w:type="dxa"/>
            <w:noWrap w:val="0"/>
            <w:vAlign w:val="top"/>
          </w:tcPr>
          <w:p w14:paraId="123B0DCD">
            <w:pPr>
              <w:spacing w:line="440" w:lineRule="exact"/>
              <w:jc w:val="center"/>
              <w:rPr>
                <w:rFonts w:hint="default" w:ascii="Times New Roman" w:hAnsi="Times New Roman" w:cs="Times New Roman"/>
                <w:szCs w:val="21"/>
              </w:rPr>
            </w:pPr>
          </w:p>
        </w:tc>
        <w:tc>
          <w:tcPr>
            <w:tcW w:w="1065" w:type="dxa"/>
            <w:noWrap w:val="0"/>
            <w:vAlign w:val="top"/>
          </w:tcPr>
          <w:p w14:paraId="5E91010D">
            <w:pPr>
              <w:spacing w:line="440" w:lineRule="exact"/>
              <w:jc w:val="center"/>
              <w:rPr>
                <w:rFonts w:hint="default" w:ascii="Times New Roman" w:hAnsi="Times New Roman" w:cs="Times New Roman"/>
                <w:szCs w:val="21"/>
              </w:rPr>
            </w:pPr>
          </w:p>
        </w:tc>
        <w:tc>
          <w:tcPr>
            <w:tcW w:w="1065" w:type="dxa"/>
            <w:noWrap w:val="0"/>
            <w:vAlign w:val="top"/>
          </w:tcPr>
          <w:p w14:paraId="10D7DE2D">
            <w:pPr>
              <w:spacing w:line="440" w:lineRule="exact"/>
              <w:jc w:val="center"/>
              <w:rPr>
                <w:rFonts w:hint="default" w:ascii="Times New Roman" w:hAnsi="Times New Roman" w:cs="Times New Roman"/>
                <w:szCs w:val="21"/>
              </w:rPr>
            </w:pPr>
          </w:p>
        </w:tc>
        <w:tc>
          <w:tcPr>
            <w:tcW w:w="1065" w:type="dxa"/>
            <w:noWrap w:val="0"/>
            <w:vAlign w:val="top"/>
          </w:tcPr>
          <w:p w14:paraId="4920BA44">
            <w:pPr>
              <w:spacing w:line="440" w:lineRule="exact"/>
              <w:jc w:val="center"/>
              <w:rPr>
                <w:rFonts w:hint="default" w:ascii="Times New Roman" w:hAnsi="Times New Roman" w:cs="Times New Roman"/>
                <w:szCs w:val="21"/>
              </w:rPr>
            </w:pPr>
          </w:p>
        </w:tc>
        <w:tc>
          <w:tcPr>
            <w:tcW w:w="1064" w:type="dxa"/>
            <w:noWrap w:val="0"/>
            <w:vAlign w:val="top"/>
          </w:tcPr>
          <w:p w14:paraId="24051A5E">
            <w:pPr>
              <w:spacing w:line="440" w:lineRule="exact"/>
              <w:jc w:val="center"/>
              <w:rPr>
                <w:rFonts w:hint="default" w:ascii="Times New Roman" w:hAnsi="Times New Roman" w:cs="Times New Roman"/>
                <w:szCs w:val="21"/>
              </w:rPr>
            </w:pPr>
          </w:p>
        </w:tc>
      </w:tr>
      <w:tr w14:paraId="170961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E59E944">
            <w:pPr>
              <w:spacing w:line="440" w:lineRule="exact"/>
              <w:jc w:val="center"/>
              <w:rPr>
                <w:rFonts w:hint="default" w:ascii="Times New Roman" w:hAnsi="Times New Roman" w:cs="Times New Roman"/>
                <w:szCs w:val="21"/>
              </w:rPr>
            </w:pPr>
          </w:p>
        </w:tc>
        <w:tc>
          <w:tcPr>
            <w:tcW w:w="1304" w:type="dxa"/>
            <w:noWrap w:val="0"/>
            <w:vAlign w:val="top"/>
          </w:tcPr>
          <w:p w14:paraId="3F50262C">
            <w:pPr>
              <w:spacing w:line="440" w:lineRule="exact"/>
              <w:jc w:val="center"/>
              <w:rPr>
                <w:rFonts w:hint="default" w:ascii="Times New Roman" w:hAnsi="Times New Roman" w:cs="Times New Roman"/>
                <w:szCs w:val="21"/>
              </w:rPr>
            </w:pPr>
          </w:p>
        </w:tc>
        <w:tc>
          <w:tcPr>
            <w:tcW w:w="1065" w:type="dxa"/>
            <w:noWrap w:val="0"/>
            <w:vAlign w:val="top"/>
          </w:tcPr>
          <w:p w14:paraId="17DB1343">
            <w:pPr>
              <w:spacing w:line="440" w:lineRule="exact"/>
              <w:jc w:val="center"/>
              <w:rPr>
                <w:rFonts w:hint="default" w:ascii="Times New Roman" w:hAnsi="Times New Roman" w:cs="Times New Roman"/>
                <w:szCs w:val="21"/>
              </w:rPr>
            </w:pPr>
          </w:p>
        </w:tc>
        <w:tc>
          <w:tcPr>
            <w:tcW w:w="1065" w:type="dxa"/>
            <w:noWrap w:val="0"/>
            <w:vAlign w:val="top"/>
          </w:tcPr>
          <w:p w14:paraId="20EC0AE2">
            <w:pPr>
              <w:spacing w:line="440" w:lineRule="exact"/>
              <w:jc w:val="center"/>
              <w:rPr>
                <w:rFonts w:hint="default" w:ascii="Times New Roman" w:hAnsi="Times New Roman" w:cs="Times New Roman"/>
                <w:szCs w:val="21"/>
              </w:rPr>
            </w:pPr>
          </w:p>
        </w:tc>
        <w:tc>
          <w:tcPr>
            <w:tcW w:w="1065" w:type="dxa"/>
            <w:noWrap w:val="0"/>
            <w:vAlign w:val="top"/>
          </w:tcPr>
          <w:p w14:paraId="6F66958B">
            <w:pPr>
              <w:spacing w:line="440" w:lineRule="exact"/>
              <w:jc w:val="center"/>
              <w:rPr>
                <w:rFonts w:hint="default" w:ascii="Times New Roman" w:hAnsi="Times New Roman" w:cs="Times New Roman"/>
                <w:szCs w:val="21"/>
              </w:rPr>
            </w:pPr>
          </w:p>
        </w:tc>
        <w:tc>
          <w:tcPr>
            <w:tcW w:w="1065" w:type="dxa"/>
            <w:noWrap w:val="0"/>
            <w:vAlign w:val="top"/>
          </w:tcPr>
          <w:p w14:paraId="5C935374">
            <w:pPr>
              <w:spacing w:line="440" w:lineRule="exact"/>
              <w:jc w:val="center"/>
              <w:rPr>
                <w:rFonts w:hint="default" w:ascii="Times New Roman" w:hAnsi="Times New Roman" w:cs="Times New Roman"/>
                <w:szCs w:val="21"/>
              </w:rPr>
            </w:pPr>
          </w:p>
        </w:tc>
        <w:tc>
          <w:tcPr>
            <w:tcW w:w="1065" w:type="dxa"/>
            <w:noWrap w:val="0"/>
            <w:vAlign w:val="top"/>
          </w:tcPr>
          <w:p w14:paraId="44A68159">
            <w:pPr>
              <w:spacing w:line="440" w:lineRule="exact"/>
              <w:jc w:val="center"/>
              <w:rPr>
                <w:rFonts w:hint="default" w:ascii="Times New Roman" w:hAnsi="Times New Roman" w:cs="Times New Roman"/>
                <w:szCs w:val="21"/>
              </w:rPr>
            </w:pPr>
          </w:p>
        </w:tc>
        <w:tc>
          <w:tcPr>
            <w:tcW w:w="1064" w:type="dxa"/>
            <w:noWrap w:val="0"/>
            <w:vAlign w:val="top"/>
          </w:tcPr>
          <w:p w14:paraId="285543C5">
            <w:pPr>
              <w:spacing w:line="440" w:lineRule="exact"/>
              <w:jc w:val="center"/>
              <w:rPr>
                <w:rFonts w:hint="default" w:ascii="Times New Roman" w:hAnsi="Times New Roman" w:cs="Times New Roman"/>
                <w:szCs w:val="21"/>
              </w:rPr>
            </w:pPr>
          </w:p>
        </w:tc>
      </w:tr>
      <w:tr w14:paraId="1E9BA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35F589B">
            <w:pPr>
              <w:spacing w:line="440" w:lineRule="exact"/>
              <w:jc w:val="center"/>
              <w:rPr>
                <w:rFonts w:hint="default" w:ascii="Times New Roman" w:hAnsi="Times New Roman" w:cs="Times New Roman"/>
                <w:szCs w:val="21"/>
              </w:rPr>
            </w:pPr>
          </w:p>
        </w:tc>
        <w:tc>
          <w:tcPr>
            <w:tcW w:w="1304" w:type="dxa"/>
            <w:noWrap w:val="0"/>
            <w:vAlign w:val="top"/>
          </w:tcPr>
          <w:p w14:paraId="474C9F05">
            <w:pPr>
              <w:spacing w:line="440" w:lineRule="exact"/>
              <w:jc w:val="center"/>
              <w:rPr>
                <w:rFonts w:hint="default" w:ascii="Times New Roman" w:hAnsi="Times New Roman" w:cs="Times New Roman"/>
                <w:szCs w:val="21"/>
              </w:rPr>
            </w:pPr>
          </w:p>
        </w:tc>
        <w:tc>
          <w:tcPr>
            <w:tcW w:w="1065" w:type="dxa"/>
            <w:noWrap w:val="0"/>
            <w:vAlign w:val="top"/>
          </w:tcPr>
          <w:p w14:paraId="0F439363">
            <w:pPr>
              <w:spacing w:line="440" w:lineRule="exact"/>
              <w:jc w:val="center"/>
              <w:rPr>
                <w:rFonts w:hint="default" w:ascii="Times New Roman" w:hAnsi="Times New Roman" w:cs="Times New Roman"/>
                <w:szCs w:val="21"/>
              </w:rPr>
            </w:pPr>
          </w:p>
        </w:tc>
        <w:tc>
          <w:tcPr>
            <w:tcW w:w="1065" w:type="dxa"/>
            <w:noWrap w:val="0"/>
            <w:vAlign w:val="top"/>
          </w:tcPr>
          <w:p w14:paraId="11FF5C8A">
            <w:pPr>
              <w:spacing w:line="440" w:lineRule="exact"/>
              <w:jc w:val="center"/>
              <w:rPr>
                <w:rFonts w:hint="default" w:ascii="Times New Roman" w:hAnsi="Times New Roman" w:cs="Times New Roman"/>
                <w:szCs w:val="21"/>
              </w:rPr>
            </w:pPr>
          </w:p>
        </w:tc>
        <w:tc>
          <w:tcPr>
            <w:tcW w:w="1065" w:type="dxa"/>
            <w:noWrap w:val="0"/>
            <w:vAlign w:val="top"/>
          </w:tcPr>
          <w:p w14:paraId="3923819C">
            <w:pPr>
              <w:spacing w:line="440" w:lineRule="exact"/>
              <w:jc w:val="center"/>
              <w:rPr>
                <w:rFonts w:hint="default" w:ascii="Times New Roman" w:hAnsi="Times New Roman" w:cs="Times New Roman"/>
                <w:szCs w:val="21"/>
              </w:rPr>
            </w:pPr>
          </w:p>
        </w:tc>
        <w:tc>
          <w:tcPr>
            <w:tcW w:w="1065" w:type="dxa"/>
            <w:noWrap w:val="0"/>
            <w:vAlign w:val="top"/>
          </w:tcPr>
          <w:p w14:paraId="59644367">
            <w:pPr>
              <w:spacing w:line="440" w:lineRule="exact"/>
              <w:jc w:val="center"/>
              <w:rPr>
                <w:rFonts w:hint="default" w:ascii="Times New Roman" w:hAnsi="Times New Roman" w:cs="Times New Roman"/>
                <w:szCs w:val="21"/>
              </w:rPr>
            </w:pPr>
          </w:p>
        </w:tc>
        <w:tc>
          <w:tcPr>
            <w:tcW w:w="1065" w:type="dxa"/>
            <w:noWrap w:val="0"/>
            <w:vAlign w:val="top"/>
          </w:tcPr>
          <w:p w14:paraId="76EBA509">
            <w:pPr>
              <w:spacing w:line="440" w:lineRule="exact"/>
              <w:jc w:val="center"/>
              <w:rPr>
                <w:rFonts w:hint="default" w:ascii="Times New Roman" w:hAnsi="Times New Roman" w:cs="Times New Roman"/>
                <w:szCs w:val="21"/>
              </w:rPr>
            </w:pPr>
          </w:p>
        </w:tc>
        <w:tc>
          <w:tcPr>
            <w:tcW w:w="1064" w:type="dxa"/>
            <w:noWrap w:val="0"/>
            <w:vAlign w:val="top"/>
          </w:tcPr>
          <w:p w14:paraId="24ED3275">
            <w:pPr>
              <w:spacing w:line="440" w:lineRule="exact"/>
              <w:jc w:val="center"/>
              <w:rPr>
                <w:rFonts w:hint="default" w:ascii="Times New Roman" w:hAnsi="Times New Roman" w:cs="Times New Roman"/>
                <w:szCs w:val="21"/>
              </w:rPr>
            </w:pPr>
          </w:p>
        </w:tc>
      </w:tr>
      <w:tr w14:paraId="14295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146922C3">
            <w:pPr>
              <w:spacing w:line="440" w:lineRule="exact"/>
              <w:jc w:val="center"/>
              <w:rPr>
                <w:rFonts w:hint="default" w:ascii="Times New Roman" w:hAnsi="Times New Roman" w:cs="Times New Roman"/>
                <w:szCs w:val="21"/>
              </w:rPr>
            </w:pPr>
          </w:p>
        </w:tc>
        <w:tc>
          <w:tcPr>
            <w:tcW w:w="1304" w:type="dxa"/>
            <w:noWrap w:val="0"/>
            <w:vAlign w:val="top"/>
          </w:tcPr>
          <w:p w14:paraId="4C4F8657">
            <w:pPr>
              <w:spacing w:line="440" w:lineRule="exact"/>
              <w:jc w:val="center"/>
              <w:rPr>
                <w:rFonts w:hint="default" w:ascii="Times New Roman" w:hAnsi="Times New Roman" w:cs="Times New Roman"/>
                <w:szCs w:val="21"/>
              </w:rPr>
            </w:pPr>
          </w:p>
        </w:tc>
        <w:tc>
          <w:tcPr>
            <w:tcW w:w="1065" w:type="dxa"/>
            <w:noWrap w:val="0"/>
            <w:vAlign w:val="top"/>
          </w:tcPr>
          <w:p w14:paraId="15A1AD0C">
            <w:pPr>
              <w:spacing w:line="440" w:lineRule="exact"/>
              <w:jc w:val="center"/>
              <w:rPr>
                <w:rFonts w:hint="default" w:ascii="Times New Roman" w:hAnsi="Times New Roman" w:cs="Times New Roman"/>
                <w:szCs w:val="21"/>
              </w:rPr>
            </w:pPr>
          </w:p>
        </w:tc>
        <w:tc>
          <w:tcPr>
            <w:tcW w:w="1065" w:type="dxa"/>
            <w:noWrap w:val="0"/>
            <w:vAlign w:val="top"/>
          </w:tcPr>
          <w:p w14:paraId="46D049E9">
            <w:pPr>
              <w:spacing w:line="440" w:lineRule="exact"/>
              <w:jc w:val="center"/>
              <w:rPr>
                <w:rFonts w:hint="default" w:ascii="Times New Roman" w:hAnsi="Times New Roman" w:cs="Times New Roman"/>
                <w:szCs w:val="21"/>
              </w:rPr>
            </w:pPr>
          </w:p>
        </w:tc>
        <w:tc>
          <w:tcPr>
            <w:tcW w:w="1065" w:type="dxa"/>
            <w:noWrap w:val="0"/>
            <w:vAlign w:val="top"/>
          </w:tcPr>
          <w:p w14:paraId="26F7A096">
            <w:pPr>
              <w:spacing w:line="440" w:lineRule="exact"/>
              <w:jc w:val="center"/>
              <w:rPr>
                <w:rFonts w:hint="default" w:ascii="Times New Roman" w:hAnsi="Times New Roman" w:cs="Times New Roman"/>
                <w:szCs w:val="21"/>
              </w:rPr>
            </w:pPr>
          </w:p>
        </w:tc>
        <w:tc>
          <w:tcPr>
            <w:tcW w:w="1065" w:type="dxa"/>
            <w:noWrap w:val="0"/>
            <w:vAlign w:val="top"/>
          </w:tcPr>
          <w:p w14:paraId="3234006C">
            <w:pPr>
              <w:spacing w:line="440" w:lineRule="exact"/>
              <w:jc w:val="center"/>
              <w:rPr>
                <w:rFonts w:hint="default" w:ascii="Times New Roman" w:hAnsi="Times New Roman" w:cs="Times New Roman"/>
                <w:szCs w:val="21"/>
              </w:rPr>
            </w:pPr>
          </w:p>
        </w:tc>
        <w:tc>
          <w:tcPr>
            <w:tcW w:w="1065" w:type="dxa"/>
            <w:noWrap w:val="0"/>
            <w:vAlign w:val="top"/>
          </w:tcPr>
          <w:p w14:paraId="189130C0">
            <w:pPr>
              <w:spacing w:line="440" w:lineRule="exact"/>
              <w:jc w:val="center"/>
              <w:rPr>
                <w:rFonts w:hint="default" w:ascii="Times New Roman" w:hAnsi="Times New Roman" w:cs="Times New Roman"/>
                <w:szCs w:val="21"/>
              </w:rPr>
            </w:pPr>
          </w:p>
        </w:tc>
        <w:tc>
          <w:tcPr>
            <w:tcW w:w="1064" w:type="dxa"/>
            <w:noWrap w:val="0"/>
            <w:vAlign w:val="top"/>
          </w:tcPr>
          <w:p w14:paraId="1F82B4B1">
            <w:pPr>
              <w:spacing w:line="440" w:lineRule="exact"/>
              <w:jc w:val="center"/>
              <w:rPr>
                <w:rFonts w:hint="default" w:ascii="Times New Roman" w:hAnsi="Times New Roman" w:cs="Times New Roman"/>
                <w:szCs w:val="21"/>
              </w:rPr>
            </w:pPr>
          </w:p>
        </w:tc>
      </w:tr>
      <w:tr w14:paraId="1B2FEF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7A5DF33">
            <w:pPr>
              <w:spacing w:line="440" w:lineRule="exact"/>
              <w:jc w:val="center"/>
              <w:rPr>
                <w:rFonts w:hint="default" w:ascii="Times New Roman" w:hAnsi="Times New Roman" w:cs="Times New Roman"/>
                <w:szCs w:val="21"/>
              </w:rPr>
            </w:pPr>
          </w:p>
        </w:tc>
        <w:tc>
          <w:tcPr>
            <w:tcW w:w="1304" w:type="dxa"/>
            <w:noWrap w:val="0"/>
            <w:vAlign w:val="top"/>
          </w:tcPr>
          <w:p w14:paraId="051362B8">
            <w:pPr>
              <w:spacing w:line="440" w:lineRule="exact"/>
              <w:jc w:val="center"/>
              <w:rPr>
                <w:rFonts w:hint="default" w:ascii="Times New Roman" w:hAnsi="Times New Roman" w:cs="Times New Roman"/>
                <w:szCs w:val="21"/>
              </w:rPr>
            </w:pPr>
          </w:p>
        </w:tc>
        <w:tc>
          <w:tcPr>
            <w:tcW w:w="1065" w:type="dxa"/>
            <w:noWrap w:val="0"/>
            <w:vAlign w:val="top"/>
          </w:tcPr>
          <w:p w14:paraId="4A39A737">
            <w:pPr>
              <w:spacing w:line="440" w:lineRule="exact"/>
              <w:jc w:val="center"/>
              <w:rPr>
                <w:rFonts w:hint="default" w:ascii="Times New Roman" w:hAnsi="Times New Roman" w:cs="Times New Roman"/>
                <w:szCs w:val="21"/>
              </w:rPr>
            </w:pPr>
          </w:p>
        </w:tc>
        <w:tc>
          <w:tcPr>
            <w:tcW w:w="1065" w:type="dxa"/>
            <w:noWrap w:val="0"/>
            <w:vAlign w:val="top"/>
          </w:tcPr>
          <w:p w14:paraId="50CE695E">
            <w:pPr>
              <w:spacing w:line="440" w:lineRule="exact"/>
              <w:jc w:val="center"/>
              <w:rPr>
                <w:rFonts w:hint="default" w:ascii="Times New Roman" w:hAnsi="Times New Roman" w:cs="Times New Roman"/>
                <w:szCs w:val="21"/>
              </w:rPr>
            </w:pPr>
          </w:p>
        </w:tc>
        <w:tc>
          <w:tcPr>
            <w:tcW w:w="1065" w:type="dxa"/>
            <w:noWrap w:val="0"/>
            <w:vAlign w:val="top"/>
          </w:tcPr>
          <w:p w14:paraId="00714610">
            <w:pPr>
              <w:spacing w:line="440" w:lineRule="exact"/>
              <w:jc w:val="center"/>
              <w:rPr>
                <w:rFonts w:hint="default" w:ascii="Times New Roman" w:hAnsi="Times New Roman" w:cs="Times New Roman"/>
                <w:szCs w:val="21"/>
              </w:rPr>
            </w:pPr>
          </w:p>
        </w:tc>
        <w:tc>
          <w:tcPr>
            <w:tcW w:w="1065" w:type="dxa"/>
            <w:noWrap w:val="0"/>
            <w:vAlign w:val="top"/>
          </w:tcPr>
          <w:p w14:paraId="2831AFBA">
            <w:pPr>
              <w:spacing w:line="440" w:lineRule="exact"/>
              <w:jc w:val="center"/>
              <w:rPr>
                <w:rFonts w:hint="default" w:ascii="Times New Roman" w:hAnsi="Times New Roman" w:cs="Times New Roman"/>
                <w:szCs w:val="21"/>
              </w:rPr>
            </w:pPr>
          </w:p>
        </w:tc>
        <w:tc>
          <w:tcPr>
            <w:tcW w:w="1065" w:type="dxa"/>
            <w:noWrap w:val="0"/>
            <w:vAlign w:val="top"/>
          </w:tcPr>
          <w:p w14:paraId="2D2BE8FC">
            <w:pPr>
              <w:spacing w:line="440" w:lineRule="exact"/>
              <w:jc w:val="center"/>
              <w:rPr>
                <w:rFonts w:hint="default" w:ascii="Times New Roman" w:hAnsi="Times New Roman" w:cs="Times New Roman"/>
                <w:szCs w:val="21"/>
              </w:rPr>
            </w:pPr>
          </w:p>
        </w:tc>
        <w:tc>
          <w:tcPr>
            <w:tcW w:w="1064" w:type="dxa"/>
            <w:noWrap w:val="0"/>
            <w:vAlign w:val="top"/>
          </w:tcPr>
          <w:p w14:paraId="52D1DF0B">
            <w:pPr>
              <w:spacing w:line="440" w:lineRule="exact"/>
              <w:jc w:val="center"/>
              <w:rPr>
                <w:rFonts w:hint="default" w:ascii="Times New Roman" w:hAnsi="Times New Roman" w:cs="Times New Roman"/>
                <w:szCs w:val="21"/>
              </w:rPr>
            </w:pPr>
          </w:p>
        </w:tc>
      </w:tr>
      <w:tr w14:paraId="298F2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A9A4350">
            <w:pPr>
              <w:spacing w:line="440" w:lineRule="exact"/>
              <w:jc w:val="center"/>
              <w:rPr>
                <w:rFonts w:hint="default" w:ascii="Times New Roman" w:hAnsi="Times New Roman" w:cs="Times New Roman"/>
                <w:szCs w:val="21"/>
              </w:rPr>
            </w:pPr>
          </w:p>
        </w:tc>
        <w:tc>
          <w:tcPr>
            <w:tcW w:w="1304" w:type="dxa"/>
            <w:noWrap w:val="0"/>
            <w:vAlign w:val="top"/>
          </w:tcPr>
          <w:p w14:paraId="3D3D78BA">
            <w:pPr>
              <w:spacing w:line="440" w:lineRule="exact"/>
              <w:jc w:val="center"/>
              <w:rPr>
                <w:rFonts w:hint="default" w:ascii="Times New Roman" w:hAnsi="Times New Roman" w:cs="Times New Roman"/>
                <w:szCs w:val="21"/>
              </w:rPr>
            </w:pPr>
          </w:p>
        </w:tc>
        <w:tc>
          <w:tcPr>
            <w:tcW w:w="1065" w:type="dxa"/>
            <w:noWrap w:val="0"/>
            <w:vAlign w:val="top"/>
          </w:tcPr>
          <w:p w14:paraId="05EF5562">
            <w:pPr>
              <w:spacing w:line="440" w:lineRule="exact"/>
              <w:jc w:val="center"/>
              <w:rPr>
                <w:rFonts w:hint="default" w:ascii="Times New Roman" w:hAnsi="Times New Roman" w:cs="Times New Roman"/>
                <w:szCs w:val="21"/>
              </w:rPr>
            </w:pPr>
          </w:p>
        </w:tc>
        <w:tc>
          <w:tcPr>
            <w:tcW w:w="1065" w:type="dxa"/>
            <w:noWrap w:val="0"/>
            <w:vAlign w:val="top"/>
          </w:tcPr>
          <w:p w14:paraId="461E00FC">
            <w:pPr>
              <w:spacing w:line="440" w:lineRule="exact"/>
              <w:jc w:val="center"/>
              <w:rPr>
                <w:rFonts w:hint="default" w:ascii="Times New Roman" w:hAnsi="Times New Roman" w:cs="Times New Roman"/>
                <w:szCs w:val="21"/>
              </w:rPr>
            </w:pPr>
          </w:p>
        </w:tc>
        <w:tc>
          <w:tcPr>
            <w:tcW w:w="1065" w:type="dxa"/>
            <w:noWrap w:val="0"/>
            <w:vAlign w:val="top"/>
          </w:tcPr>
          <w:p w14:paraId="6B79EDC9">
            <w:pPr>
              <w:spacing w:line="440" w:lineRule="exact"/>
              <w:jc w:val="center"/>
              <w:rPr>
                <w:rFonts w:hint="default" w:ascii="Times New Roman" w:hAnsi="Times New Roman" w:cs="Times New Roman"/>
                <w:szCs w:val="21"/>
              </w:rPr>
            </w:pPr>
          </w:p>
        </w:tc>
        <w:tc>
          <w:tcPr>
            <w:tcW w:w="1065" w:type="dxa"/>
            <w:noWrap w:val="0"/>
            <w:vAlign w:val="top"/>
          </w:tcPr>
          <w:p w14:paraId="30EE474C">
            <w:pPr>
              <w:spacing w:line="440" w:lineRule="exact"/>
              <w:jc w:val="center"/>
              <w:rPr>
                <w:rFonts w:hint="default" w:ascii="Times New Roman" w:hAnsi="Times New Roman" w:cs="Times New Roman"/>
                <w:szCs w:val="21"/>
              </w:rPr>
            </w:pPr>
          </w:p>
        </w:tc>
        <w:tc>
          <w:tcPr>
            <w:tcW w:w="1065" w:type="dxa"/>
            <w:noWrap w:val="0"/>
            <w:vAlign w:val="top"/>
          </w:tcPr>
          <w:p w14:paraId="416F4EAC">
            <w:pPr>
              <w:spacing w:line="440" w:lineRule="exact"/>
              <w:jc w:val="center"/>
              <w:rPr>
                <w:rFonts w:hint="default" w:ascii="Times New Roman" w:hAnsi="Times New Roman" w:cs="Times New Roman"/>
                <w:szCs w:val="21"/>
              </w:rPr>
            </w:pPr>
          </w:p>
        </w:tc>
        <w:tc>
          <w:tcPr>
            <w:tcW w:w="1064" w:type="dxa"/>
            <w:noWrap w:val="0"/>
            <w:vAlign w:val="top"/>
          </w:tcPr>
          <w:p w14:paraId="77594081">
            <w:pPr>
              <w:spacing w:line="440" w:lineRule="exact"/>
              <w:jc w:val="center"/>
              <w:rPr>
                <w:rFonts w:hint="default" w:ascii="Times New Roman" w:hAnsi="Times New Roman" w:cs="Times New Roman"/>
                <w:szCs w:val="21"/>
              </w:rPr>
            </w:pPr>
          </w:p>
        </w:tc>
      </w:tr>
      <w:tr w14:paraId="77F3F3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160D072">
            <w:pPr>
              <w:spacing w:line="440" w:lineRule="exact"/>
              <w:jc w:val="center"/>
              <w:rPr>
                <w:rFonts w:hint="default" w:ascii="Times New Roman" w:hAnsi="Times New Roman" w:cs="Times New Roman"/>
                <w:szCs w:val="21"/>
              </w:rPr>
            </w:pPr>
          </w:p>
        </w:tc>
        <w:tc>
          <w:tcPr>
            <w:tcW w:w="1304" w:type="dxa"/>
            <w:noWrap w:val="0"/>
            <w:vAlign w:val="top"/>
          </w:tcPr>
          <w:p w14:paraId="6D435E74">
            <w:pPr>
              <w:spacing w:line="440" w:lineRule="exact"/>
              <w:jc w:val="center"/>
              <w:rPr>
                <w:rFonts w:hint="default" w:ascii="Times New Roman" w:hAnsi="Times New Roman" w:cs="Times New Roman"/>
                <w:szCs w:val="21"/>
              </w:rPr>
            </w:pPr>
          </w:p>
        </w:tc>
        <w:tc>
          <w:tcPr>
            <w:tcW w:w="1065" w:type="dxa"/>
            <w:noWrap w:val="0"/>
            <w:vAlign w:val="top"/>
          </w:tcPr>
          <w:p w14:paraId="65618DA0">
            <w:pPr>
              <w:spacing w:line="440" w:lineRule="exact"/>
              <w:jc w:val="center"/>
              <w:rPr>
                <w:rFonts w:hint="default" w:ascii="Times New Roman" w:hAnsi="Times New Roman" w:cs="Times New Roman"/>
                <w:szCs w:val="21"/>
              </w:rPr>
            </w:pPr>
          </w:p>
        </w:tc>
        <w:tc>
          <w:tcPr>
            <w:tcW w:w="1065" w:type="dxa"/>
            <w:noWrap w:val="0"/>
            <w:vAlign w:val="top"/>
          </w:tcPr>
          <w:p w14:paraId="75B4975D">
            <w:pPr>
              <w:spacing w:line="440" w:lineRule="exact"/>
              <w:jc w:val="center"/>
              <w:rPr>
                <w:rFonts w:hint="default" w:ascii="Times New Roman" w:hAnsi="Times New Roman" w:cs="Times New Roman"/>
                <w:szCs w:val="21"/>
              </w:rPr>
            </w:pPr>
          </w:p>
        </w:tc>
        <w:tc>
          <w:tcPr>
            <w:tcW w:w="1065" w:type="dxa"/>
            <w:noWrap w:val="0"/>
            <w:vAlign w:val="top"/>
          </w:tcPr>
          <w:p w14:paraId="6281052B">
            <w:pPr>
              <w:spacing w:line="440" w:lineRule="exact"/>
              <w:jc w:val="center"/>
              <w:rPr>
                <w:rFonts w:hint="default" w:ascii="Times New Roman" w:hAnsi="Times New Roman" w:cs="Times New Roman"/>
                <w:szCs w:val="21"/>
              </w:rPr>
            </w:pPr>
          </w:p>
        </w:tc>
        <w:tc>
          <w:tcPr>
            <w:tcW w:w="1065" w:type="dxa"/>
            <w:noWrap w:val="0"/>
            <w:vAlign w:val="top"/>
          </w:tcPr>
          <w:p w14:paraId="23A56E55">
            <w:pPr>
              <w:spacing w:line="440" w:lineRule="exact"/>
              <w:jc w:val="center"/>
              <w:rPr>
                <w:rFonts w:hint="default" w:ascii="Times New Roman" w:hAnsi="Times New Roman" w:cs="Times New Roman"/>
                <w:szCs w:val="21"/>
              </w:rPr>
            </w:pPr>
          </w:p>
        </w:tc>
        <w:tc>
          <w:tcPr>
            <w:tcW w:w="1065" w:type="dxa"/>
            <w:noWrap w:val="0"/>
            <w:vAlign w:val="top"/>
          </w:tcPr>
          <w:p w14:paraId="57DA69B9">
            <w:pPr>
              <w:spacing w:line="440" w:lineRule="exact"/>
              <w:jc w:val="center"/>
              <w:rPr>
                <w:rFonts w:hint="default" w:ascii="Times New Roman" w:hAnsi="Times New Roman" w:cs="Times New Roman"/>
                <w:szCs w:val="21"/>
              </w:rPr>
            </w:pPr>
          </w:p>
        </w:tc>
        <w:tc>
          <w:tcPr>
            <w:tcW w:w="1064" w:type="dxa"/>
            <w:noWrap w:val="0"/>
            <w:vAlign w:val="top"/>
          </w:tcPr>
          <w:p w14:paraId="2363CAEA">
            <w:pPr>
              <w:spacing w:line="440" w:lineRule="exact"/>
              <w:jc w:val="center"/>
              <w:rPr>
                <w:rFonts w:hint="default" w:ascii="Times New Roman" w:hAnsi="Times New Roman" w:cs="Times New Roman"/>
                <w:szCs w:val="21"/>
              </w:rPr>
            </w:pPr>
          </w:p>
        </w:tc>
      </w:tr>
      <w:tr w14:paraId="67EEC0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CB8529D">
            <w:pPr>
              <w:spacing w:line="440" w:lineRule="exact"/>
              <w:jc w:val="center"/>
              <w:rPr>
                <w:rFonts w:hint="default" w:ascii="Times New Roman" w:hAnsi="Times New Roman" w:cs="Times New Roman"/>
                <w:szCs w:val="21"/>
              </w:rPr>
            </w:pPr>
          </w:p>
        </w:tc>
        <w:tc>
          <w:tcPr>
            <w:tcW w:w="1304" w:type="dxa"/>
            <w:noWrap w:val="0"/>
            <w:vAlign w:val="top"/>
          </w:tcPr>
          <w:p w14:paraId="16DA7A14">
            <w:pPr>
              <w:spacing w:line="440" w:lineRule="exact"/>
              <w:jc w:val="center"/>
              <w:rPr>
                <w:rFonts w:hint="default" w:ascii="Times New Roman" w:hAnsi="Times New Roman" w:cs="Times New Roman"/>
                <w:szCs w:val="21"/>
              </w:rPr>
            </w:pPr>
          </w:p>
        </w:tc>
        <w:tc>
          <w:tcPr>
            <w:tcW w:w="1065" w:type="dxa"/>
            <w:noWrap w:val="0"/>
            <w:vAlign w:val="top"/>
          </w:tcPr>
          <w:p w14:paraId="55C98B4C">
            <w:pPr>
              <w:spacing w:line="440" w:lineRule="exact"/>
              <w:jc w:val="center"/>
              <w:rPr>
                <w:rFonts w:hint="default" w:ascii="Times New Roman" w:hAnsi="Times New Roman" w:cs="Times New Roman"/>
                <w:szCs w:val="21"/>
              </w:rPr>
            </w:pPr>
          </w:p>
        </w:tc>
        <w:tc>
          <w:tcPr>
            <w:tcW w:w="1065" w:type="dxa"/>
            <w:noWrap w:val="0"/>
            <w:vAlign w:val="top"/>
          </w:tcPr>
          <w:p w14:paraId="5A80970A">
            <w:pPr>
              <w:spacing w:line="440" w:lineRule="exact"/>
              <w:jc w:val="center"/>
              <w:rPr>
                <w:rFonts w:hint="default" w:ascii="Times New Roman" w:hAnsi="Times New Roman" w:cs="Times New Roman"/>
                <w:szCs w:val="21"/>
              </w:rPr>
            </w:pPr>
          </w:p>
        </w:tc>
        <w:tc>
          <w:tcPr>
            <w:tcW w:w="1065" w:type="dxa"/>
            <w:noWrap w:val="0"/>
            <w:vAlign w:val="top"/>
          </w:tcPr>
          <w:p w14:paraId="0CB77F50">
            <w:pPr>
              <w:spacing w:line="440" w:lineRule="exact"/>
              <w:jc w:val="center"/>
              <w:rPr>
                <w:rFonts w:hint="default" w:ascii="Times New Roman" w:hAnsi="Times New Roman" w:cs="Times New Roman"/>
                <w:szCs w:val="21"/>
              </w:rPr>
            </w:pPr>
          </w:p>
        </w:tc>
        <w:tc>
          <w:tcPr>
            <w:tcW w:w="1065" w:type="dxa"/>
            <w:noWrap w:val="0"/>
            <w:vAlign w:val="top"/>
          </w:tcPr>
          <w:p w14:paraId="7F940990">
            <w:pPr>
              <w:spacing w:line="440" w:lineRule="exact"/>
              <w:jc w:val="center"/>
              <w:rPr>
                <w:rFonts w:hint="default" w:ascii="Times New Roman" w:hAnsi="Times New Roman" w:cs="Times New Roman"/>
                <w:szCs w:val="21"/>
              </w:rPr>
            </w:pPr>
          </w:p>
        </w:tc>
        <w:tc>
          <w:tcPr>
            <w:tcW w:w="1065" w:type="dxa"/>
            <w:noWrap w:val="0"/>
            <w:vAlign w:val="top"/>
          </w:tcPr>
          <w:p w14:paraId="3EFAFC40">
            <w:pPr>
              <w:spacing w:line="440" w:lineRule="exact"/>
              <w:jc w:val="center"/>
              <w:rPr>
                <w:rFonts w:hint="default" w:ascii="Times New Roman" w:hAnsi="Times New Roman" w:cs="Times New Roman"/>
                <w:szCs w:val="21"/>
              </w:rPr>
            </w:pPr>
          </w:p>
        </w:tc>
        <w:tc>
          <w:tcPr>
            <w:tcW w:w="1064" w:type="dxa"/>
            <w:noWrap w:val="0"/>
            <w:vAlign w:val="top"/>
          </w:tcPr>
          <w:p w14:paraId="7B9F42DA">
            <w:pPr>
              <w:spacing w:line="440" w:lineRule="exact"/>
              <w:jc w:val="center"/>
              <w:rPr>
                <w:rFonts w:hint="default" w:ascii="Times New Roman" w:hAnsi="Times New Roman" w:cs="Times New Roman"/>
                <w:szCs w:val="21"/>
              </w:rPr>
            </w:pPr>
          </w:p>
        </w:tc>
      </w:tr>
      <w:tr w14:paraId="5B181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62A1F6D2">
            <w:pPr>
              <w:spacing w:line="440" w:lineRule="exact"/>
              <w:jc w:val="center"/>
              <w:rPr>
                <w:rFonts w:hint="default" w:ascii="Times New Roman" w:hAnsi="Times New Roman" w:cs="Times New Roman"/>
                <w:szCs w:val="21"/>
              </w:rPr>
            </w:pPr>
          </w:p>
        </w:tc>
        <w:tc>
          <w:tcPr>
            <w:tcW w:w="1304" w:type="dxa"/>
            <w:noWrap w:val="0"/>
            <w:vAlign w:val="top"/>
          </w:tcPr>
          <w:p w14:paraId="2EAD53DB">
            <w:pPr>
              <w:spacing w:line="440" w:lineRule="exact"/>
              <w:jc w:val="center"/>
              <w:rPr>
                <w:rFonts w:hint="default" w:ascii="Times New Roman" w:hAnsi="Times New Roman" w:cs="Times New Roman"/>
                <w:szCs w:val="21"/>
              </w:rPr>
            </w:pPr>
          </w:p>
        </w:tc>
        <w:tc>
          <w:tcPr>
            <w:tcW w:w="1065" w:type="dxa"/>
            <w:noWrap w:val="0"/>
            <w:vAlign w:val="top"/>
          </w:tcPr>
          <w:p w14:paraId="580B5F10">
            <w:pPr>
              <w:spacing w:line="440" w:lineRule="exact"/>
              <w:jc w:val="center"/>
              <w:rPr>
                <w:rFonts w:hint="default" w:ascii="Times New Roman" w:hAnsi="Times New Roman" w:cs="Times New Roman"/>
                <w:szCs w:val="21"/>
              </w:rPr>
            </w:pPr>
          </w:p>
        </w:tc>
        <w:tc>
          <w:tcPr>
            <w:tcW w:w="1065" w:type="dxa"/>
            <w:noWrap w:val="0"/>
            <w:vAlign w:val="top"/>
          </w:tcPr>
          <w:p w14:paraId="2CB4F041">
            <w:pPr>
              <w:spacing w:line="440" w:lineRule="exact"/>
              <w:jc w:val="center"/>
              <w:rPr>
                <w:rFonts w:hint="default" w:ascii="Times New Roman" w:hAnsi="Times New Roman" w:cs="Times New Roman"/>
                <w:szCs w:val="21"/>
              </w:rPr>
            </w:pPr>
          </w:p>
        </w:tc>
        <w:tc>
          <w:tcPr>
            <w:tcW w:w="1065" w:type="dxa"/>
            <w:noWrap w:val="0"/>
            <w:vAlign w:val="top"/>
          </w:tcPr>
          <w:p w14:paraId="2F8056B8">
            <w:pPr>
              <w:spacing w:line="440" w:lineRule="exact"/>
              <w:jc w:val="center"/>
              <w:rPr>
                <w:rFonts w:hint="default" w:ascii="Times New Roman" w:hAnsi="Times New Roman" w:cs="Times New Roman"/>
                <w:szCs w:val="21"/>
              </w:rPr>
            </w:pPr>
          </w:p>
        </w:tc>
        <w:tc>
          <w:tcPr>
            <w:tcW w:w="1065" w:type="dxa"/>
            <w:noWrap w:val="0"/>
            <w:vAlign w:val="top"/>
          </w:tcPr>
          <w:p w14:paraId="55F74447">
            <w:pPr>
              <w:spacing w:line="440" w:lineRule="exact"/>
              <w:jc w:val="center"/>
              <w:rPr>
                <w:rFonts w:hint="default" w:ascii="Times New Roman" w:hAnsi="Times New Roman" w:cs="Times New Roman"/>
                <w:szCs w:val="21"/>
              </w:rPr>
            </w:pPr>
          </w:p>
        </w:tc>
        <w:tc>
          <w:tcPr>
            <w:tcW w:w="1065" w:type="dxa"/>
            <w:noWrap w:val="0"/>
            <w:vAlign w:val="top"/>
          </w:tcPr>
          <w:p w14:paraId="208E6828">
            <w:pPr>
              <w:spacing w:line="440" w:lineRule="exact"/>
              <w:jc w:val="center"/>
              <w:rPr>
                <w:rFonts w:hint="default" w:ascii="Times New Roman" w:hAnsi="Times New Roman" w:cs="Times New Roman"/>
                <w:szCs w:val="21"/>
              </w:rPr>
            </w:pPr>
          </w:p>
        </w:tc>
        <w:tc>
          <w:tcPr>
            <w:tcW w:w="1064" w:type="dxa"/>
            <w:noWrap w:val="0"/>
            <w:vAlign w:val="top"/>
          </w:tcPr>
          <w:p w14:paraId="7DC4DFD9">
            <w:pPr>
              <w:spacing w:line="440" w:lineRule="exact"/>
              <w:jc w:val="center"/>
              <w:rPr>
                <w:rFonts w:hint="default" w:ascii="Times New Roman" w:hAnsi="Times New Roman" w:cs="Times New Roman"/>
                <w:szCs w:val="21"/>
              </w:rPr>
            </w:pPr>
          </w:p>
        </w:tc>
      </w:tr>
      <w:tr w14:paraId="68800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3BFABF8F">
            <w:pPr>
              <w:spacing w:line="440" w:lineRule="exact"/>
              <w:jc w:val="center"/>
              <w:rPr>
                <w:rFonts w:hint="default" w:ascii="Times New Roman" w:hAnsi="Times New Roman" w:cs="Times New Roman"/>
                <w:szCs w:val="21"/>
              </w:rPr>
            </w:pPr>
          </w:p>
        </w:tc>
        <w:tc>
          <w:tcPr>
            <w:tcW w:w="1304" w:type="dxa"/>
            <w:noWrap w:val="0"/>
            <w:vAlign w:val="top"/>
          </w:tcPr>
          <w:p w14:paraId="7974E1EB">
            <w:pPr>
              <w:spacing w:line="440" w:lineRule="exact"/>
              <w:jc w:val="center"/>
              <w:rPr>
                <w:rFonts w:hint="default" w:ascii="Times New Roman" w:hAnsi="Times New Roman" w:cs="Times New Roman"/>
                <w:szCs w:val="21"/>
              </w:rPr>
            </w:pPr>
          </w:p>
        </w:tc>
        <w:tc>
          <w:tcPr>
            <w:tcW w:w="1065" w:type="dxa"/>
            <w:noWrap w:val="0"/>
            <w:vAlign w:val="top"/>
          </w:tcPr>
          <w:p w14:paraId="09B8E22E">
            <w:pPr>
              <w:spacing w:line="440" w:lineRule="exact"/>
              <w:jc w:val="center"/>
              <w:rPr>
                <w:rFonts w:hint="default" w:ascii="Times New Roman" w:hAnsi="Times New Roman" w:cs="Times New Roman"/>
                <w:szCs w:val="21"/>
              </w:rPr>
            </w:pPr>
          </w:p>
        </w:tc>
        <w:tc>
          <w:tcPr>
            <w:tcW w:w="1065" w:type="dxa"/>
            <w:noWrap w:val="0"/>
            <w:vAlign w:val="top"/>
          </w:tcPr>
          <w:p w14:paraId="78B89E54">
            <w:pPr>
              <w:spacing w:line="440" w:lineRule="exact"/>
              <w:jc w:val="center"/>
              <w:rPr>
                <w:rFonts w:hint="default" w:ascii="Times New Roman" w:hAnsi="Times New Roman" w:cs="Times New Roman"/>
                <w:szCs w:val="21"/>
              </w:rPr>
            </w:pPr>
          </w:p>
        </w:tc>
        <w:tc>
          <w:tcPr>
            <w:tcW w:w="1065" w:type="dxa"/>
            <w:noWrap w:val="0"/>
            <w:vAlign w:val="top"/>
          </w:tcPr>
          <w:p w14:paraId="65532ECF">
            <w:pPr>
              <w:spacing w:line="440" w:lineRule="exact"/>
              <w:jc w:val="center"/>
              <w:rPr>
                <w:rFonts w:hint="default" w:ascii="Times New Roman" w:hAnsi="Times New Roman" w:cs="Times New Roman"/>
                <w:szCs w:val="21"/>
              </w:rPr>
            </w:pPr>
          </w:p>
        </w:tc>
        <w:tc>
          <w:tcPr>
            <w:tcW w:w="1065" w:type="dxa"/>
            <w:noWrap w:val="0"/>
            <w:vAlign w:val="top"/>
          </w:tcPr>
          <w:p w14:paraId="3B26FA8A">
            <w:pPr>
              <w:spacing w:line="440" w:lineRule="exact"/>
              <w:jc w:val="center"/>
              <w:rPr>
                <w:rFonts w:hint="default" w:ascii="Times New Roman" w:hAnsi="Times New Roman" w:cs="Times New Roman"/>
                <w:szCs w:val="21"/>
              </w:rPr>
            </w:pPr>
          </w:p>
        </w:tc>
        <w:tc>
          <w:tcPr>
            <w:tcW w:w="1065" w:type="dxa"/>
            <w:noWrap w:val="0"/>
            <w:vAlign w:val="top"/>
          </w:tcPr>
          <w:p w14:paraId="5B354E80">
            <w:pPr>
              <w:spacing w:line="440" w:lineRule="exact"/>
              <w:jc w:val="center"/>
              <w:rPr>
                <w:rFonts w:hint="default" w:ascii="Times New Roman" w:hAnsi="Times New Roman" w:cs="Times New Roman"/>
                <w:szCs w:val="21"/>
              </w:rPr>
            </w:pPr>
          </w:p>
        </w:tc>
        <w:tc>
          <w:tcPr>
            <w:tcW w:w="1064" w:type="dxa"/>
            <w:noWrap w:val="0"/>
            <w:vAlign w:val="top"/>
          </w:tcPr>
          <w:p w14:paraId="25E9CD6C">
            <w:pPr>
              <w:spacing w:line="440" w:lineRule="exact"/>
              <w:jc w:val="center"/>
              <w:rPr>
                <w:rFonts w:hint="default" w:ascii="Times New Roman" w:hAnsi="Times New Roman" w:cs="Times New Roman"/>
                <w:szCs w:val="21"/>
              </w:rPr>
            </w:pPr>
          </w:p>
        </w:tc>
      </w:tr>
      <w:tr w14:paraId="1F7F24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A91F61E">
            <w:pPr>
              <w:spacing w:line="440" w:lineRule="exact"/>
              <w:jc w:val="center"/>
              <w:rPr>
                <w:rFonts w:hint="default" w:ascii="Times New Roman" w:hAnsi="Times New Roman" w:cs="Times New Roman"/>
                <w:szCs w:val="21"/>
              </w:rPr>
            </w:pPr>
          </w:p>
        </w:tc>
        <w:tc>
          <w:tcPr>
            <w:tcW w:w="1304" w:type="dxa"/>
            <w:noWrap w:val="0"/>
            <w:vAlign w:val="top"/>
          </w:tcPr>
          <w:p w14:paraId="1337E43F">
            <w:pPr>
              <w:spacing w:line="440" w:lineRule="exact"/>
              <w:jc w:val="center"/>
              <w:rPr>
                <w:rFonts w:hint="default" w:ascii="Times New Roman" w:hAnsi="Times New Roman" w:cs="Times New Roman"/>
                <w:szCs w:val="21"/>
              </w:rPr>
            </w:pPr>
          </w:p>
        </w:tc>
        <w:tc>
          <w:tcPr>
            <w:tcW w:w="1065" w:type="dxa"/>
            <w:noWrap w:val="0"/>
            <w:vAlign w:val="top"/>
          </w:tcPr>
          <w:p w14:paraId="00B95CB7">
            <w:pPr>
              <w:spacing w:line="440" w:lineRule="exact"/>
              <w:jc w:val="center"/>
              <w:rPr>
                <w:rFonts w:hint="default" w:ascii="Times New Roman" w:hAnsi="Times New Roman" w:cs="Times New Roman"/>
                <w:szCs w:val="21"/>
              </w:rPr>
            </w:pPr>
          </w:p>
        </w:tc>
        <w:tc>
          <w:tcPr>
            <w:tcW w:w="1065" w:type="dxa"/>
            <w:noWrap w:val="0"/>
            <w:vAlign w:val="top"/>
          </w:tcPr>
          <w:p w14:paraId="21D20375">
            <w:pPr>
              <w:spacing w:line="440" w:lineRule="exact"/>
              <w:jc w:val="center"/>
              <w:rPr>
                <w:rFonts w:hint="default" w:ascii="Times New Roman" w:hAnsi="Times New Roman" w:cs="Times New Roman"/>
                <w:szCs w:val="21"/>
              </w:rPr>
            </w:pPr>
          </w:p>
        </w:tc>
        <w:tc>
          <w:tcPr>
            <w:tcW w:w="1065" w:type="dxa"/>
            <w:noWrap w:val="0"/>
            <w:vAlign w:val="top"/>
          </w:tcPr>
          <w:p w14:paraId="7952C4F0">
            <w:pPr>
              <w:spacing w:line="440" w:lineRule="exact"/>
              <w:jc w:val="center"/>
              <w:rPr>
                <w:rFonts w:hint="default" w:ascii="Times New Roman" w:hAnsi="Times New Roman" w:cs="Times New Roman"/>
                <w:szCs w:val="21"/>
              </w:rPr>
            </w:pPr>
          </w:p>
        </w:tc>
        <w:tc>
          <w:tcPr>
            <w:tcW w:w="1065" w:type="dxa"/>
            <w:noWrap w:val="0"/>
            <w:vAlign w:val="top"/>
          </w:tcPr>
          <w:p w14:paraId="255E883B">
            <w:pPr>
              <w:spacing w:line="440" w:lineRule="exact"/>
              <w:jc w:val="center"/>
              <w:rPr>
                <w:rFonts w:hint="default" w:ascii="Times New Roman" w:hAnsi="Times New Roman" w:cs="Times New Roman"/>
                <w:szCs w:val="21"/>
              </w:rPr>
            </w:pPr>
          </w:p>
        </w:tc>
        <w:tc>
          <w:tcPr>
            <w:tcW w:w="1065" w:type="dxa"/>
            <w:noWrap w:val="0"/>
            <w:vAlign w:val="top"/>
          </w:tcPr>
          <w:p w14:paraId="1FCD064C">
            <w:pPr>
              <w:spacing w:line="440" w:lineRule="exact"/>
              <w:jc w:val="center"/>
              <w:rPr>
                <w:rFonts w:hint="default" w:ascii="Times New Roman" w:hAnsi="Times New Roman" w:cs="Times New Roman"/>
                <w:szCs w:val="21"/>
              </w:rPr>
            </w:pPr>
          </w:p>
        </w:tc>
        <w:tc>
          <w:tcPr>
            <w:tcW w:w="1064" w:type="dxa"/>
            <w:noWrap w:val="0"/>
            <w:vAlign w:val="top"/>
          </w:tcPr>
          <w:p w14:paraId="668F2137">
            <w:pPr>
              <w:spacing w:line="440" w:lineRule="exact"/>
              <w:jc w:val="center"/>
              <w:rPr>
                <w:rFonts w:hint="default" w:ascii="Times New Roman" w:hAnsi="Times New Roman" w:cs="Times New Roman"/>
                <w:szCs w:val="21"/>
              </w:rPr>
            </w:pPr>
          </w:p>
        </w:tc>
      </w:tr>
      <w:tr w14:paraId="529B5E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C325C65">
            <w:pPr>
              <w:spacing w:line="440" w:lineRule="exact"/>
              <w:jc w:val="center"/>
              <w:rPr>
                <w:rFonts w:hint="default" w:ascii="Times New Roman" w:hAnsi="Times New Roman" w:cs="Times New Roman"/>
                <w:szCs w:val="21"/>
              </w:rPr>
            </w:pPr>
          </w:p>
        </w:tc>
        <w:tc>
          <w:tcPr>
            <w:tcW w:w="1304" w:type="dxa"/>
            <w:noWrap w:val="0"/>
            <w:vAlign w:val="top"/>
          </w:tcPr>
          <w:p w14:paraId="64964D55">
            <w:pPr>
              <w:spacing w:line="440" w:lineRule="exact"/>
              <w:jc w:val="center"/>
              <w:rPr>
                <w:rFonts w:hint="default" w:ascii="Times New Roman" w:hAnsi="Times New Roman" w:cs="Times New Roman"/>
                <w:szCs w:val="21"/>
              </w:rPr>
            </w:pPr>
          </w:p>
        </w:tc>
        <w:tc>
          <w:tcPr>
            <w:tcW w:w="1065" w:type="dxa"/>
            <w:noWrap w:val="0"/>
            <w:vAlign w:val="top"/>
          </w:tcPr>
          <w:p w14:paraId="1F47A532">
            <w:pPr>
              <w:spacing w:line="440" w:lineRule="exact"/>
              <w:jc w:val="center"/>
              <w:rPr>
                <w:rFonts w:hint="default" w:ascii="Times New Roman" w:hAnsi="Times New Roman" w:cs="Times New Roman"/>
                <w:szCs w:val="21"/>
              </w:rPr>
            </w:pPr>
          </w:p>
        </w:tc>
        <w:tc>
          <w:tcPr>
            <w:tcW w:w="1065" w:type="dxa"/>
            <w:noWrap w:val="0"/>
            <w:vAlign w:val="top"/>
          </w:tcPr>
          <w:p w14:paraId="0543DEE1">
            <w:pPr>
              <w:spacing w:line="440" w:lineRule="exact"/>
              <w:jc w:val="center"/>
              <w:rPr>
                <w:rFonts w:hint="default" w:ascii="Times New Roman" w:hAnsi="Times New Roman" w:cs="Times New Roman"/>
                <w:szCs w:val="21"/>
              </w:rPr>
            </w:pPr>
          </w:p>
        </w:tc>
        <w:tc>
          <w:tcPr>
            <w:tcW w:w="1065" w:type="dxa"/>
            <w:noWrap w:val="0"/>
            <w:vAlign w:val="top"/>
          </w:tcPr>
          <w:p w14:paraId="346E0601">
            <w:pPr>
              <w:spacing w:line="440" w:lineRule="exact"/>
              <w:jc w:val="center"/>
              <w:rPr>
                <w:rFonts w:hint="default" w:ascii="Times New Roman" w:hAnsi="Times New Roman" w:cs="Times New Roman"/>
                <w:szCs w:val="21"/>
              </w:rPr>
            </w:pPr>
          </w:p>
        </w:tc>
        <w:tc>
          <w:tcPr>
            <w:tcW w:w="1065" w:type="dxa"/>
            <w:noWrap w:val="0"/>
            <w:vAlign w:val="top"/>
          </w:tcPr>
          <w:p w14:paraId="5937D589">
            <w:pPr>
              <w:spacing w:line="440" w:lineRule="exact"/>
              <w:jc w:val="center"/>
              <w:rPr>
                <w:rFonts w:hint="default" w:ascii="Times New Roman" w:hAnsi="Times New Roman" w:cs="Times New Roman"/>
                <w:szCs w:val="21"/>
              </w:rPr>
            </w:pPr>
          </w:p>
        </w:tc>
        <w:tc>
          <w:tcPr>
            <w:tcW w:w="1065" w:type="dxa"/>
            <w:noWrap w:val="0"/>
            <w:vAlign w:val="top"/>
          </w:tcPr>
          <w:p w14:paraId="606615CA">
            <w:pPr>
              <w:spacing w:line="440" w:lineRule="exact"/>
              <w:jc w:val="center"/>
              <w:rPr>
                <w:rFonts w:hint="default" w:ascii="Times New Roman" w:hAnsi="Times New Roman" w:cs="Times New Roman"/>
                <w:szCs w:val="21"/>
              </w:rPr>
            </w:pPr>
          </w:p>
        </w:tc>
        <w:tc>
          <w:tcPr>
            <w:tcW w:w="1064" w:type="dxa"/>
            <w:noWrap w:val="0"/>
            <w:vAlign w:val="top"/>
          </w:tcPr>
          <w:p w14:paraId="0EAF34A3">
            <w:pPr>
              <w:spacing w:line="440" w:lineRule="exact"/>
              <w:jc w:val="center"/>
              <w:rPr>
                <w:rFonts w:hint="default" w:ascii="Times New Roman" w:hAnsi="Times New Roman" w:cs="Times New Roman"/>
                <w:szCs w:val="21"/>
              </w:rPr>
            </w:pPr>
          </w:p>
        </w:tc>
      </w:tr>
      <w:tr w14:paraId="528A5D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13F9DDB">
            <w:pPr>
              <w:spacing w:line="440" w:lineRule="exact"/>
              <w:jc w:val="center"/>
              <w:rPr>
                <w:rFonts w:hint="default" w:ascii="Times New Roman" w:hAnsi="Times New Roman" w:cs="Times New Roman"/>
                <w:szCs w:val="21"/>
              </w:rPr>
            </w:pPr>
          </w:p>
        </w:tc>
        <w:tc>
          <w:tcPr>
            <w:tcW w:w="1304" w:type="dxa"/>
            <w:noWrap w:val="0"/>
            <w:vAlign w:val="top"/>
          </w:tcPr>
          <w:p w14:paraId="03A4A892">
            <w:pPr>
              <w:spacing w:line="440" w:lineRule="exact"/>
              <w:jc w:val="center"/>
              <w:rPr>
                <w:rFonts w:hint="default" w:ascii="Times New Roman" w:hAnsi="Times New Roman" w:cs="Times New Roman"/>
                <w:szCs w:val="21"/>
              </w:rPr>
            </w:pPr>
          </w:p>
        </w:tc>
        <w:tc>
          <w:tcPr>
            <w:tcW w:w="1065" w:type="dxa"/>
            <w:noWrap w:val="0"/>
            <w:vAlign w:val="top"/>
          </w:tcPr>
          <w:p w14:paraId="60D1EAD6">
            <w:pPr>
              <w:spacing w:line="440" w:lineRule="exact"/>
              <w:jc w:val="center"/>
              <w:rPr>
                <w:rFonts w:hint="default" w:ascii="Times New Roman" w:hAnsi="Times New Roman" w:cs="Times New Roman"/>
                <w:szCs w:val="21"/>
              </w:rPr>
            </w:pPr>
          </w:p>
        </w:tc>
        <w:tc>
          <w:tcPr>
            <w:tcW w:w="1065" w:type="dxa"/>
            <w:noWrap w:val="0"/>
            <w:vAlign w:val="top"/>
          </w:tcPr>
          <w:p w14:paraId="67B90A49">
            <w:pPr>
              <w:spacing w:line="440" w:lineRule="exact"/>
              <w:jc w:val="center"/>
              <w:rPr>
                <w:rFonts w:hint="default" w:ascii="Times New Roman" w:hAnsi="Times New Roman" w:cs="Times New Roman"/>
                <w:szCs w:val="21"/>
              </w:rPr>
            </w:pPr>
          </w:p>
        </w:tc>
        <w:tc>
          <w:tcPr>
            <w:tcW w:w="1065" w:type="dxa"/>
            <w:noWrap w:val="0"/>
            <w:vAlign w:val="top"/>
          </w:tcPr>
          <w:p w14:paraId="108DA65A">
            <w:pPr>
              <w:spacing w:line="440" w:lineRule="exact"/>
              <w:jc w:val="center"/>
              <w:rPr>
                <w:rFonts w:hint="default" w:ascii="Times New Roman" w:hAnsi="Times New Roman" w:cs="Times New Roman"/>
                <w:szCs w:val="21"/>
              </w:rPr>
            </w:pPr>
          </w:p>
        </w:tc>
        <w:tc>
          <w:tcPr>
            <w:tcW w:w="1065" w:type="dxa"/>
            <w:noWrap w:val="0"/>
            <w:vAlign w:val="top"/>
          </w:tcPr>
          <w:p w14:paraId="7803E68D">
            <w:pPr>
              <w:spacing w:line="440" w:lineRule="exact"/>
              <w:jc w:val="center"/>
              <w:rPr>
                <w:rFonts w:hint="default" w:ascii="Times New Roman" w:hAnsi="Times New Roman" w:cs="Times New Roman"/>
                <w:szCs w:val="21"/>
              </w:rPr>
            </w:pPr>
          </w:p>
        </w:tc>
        <w:tc>
          <w:tcPr>
            <w:tcW w:w="1065" w:type="dxa"/>
            <w:noWrap w:val="0"/>
            <w:vAlign w:val="top"/>
          </w:tcPr>
          <w:p w14:paraId="74CC330D">
            <w:pPr>
              <w:spacing w:line="440" w:lineRule="exact"/>
              <w:jc w:val="center"/>
              <w:rPr>
                <w:rFonts w:hint="default" w:ascii="Times New Roman" w:hAnsi="Times New Roman" w:cs="Times New Roman"/>
                <w:szCs w:val="21"/>
              </w:rPr>
            </w:pPr>
          </w:p>
        </w:tc>
        <w:tc>
          <w:tcPr>
            <w:tcW w:w="1064" w:type="dxa"/>
            <w:noWrap w:val="0"/>
            <w:vAlign w:val="top"/>
          </w:tcPr>
          <w:p w14:paraId="5506AA48">
            <w:pPr>
              <w:spacing w:line="440" w:lineRule="exact"/>
              <w:jc w:val="center"/>
              <w:rPr>
                <w:rFonts w:hint="default" w:ascii="Times New Roman" w:hAnsi="Times New Roman" w:cs="Times New Roman"/>
                <w:szCs w:val="21"/>
              </w:rPr>
            </w:pPr>
          </w:p>
        </w:tc>
      </w:tr>
      <w:tr w14:paraId="079B7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7269B740">
            <w:pPr>
              <w:spacing w:line="440" w:lineRule="exact"/>
              <w:jc w:val="center"/>
              <w:rPr>
                <w:rFonts w:hint="default" w:ascii="Times New Roman" w:hAnsi="Times New Roman" w:cs="Times New Roman"/>
                <w:szCs w:val="21"/>
              </w:rPr>
            </w:pPr>
          </w:p>
        </w:tc>
        <w:tc>
          <w:tcPr>
            <w:tcW w:w="1304" w:type="dxa"/>
            <w:noWrap w:val="0"/>
            <w:vAlign w:val="top"/>
          </w:tcPr>
          <w:p w14:paraId="1D0D9CF3">
            <w:pPr>
              <w:spacing w:line="440" w:lineRule="exact"/>
              <w:jc w:val="center"/>
              <w:rPr>
                <w:rFonts w:hint="default" w:ascii="Times New Roman" w:hAnsi="Times New Roman" w:cs="Times New Roman"/>
                <w:szCs w:val="21"/>
              </w:rPr>
            </w:pPr>
          </w:p>
        </w:tc>
        <w:tc>
          <w:tcPr>
            <w:tcW w:w="1065" w:type="dxa"/>
            <w:noWrap w:val="0"/>
            <w:vAlign w:val="top"/>
          </w:tcPr>
          <w:p w14:paraId="17D02A0C">
            <w:pPr>
              <w:spacing w:line="440" w:lineRule="exact"/>
              <w:jc w:val="center"/>
              <w:rPr>
                <w:rFonts w:hint="default" w:ascii="Times New Roman" w:hAnsi="Times New Roman" w:cs="Times New Roman"/>
                <w:szCs w:val="21"/>
              </w:rPr>
            </w:pPr>
          </w:p>
        </w:tc>
        <w:tc>
          <w:tcPr>
            <w:tcW w:w="1065" w:type="dxa"/>
            <w:noWrap w:val="0"/>
            <w:vAlign w:val="top"/>
          </w:tcPr>
          <w:p w14:paraId="4B7C066F">
            <w:pPr>
              <w:spacing w:line="440" w:lineRule="exact"/>
              <w:jc w:val="center"/>
              <w:rPr>
                <w:rFonts w:hint="default" w:ascii="Times New Roman" w:hAnsi="Times New Roman" w:cs="Times New Roman"/>
                <w:szCs w:val="21"/>
              </w:rPr>
            </w:pPr>
          </w:p>
        </w:tc>
        <w:tc>
          <w:tcPr>
            <w:tcW w:w="1065" w:type="dxa"/>
            <w:noWrap w:val="0"/>
            <w:vAlign w:val="top"/>
          </w:tcPr>
          <w:p w14:paraId="234C71F1">
            <w:pPr>
              <w:spacing w:line="440" w:lineRule="exact"/>
              <w:jc w:val="center"/>
              <w:rPr>
                <w:rFonts w:hint="default" w:ascii="Times New Roman" w:hAnsi="Times New Roman" w:cs="Times New Roman"/>
                <w:szCs w:val="21"/>
              </w:rPr>
            </w:pPr>
          </w:p>
        </w:tc>
        <w:tc>
          <w:tcPr>
            <w:tcW w:w="1065" w:type="dxa"/>
            <w:noWrap w:val="0"/>
            <w:vAlign w:val="top"/>
          </w:tcPr>
          <w:p w14:paraId="2732A3D8">
            <w:pPr>
              <w:spacing w:line="440" w:lineRule="exact"/>
              <w:jc w:val="center"/>
              <w:rPr>
                <w:rFonts w:hint="default" w:ascii="Times New Roman" w:hAnsi="Times New Roman" w:cs="Times New Roman"/>
                <w:szCs w:val="21"/>
              </w:rPr>
            </w:pPr>
          </w:p>
        </w:tc>
        <w:tc>
          <w:tcPr>
            <w:tcW w:w="1065" w:type="dxa"/>
            <w:noWrap w:val="0"/>
            <w:vAlign w:val="top"/>
          </w:tcPr>
          <w:p w14:paraId="6981F55A">
            <w:pPr>
              <w:spacing w:line="440" w:lineRule="exact"/>
              <w:jc w:val="center"/>
              <w:rPr>
                <w:rFonts w:hint="default" w:ascii="Times New Roman" w:hAnsi="Times New Roman" w:cs="Times New Roman"/>
                <w:szCs w:val="21"/>
              </w:rPr>
            </w:pPr>
          </w:p>
        </w:tc>
        <w:tc>
          <w:tcPr>
            <w:tcW w:w="1064" w:type="dxa"/>
            <w:noWrap w:val="0"/>
            <w:vAlign w:val="top"/>
          </w:tcPr>
          <w:p w14:paraId="001B67C1">
            <w:pPr>
              <w:spacing w:line="440" w:lineRule="exact"/>
              <w:jc w:val="center"/>
              <w:rPr>
                <w:rFonts w:hint="default" w:ascii="Times New Roman" w:hAnsi="Times New Roman" w:cs="Times New Roman"/>
                <w:szCs w:val="21"/>
              </w:rPr>
            </w:pPr>
          </w:p>
        </w:tc>
      </w:tr>
      <w:tr w14:paraId="197058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0A583682">
            <w:pPr>
              <w:spacing w:line="440" w:lineRule="exact"/>
              <w:jc w:val="center"/>
              <w:rPr>
                <w:rFonts w:hint="default" w:ascii="Times New Roman" w:hAnsi="Times New Roman" w:cs="Times New Roman"/>
                <w:szCs w:val="21"/>
              </w:rPr>
            </w:pPr>
          </w:p>
        </w:tc>
        <w:tc>
          <w:tcPr>
            <w:tcW w:w="1304" w:type="dxa"/>
            <w:noWrap w:val="0"/>
            <w:vAlign w:val="top"/>
          </w:tcPr>
          <w:p w14:paraId="5DD764E1">
            <w:pPr>
              <w:spacing w:line="440" w:lineRule="exact"/>
              <w:jc w:val="center"/>
              <w:rPr>
                <w:rFonts w:hint="default" w:ascii="Times New Roman" w:hAnsi="Times New Roman" w:cs="Times New Roman"/>
                <w:szCs w:val="21"/>
              </w:rPr>
            </w:pPr>
          </w:p>
        </w:tc>
        <w:tc>
          <w:tcPr>
            <w:tcW w:w="1065" w:type="dxa"/>
            <w:noWrap w:val="0"/>
            <w:vAlign w:val="top"/>
          </w:tcPr>
          <w:p w14:paraId="51349CDC">
            <w:pPr>
              <w:spacing w:line="440" w:lineRule="exact"/>
              <w:jc w:val="center"/>
              <w:rPr>
                <w:rFonts w:hint="default" w:ascii="Times New Roman" w:hAnsi="Times New Roman" w:cs="Times New Roman"/>
                <w:szCs w:val="21"/>
              </w:rPr>
            </w:pPr>
          </w:p>
        </w:tc>
        <w:tc>
          <w:tcPr>
            <w:tcW w:w="1065" w:type="dxa"/>
            <w:noWrap w:val="0"/>
            <w:vAlign w:val="top"/>
          </w:tcPr>
          <w:p w14:paraId="3FF0436F">
            <w:pPr>
              <w:spacing w:line="440" w:lineRule="exact"/>
              <w:jc w:val="center"/>
              <w:rPr>
                <w:rFonts w:hint="default" w:ascii="Times New Roman" w:hAnsi="Times New Roman" w:cs="Times New Roman"/>
                <w:szCs w:val="21"/>
              </w:rPr>
            </w:pPr>
          </w:p>
        </w:tc>
        <w:tc>
          <w:tcPr>
            <w:tcW w:w="1065" w:type="dxa"/>
            <w:noWrap w:val="0"/>
            <w:vAlign w:val="top"/>
          </w:tcPr>
          <w:p w14:paraId="14022143">
            <w:pPr>
              <w:spacing w:line="440" w:lineRule="exact"/>
              <w:jc w:val="center"/>
              <w:rPr>
                <w:rFonts w:hint="default" w:ascii="Times New Roman" w:hAnsi="Times New Roman" w:cs="Times New Roman"/>
                <w:szCs w:val="21"/>
              </w:rPr>
            </w:pPr>
          </w:p>
        </w:tc>
        <w:tc>
          <w:tcPr>
            <w:tcW w:w="1065" w:type="dxa"/>
            <w:noWrap w:val="0"/>
            <w:vAlign w:val="top"/>
          </w:tcPr>
          <w:p w14:paraId="53783FCA">
            <w:pPr>
              <w:spacing w:line="440" w:lineRule="exact"/>
              <w:jc w:val="center"/>
              <w:rPr>
                <w:rFonts w:hint="default" w:ascii="Times New Roman" w:hAnsi="Times New Roman" w:cs="Times New Roman"/>
                <w:szCs w:val="21"/>
              </w:rPr>
            </w:pPr>
          </w:p>
        </w:tc>
        <w:tc>
          <w:tcPr>
            <w:tcW w:w="1065" w:type="dxa"/>
            <w:noWrap w:val="0"/>
            <w:vAlign w:val="top"/>
          </w:tcPr>
          <w:p w14:paraId="6A0FB77A">
            <w:pPr>
              <w:spacing w:line="440" w:lineRule="exact"/>
              <w:jc w:val="center"/>
              <w:rPr>
                <w:rFonts w:hint="default" w:ascii="Times New Roman" w:hAnsi="Times New Roman" w:cs="Times New Roman"/>
                <w:szCs w:val="21"/>
              </w:rPr>
            </w:pPr>
          </w:p>
        </w:tc>
        <w:tc>
          <w:tcPr>
            <w:tcW w:w="1064" w:type="dxa"/>
            <w:noWrap w:val="0"/>
            <w:vAlign w:val="top"/>
          </w:tcPr>
          <w:p w14:paraId="79629615">
            <w:pPr>
              <w:spacing w:line="440" w:lineRule="exact"/>
              <w:jc w:val="center"/>
              <w:rPr>
                <w:rFonts w:hint="default" w:ascii="Times New Roman" w:hAnsi="Times New Roman" w:cs="Times New Roman"/>
                <w:szCs w:val="21"/>
              </w:rPr>
            </w:pPr>
          </w:p>
        </w:tc>
      </w:tr>
      <w:tr w14:paraId="49192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29" w:type="dxa"/>
            <w:noWrap w:val="0"/>
            <w:vAlign w:val="top"/>
          </w:tcPr>
          <w:p w14:paraId="2A21B869">
            <w:pPr>
              <w:spacing w:line="440" w:lineRule="exact"/>
              <w:rPr>
                <w:rFonts w:hint="default" w:ascii="Times New Roman" w:hAnsi="Times New Roman" w:cs="Times New Roman"/>
                <w:szCs w:val="21"/>
              </w:rPr>
            </w:pPr>
          </w:p>
        </w:tc>
        <w:tc>
          <w:tcPr>
            <w:tcW w:w="1304" w:type="dxa"/>
            <w:noWrap w:val="0"/>
            <w:vAlign w:val="top"/>
          </w:tcPr>
          <w:p w14:paraId="6D51591B">
            <w:pPr>
              <w:spacing w:line="440" w:lineRule="exact"/>
              <w:jc w:val="center"/>
              <w:rPr>
                <w:rFonts w:hint="default" w:ascii="Times New Roman" w:hAnsi="Times New Roman" w:cs="Times New Roman"/>
                <w:szCs w:val="21"/>
              </w:rPr>
            </w:pPr>
          </w:p>
        </w:tc>
        <w:tc>
          <w:tcPr>
            <w:tcW w:w="1065" w:type="dxa"/>
            <w:noWrap w:val="0"/>
            <w:vAlign w:val="top"/>
          </w:tcPr>
          <w:p w14:paraId="3F45B974">
            <w:pPr>
              <w:spacing w:line="440" w:lineRule="exact"/>
              <w:jc w:val="center"/>
              <w:rPr>
                <w:rFonts w:hint="default" w:ascii="Times New Roman" w:hAnsi="Times New Roman" w:cs="Times New Roman"/>
                <w:szCs w:val="21"/>
              </w:rPr>
            </w:pPr>
          </w:p>
        </w:tc>
        <w:tc>
          <w:tcPr>
            <w:tcW w:w="1065" w:type="dxa"/>
            <w:noWrap w:val="0"/>
            <w:vAlign w:val="top"/>
          </w:tcPr>
          <w:p w14:paraId="418B1D83">
            <w:pPr>
              <w:spacing w:line="440" w:lineRule="exact"/>
              <w:jc w:val="center"/>
              <w:rPr>
                <w:rFonts w:hint="default" w:ascii="Times New Roman" w:hAnsi="Times New Roman" w:cs="Times New Roman"/>
                <w:szCs w:val="21"/>
              </w:rPr>
            </w:pPr>
          </w:p>
        </w:tc>
        <w:tc>
          <w:tcPr>
            <w:tcW w:w="1065" w:type="dxa"/>
            <w:noWrap w:val="0"/>
            <w:vAlign w:val="top"/>
          </w:tcPr>
          <w:p w14:paraId="4C1443B0">
            <w:pPr>
              <w:spacing w:line="440" w:lineRule="exact"/>
              <w:jc w:val="center"/>
              <w:rPr>
                <w:rFonts w:hint="default" w:ascii="Times New Roman" w:hAnsi="Times New Roman" w:cs="Times New Roman"/>
                <w:szCs w:val="21"/>
              </w:rPr>
            </w:pPr>
          </w:p>
        </w:tc>
        <w:tc>
          <w:tcPr>
            <w:tcW w:w="1065" w:type="dxa"/>
            <w:noWrap w:val="0"/>
            <w:vAlign w:val="top"/>
          </w:tcPr>
          <w:p w14:paraId="3DF4847C">
            <w:pPr>
              <w:spacing w:line="440" w:lineRule="exact"/>
              <w:jc w:val="center"/>
              <w:rPr>
                <w:rFonts w:hint="default" w:ascii="Times New Roman" w:hAnsi="Times New Roman" w:cs="Times New Roman"/>
                <w:szCs w:val="21"/>
              </w:rPr>
            </w:pPr>
          </w:p>
        </w:tc>
        <w:tc>
          <w:tcPr>
            <w:tcW w:w="1065" w:type="dxa"/>
            <w:noWrap w:val="0"/>
            <w:vAlign w:val="top"/>
          </w:tcPr>
          <w:p w14:paraId="066D1FFF">
            <w:pPr>
              <w:spacing w:line="440" w:lineRule="exact"/>
              <w:jc w:val="center"/>
              <w:rPr>
                <w:rFonts w:hint="default" w:ascii="Times New Roman" w:hAnsi="Times New Roman" w:cs="Times New Roman"/>
                <w:szCs w:val="21"/>
              </w:rPr>
            </w:pPr>
          </w:p>
        </w:tc>
        <w:tc>
          <w:tcPr>
            <w:tcW w:w="1064" w:type="dxa"/>
            <w:noWrap w:val="0"/>
            <w:vAlign w:val="top"/>
          </w:tcPr>
          <w:p w14:paraId="1BD3E91F">
            <w:pPr>
              <w:spacing w:line="440" w:lineRule="exact"/>
              <w:jc w:val="center"/>
              <w:rPr>
                <w:rFonts w:hint="default" w:ascii="Times New Roman" w:hAnsi="Times New Roman" w:cs="Times New Roman"/>
                <w:szCs w:val="21"/>
              </w:rPr>
            </w:pPr>
          </w:p>
        </w:tc>
      </w:tr>
    </w:tbl>
    <w:p w14:paraId="1AB2E8F5">
      <w:pPr>
        <w:pStyle w:val="9"/>
        <w:rPr>
          <w:rFonts w:hint="default" w:ascii="Times New Roman" w:hAnsi="Times New Roman" w:cs="Times New Roman"/>
        </w:rPr>
      </w:pPr>
      <w:bookmarkStart w:id="329" w:name="_Toc152045800"/>
      <w:bookmarkStart w:id="330" w:name="_Toc246997110"/>
      <w:bookmarkStart w:id="331" w:name="_Toc152042589"/>
      <w:bookmarkStart w:id="332" w:name="_Toc144974868"/>
      <w:bookmarkStart w:id="333" w:name="_Toc179632820"/>
      <w:bookmarkStart w:id="334" w:name="_Toc246996367"/>
    </w:p>
    <w:p w14:paraId="2C359191">
      <w:pPr>
        <w:pStyle w:val="9"/>
        <w:rPr>
          <w:rFonts w:hint="default" w:ascii="Times New Roman" w:hAnsi="Times New Roman" w:cs="Times New Roman"/>
        </w:rPr>
      </w:pPr>
      <w:r>
        <w:rPr>
          <w:rFonts w:hint="default" w:ascii="Times New Roman" w:hAnsi="Times New Roman" w:cs="Times New Roman"/>
        </w:rPr>
        <w:br w:type="page"/>
      </w:r>
    </w:p>
    <w:p w14:paraId="540C7042">
      <w:pPr>
        <w:pStyle w:val="4"/>
        <w:rPr>
          <w:rFonts w:hint="default" w:ascii="Times New Roman" w:hAnsi="Times New Roman" w:cs="Times New Roman"/>
        </w:rPr>
      </w:pPr>
      <w:bookmarkStart w:id="335" w:name="_Toc247085885"/>
      <w:bookmarkStart w:id="336" w:name="_Toc296602612"/>
      <w:r>
        <w:rPr>
          <w:rFonts w:hint="default" w:ascii="Times New Roman" w:hAnsi="Times New Roman" w:cs="Times New Roman"/>
        </w:rPr>
        <w:t>附表三：进度计划</w:t>
      </w:r>
      <w:bookmarkEnd w:id="329"/>
      <w:bookmarkEnd w:id="330"/>
      <w:bookmarkEnd w:id="331"/>
      <w:bookmarkEnd w:id="332"/>
      <w:bookmarkEnd w:id="333"/>
      <w:bookmarkEnd w:id="334"/>
      <w:bookmarkEnd w:id="335"/>
      <w:bookmarkEnd w:id="336"/>
    </w:p>
    <w:p w14:paraId="7BADA7DD">
      <w:pPr>
        <w:spacing w:line="440" w:lineRule="exact"/>
        <w:rPr>
          <w:rFonts w:hint="default" w:ascii="Times New Roman" w:hAnsi="Times New Roman" w:eastAsia="黑体" w:cs="Times New Roman"/>
          <w:sz w:val="20"/>
          <w:szCs w:val="20"/>
        </w:rPr>
      </w:pPr>
    </w:p>
    <w:p w14:paraId="629A3E14">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1. 投标人应递交施工进度网络图或施工进度表，说明按招标文件要求的计划工期进行施工的各个关键日期</w:t>
      </w:r>
      <w:r>
        <w:rPr>
          <w:rFonts w:hint="eastAsia" w:ascii="Times New Roman" w:hAnsi="Times New Roman" w:cs="Times New Roman"/>
          <w:szCs w:val="21"/>
          <w:lang w:eastAsia="zh-CN"/>
        </w:rPr>
        <w:t>。</w:t>
      </w:r>
    </w:p>
    <w:p w14:paraId="4A2E6E27">
      <w:pPr>
        <w:spacing w:line="440" w:lineRule="exact"/>
        <w:ind w:firstLine="420" w:firstLineChars="200"/>
        <w:rPr>
          <w:rFonts w:hint="eastAsia" w:ascii="Times New Roman" w:hAnsi="Times New Roman" w:cs="Times New Roman" w:eastAsiaTheme="minorEastAsia"/>
          <w:szCs w:val="21"/>
          <w:lang w:eastAsia="zh-CN"/>
        </w:rPr>
      </w:pPr>
      <w:r>
        <w:rPr>
          <w:rFonts w:hint="default" w:ascii="Times New Roman" w:hAnsi="Times New Roman" w:cs="Times New Roman"/>
          <w:szCs w:val="21"/>
        </w:rPr>
        <w:t>2. 施工进度表可采用网络图或横道图表示</w:t>
      </w:r>
      <w:r>
        <w:rPr>
          <w:rFonts w:hint="eastAsia" w:ascii="Times New Roman" w:hAnsi="Times New Roman" w:cs="Times New Roman"/>
          <w:szCs w:val="21"/>
          <w:lang w:eastAsia="zh-CN"/>
        </w:rPr>
        <w:t>。</w:t>
      </w:r>
    </w:p>
    <w:p w14:paraId="509D6FFA">
      <w:pPr>
        <w:spacing w:line="440" w:lineRule="exact"/>
        <w:rPr>
          <w:rFonts w:hint="default" w:ascii="Times New Roman" w:hAnsi="Times New Roman" w:cs="Times New Roman"/>
          <w:sz w:val="20"/>
          <w:szCs w:val="20"/>
        </w:rPr>
      </w:pPr>
    </w:p>
    <w:p w14:paraId="2FE11CB1">
      <w:pPr>
        <w:spacing w:line="440" w:lineRule="exact"/>
        <w:rPr>
          <w:rFonts w:hint="default" w:ascii="Times New Roman" w:hAnsi="Times New Roman" w:eastAsia="黑体" w:cs="Times New Roman"/>
          <w:sz w:val="20"/>
          <w:szCs w:val="20"/>
        </w:rPr>
      </w:pPr>
    </w:p>
    <w:p w14:paraId="0E7ED91E">
      <w:pPr>
        <w:spacing w:line="440" w:lineRule="exact"/>
        <w:rPr>
          <w:rFonts w:hint="default" w:ascii="Times New Roman" w:hAnsi="Times New Roman" w:eastAsia="黑体" w:cs="Times New Roman"/>
          <w:sz w:val="20"/>
          <w:szCs w:val="20"/>
        </w:rPr>
      </w:pPr>
    </w:p>
    <w:p w14:paraId="4ED174E9">
      <w:pPr>
        <w:spacing w:line="440" w:lineRule="exact"/>
        <w:rPr>
          <w:rFonts w:hint="default" w:ascii="Times New Roman" w:hAnsi="Times New Roman" w:eastAsia="黑体" w:cs="Times New Roman"/>
          <w:sz w:val="20"/>
          <w:szCs w:val="20"/>
        </w:rPr>
      </w:pPr>
    </w:p>
    <w:p w14:paraId="5EED782E">
      <w:pPr>
        <w:spacing w:line="440" w:lineRule="exact"/>
        <w:rPr>
          <w:rFonts w:hint="default" w:ascii="Times New Roman" w:hAnsi="Times New Roman" w:eastAsia="黑体" w:cs="Times New Roman"/>
          <w:sz w:val="20"/>
          <w:szCs w:val="20"/>
        </w:rPr>
      </w:pPr>
    </w:p>
    <w:p w14:paraId="044A6787">
      <w:pPr>
        <w:spacing w:line="440" w:lineRule="exact"/>
        <w:rPr>
          <w:rFonts w:hint="default" w:ascii="Times New Roman" w:hAnsi="Times New Roman" w:cs="Times New Roman"/>
          <w:szCs w:val="21"/>
        </w:rPr>
      </w:pPr>
      <w:r>
        <w:rPr>
          <w:sz w:val="20"/>
        </w:rPr>
        <w:br w:type="page"/>
      </w:r>
    </w:p>
    <w:bookmarkEnd w:id="312"/>
    <w:p w14:paraId="1F5A7A16">
      <w:pPr>
        <w:pStyle w:val="3"/>
        <w:jc w:val="center"/>
        <w:rPr>
          <w:szCs w:val="21"/>
        </w:rPr>
      </w:pPr>
      <w:bookmarkStart w:id="337" w:name="_Toc247085887"/>
      <w:bookmarkStart w:id="338" w:name="_Toc152042592"/>
      <w:bookmarkStart w:id="339" w:name="_Toc144974871"/>
      <w:bookmarkStart w:id="340" w:name="_Toc296602614"/>
      <w:bookmarkStart w:id="341" w:name="_Toc246996369"/>
      <w:bookmarkStart w:id="342" w:name="_Toc246997112"/>
      <w:bookmarkStart w:id="343" w:name="_Toc152045803"/>
      <w:bookmarkStart w:id="344" w:name="_Toc179632823"/>
      <w:bookmarkStart w:id="345" w:name="_Toc247514300"/>
      <w:bookmarkStart w:id="346" w:name="_Toc144974876"/>
      <w:bookmarkStart w:id="347" w:name="_Toc300835224"/>
      <w:bookmarkStart w:id="348" w:name="_Toc152042597"/>
      <w:bookmarkStart w:id="349" w:name="_Toc247527848"/>
      <w:bookmarkStart w:id="350" w:name="_Toc152045808"/>
      <w:r>
        <w:rPr>
          <w:rFonts w:hint="eastAsia"/>
          <w:lang w:val="en-US" w:eastAsia="zh-CN"/>
        </w:rPr>
        <w:t>八</w:t>
      </w:r>
      <w:r>
        <w:t>、项目管理机构</w:t>
      </w:r>
      <w:bookmarkEnd w:id="337"/>
      <w:bookmarkEnd w:id="338"/>
      <w:bookmarkEnd w:id="339"/>
      <w:bookmarkEnd w:id="340"/>
      <w:bookmarkEnd w:id="341"/>
      <w:bookmarkEnd w:id="342"/>
      <w:bookmarkEnd w:id="343"/>
      <w:bookmarkEnd w:id="344"/>
    </w:p>
    <w:p w14:paraId="4019AC91">
      <w:pPr>
        <w:spacing w:line="440" w:lineRule="exact"/>
        <w:jc w:val="center"/>
        <w:rPr>
          <w:rFonts w:eastAsia="黑体"/>
          <w:sz w:val="23"/>
          <w:szCs w:val="23"/>
        </w:rPr>
      </w:pPr>
    </w:p>
    <w:p w14:paraId="2E4E3600">
      <w:pPr>
        <w:pStyle w:val="4"/>
        <w:jc w:val="both"/>
      </w:pPr>
      <w:bookmarkStart w:id="351" w:name="_Toc247085888"/>
      <w:bookmarkStart w:id="352" w:name="_Toc246996370"/>
      <w:bookmarkStart w:id="353" w:name="_Toc296602615"/>
      <w:bookmarkStart w:id="354" w:name="_Toc246997113"/>
      <w:r>
        <w:t>（一）项目管理机构组成表</w:t>
      </w:r>
      <w:bookmarkEnd w:id="351"/>
      <w:bookmarkEnd w:id="352"/>
      <w:bookmarkEnd w:id="353"/>
      <w:bookmarkEnd w:id="354"/>
    </w:p>
    <w:p w14:paraId="614CE8F4">
      <w:pPr>
        <w:spacing w:line="440" w:lineRule="exact"/>
        <w:jc w:val="center"/>
        <w:rPr>
          <w:rFonts w:eastAsia="黑体"/>
          <w:sz w:val="23"/>
          <w:szCs w:val="23"/>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433FE0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4A53898D">
            <w:pPr>
              <w:spacing w:line="440" w:lineRule="exact"/>
              <w:jc w:val="center"/>
              <w:rPr>
                <w:szCs w:val="21"/>
              </w:rPr>
            </w:pPr>
            <w:r>
              <w:rPr>
                <w:szCs w:val="21"/>
              </w:rPr>
              <w:t>职务</w:t>
            </w:r>
          </w:p>
        </w:tc>
        <w:tc>
          <w:tcPr>
            <w:tcW w:w="721" w:type="dxa"/>
            <w:vMerge w:val="restart"/>
            <w:noWrap w:val="0"/>
            <w:vAlign w:val="center"/>
          </w:tcPr>
          <w:p w14:paraId="6BC21FB1">
            <w:pPr>
              <w:spacing w:line="440" w:lineRule="exact"/>
              <w:jc w:val="center"/>
              <w:rPr>
                <w:szCs w:val="21"/>
              </w:rPr>
            </w:pPr>
            <w:r>
              <w:rPr>
                <w:szCs w:val="21"/>
              </w:rPr>
              <w:t>姓名</w:t>
            </w:r>
          </w:p>
        </w:tc>
        <w:tc>
          <w:tcPr>
            <w:tcW w:w="719" w:type="dxa"/>
            <w:vMerge w:val="restart"/>
            <w:noWrap w:val="0"/>
            <w:vAlign w:val="center"/>
          </w:tcPr>
          <w:p w14:paraId="7FD2B3D8">
            <w:pPr>
              <w:spacing w:line="440" w:lineRule="exact"/>
              <w:jc w:val="center"/>
              <w:rPr>
                <w:szCs w:val="21"/>
              </w:rPr>
            </w:pPr>
            <w:r>
              <w:rPr>
                <w:szCs w:val="21"/>
              </w:rPr>
              <w:t>职称</w:t>
            </w:r>
          </w:p>
        </w:tc>
        <w:tc>
          <w:tcPr>
            <w:tcW w:w="5763" w:type="dxa"/>
            <w:gridSpan w:val="5"/>
            <w:noWrap w:val="0"/>
            <w:vAlign w:val="center"/>
          </w:tcPr>
          <w:p w14:paraId="1993B241">
            <w:pPr>
              <w:spacing w:line="440" w:lineRule="exact"/>
              <w:jc w:val="center"/>
              <w:rPr>
                <w:szCs w:val="21"/>
              </w:rPr>
            </w:pPr>
            <w:r>
              <w:rPr>
                <w:szCs w:val="21"/>
              </w:rPr>
              <w:t>执业或职业资格证明</w:t>
            </w:r>
          </w:p>
        </w:tc>
        <w:tc>
          <w:tcPr>
            <w:tcW w:w="672" w:type="dxa"/>
            <w:noWrap w:val="0"/>
            <w:vAlign w:val="center"/>
          </w:tcPr>
          <w:p w14:paraId="33E301FD">
            <w:pPr>
              <w:spacing w:line="440" w:lineRule="exact"/>
              <w:jc w:val="center"/>
              <w:rPr>
                <w:szCs w:val="21"/>
              </w:rPr>
            </w:pPr>
            <w:r>
              <w:rPr>
                <w:szCs w:val="21"/>
              </w:rPr>
              <w:t>备注</w:t>
            </w:r>
          </w:p>
        </w:tc>
      </w:tr>
      <w:tr w14:paraId="44852C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2DE5D54E">
            <w:pPr>
              <w:spacing w:line="440" w:lineRule="exact"/>
              <w:jc w:val="center"/>
              <w:rPr>
                <w:szCs w:val="21"/>
              </w:rPr>
            </w:pPr>
          </w:p>
        </w:tc>
        <w:tc>
          <w:tcPr>
            <w:tcW w:w="721" w:type="dxa"/>
            <w:vMerge w:val="continue"/>
            <w:noWrap w:val="0"/>
            <w:vAlign w:val="center"/>
          </w:tcPr>
          <w:p w14:paraId="4C2E7E66">
            <w:pPr>
              <w:spacing w:line="440" w:lineRule="exact"/>
              <w:jc w:val="center"/>
              <w:rPr>
                <w:szCs w:val="21"/>
              </w:rPr>
            </w:pPr>
          </w:p>
        </w:tc>
        <w:tc>
          <w:tcPr>
            <w:tcW w:w="719" w:type="dxa"/>
            <w:vMerge w:val="continue"/>
            <w:noWrap w:val="0"/>
            <w:vAlign w:val="center"/>
          </w:tcPr>
          <w:p w14:paraId="0E96D0E6">
            <w:pPr>
              <w:spacing w:line="440" w:lineRule="exact"/>
              <w:jc w:val="center"/>
              <w:rPr>
                <w:szCs w:val="21"/>
              </w:rPr>
            </w:pPr>
          </w:p>
        </w:tc>
        <w:tc>
          <w:tcPr>
            <w:tcW w:w="1081" w:type="dxa"/>
            <w:noWrap w:val="0"/>
            <w:vAlign w:val="center"/>
          </w:tcPr>
          <w:p w14:paraId="109ABCEA">
            <w:pPr>
              <w:spacing w:line="440" w:lineRule="exact"/>
              <w:jc w:val="center"/>
              <w:rPr>
                <w:szCs w:val="21"/>
              </w:rPr>
            </w:pPr>
            <w:r>
              <w:rPr>
                <w:szCs w:val="21"/>
              </w:rPr>
              <w:t>证书名称</w:t>
            </w:r>
          </w:p>
        </w:tc>
        <w:tc>
          <w:tcPr>
            <w:tcW w:w="719" w:type="dxa"/>
            <w:noWrap w:val="0"/>
            <w:vAlign w:val="center"/>
          </w:tcPr>
          <w:p w14:paraId="4F2B81D2">
            <w:pPr>
              <w:spacing w:line="440" w:lineRule="exact"/>
              <w:jc w:val="center"/>
              <w:rPr>
                <w:szCs w:val="21"/>
              </w:rPr>
            </w:pPr>
            <w:r>
              <w:rPr>
                <w:szCs w:val="21"/>
              </w:rPr>
              <w:t>级别</w:t>
            </w:r>
          </w:p>
        </w:tc>
        <w:tc>
          <w:tcPr>
            <w:tcW w:w="721" w:type="dxa"/>
            <w:noWrap w:val="0"/>
            <w:vAlign w:val="center"/>
          </w:tcPr>
          <w:p w14:paraId="1D9EBCC6">
            <w:pPr>
              <w:spacing w:line="440" w:lineRule="exact"/>
              <w:jc w:val="center"/>
              <w:rPr>
                <w:szCs w:val="21"/>
              </w:rPr>
            </w:pPr>
            <w:r>
              <w:rPr>
                <w:szCs w:val="21"/>
              </w:rPr>
              <w:t>证号</w:t>
            </w:r>
          </w:p>
        </w:tc>
        <w:tc>
          <w:tcPr>
            <w:tcW w:w="719" w:type="dxa"/>
            <w:noWrap w:val="0"/>
            <w:vAlign w:val="center"/>
          </w:tcPr>
          <w:p w14:paraId="7F83DE73">
            <w:pPr>
              <w:spacing w:line="440" w:lineRule="exact"/>
              <w:jc w:val="center"/>
              <w:rPr>
                <w:szCs w:val="21"/>
              </w:rPr>
            </w:pPr>
            <w:r>
              <w:rPr>
                <w:szCs w:val="21"/>
              </w:rPr>
              <w:t>专业</w:t>
            </w:r>
          </w:p>
        </w:tc>
        <w:tc>
          <w:tcPr>
            <w:tcW w:w="2523" w:type="dxa"/>
            <w:noWrap w:val="0"/>
            <w:vAlign w:val="center"/>
          </w:tcPr>
          <w:p w14:paraId="6EEEB66D">
            <w:pPr>
              <w:spacing w:line="440" w:lineRule="exact"/>
              <w:jc w:val="center"/>
              <w:rPr>
                <w:szCs w:val="21"/>
              </w:rPr>
            </w:pPr>
            <w:r>
              <w:rPr>
                <w:szCs w:val="21"/>
              </w:rPr>
              <w:t>养老保险</w:t>
            </w:r>
          </w:p>
        </w:tc>
        <w:tc>
          <w:tcPr>
            <w:tcW w:w="672" w:type="dxa"/>
            <w:noWrap w:val="0"/>
            <w:vAlign w:val="center"/>
          </w:tcPr>
          <w:p w14:paraId="23056E32">
            <w:pPr>
              <w:spacing w:line="440" w:lineRule="exact"/>
              <w:jc w:val="center"/>
              <w:rPr>
                <w:szCs w:val="21"/>
              </w:rPr>
            </w:pPr>
          </w:p>
        </w:tc>
      </w:tr>
      <w:tr w14:paraId="59DAED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578816B1">
            <w:pPr>
              <w:spacing w:line="440" w:lineRule="exact"/>
              <w:jc w:val="center"/>
              <w:rPr>
                <w:szCs w:val="21"/>
              </w:rPr>
            </w:pPr>
          </w:p>
        </w:tc>
        <w:tc>
          <w:tcPr>
            <w:tcW w:w="721" w:type="dxa"/>
            <w:noWrap w:val="0"/>
            <w:vAlign w:val="center"/>
          </w:tcPr>
          <w:p w14:paraId="2D888D32">
            <w:pPr>
              <w:spacing w:line="440" w:lineRule="exact"/>
              <w:jc w:val="center"/>
              <w:rPr>
                <w:szCs w:val="21"/>
              </w:rPr>
            </w:pPr>
          </w:p>
        </w:tc>
        <w:tc>
          <w:tcPr>
            <w:tcW w:w="719" w:type="dxa"/>
            <w:noWrap w:val="0"/>
            <w:vAlign w:val="center"/>
          </w:tcPr>
          <w:p w14:paraId="2A3C69A9">
            <w:pPr>
              <w:spacing w:line="440" w:lineRule="exact"/>
              <w:jc w:val="center"/>
              <w:rPr>
                <w:szCs w:val="21"/>
              </w:rPr>
            </w:pPr>
          </w:p>
        </w:tc>
        <w:tc>
          <w:tcPr>
            <w:tcW w:w="1081" w:type="dxa"/>
            <w:noWrap w:val="0"/>
            <w:vAlign w:val="center"/>
          </w:tcPr>
          <w:p w14:paraId="7A0A8E14">
            <w:pPr>
              <w:spacing w:line="440" w:lineRule="exact"/>
              <w:jc w:val="center"/>
              <w:rPr>
                <w:szCs w:val="21"/>
              </w:rPr>
            </w:pPr>
          </w:p>
        </w:tc>
        <w:tc>
          <w:tcPr>
            <w:tcW w:w="719" w:type="dxa"/>
            <w:noWrap w:val="0"/>
            <w:vAlign w:val="center"/>
          </w:tcPr>
          <w:p w14:paraId="371D04CE">
            <w:pPr>
              <w:spacing w:line="440" w:lineRule="exact"/>
              <w:jc w:val="center"/>
              <w:rPr>
                <w:szCs w:val="21"/>
              </w:rPr>
            </w:pPr>
          </w:p>
        </w:tc>
        <w:tc>
          <w:tcPr>
            <w:tcW w:w="721" w:type="dxa"/>
            <w:noWrap w:val="0"/>
            <w:vAlign w:val="center"/>
          </w:tcPr>
          <w:p w14:paraId="192D4C52">
            <w:pPr>
              <w:spacing w:line="440" w:lineRule="exact"/>
              <w:jc w:val="center"/>
              <w:rPr>
                <w:szCs w:val="21"/>
              </w:rPr>
            </w:pPr>
          </w:p>
        </w:tc>
        <w:tc>
          <w:tcPr>
            <w:tcW w:w="719" w:type="dxa"/>
            <w:noWrap w:val="0"/>
            <w:vAlign w:val="center"/>
          </w:tcPr>
          <w:p w14:paraId="1F83B0E2">
            <w:pPr>
              <w:spacing w:line="440" w:lineRule="exact"/>
              <w:jc w:val="center"/>
              <w:rPr>
                <w:szCs w:val="21"/>
              </w:rPr>
            </w:pPr>
          </w:p>
        </w:tc>
        <w:tc>
          <w:tcPr>
            <w:tcW w:w="2523" w:type="dxa"/>
            <w:noWrap w:val="0"/>
            <w:vAlign w:val="center"/>
          </w:tcPr>
          <w:p w14:paraId="767197D8">
            <w:pPr>
              <w:spacing w:line="440" w:lineRule="exact"/>
              <w:jc w:val="center"/>
              <w:rPr>
                <w:szCs w:val="21"/>
              </w:rPr>
            </w:pPr>
          </w:p>
        </w:tc>
        <w:tc>
          <w:tcPr>
            <w:tcW w:w="672" w:type="dxa"/>
            <w:noWrap w:val="0"/>
            <w:vAlign w:val="center"/>
          </w:tcPr>
          <w:p w14:paraId="41BD815D">
            <w:pPr>
              <w:spacing w:line="440" w:lineRule="exact"/>
              <w:jc w:val="center"/>
              <w:rPr>
                <w:szCs w:val="21"/>
              </w:rPr>
            </w:pPr>
          </w:p>
        </w:tc>
      </w:tr>
      <w:tr w14:paraId="4CD9A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3F54C0D">
            <w:pPr>
              <w:spacing w:line="440" w:lineRule="exact"/>
              <w:jc w:val="center"/>
              <w:rPr>
                <w:szCs w:val="21"/>
              </w:rPr>
            </w:pPr>
          </w:p>
        </w:tc>
        <w:tc>
          <w:tcPr>
            <w:tcW w:w="721" w:type="dxa"/>
            <w:noWrap w:val="0"/>
            <w:vAlign w:val="top"/>
          </w:tcPr>
          <w:p w14:paraId="6D963411">
            <w:pPr>
              <w:spacing w:line="440" w:lineRule="exact"/>
              <w:jc w:val="center"/>
              <w:rPr>
                <w:szCs w:val="21"/>
              </w:rPr>
            </w:pPr>
          </w:p>
        </w:tc>
        <w:tc>
          <w:tcPr>
            <w:tcW w:w="719" w:type="dxa"/>
            <w:noWrap w:val="0"/>
            <w:vAlign w:val="top"/>
          </w:tcPr>
          <w:p w14:paraId="1FA764F7">
            <w:pPr>
              <w:spacing w:line="440" w:lineRule="exact"/>
              <w:jc w:val="center"/>
              <w:rPr>
                <w:szCs w:val="21"/>
              </w:rPr>
            </w:pPr>
          </w:p>
        </w:tc>
        <w:tc>
          <w:tcPr>
            <w:tcW w:w="1081" w:type="dxa"/>
            <w:noWrap w:val="0"/>
            <w:vAlign w:val="top"/>
          </w:tcPr>
          <w:p w14:paraId="24C78788">
            <w:pPr>
              <w:spacing w:line="440" w:lineRule="exact"/>
              <w:jc w:val="center"/>
              <w:rPr>
                <w:szCs w:val="21"/>
              </w:rPr>
            </w:pPr>
          </w:p>
        </w:tc>
        <w:tc>
          <w:tcPr>
            <w:tcW w:w="719" w:type="dxa"/>
            <w:noWrap w:val="0"/>
            <w:vAlign w:val="top"/>
          </w:tcPr>
          <w:p w14:paraId="677E2ED4">
            <w:pPr>
              <w:spacing w:line="440" w:lineRule="exact"/>
              <w:jc w:val="center"/>
              <w:rPr>
                <w:szCs w:val="21"/>
              </w:rPr>
            </w:pPr>
          </w:p>
        </w:tc>
        <w:tc>
          <w:tcPr>
            <w:tcW w:w="721" w:type="dxa"/>
            <w:noWrap w:val="0"/>
            <w:vAlign w:val="top"/>
          </w:tcPr>
          <w:p w14:paraId="49C0EA42">
            <w:pPr>
              <w:spacing w:line="440" w:lineRule="exact"/>
              <w:jc w:val="center"/>
              <w:rPr>
                <w:szCs w:val="21"/>
              </w:rPr>
            </w:pPr>
          </w:p>
        </w:tc>
        <w:tc>
          <w:tcPr>
            <w:tcW w:w="719" w:type="dxa"/>
            <w:noWrap w:val="0"/>
            <w:vAlign w:val="top"/>
          </w:tcPr>
          <w:p w14:paraId="502339CF">
            <w:pPr>
              <w:spacing w:line="440" w:lineRule="exact"/>
              <w:jc w:val="center"/>
              <w:rPr>
                <w:szCs w:val="21"/>
              </w:rPr>
            </w:pPr>
          </w:p>
        </w:tc>
        <w:tc>
          <w:tcPr>
            <w:tcW w:w="2523" w:type="dxa"/>
            <w:noWrap w:val="0"/>
            <w:vAlign w:val="top"/>
          </w:tcPr>
          <w:p w14:paraId="02BC6C2C">
            <w:pPr>
              <w:spacing w:line="440" w:lineRule="exact"/>
              <w:jc w:val="center"/>
              <w:rPr>
                <w:szCs w:val="21"/>
              </w:rPr>
            </w:pPr>
          </w:p>
        </w:tc>
        <w:tc>
          <w:tcPr>
            <w:tcW w:w="672" w:type="dxa"/>
            <w:noWrap w:val="0"/>
            <w:vAlign w:val="top"/>
          </w:tcPr>
          <w:p w14:paraId="4E08D2F1">
            <w:pPr>
              <w:spacing w:line="440" w:lineRule="exact"/>
              <w:jc w:val="center"/>
              <w:rPr>
                <w:szCs w:val="21"/>
              </w:rPr>
            </w:pPr>
          </w:p>
        </w:tc>
      </w:tr>
      <w:tr w14:paraId="6D80A6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FF00311">
            <w:pPr>
              <w:spacing w:line="440" w:lineRule="exact"/>
              <w:jc w:val="center"/>
              <w:rPr>
                <w:szCs w:val="21"/>
              </w:rPr>
            </w:pPr>
          </w:p>
        </w:tc>
        <w:tc>
          <w:tcPr>
            <w:tcW w:w="721" w:type="dxa"/>
            <w:noWrap w:val="0"/>
            <w:vAlign w:val="top"/>
          </w:tcPr>
          <w:p w14:paraId="54DD2C14">
            <w:pPr>
              <w:spacing w:line="440" w:lineRule="exact"/>
              <w:jc w:val="center"/>
              <w:rPr>
                <w:szCs w:val="21"/>
              </w:rPr>
            </w:pPr>
          </w:p>
        </w:tc>
        <w:tc>
          <w:tcPr>
            <w:tcW w:w="719" w:type="dxa"/>
            <w:noWrap w:val="0"/>
            <w:vAlign w:val="top"/>
          </w:tcPr>
          <w:p w14:paraId="75F9452A">
            <w:pPr>
              <w:spacing w:line="440" w:lineRule="exact"/>
              <w:jc w:val="center"/>
              <w:rPr>
                <w:szCs w:val="21"/>
              </w:rPr>
            </w:pPr>
          </w:p>
        </w:tc>
        <w:tc>
          <w:tcPr>
            <w:tcW w:w="1081" w:type="dxa"/>
            <w:noWrap w:val="0"/>
            <w:vAlign w:val="top"/>
          </w:tcPr>
          <w:p w14:paraId="0F9554FE">
            <w:pPr>
              <w:spacing w:line="440" w:lineRule="exact"/>
              <w:jc w:val="center"/>
              <w:rPr>
                <w:szCs w:val="21"/>
              </w:rPr>
            </w:pPr>
          </w:p>
        </w:tc>
        <w:tc>
          <w:tcPr>
            <w:tcW w:w="719" w:type="dxa"/>
            <w:noWrap w:val="0"/>
            <w:vAlign w:val="top"/>
          </w:tcPr>
          <w:p w14:paraId="18FDF3F4">
            <w:pPr>
              <w:spacing w:line="440" w:lineRule="exact"/>
              <w:jc w:val="center"/>
              <w:rPr>
                <w:szCs w:val="21"/>
              </w:rPr>
            </w:pPr>
          </w:p>
        </w:tc>
        <w:tc>
          <w:tcPr>
            <w:tcW w:w="721" w:type="dxa"/>
            <w:noWrap w:val="0"/>
            <w:vAlign w:val="top"/>
          </w:tcPr>
          <w:p w14:paraId="67958868">
            <w:pPr>
              <w:spacing w:line="440" w:lineRule="exact"/>
              <w:jc w:val="center"/>
              <w:rPr>
                <w:szCs w:val="21"/>
              </w:rPr>
            </w:pPr>
          </w:p>
        </w:tc>
        <w:tc>
          <w:tcPr>
            <w:tcW w:w="719" w:type="dxa"/>
            <w:noWrap w:val="0"/>
            <w:vAlign w:val="top"/>
          </w:tcPr>
          <w:p w14:paraId="54F384D8">
            <w:pPr>
              <w:spacing w:line="440" w:lineRule="exact"/>
              <w:jc w:val="center"/>
              <w:rPr>
                <w:szCs w:val="21"/>
              </w:rPr>
            </w:pPr>
          </w:p>
        </w:tc>
        <w:tc>
          <w:tcPr>
            <w:tcW w:w="2523" w:type="dxa"/>
            <w:noWrap w:val="0"/>
            <w:vAlign w:val="top"/>
          </w:tcPr>
          <w:p w14:paraId="69F0787A">
            <w:pPr>
              <w:spacing w:line="440" w:lineRule="exact"/>
              <w:jc w:val="center"/>
              <w:rPr>
                <w:szCs w:val="21"/>
              </w:rPr>
            </w:pPr>
          </w:p>
        </w:tc>
        <w:tc>
          <w:tcPr>
            <w:tcW w:w="672" w:type="dxa"/>
            <w:noWrap w:val="0"/>
            <w:vAlign w:val="top"/>
          </w:tcPr>
          <w:p w14:paraId="6BBBC871">
            <w:pPr>
              <w:spacing w:line="440" w:lineRule="exact"/>
              <w:jc w:val="center"/>
              <w:rPr>
                <w:szCs w:val="21"/>
              </w:rPr>
            </w:pPr>
          </w:p>
        </w:tc>
      </w:tr>
      <w:tr w14:paraId="4E33FC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0F39310">
            <w:pPr>
              <w:spacing w:line="440" w:lineRule="exact"/>
              <w:jc w:val="center"/>
              <w:rPr>
                <w:szCs w:val="21"/>
              </w:rPr>
            </w:pPr>
          </w:p>
        </w:tc>
        <w:tc>
          <w:tcPr>
            <w:tcW w:w="721" w:type="dxa"/>
            <w:noWrap w:val="0"/>
            <w:vAlign w:val="top"/>
          </w:tcPr>
          <w:p w14:paraId="5E1ABE0F">
            <w:pPr>
              <w:spacing w:line="440" w:lineRule="exact"/>
              <w:jc w:val="center"/>
              <w:rPr>
                <w:szCs w:val="21"/>
              </w:rPr>
            </w:pPr>
          </w:p>
        </w:tc>
        <w:tc>
          <w:tcPr>
            <w:tcW w:w="719" w:type="dxa"/>
            <w:noWrap w:val="0"/>
            <w:vAlign w:val="top"/>
          </w:tcPr>
          <w:p w14:paraId="7CA28BFD">
            <w:pPr>
              <w:spacing w:line="440" w:lineRule="exact"/>
              <w:jc w:val="center"/>
              <w:rPr>
                <w:szCs w:val="21"/>
              </w:rPr>
            </w:pPr>
          </w:p>
        </w:tc>
        <w:tc>
          <w:tcPr>
            <w:tcW w:w="1081" w:type="dxa"/>
            <w:noWrap w:val="0"/>
            <w:vAlign w:val="top"/>
          </w:tcPr>
          <w:p w14:paraId="501D0532">
            <w:pPr>
              <w:spacing w:line="440" w:lineRule="exact"/>
              <w:jc w:val="center"/>
              <w:rPr>
                <w:szCs w:val="21"/>
              </w:rPr>
            </w:pPr>
          </w:p>
        </w:tc>
        <w:tc>
          <w:tcPr>
            <w:tcW w:w="719" w:type="dxa"/>
            <w:noWrap w:val="0"/>
            <w:vAlign w:val="top"/>
          </w:tcPr>
          <w:p w14:paraId="47C73161">
            <w:pPr>
              <w:spacing w:line="440" w:lineRule="exact"/>
              <w:jc w:val="center"/>
              <w:rPr>
                <w:szCs w:val="21"/>
              </w:rPr>
            </w:pPr>
          </w:p>
        </w:tc>
        <w:tc>
          <w:tcPr>
            <w:tcW w:w="721" w:type="dxa"/>
            <w:noWrap w:val="0"/>
            <w:vAlign w:val="top"/>
          </w:tcPr>
          <w:p w14:paraId="3102AD50">
            <w:pPr>
              <w:spacing w:line="440" w:lineRule="exact"/>
              <w:jc w:val="center"/>
              <w:rPr>
                <w:szCs w:val="21"/>
              </w:rPr>
            </w:pPr>
          </w:p>
        </w:tc>
        <w:tc>
          <w:tcPr>
            <w:tcW w:w="719" w:type="dxa"/>
            <w:noWrap w:val="0"/>
            <w:vAlign w:val="top"/>
          </w:tcPr>
          <w:p w14:paraId="3D545009">
            <w:pPr>
              <w:spacing w:line="440" w:lineRule="exact"/>
              <w:jc w:val="center"/>
              <w:rPr>
                <w:szCs w:val="21"/>
              </w:rPr>
            </w:pPr>
          </w:p>
        </w:tc>
        <w:tc>
          <w:tcPr>
            <w:tcW w:w="2523" w:type="dxa"/>
            <w:noWrap w:val="0"/>
            <w:vAlign w:val="top"/>
          </w:tcPr>
          <w:p w14:paraId="7833D785">
            <w:pPr>
              <w:spacing w:line="440" w:lineRule="exact"/>
              <w:jc w:val="center"/>
              <w:rPr>
                <w:szCs w:val="21"/>
              </w:rPr>
            </w:pPr>
          </w:p>
        </w:tc>
        <w:tc>
          <w:tcPr>
            <w:tcW w:w="672" w:type="dxa"/>
            <w:noWrap w:val="0"/>
            <w:vAlign w:val="top"/>
          </w:tcPr>
          <w:p w14:paraId="12967CCB">
            <w:pPr>
              <w:spacing w:line="440" w:lineRule="exact"/>
              <w:jc w:val="center"/>
              <w:rPr>
                <w:szCs w:val="21"/>
              </w:rPr>
            </w:pPr>
          </w:p>
        </w:tc>
      </w:tr>
      <w:tr w14:paraId="47AFD8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2138AD9">
            <w:pPr>
              <w:spacing w:line="440" w:lineRule="exact"/>
              <w:jc w:val="center"/>
              <w:rPr>
                <w:szCs w:val="21"/>
              </w:rPr>
            </w:pPr>
          </w:p>
        </w:tc>
        <w:tc>
          <w:tcPr>
            <w:tcW w:w="721" w:type="dxa"/>
            <w:noWrap w:val="0"/>
            <w:vAlign w:val="top"/>
          </w:tcPr>
          <w:p w14:paraId="24134460">
            <w:pPr>
              <w:spacing w:line="440" w:lineRule="exact"/>
              <w:jc w:val="center"/>
              <w:rPr>
                <w:szCs w:val="21"/>
              </w:rPr>
            </w:pPr>
          </w:p>
        </w:tc>
        <w:tc>
          <w:tcPr>
            <w:tcW w:w="719" w:type="dxa"/>
            <w:noWrap w:val="0"/>
            <w:vAlign w:val="top"/>
          </w:tcPr>
          <w:p w14:paraId="14968BC1">
            <w:pPr>
              <w:spacing w:line="440" w:lineRule="exact"/>
              <w:jc w:val="center"/>
              <w:rPr>
                <w:szCs w:val="21"/>
              </w:rPr>
            </w:pPr>
          </w:p>
        </w:tc>
        <w:tc>
          <w:tcPr>
            <w:tcW w:w="1081" w:type="dxa"/>
            <w:noWrap w:val="0"/>
            <w:vAlign w:val="top"/>
          </w:tcPr>
          <w:p w14:paraId="0FC9376B">
            <w:pPr>
              <w:spacing w:line="440" w:lineRule="exact"/>
              <w:jc w:val="center"/>
              <w:rPr>
                <w:szCs w:val="21"/>
              </w:rPr>
            </w:pPr>
          </w:p>
        </w:tc>
        <w:tc>
          <w:tcPr>
            <w:tcW w:w="719" w:type="dxa"/>
            <w:noWrap w:val="0"/>
            <w:vAlign w:val="top"/>
          </w:tcPr>
          <w:p w14:paraId="38EC0458">
            <w:pPr>
              <w:spacing w:line="440" w:lineRule="exact"/>
              <w:jc w:val="center"/>
              <w:rPr>
                <w:szCs w:val="21"/>
              </w:rPr>
            </w:pPr>
          </w:p>
        </w:tc>
        <w:tc>
          <w:tcPr>
            <w:tcW w:w="721" w:type="dxa"/>
            <w:noWrap w:val="0"/>
            <w:vAlign w:val="top"/>
          </w:tcPr>
          <w:p w14:paraId="1E775884">
            <w:pPr>
              <w:spacing w:line="440" w:lineRule="exact"/>
              <w:jc w:val="center"/>
              <w:rPr>
                <w:szCs w:val="21"/>
              </w:rPr>
            </w:pPr>
          </w:p>
        </w:tc>
        <w:tc>
          <w:tcPr>
            <w:tcW w:w="719" w:type="dxa"/>
            <w:noWrap w:val="0"/>
            <w:vAlign w:val="top"/>
          </w:tcPr>
          <w:p w14:paraId="07C5A727">
            <w:pPr>
              <w:spacing w:line="440" w:lineRule="exact"/>
              <w:jc w:val="center"/>
              <w:rPr>
                <w:szCs w:val="21"/>
              </w:rPr>
            </w:pPr>
          </w:p>
        </w:tc>
        <w:tc>
          <w:tcPr>
            <w:tcW w:w="2523" w:type="dxa"/>
            <w:noWrap w:val="0"/>
            <w:vAlign w:val="top"/>
          </w:tcPr>
          <w:p w14:paraId="000CEAE7">
            <w:pPr>
              <w:spacing w:line="440" w:lineRule="exact"/>
              <w:jc w:val="center"/>
              <w:rPr>
                <w:szCs w:val="21"/>
              </w:rPr>
            </w:pPr>
          </w:p>
        </w:tc>
        <w:tc>
          <w:tcPr>
            <w:tcW w:w="672" w:type="dxa"/>
            <w:noWrap w:val="0"/>
            <w:vAlign w:val="top"/>
          </w:tcPr>
          <w:p w14:paraId="2F406E23">
            <w:pPr>
              <w:spacing w:line="440" w:lineRule="exact"/>
              <w:jc w:val="center"/>
              <w:rPr>
                <w:szCs w:val="21"/>
              </w:rPr>
            </w:pPr>
          </w:p>
        </w:tc>
      </w:tr>
      <w:tr w14:paraId="0FF16D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4D67DFC">
            <w:pPr>
              <w:spacing w:line="440" w:lineRule="exact"/>
              <w:jc w:val="center"/>
              <w:rPr>
                <w:szCs w:val="21"/>
              </w:rPr>
            </w:pPr>
          </w:p>
        </w:tc>
        <w:tc>
          <w:tcPr>
            <w:tcW w:w="721" w:type="dxa"/>
            <w:noWrap w:val="0"/>
            <w:vAlign w:val="top"/>
          </w:tcPr>
          <w:p w14:paraId="63261B7F">
            <w:pPr>
              <w:spacing w:line="440" w:lineRule="exact"/>
              <w:jc w:val="center"/>
              <w:rPr>
                <w:szCs w:val="21"/>
              </w:rPr>
            </w:pPr>
          </w:p>
        </w:tc>
        <w:tc>
          <w:tcPr>
            <w:tcW w:w="719" w:type="dxa"/>
            <w:noWrap w:val="0"/>
            <w:vAlign w:val="top"/>
          </w:tcPr>
          <w:p w14:paraId="719603F6">
            <w:pPr>
              <w:spacing w:line="440" w:lineRule="exact"/>
              <w:jc w:val="center"/>
              <w:rPr>
                <w:szCs w:val="21"/>
              </w:rPr>
            </w:pPr>
          </w:p>
        </w:tc>
        <w:tc>
          <w:tcPr>
            <w:tcW w:w="1081" w:type="dxa"/>
            <w:noWrap w:val="0"/>
            <w:vAlign w:val="top"/>
          </w:tcPr>
          <w:p w14:paraId="10EA4814">
            <w:pPr>
              <w:spacing w:line="440" w:lineRule="exact"/>
              <w:jc w:val="center"/>
              <w:rPr>
                <w:szCs w:val="21"/>
              </w:rPr>
            </w:pPr>
          </w:p>
        </w:tc>
        <w:tc>
          <w:tcPr>
            <w:tcW w:w="719" w:type="dxa"/>
            <w:noWrap w:val="0"/>
            <w:vAlign w:val="top"/>
          </w:tcPr>
          <w:p w14:paraId="09317C69">
            <w:pPr>
              <w:spacing w:line="440" w:lineRule="exact"/>
              <w:jc w:val="center"/>
              <w:rPr>
                <w:szCs w:val="21"/>
              </w:rPr>
            </w:pPr>
          </w:p>
        </w:tc>
        <w:tc>
          <w:tcPr>
            <w:tcW w:w="721" w:type="dxa"/>
            <w:noWrap w:val="0"/>
            <w:vAlign w:val="top"/>
          </w:tcPr>
          <w:p w14:paraId="00685736">
            <w:pPr>
              <w:spacing w:line="440" w:lineRule="exact"/>
              <w:jc w:val="center"/>
              <w:rPr>
                <w:szCs w:val="21"/>
              </w:rPr>
            </w:pPr>
          </w:p>
        </w:tc>
        <w:tc>
          <w:tcPr>
            <w:tcW w:w="719" w:type="dxa"/>
            <w:noWrap w:val="0"/>
            <w:vAlign w:val="top"/>
          </w:tcPr>
          <w:p w14:paraId="3913C968">
            <w:pPr>
              <w:spacing w:line="440" w:lineRule="exact"/>
              <w:jc w:val="center"/>
              <w:rPr>
                <w:szCs w:val="21"/>
              </w:rPr>
            </w:pPr>
          </w:p>
        </w:tc>
        <w:tc>
          <w:tcPr>
            <w:tcW w:w="2523" w:type="dxa"/>
            <w:noWrap w:val="0"/>
            <w:vAlign w:val="top"/>
          </w:tcPr>
          <w:p w14:paraId="6296F2FF">
            <w:pPr>
              <w:spacing w:line="440" w:lineRule="exact"/>
              <w:jc w:val="center"/>
              <w:rPr>
                <w:szCs w:val="21"/>
              </w:rPr>
            </w:pPr>
          </w:p>
        </w:tc>
        <w:tc>
          <w:tcPr>
            <w:tcW w:w="672" w:type="dxa"/>
            <w:noWrap w:val="0"/>
            <w:vAlign w:val="top"/>
          </w:tcPr>
          <w:p w14:paraId="681CE2BB">
            <w:pPr>
              <w:spacing w:line="440" w:lineRule="exact"/>
              <w:jc w:val="center"/>
              <w:rPr>
                <w:szCs w:val="21"/>
              </w:rPr>
            </w:pPr>
          </w:p>
        </w:tc>
      </w:tr>
      <w:tr w14:paraId="0CB09A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FE5CC8D">
            <w:pPr>
              <w:spacing w:line="440" w:lineRule="exact"/>
              <w:jc w:val="center"/>
              <w:rPr>
                <w:szCs w:val="21"/>
              </w:rPr>
            </w:pPr>
          </w:p>
        </w:tc>
        <w:tc>
          <w:tcPr>
            <w:tcW w:w="721" w:type="dxa"/>
            <w:noWrap w:val="0"/>
            <w:vAlign w:val="top"/>
          </w:tcPr>
          <w:p w14:paraId="57B91D72">
            <w:pPr>
              <w:spacing w:line="440" w:lineRule="exact"/>
              <w:jc w:val="center"/>
              <w:rPr>
                <w:szCs w:val="21"/>
              </w:rPr>
            </w:pPr>
          </w:p>
        </w:tc>
        <w:tc>
          <w:tcPr>
            <w:tcW w:w="719" w:type="dxa"/>
            <w:noWrap w:val="0"/>
            <w:vAlign w:val="top"/>
          </w:tcPr>
          <w:p w14:paraId="14583973">
            <w:pPr>
              <w:spacing w:line="440" w:lineRule="exact"/>
              <w:jc w:val="center"/>
              <w:rPr>
                <w:szCs w:val="21"/>
              </w:rPr>
            </w:pPr>
          </w:p>
        </w:tc>
        <w:tc>
          <w:tcPr>
            <w:tcW w:w="1081" w:type="dxa"/>
            <w:noWrap w:val="0"/>
            <w:vAlign w:val="top"/>
          </w:tcPr>
          <w:p w14:paraId="48551D25">
            <w:pPr>
              <w:spacing w:line="440" w:lineRule="exact"/>
              <w:jc w:val="center"/>
              <w:rPr>
                <w:szCs w:val="21"/>
              </w:rPr>
            </w:pPr>
          </w:p>
        </w:tc>
        <w:tc>
          <w:tcPr>
            <w:tcW w:w="719" w:type="dxa"/>
            <w:noWrap w:val="0"/>
            <w:vAlign w:val="top"/>
          </w:tcPr>
          <w:p w14:paraId="31A0115F">
            <w:pPr>
              <w:spacing w:line="440" w:lineRule="exact"/>
              <w:jc w:val="center"/>
              <w:rPr>
                <w:szCs w:val="21"/>
              </w:rPr>
            </w:pPr>
          </w:p>
        </w:tc>
        <w:tc>
          <w:tcPr>
            <w:tcW w:w="721" w:type="dxa"/>
            <w:noWrap w:val="0"/>
            <w:vAlign w:val="top"/>
          </w:tcPr>
          <w:p w14:paraId="38BDD3EA">
            <w:pPr>
              <w:spacing w:line="440" w:lineRule="exact"/>
              <w:jc w:val="center"/>
              <w:rPr>
                <w:szCs w:val="21"/>
              </w:rPr>
            </w:pPr>
          </w:p>
        </w:tc>
        <w:tc>
          <w:tcPr>
            <w:tcW w:w="719" w:type="dxa"/>
            <w:noWrap w:val="0"/>
            <w:vAlign w:val="top"/>
          </w:tcPr>
          <w:p w14:paraId="07190881">
            <w:pPr>
              <w:spacing w:line="440" w:lineRule="exact"/>
              <w:jc w:val="center"/>
              <w:rPr>
                <w:szCs w:val="21"/>
              </w:rPr>
            </w:pPr>
          </w:p>
        </w:tc>
        <w:tc>
          <w:tcPr>
            <w:tcW w:w="2523" w:type="dxa"/>
            <w:noWrap w:val="0"/>
            <w:vAlign w:val="top"/>
          </w:tcPr>
          <w:p w14:paraId="1CA32F10">
            <w:pPr>
              <w:spacing w:line="440" w:lineRule="exact"/>
              <w:jc w:val="center"/>
              <w:rPr>
                <w:szCs w:val="21"/>
              </w:rPr>
            </w:pPr>
          </w:p>
        </w:tc>
        <w:tc>
          <w:tcPr>
            <w:tcW w:w="672" w:type="dxa"/>
            <w:noWrap w:val="0"/>
            <w:vAlign w:val="top"/>
          </w:tcPr>
          <w:p w14:paraId="336BCC83">
            <w:pPr>
              <w:spacing w:line="440" w:lineRule="exact"/>
              <w:jc w:val="center"/>
              <w:rPr>
                <w:szCs w:val="21"/>
              </w:rPr>
            </w:pPr>
          </w:p>
        </w:tc>
      </w:tr>
      <w:tr w14:paraId="5CBBCF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0B74D35B">
            <w:pPr>
              <w:spacing w:line="440" w:lineRule="exact"/>
              <w:jc w:val="center"/>
              <w:rPr>
                <w:szCs w:val="21"/>
              </w:rPr>
            </w:pPr>
          </w:p>
        </w:tc>
        <w:tc>
          <w:tcPr>
            <w:tcW w:w="721" w:type="dxa"/>
            <w:noWrap w:val="0"/>
            <w:vAlign w:val="top"/>
          </w:tcPr>
          <w:p w14:paraId="3C000418">
            <w:pPr>
              <w:spacing w:line="440" w:lineRule="exact"/>
              <w:jc w:val="center"/>
              <w:rPr>
                <w:szCs w:val="21"/>
              </w:rPr>
            </w:pPr>
          </w:p>
        </w:tc>
        <w:tc>
          <w:tcPr>
            <w:tcW w:w="719" w:type="dxa"/>
            <w:noWrap w:val="0"/>
            <w:vAlign w:val="top"/>
          </w:tcPr>
          <w:p w14:paraId="35CCC192">
            <w:pPr>
              <w:spacing w:line="440" w:lineRule="exact"/>
              <w:jc w:val="center"/>
              <w:rPr>
                <w:szCs w:val="21"/>
              </w:rPr>
            </w:pPr>
          </w:p>
        </w:tc>
        <w:tc>
          <w:tcPr>
            <w:tcW w:w="1081" w:type="dxa"/>
            <w:noWrap w:val="0"/>
            <w:vAlign w:val="top"/>
          </w:tcPr>
          <w:p w14:paraId="0A5854E0">
            <w:pPr>
              <w:spacing w:line="440" w:lineRule="exact"/>
              <w:jc w:val="center"/>
              <w:rPr>
                <w:szCs w:val="21"/>
              </w:rPr>
            </w:pPr>
          </w:p>
        </w:tc>
        <w:tc>
          <w:tcPr>
            <w:tcW w:w="719" w:type="dxa"/>
            <w:noWrap w:val="0"/>
            <w:vAlign w:val="top"/>
          </w:tcPr>
          <w:p w14:paraId="7F1C81E7">
            <w:pPr>
              <w:spacing w:line="440" w:lineRule="exact"/>
              <w:jc w:val="center"/>
              <w:rPr>
                <w:szCs w:val="21"/>
              </w:rPr>
            </w:pPr>
          </w:p>
        </w:tc>
        <w:tc>
          <w:tcPr>
            <w:tcW w:w="721" w:type="dxa"/>
            <w:noWrap w:val="0"/>
            <w:vAlign w:val="top"/>
          </w:tcPr>
          <w:p w14:paraId="0EF60666">
            <w:pPr>
              <w:spacing w:line="440" w:lineRule="exact"/>
              <w:jc w:val="center"/>
              <w:rPr>
                <w:szCs w:val="21"/>
              </w:rPr>
            </w:pPr>
          </w:p>
        </w:tc>
        <w:tc>
          <w:tcPr>
            <w:tcW w:w="719" w:type="dxa"/>
            <w:noWrap w:val="0"/>
            <w:vAlign w:val="top"/>
          </w:tcPr>
          <w:p w14:paraId="051589F4">
            <w:pPr>
              <w:spacing w:line="440" w:lineRule="exact"/>
              <w:jc w:val="center"/>
              <w:rPr>
                <w:szCs w:val="21"/>
              </w:rPr>
            </w:pPr>
          </w:p>
        </w:tc>
        <w:tc>
          <w:tcPr>
            <w:tcW w:w="2523" w:type="dxa"/>
            <w:noWrap w:val="0"/>
            <w:vAlign w:val="top"/>
          </w:tcPr>
          <w:p w14:paraId="373307A0">
            <w:pPr>
              <w:spacing w:line="440" w:lineRule="exact"/>
              <w:jc w:val="center"/>
              <w:rPr>
                <w:szCs w:val="21"/>
              </w:rPr>
            </w:pPr>
          </w:p>
        </w:tc>
        <w:tc>
          <w:tcPr>
            <w:tcW w:w="672" w:type="dxa"/>
            <w:noWrap w:val="0"/>
            <w:vAlign w:val="top"/>
          </w:tcPr>
          <w:p w14:paraId="4B7BEB55">
            <w:pPr>
              <w:spacing w:line="440" w:lineRule="exact"/>
              <w:jc w:val="center"/>
              <w:rPr>
                <w:szCs w:val="21"/>
              </w:rPr>
            </w:pPr>
          </w:p>
        </w:tc>
      </w:tr>
      <w:tr w14:paraId="0F5C80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65EBE3C">
            <w:pPr>
              <w:spacing w:line="440" w:lineRule="exact"/>
              <w:jc w:val="center"/>
              <w:rPr>
                <w:szCs w:val="21"/>
              </w:rPr>
            </w:pPr>
          </w:p>
        </w:tc>
        <w:tc>
          <w:tcPr>
            <w:tcW w:w="721" w:type="dxa"/>
            <w:noWrap w:val="0"/>
            <w:vAlign w:val="top"/>
          </w:tcPr>
          <w:p w14:paraId="435AE04C">
            <w:pPr>
              <w:spacing w:line="440" w:lineRule="exact"/>
              <w:jc w:val="center"/>
              <w:rPr>
                <w:szCs w:val="21"/>
              </w:rPr>
            </w:pPr>
          </w:p>
        </w:tc>
        <w:tc>
          <w:tcPr>
            <w:tcW w:w="719" w:type="dxa"/>
            <w:noWrap w:val="0"/>
            <w:vAlign w:val="top"/>
          </w:tcPr>
          <w:p w14:paraId="6E37537F">
            <w:pPr>
              <w:spacing w:line="440" w:lineRule="exact"/>
              <w:jc w:val="center"/>
              <w:rPr>
                <w:szCs w:val="21"/>
              </w:rPr>
            </w:pPr>
          </w:p>
        </w:tc>
        <w:tc>
          <w:tcPr>
            <w:tcW w:w="1081" w:type="dxa"/>
            <w:noWrap w:val="0"/>
            <w:vAlign w:val="top"/>
          </w:tcPr>
          <w:p w14:paraId="0838B04F">
            <w:pPr>
              <w:spacing w:line="440" w:lineRule="exact"/>
              <w:jc w:val="center"/>
              <w:rPr>
                <w:szCs w:val="21"/>
              </w:rPr>
            </w:pPr>
          </w:p>
        </w:tc>
        <w:tc>
          <w:tcPr>
            <w:tcW w:w="719" w:type="dxa"/>
            <w:noWrap w:val="0"/>
            <w:vAlign w:val="top"/>
          </w:tcPr>
          <w:p w14:paraId="79B21A28">
            <w:pPr>
              <w:spacing w:line="440" w:lineRule="exact"/>
              <w:jc w:val="center"/>
              <w:rPr>
                <w:szCs w:val="21"/>
              </w:rPr>
            </w:pPr>
          </w:p>
        </w:tc>
        <w:tc>
          <w:tcPr>
            <w:tcW w:w="721" w:type="dxa"/>
            <w:noWrap w:val="0"/>
            <w:vAlign w:val="top"/>
          </w:tcPr>
          <w:p w14:paraId="351B7839">
            <w:pPr>
              <w:spacing w:line="440" w:lineRule="exact"/>
              <w:jc w:val="center"/>
              <w:rPr>
                <w:szCs w:val="21"/>
              </w:rPr>
            </w:pPr>
          </w:p>
        </w:tc>
        <w:tc>
          <w:tcPr>
            <w:tcW w:w="719" w:type="dxa"/>
            <w:noWrap w:val="0"/>
            <w:vAlign w:val="top"/>
          </w:tcPr>
          <w:p w14:paraId="1325A7D9">
            <w:pPr>
              <w:spacing w:line="440" w:lineRule="exact"/>
              <w:jc w:val="center"/>
              <w:rPr>
                <w:szCs w:val="21"/>
              </w:rPr>
            </w:pPr>
          </w:p>
        </w:tc>
        <w:tc>
          <w:tcPr>
            <w:tcW w:w="2523" w:type="dxa"/>
            <w:noWrap w:val="0"/>
            <w:vAlign w:val="top"/>
          </w:tcPr>
          <w:p w14:paraId="714F40BD">
            <w:pPr>
              <w:spacing w:line="440" w:lineRule="exact"/>
              <w:jc w:val="center"/>
              <w:rPr>
                <w:szCs w:val="21"/>
              </w:rPr>
            </w:pPr>
          </w:p>
        </w:tc>
        <w:tc>
          <w:tcPr>
            <w:tcW w:w="672" w:type="dxa"/>
            <w:noWrap w:val="0"/>
            <w:vAlign w:val="top"/>
          </w:tcPr>
          <w:p w14:paraId="1B221634">
            <w:pPr>
              <w:spacing w:line="440" w:lineRule="exact"/>
              <w:jc w:val="center"/>
              <w:rPr>
                <w:szCs w:val="21"/>
              </w:rPr>
            </w:pPr>
          </w:p>
        </w:tc>
      </w:tr>
      <w:tr w14:paraId="1BC95F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9C2A0E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F47D3F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7F7D3B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A47E04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69756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97ACDA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509B0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E24175F">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5D85DFE">
            <w:pPr>
              <w:spacing w:line="440" w:lineRule="exact"/>
              <w:jc w:val="center"/>
              <w:rPr>
                <w:szCs w:val="21"/>
              </w:rPr>
            </w:pPr>
          </w:p>
        </w:tc>
      </w:tr>
      <w:tr w14:paraId="47802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7324FF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9FFA9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8F6D35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33F36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0E04AB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6F4163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B01AD7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AE2D9C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828FB89">
            <w:pPr>
              <w:spacing w:line="440" w:lineRule="exact"/>
              <w:jc w:val="center"/>
              <w:rPr>
                <w:szCs w:val="21"/>
              </w:rPr>
            </w:pPr>
          </w:p>
        </w:tc>
      </w:tr>
      <w:tr w14:paraId="333C0A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20B7ED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7A7395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3C703B1">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72657D2">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92F28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41812E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20517C2">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F53086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5E32DBA">
            <w:pPr>
              <w:spacing w:line="440" w:lineRule="exact"/>
              <w:jc w:val="center"/>
              <w:rPr>
                <w:szCs w:val="21"/>
              </w:rPr>
            </w:pPr>
          </w:p>
        </w:tc>
      </w:tr>
      <w:tr w14:paraId="03C2CB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2E9629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0A76A6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8637D8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65E8FE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9B78C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DFCD3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75C4863">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EB2D62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B8B2BE7">
            <w:pPr>
              <w:spacing w:line="440" w:lineRule="exact"/>
              <w:jc w:val="center"/>
              <w:rPr>
                <w:szCs w:val="21"/>
              </w:rPr>
            </w:pPr>
          </w:p>
        </w:tc>
      </w:tr>
      <w:tr w14:paraId="25259B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705FE96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28BEAD1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3AB98D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434AF8E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ECF995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6F6E47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675C2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73F0BA1">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5C386496">
            <w:pPr>
              <w:spacing w:line="440" w:lineRule="exact"/>
              <w:jc w:val="center"/>
              <w:rPr>
                <w:szCs w:val="21"/>
              </w:rPr>
            </w:pPr>
          </w:p>
        </w:tc>
      </w:tr>
      <w:tr w14:paraId="4BB6B8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EA204F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6D693A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38230F5">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3188538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210FD0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B1B4320">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0EB4A9">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5F58A9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F6D41C9">
            <w:pPr>
              <w:spacing w:line="440" w:lineRule="exact"/>
              <w:jc w:val="center"/>
              <w:rPr>
                <w:szCs w:val="21"/>
              </w:rPr>
            </w:pPr>
          </w:p>
        </w:tc>
      </w:tr>
      <w:tr w14:paraId="56A3B2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8310C8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CDD367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46737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ECED40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E97277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D2141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6614BC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52403F4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EEC35E3">
            <w:pPr>
              <w:spacing w:line="440" w:lineRule="exact"/>
              <w:jc w:val="center"/>
              <w:rPr>
                <w:szCs w:val="21"/>
              </w:rPr>
            </w:pPr>
          </w:p>
        </w:tc>
      </w:tr>
      <w:tr w14:paraId="392C2D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0B6828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C30EED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6D33C6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EBD94C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C262E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231763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96148B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10B40B64">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E1DAC39">
            <w:pPr>
              <w:spacing w:line="440" w:lineRule="exact"/>
              <w:jc w:val="center"/>
              <w:rPr>
                <w:szCs w:val="21"/>
              </w:rPr>
            </w:pPr>
          </w:p>
        </w:tc>
      </w:tr>
      <w:tr w14:paraId="768EE1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417A66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D38D64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0EC2B529">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C0E6FF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C7BF78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32F14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42E8631">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D45291A">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B63D2E1">
            <w:pPr>
              <w:spacing w:line="440" w:lineRule="exact"/>
              <w:jc w:val="center"/>
              <w:rPr>
                <w:szCs w:val="21"/>
              </w:rPr>
            </w:pPr>
          </w:p>
        </w:tc>
      </w:tr>
      <w:tr w14:paraId="5A5791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634262D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98567F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0C7F25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6905EB8">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E639EC6">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398AF4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0572D4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060916D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68AA511">
            <w:pPr>
              <w:spacing w:line="440" w:lineRule="exact"/>
              <w:jc w:val="center"/>
              <w:rPr>
                <w:szCs w:val="21"/>
              </w:rPr>
            </w:pPr>
          </w:p>
        </w:tc>
      </w:tr>
    </w:tbl>
    <w:p w14:paraId="7E4A7517">
      <w:pPr>
        <w:topLinePunct/>
        <w:spacing w:line="440" w:lineRule="exact"/>
        <w:jc w:val="center"/>
        <w:rPr>
          <w:sz w:val="20"/>
        </w:rPr>
      </w:pPr>
    </w:p>
    <w:p w14:paraId="3B5E7941">
      <w:pPr>
        <w:topLinePunct/>
        <w:spacing w:line="440" w:lineRule="exact"/>
        <w:jc w:val="center"/>
        <w:rPr>
          <w:rFonts w:hint="eastAsia"/>
          <w:sz w:val="20"/>
        </w:rPr>
      </w:pPr>
      <w:r>
        <w:rPr>
          <w:sz w:val="20"/>
        </w:rPr>
        <w:br w:type="page"/>
      </w:r>
    </w:p>
    <w:p w14:paraId="3E6D95A8">
      <w:pPr>
        <w:pStyle w:val="4"/>
        <w:jc w:val="both"/>
      </w:pPr>
      <w:bookmarkStart w:id="355" w:name="_Toc246997114"/>
      <w:bookmarkStart w:id="356" w:name="_Toc247085889"/>
      <w:bookmarkStart w:id="357" w:name="_Toc296602616"/>
      <w:bookmarkStart w:id="358" w:name="_Toc246996371"/>
      <w:r>
        <w:t>（二）</w:t>
      </w:r>
      <w:r>
        <w:rPr>
          <w:rFonts w:hint="eastAsia"/>
          <w:lang w:eastAsia="zh-CN"/>
        </w:rPr>
        <w:t>项目负责人</w:t>
      </w:r>
      <w:r>
        <w:t>简历表</w:t>
      </w:r>
      <w:bookmarkEnd w:id="355"/>
      <w:bookmarkEnd w:id="356"/>
      <w:bookmarkEnd w:id="357"/>
      <w:bookmarkEnd w:id="358"/>
    </w:p>
    <w:p w14:paraId="49756511">
      <w:pPr>
        <w:spacing w:line="400" w:lineRule="exact"/>
        <w:ind w:firstLine="420" w:firstLineChars="200"/>
        <w:rPr>
          <w:rFonts w:hint="eastAsia" w:eastAsiaTheme="minorEastAsia"/>
          <w:lang w:eastAsia="zh-CN"/>
        </w:rPr>
      </w:pPr>
      <w:r>
        <w:rPr>
          <w:rFonts w:hint="eastAsia"/>
        </w:rPr>
        <w:t>应附注册建造师执业资格证书、身份证、</w:t>
      </w:r>
      <w:r>
        <w:rPr>
          <w:rFonts w:hint="eastAsia"/>
          <w:lang w:val="en-US" w:eastAsia="zh-CN"/>
        </w:rPr>
        <w:t>有效的安全考核B证及</w:t>
      </w:r>
      <w:r>
        <w:rPr>
          <w:rFonts w:hint="eastAsia"/>
        </w:rPr>
        <w:t>养老保险复印件</w:t>
      </w:r>
      <w:r>
        <w:rPr>
          <w:rFonts w:hint="eastAsia"/>
          <w:lang w:eastAsia="zh-CN"/>
        </w:rPr>
        <w:t>。</w:t>
      </w:r>
    </w:p>
    <w:p w14:paraId="00FC4A16">
      <w:pPr>
        <w:topLinePunct/>
        <w:spacing w:line="440" w:lineRule="exact"/>
        <w:jc w:val="center"/>
        <w:rPr>
          <w:rFonts w:eastAsia="黑体"/>
          <w:sz w:val="23"/>
          <w:szCs w:val="23"/>
        </w:rPr>
      </w:pPr>
    </w:p>
    <w:tbl>
      <w:tblPr>
        <w:tblStyle w:val="1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07638C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552DB1A">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2720DFF6">
            <w:pPr>
              <w:spacing w:line="440" w:lineRule="exact"/>
              <w:jc w:val="center"/>
              <w:rPr>
                <w:rFonts w:ascii="宋体" w:hAnsi="宋体"/>
                <w:szCs w:val="21"/>
              </w:rPr>
            </w:pPr>
          </w:p>
        </w:tc>
        <w:tc>
          <w:tcPr>
            <w:tcW w:w="927" w:type="dxa"/>
            <w:noWrap w:val="0"/>
            <w:vAlign w:val="center"/>
          </w:tcPr>
          <w:p w14:paraId="45220B9F">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5F81E8BF">
            <w:pPr>
              <w:spacing w:line="440" w:lineRule="exact"/>
              <w:jc w:val="center"/>
              <w:rPr>
                <w:rFonts w:ascii="宋体" w:hAnsi="宋体"/>
                <w:szCs w:val="21"/>
              </w:rPr>
            </w:pPr>
          </w:p>
        </w:tc>
        <w:tc>
          <w:tcPr>
            <w:tcW w:w="2130" w:type="dxa"/>
            <w:gridSpan w:val="3"/>
            <w:noWrap w:val="0"/>
            <w:vAlign w:val="center"/>
          </w:tcPr>
          <w:p w14:paraId="61E61537">
            <w:pPr>
              <w:spacing w:line="440" w:lineRule="exact"/>
              <w:jc w:val="center"/>
              <w:rPr>
                <w:rFonts w:ascii="宋体" w:hAnsi="宋体"/>
                <w:szCs w:val="21"/>
              </w:rPr>
            </w:pPr>
            <w:r>
              <w:rPr>
                <w:rFonts w:ascii="宋体" w:hAnsi="宋体"/>
                <w:szCs w:val="21"/>
              </w:rPr>
              <w:t>学历</w:t>
            </w:r>
          </w:p>
        </w:tc>
        <w:tc>
          <w:tcPr>
            <w:tcW w:w="2135" w:type="dxa"/>
            <w:noWrap w:val="0"/>
            <w:vAlign w:val="center"/>
          </w:tcPr>
          <w:p w14:paraId="69228245">
            <w:pPr>
              <w:spacing w:line="440" w:lineRule="exact"/>
              <w:rPr>
                <w:rFonts w:ascii="宋体" w:hAnsi="宋体"/>
                <w:szCs w:val="21"/>
              </w:rPr>
            </w:pPr>
          </w:p>
        </w:tc>
      </w:tr>
      <w:tr w14:paraId="3E7D92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20A54D58">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773A7559">
            <w:pPr>
              <w:spacing w:line="440" w:lineRule="exact"/>
              <w:jc w:val="center"/>
              <w:rPr>
                <w:rFonts w:ascii="宋体" w:hAnsi="宋体"/>
                <w:szCs w:val="21"/>
              </w:rPr>
            </w:pPr>
          </w:p>
        </w:tc>
        <w:tc>
          <w:tcPr>
            <w:tcW w:w="927" w:type="dxa"/>
            <w:noWrap w:val="0"/>
            <w:vAlign w:val="center"/>
          </w:tcPr>
          <w:p w14:paraId="14E31E9A">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216EC557">
            <w:pPr>
              <w:spacing w:line="440" w:lineRule="exact"/>
              <w:jc w:val="center"/>
              <w:rPr>
                <w:rFonts w:ascii="宋体" w:hAnsi="宋体"/>
                <w:szCs w:val="21"/>
              </w:rPr>
            </w:pPr>
          </w:p>
        </w:tc>
        <w:tc>
          <w:tcPr>
            <w:tcW w:w="2130" w:type="dxa"/>
            <w:gridSpan w:val="3"/>
            <w:noWrap w:val="0"/>
            <w:vAlign w:val="center"/>
          </w:tcPr>
          <w:p w14:paraId="57C7B152">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2F3CD61C">
            <w:pPr>
              <w:spacing w:line="440" w:lineRule="exact"/>
              <w:rPr>
                <w:rFonts w:ascii="宋体" w:hAnsi="宋体"/>
                <w:szCs w:val="21"/>
              </w:rPr>
            </w:pPr>
          </w:p>
        </w:tc>
      </w:tr>
      <w:tr w14:paraId="45AFCA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671F1BF1">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48A9C0F1">
            <w:pPr>
              <w:spacing w:line="440" w:lineRule="exact"/>
              <w:rPr>
                <w:rFonts w:ascii="宋体" w:hAnsi="宋体"/>
                <w:szCs w:val="21"/>
              </w:rPr>
            </w:pPr>
            <w:r>
              <w:rPr>
                <w:rFonts w:ascii="宋体" w:hAnsi="宋体"/>
                <w:szCs w:val="21"/>
              </w:rPr>
              <w:t xml:space="preserve">      年毕业于            学校        专业</w:t>
            </w:r>
          </w:p>
        </w:tc>
      </w:tr>
      <w:tr w14:paraId="35C646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449DA20B">
            <w:pPr>
              <w:spacing w:line="440" w:lineRule="exact"/>
              <w:rPr>
                <w:rFonts w:ascii="宋体" w:hAnsi="宋体"/>
                <w:szCs w:val="21"/>
              </w:rPr>
            </w:pPr>
            <w:r>
              <w:rPr>
                <w:rFonts w:ascii="宋体" w:hAnsi="宋体"/>
                <w:szCs w:val="21"/>
              </w:rPr>
              <w:t>主要工作经历</w:t>
            </w:r>
          </w:p>
        </w:tc>
      </w:tr>
      <w:tr w14:paraId="2B7B02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16EBBDCD">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5F88057E">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5F948E23">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7D863BC9">
            <w:pPr>
              <w:spacing w:line="440" w:lineRule="exact"/>
              <w:rPr>
                <w:rFonts w:ascii="宋体" w:hAnsi="宋体"/>
                <w:szCs w:val="21"/>
              </w:rPr>
            </w:pPr>
            <w:r>
              <w:rPr>
                <w:rFonts w:ascii="宋体" w:hAnsi="宋体"/>
                <w:szCs w:val="21"/>
              </w:rPr>
              <w:t>发包人及联系电话</w:t>
            </w:r>
          </w:p>
        </w:tc>
      </w:tr>
      <w:tr w14:paraId="1B521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2B0C2F6">
            <w:pPr>
              <w:spacing w:line="440" w:lineRule="exact"/>
              <w:rPr>
                <w:rFonts w:eastAsia="黑体"/>
                <w:szCs w:val="21"/>
              </w:rPr>
            </w:pPr>
          </w:p>
        </w:tc>
        <w:tc>
          <w:tcPr>
            <w:tcW w:w="3420" w:type="dxa"/>
            <w:gridSpan w:val="4"/>
            <w:noWrap w:val="0"/>
            <w:vAlign w:val="top"/>
          </w:tcPr>
          <w:p w14:paraId="4C107531">
            <w:pPr>
              <w:spacing w:line="440" w:lineRule="exact"/>
              <w:rPr>
                <w:rFonts w:eastAsia="黑体"/>
                <w:szCs w:val="21"/>
              </w:rPr>
            </w:pPr>
          </w:p>
        </w:tc>
        <w:tc>
          <w:tcPr>
            <w:tcW w:w="1261" w:type="dxa"/>
            <w:noWrap w:val="0"/>
            <w:vAlign w:val="top"/>
          </w:tcPr>
          <w:p w14:paraId="7CA24FB4">
            <w:pPr>
              <w:spacing w:line="440" w:lineRule="exact"/>
              <w:rPr>
                <w:rFonts w:eastAsia="黑体"/>
                <w:szCs w:val="21"/>
              </w:rPr>
            </w:pPr>
          </w:p>
        </w:tc>
        <w:tc>
          <w:tcPr>
            <w:tcW w:w="2296" w:type="dxa"/>
            <w:gridSpan w:val="2"/>
            <w:noWrap w:val="0"/>
            <w:vAlign w:val="top"/>
          </w:tcPr>
          <w:p w14:paraId="07BC782C">
            <w:pPr>
              <w:spacing w:line="440" w:lineRule="exact"/>
              <w:rPr>
                <w:rFonts w:eastAsia="黑体"/>
                <w:szCs w:val="21"/>
              </w:rPr>
            </w:pPr>
          </w:p>
        </w:tc>
      </w:tr>
      <w:tr w14:paraId="55C3AC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A612E3A">
            <w:pPr>
              <w:spacing w:line="440" w:lineRule="exact"/>
              <w:rPr>
                <w:rFonts w:eastAsia="黑体"/>
                <w:szCs w:val="21"/>
              </w:rPr>
            </w:pPr>
          </w:p>
        </w:tc>
        <w:tc>
          <w:tcPr>
            <w:tcW w:w="3420" w:type="dxa"/>
            <w:gridSpan w:val="4"/>
            <w:noWrap w:val="0"/>
            <w:vAlign w:val="top"/>
          </w:tcPr>
          <w:p w14:paraId="77042E6F">
            <w:pPr>
              <w:spacing w:line="440" w:lineRule="exact"/>
              <w:rPr>
                <w:rFonts w:eastAsia="黑体"/>
                <w:szCs w:val="21"/>
              </w:rPr>
            </w:pPr>
          </w:p>
        </w:tc>
        <w:tc>
          <w:tcPr>
            <w:tcW w:w="1261" w:type="dxa"/>
            <w:noWrap w:val="0"/>
            <w:vAlign w:val="top"/>
          </w:tcPr>
          <w:p w14:paraId="702E7BA7">
            <w:pPr>
              <w:spacing w:line="440" w:lineRule="exact"/>
              <w:rPr>
                <w:rFonts w:eastAsia="黑体"/>
                <w:szCs w:val="21"/>
              </w:rPr>
            </w:pPr>
          </w:p>
        </w:tc>
        <w:tc>
          <w:tcPr>
            <w:tcW w:w="2296" w:type="dxa"/>
            <w:gridSpan w:val="2"/>
            <w:noWrap w:val="0"/>
            <w:vAlign w:val="top"/>
          </w:tcPr>
          <w:p w14:paraId="68F6EAD4">
            <w:pPr>
              <w:spacing w:line="440" w:lineRule="exact"/>
              <w:rPr>
                <w:rFonts w:eastAsia="黑体"/>
                <w:szCs w:val="21"/>
              </w:rPr>
            </w:pPr>
          </w:p>
        </w:tc>
      </w:tr>
      <w:tr w14:paraId="5DF97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3050A658">
            <w:pPr>
              <w:spacing w:line="440" w:lineRule="exact"/>
              <w:rPr>
                <w:rFonts w:eastAsia="黑体"/>
                <w:szCs w:val="21"/>
              </w:rPr>
            </w:pPr>
          </w:p>
        </w:tc>
        <w:tc>
          <w:tcPr>
            <w:tcW w:w="3420" w:type="dxa"/>
            <w:gridSpan w:val="4"/>
            <w:noWrap w:val="0"/>
            <w:vAlign w:val="top"/>
          </w:tcPr>
          <w:p w14:paraId="5DC765C4">
            <w:pPr>
              <w:spacing w:line="440" w:lineRule="exact"/>
              <w:rPr>
                <w:rFonts w:eastAsia="黑体"/>
                <w:szCs w:val="21"/>
              </w:rPr>
            </w:pPr>
          </w:p>
        </w:tc>
        <w:tc>
          <w:tcPr>
            <w:tcW w:w="1261" w:type="dxa"/>
            <w:noWrap w:val="0"/>
            <w:vAlign w:val="top"/>
          </w:tcPr>
          <w:p w14:paraId="488DD104">
            <w:pPr>
              <w:spacing w:line="440" w:lineRule="exact"/>
              <w:rPr>
                <w:rFonts w:eastAsia="黑体"/>
                <w:szCs w:val="21"/>
              </w:rPr>
            </w:pPr>
          </w:p>
        </w:tc>
        <w:tc>
          <w:tcPr>
            <w:tcW w:w="2296" w:type="dxa"/>
            <w:gridSpan w:val="2"/>
            <w:noWrap w:val="0"/>
            <w:vAlign w:val="top"/>
          </w:tcPr>
          <w:p w14:paraId="75C31660">
            <w:pPr>
              <w:spacing w:line="440" w:lineRule="exact"/>
              <w:rPr>
                <w:rFonts w:eastAsia="黑体"/>
                <w:szCs w:val="21"/>
              </w:rPr>
            </w:pPr>
          </w:p>
        </w:tc>
      </w:tr>
      <w:tr w14:paraId="31809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1E6DA52">
            <w:pPr>
              <w:spacing w:line="440" w:lineRule="exact"/>
              <w:rPr>
                <w:rFonts w:eastAsia="黑体"/>
                <w:szCs w:val="21"/>
              </w:rPr>
            </w:pPr>
          </w:p>
        </w:tc>
        <w:tc>
          <w:tcPr>
            <w:tcW w:w="3420" w:type="dxa"/>
            <w:gridSpan w:val="4"/>
            <w:noWrap w:val="0"/>
            <w:vAlign w:val="top"/>
          </w:tcPr>
          <w:p w14:paraId="2702AB97">
            <w:pPr>
              <w:spacing w:line="440" w:lineRule="exact"/>
              <w:rPr>
                <w:rFonts w:eastAsia="黑体"/>
                <w:szCs w:val="21"/>
              </w:rPr>
            </w:pPr>
          </w:p>
        </w:tc>
        <w:tc>
          <w:tcPr>
            <w:tcW w:w="1261" w:type="dxa"/>
            <w:noWrap w:val="0"/>
            <w:vAlign w:val="top"/>
          </w:tcPr>
          <w:p w14:paraId="5F01AB2A">
            <w:pPr>
              <w:spacing w:line="440" w:lineRule="exact"/>
              <w:rPr>
                <w:rFonts w:eastAsia="黑体"/>
                <w:szCs w:val="21"/>
              </w:rPr>
            </w:pPr>
          </w:p>
        </w:tc>
        <w:tc>
          <w:tcPr>
            <w:tcW w:w="2296" w:type="dxa"/>
            <w:gridSpan w:val="2"/>
            <w:noWrap w:val="0"/>
            <w:vAlign w:val="top"/>
          </w:tcPr>
          <w:p w14:paraId="47FB337B">
            <w:pPr>
              <w:spacing w:line="440" w:lineRule="exact"/>
              <w:rPr>
                <w:rFonts w:eastAsia="黑体"/>
                <w:szCs w:val="21"/>
              </w:rPr>
            </w:pPr>
          </w:p>
        </w:tc>
      </w:tr>
      <w:tr w14:paraId="482D8D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C11AD29">
            <w:pPr>
              <w:spacing w:line="440" w:lineRule="exact"/>
              <w:rPr>
                <w:rFonts w:eastAsia="黑体"/>
                <w:szCs w:val="21"/>
              </w:rPr>
            </w:pPr>
          </w:p>
        </w:tc>
        <w:tc>
          <w:tcPr>
            <w:tcW w:w="3420" w:type="dxa"/>
            <w:gridSpan w:val="4"/>
            <w:noWrap w:val="0"/>
            <w:vAlign w:val="top"/>
          </w:tcPr>
          <w:p w14:paraId="7DE977B2">
            <w:pPr>
              <w:spacing w:line="440" w:lineRule="exact"/>
              <w:rPr>
                <w:rFonts w:eastAsia="黑体"/>
                <w:szCs w:val="21"/>
              </w:rPr>
            </w:pPr>
          </w:p>
        </w:tc>
        <w:tc>
          <w:tcPr>
            <w:tcW w:w="1261" w:type="dxa"/>
            <w:noWrap w:val="0"/>
            <w:vAlign w:val="top"/>
          </w:tcPr>
          <w:p w14:paraId="0B52544D">
            <w:pPr>
              <w:spacing w:line="440" w:lineRule="exact"/>
              <w:rPr>
                <w:rFonts w:eastAsia="黑体"/>
                <w:szCs w:val="21"/>
              </w:rPr>
            </w:pPr>
          </w:p>
        </w:tc>
        <w:tc>
          <w:tcPr>
            <w:tcW w:w="2296" w:type="dxa"/>
            <w:gridSpan w:val="2"/>
            <w:noWrap w:val="0"/>
            <w:vAlign w:val="top"/>
          </w:tcPr>
          <w:p w14:paraId="630A4DBE">
            <w:pPr>
              <w:spacing w:line="440" w:lineRule="exact"/>
              <w:rPr>
                <w:rFonts w:eastAsia="黑体"/>
                <w:szCs w:val="21"/>
              </w:rPr>
            </w:pPr>
          </w:p>
        </w:tc>
      </w:tr>
      <w:tr w14:paraId="19CA65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45F7F6C">
            <w:pPr>
              <w:spacing w:line="440" w:lineRule="exact"/>
              <w:rPr>
                <w:rFonts w:eastAsia="黑体"/>
                <w:szCs w:val="21"/>
              </w:rPr>
            </w:pPr>
          </w:p>
        </w:tc>
        <w:tc>
          <w:tcPr>
            <w:tcW w:w="3420" w:type="dxa"/>
            <w:gridSpan w:val="4"/>
            <w:noWrap w:val="0"/>
            <w:vAlign w:val="top"/>
          </w:tcPr>
          <w:p w14:paraId="0FE7333A">
            <w:pPr>
              <w:spacing w:line="440" w:lineRule="exact"/>
              <w:rPr>
                <w:rFonts w:eastAsia="黑体"/>
                <w:szCs w:val="21"/>
              </w:rPr>
            </w:pPr>
          </w:p>
        </w:tc>
        <w:tc>
          <w:tcPr>
            <w:tcW w:w="1261" w:type="dxa"/>
            <w:noWrap w:val="0"/>
            <w:vAlign w:val="top"/>
          </w:tcPr>
          <w:p w14:paraId="728E2763">
            <w:pPr>
              <w:spacing w:line="440" w:lineRule="exact"/>
              <w:rPr>
                <w:rFonts w:eastAsia="黑体"/>
                <w:szCs w:val="21"/>
              </w:rPr>
            </w:pPr>
          </w:p>
        </w:tc>
        <w:tc>
          <w:tcPr>
            <w:tcW w:w="2296" w:type="dxa"/>
            <w:gridSpan w:val="2"/>
            <w:noWrap w:val="0"/>
            <w:vAlign w:val="top"/>
          </w:tcPr>
          <w:p w14:paraId="70764ADA">
            <w:pPr>
              <w:spacing w:line="440" w:lineRule="exact"/>
              <w:rPr>
                <w:rFonts w:eastAsia="黑体"/>
                <w:szCs w:val="21"/>
              </w:rPr>
            </w:pPr>
          </w:p>
        </w:tc>
      </w:tr>
      <w:tr w14:paraId="558DE3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782C27F">
            <w:pPr>
              <w:spacing w:line="440" w:lineRule="exact"/>
              <w:rPr>
                <w:rFonts w:eastAsia="黑体"/>
                <w:szCs w:val="21"/>
              </w:rPr>
            </w:pPr>
          </w:p>
        </w:tc>
        <w:tc>
          <w:tcPr>
            <w:tcW w:w="3420" w:type="dxa"/>
            <w:gridSpan w:val="4"/>
            <w:noWrap w:val="0"/>
            <w:vAlign w:val="top"/>
          </w:tcPr>
          <w:p w14:paraId="1D8F74A8">
            <w:pPr>
              <w:spacing w:line="440" w:lineRule="exact"/>
              <w:rPr>
                <w:rFonts w:eastAsia="黑体"/>
                <w:szCs w:val="21"/>
              </w:rPr>
            </w:pPr>
          </w:p>
        </w:tc>
        <w:tc>
          <w:tcPr>
            <w:tcW w:w="1261" w:type="dxa"/>
            <w:noWrap w:val="0"/>
            <w:vAlign w:val="top"/>
          </w:tcPr>
          <w:p w14:paraId="2C044D5C">
            <w:pPr>
              <w:spacing w:line="440" w:lineRule="exact"/>
              <w:rPr>
                <w:rFonts w:eastAsia="黑体"/>
                <w:szCs w:val="21"/>
              </w:rPr>
            </w:pPr>
          </w:p>
        </w:tc>
        <w:tc>
          <w:tcPr>
            <w:tcW w:w="2296" w:type="dxa"/>
            <w:gridSpan w:val="2"/>
            <w:noWrap w:val="0"/>
            <w:vAlign w:val="top"/>
          </w:tcPr>
          <w:p w14:paraId="6552D3EB">
            <w:pPr>
              <w:spacing w:line="440" w:lineRule="exact"/>
              <w:rPr>
                <w:rFonts w:eastAsia="黑体"/>
                <w:szCs w:val="21"/>
              </w:rPr>
            </w:pPr>
          </w:p>
        </w:tc>
      </w:tr>
      <w:tr w14:paraId="2CE8A0B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1249F42">
            <w:pPr>
              <w:spacing w:line="440" w:lineRule="exact"/>
              <w:rPr>
                <w:rFonts w:eastAsia="黑体"/>
                <w:szCs w:val="21"/>
              </w:rPr>
            </w:pPr>
          </w:p>
        </w:tc>
        <w:tc>
          <w:tcPr>
            <w:tcW w:w="3420" w:type="dxa"/>
            <w:gridSpan w:val="4"/>
            <w:noWrap w:val="0"/>
            <w:vAlign w:val="top"/>
          </w:tcPr>
          <w:p w14:paraId="5D14DF55">
            <w:pPr>
              <w:spacing w:line="440" w:lineRule="exact"/>
              <w:rPr>
                <w:rFonts w:eastAsia="黑体"/>
                <w:szCs w:val="21"/>
              </w:rPr>
            </w:pPr>
          </w:p>
        </w:tc>
        <w:tc>
          <w:tcPr>
            <w:tcW w:w="1261" w:type="dxa"/>
            <w:noWrap w:val="0"/>
            <w:vAlign w:val="top"/>
          </w:tcPr>
          <w:p w14:paraId="6450D4F5">
            <w:pPr>
              <w:spacing w:line="440" w:lineRule="exact"/>
              <w:rPr>
                <w:rFonts w:eastAsia="黑体"/>
                <w:szCs w:val="21"/>
              </w:rPr>
            </w:pPr>
          </w:p>
        </w:tc>
        <w:tc>
          <w:tcPr>
            <w:tcW w:w="2296" w:type="dxa"/>
            <w:gridSpan w:val="2"/>
            <w:noWrap w:val="0"/>
            <w:vAlign w:val="top"/>
          </w:tcPr>
          <w:p w14:paraId="17E70065">
            <w:pPr>
              <w:spacing w:line="440" w:lineRule="exact"/>
              <w:rPr>
                <w:rFonts w:eastAsia="黑体"/>
                <w:szCs w:val="21"/>
              </w:rPr>
            </w:pPr>
          </w:p>
        </w:tc>
      </w:tr>
      <w:tr w14:paraId="4DF8A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3146395">
            <w:pPr>
              <w:spacing w:line="440" w:lineRule="exact"/>
              <w:rPr>
                <w:rFonts w:eastAsia="黑体"/>
                <w:szCs w:val="21"/>
              </w:rPr>
            </w:pPr>
          </w:p>
        </w:tc>
        <w:tc>
          <w:tcPr>
            <w:tcW w:w="3420" w:type="dxa"/>
            <w:gridSpan w:val="4"/>
            <w:noWrap w:val="0"/>
            <w:vAlign w:val="top"/>
          </w:tcPr>
          <w:p w14:paraId="5801BCB8">
            <w:pPr>
              <w:spacing w:line="440" w:lineRule="exact"/>
              <w:rPr>
                <w:rFonts w:eastAsia="黑体"/>
                <w:szCs w:val="21"/>
              </w:rPr>
            </w:pPr>
          </w:p>
        </w:tc>
        <w:tc>
          <w:tcPr>
            <w:tcW w:w="1261" w:type="dxa"/>
            <w:noWrap w:val="0"/>
            <w:vAlign w:val="top"/>
          </w:tcPr>
          <w:p w14:paraId="5849B65E">
            <w:pPr>
              <w:spacing w:line="440" w:lineRule="exact"/>
              <w:rPr>
                <w:rFonts w:eastAsia="黑体"/>
                <w:szCs w:val="21"/>
              </w:rPr>
            </w:pPr>
          </w:p>
        </w:tc>
        <w:tc>
          <w:tcPr>
            <w:tcW w:w="2296" w:type="dxa"/>
            <w:gridSpan w:val="2"/>
            <w:noWrap w:val="0"/>
            <w:vAlign w:val="top"/>
          </w:tcPr>
          <w:p w14:paraId="2DC23DE7">
            <w:pPr>
              <w:spacing w:line="440" w:lineRule="exact"/>
              <w:rPr>
                <w:rFonts w:eastAsia="黑体"/>
                <w:szCs w:val="21"/>
              </w:rPr>
            </w:pPr>
          </w:p>
        </w:tc>
      </w:tr>
      <w:tr w14:paraId="7A6D3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26A89FC">
            <w:pPr>
              <w:spacing w:line="440" w:lineRule="exact"/>
              <w:rPr>
                <w:rFonts w:eastAsia="黑体"/>
                <w:szCs w:val="21"/>
              </w:rPr>
            </w:pPr>
          </w:p>
        </w:tc>
        <w:tc>
          <w:tcPr>
            <w:tcW w:w="3420" w:type="dxa"/>
            <w:gridSpan w:val="4"/>
            <w:noWrap w:val="0"/>
            <w:vAlign w:val="top"/>
          </w:tcPr>
          <w:p w14:paraId="2451844F">
            <w:pPr>
              <w:spacing w:line="440" w:lineRule="exact"/>
              <w:rPr>
                <w:rFonts w:eastAsia="黑体"/>
                <w:szCs w:val="21"/>
              </w:rPr>
            </w:pPr>
          </w:p>
        </w:tc>
        <w:tc>
          <w:tcPr>
            <w:tcW w:w="1261" w:type="dxa"/>
            <w:noWrap w:val="0"/>
            <w:vAlign w:val="top"/>
          </w:tcPr>
          <w:p w14:paraId="1FD6B30A">
            <w:pPr>
              <w:spacing w:line="440" w:lineRule="exact"/>
              <w:rPr>
                <w:rFonts w:eastAsia="黑体"/>
                <w:szCs w:val="21"/>
              </w:rPr>
            </w:pPr>
          </w:p>
        </w:tc>
        <w:tc>
          <w:tcPr>
            <w:tcW w:w="2296" w:type="dxa"/>
            <w:gridSpan w:val="2"/>
            <w:noWrap w:val="0"/>
            <w:vAlign w:val="top"/>
          </w:tcPr>
          <w:p w14:paraId="51FF1B76">
            <w:pPr>
              <w:spacing w:line="440" w:lineRule="exact"/>
              <w:rPr>
                <w:rFonts w:eastAsia="黑体"/>
                <w:szCs w:val="21"/>
              </w:rPr>
            </w:pPr>
          </w:p>
        </w:tc>
      </w:tr>
      <w:tr w14:paraId="4F0A50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57DFAFA">
            <w:pPr>
              <w:spacing w:line="440" w:lineRule="exact"/>
              <w:rPr>
                <w:rFonts w:eastAsia="黑体"/>
                <w:szCs w:val="21"/>
              </w:rPr>
            </w:pPr>
          </w:p>
        </w:tc>
        <w:tc>
          <w:tcPr>
            <w:tcW w:w="3420" w:type="dxa"/>
            <w:gridSpan w:val="4"/>
            <w:noWrap w:val="0"/>
            <w:vAlign w:val="top"/>
          </w:tcPr>
          <w:p w14:paraId="215646C7">
            <w:pPr>
              <w:spacing w:line="440" w:lineRule="exact"/>
              <w:rPr>
                <w:rFonts w:eastAsia="黑体"/>
                <w:szCs w:val="21"/>
              </w:rPr>
            </w:pPr>
          </w:p>
        </w:tc>
        <w:tc>
          <w:tcPr>
            <w:tcW w:w="1261" w:type="dxa"/>
            <w:noWrap w:val="0"/>
            <w:vAlign w:val="top"/>
          </w:tcPr>
          <w:p w14:paraId="79266F7A">
            <w:pPr>
              <w:spacing w:line="440" w:lineRule="exact"/>
              <w:rPr>
                <w:rFonts w:eastAsia="黑体"/>
                <w:szCs w:val="21"/>
              </w:rPr>
            </w:pPr>
          </w:p>
        </w:tc>
        <w:tc>
          <w:tcPr>
            <w:tcW w:w="2296" w:type="dxa"/>
            <w:gridSpan w:val="2"/>
            <w:noWrap w:val="0"/>
            <w:vAlign w:val="top"/>
          </w:tcPr>
          <w:p w14:paraId="1ABAC5F2">
            <w:pPr>
              <w:spacing w:line="440" w:lineRule="exact"/>
              <w:rPr>
                <w:rFonts w:eastAsia="黑体"/>
                <w:szCs w:val="21"/>
              </w:rPr>
            </w:pPr>
          </w:p>
        </w:tc>
      </w:tr>
      <w:tr w14:paraId="13506A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F7908D4">
            <w:pPr>
              <w:spacing w:line="440" w:lineRule="exact"/>
              <w:rPr>
                <w:rFonts w:eastAsia="黑体"/>
                <w:szCs w:val="21"/>
              </w:rPr>
            </w:pPr>
          </w:p>
        </w:tc>
        <w:tc>
          <w:tcPr>
            <w:tcW w:w="3420" w:type="dxa"/>
            <w:gridSpan w:val="4"/>
            <w:noWrap w:val="0"/>
            <w:vAlign w:val="top"/>
          </w:tcPr>
          <w:p w14:paraId="32059D9C">
            <w:pPr>
              <w:spacing w:line="440" w:lineRule="exact"/>
              <w:rPr>
                <w:rFonts w:eastAsia="黑体"/>
                <w:szCs w:val="21"/>
              </w:rPr>
            </w:pPr>
          </w:p>
        </w:tc>
        <w:tc>
          <w:tcPr>
            <w:tcW w:w="1261" w:type="dxa"/>
            <w:noWrap w:val="0"/>
            <w:vAlign w:val="top"/>
          </w:tcPr>
          <w:p w14:paraId="28EFC4A6">
            <w:pPr>
              <w:spacing w:line="440" w:lineRule="exact"/>
              <w:rPr>
                <w:rFonts w:eastAsia="黑体"/>
                <w:szCs w:val="21"/>
              </w:rPr>
            </w:pPr>
          </w:p>
        </w:tc>
        <w:tc>
          <w:tcPr>
            <w:tcW w:w="2296" w:type="dxa"/>
            <w:gridSpan w:val="2"/>
            <w:noWrap w:val="0"/>
            <w:vAlign w:val="top"/>
          </w:tcPr>
          <w:p w14:paraId="2670EADF">
            <w:pPr>
              <w:spacing w:line="440" w:lineRule="exact"/>
              <w:rPr>
                <w:rFonts w:eastAsia="黑体"/>
                <w:szCs w:val="21"/>
              </w:rPr>
            </w:pPr>
          </w:p>
        </w:tc>
      </w:tr>
    </w:tbl>
    <w:p w14:paraId="65C92D30">
      <w:pPr>
        <w:rPr>
          <w:rFonts w:hint="default" w:ascii="Times New Roman" w:hAnsi="Times New Roman" w:cs="Times New Roman"/>
        </w:rPr>
      </w:pPr>
      <w:r>
        <w:rPr>
          <w:rFonts w:hint="default" w:ascii="Times New Roman" w:hAnsi="Times New Roman" w:cs="Times New Roman"/>
        </w:rPr>
        <w:br w:type="page"/>
      </w:r>
    </w:p>
    <w:p w14:paraId="3687B711">
      <w:pPr>
        <w:pStyle w:val="3"/>
        <w:jc w:val="center"/>
        <w:rPr>
          <w:rFonts w:hint="eastAsia"/>
        </w:rPr>
      </w:pPr>
      <w:bookmarkStart w:id="359" w:name="_Toc246997115"/>
      <w:bookmarkStart w:id="360" w:name="_Toc152045807"/>
      <w:bookmarkStart w:id="361" w:name="_Toc246996372"/>
      <w:bookmarkStart w:id="362" w:name="_Toc296602617"/>
      <w:bookmarkStart w:id="363" w:name="_Toc179632827"/>
      <w:bookmarkStart w:id="364" w:name="_Toc144974875"/>
      <w:bookmarkStart w:id="365" w:name="_Toc152042596"/>
      <w:bookmarkStart w:id="366" w:name="_Toc247085890"/>
      <w:r>
        <w:rPr>
          <w:rFonts w:hint="eastAsia"/>
          <w:lang w:val="en-US" w:eastAsia="zh-CN"/>
        </w:rPr>
        <w:t>九</w:t>
      </w:r>
      <w:r>
        <w:t>、资格审查资料</w:t>
      </w:r>
      <w:bookmarkEnd w:id="359"/>
      <w:bookmarkEnd w:id="360"/>
      <w:bookmarkEnd w:id="361"/>
      <w:bookmarkEnd w:id="362"/>
      <w:bookmarkEnd w:id="363"/>
      <w:bookmarkEnd w:id="364"/>
      <w:bookmarkEnd w:id="365"/>
      <w:bookmarkEnd w:id="366"/>
    </w:p>
    <w:p w14:paraId="35EF67FD">
      <w:pPr>
        <w:pStyle w:val="4"/>
        <w:jc w:val="both"/>
        <w:rPr>
          <w:rFonts w:hint="eastAsia"/>
        </w:rPr>
      </w:pPr>
      <w:bookmarkStart w:id="367" w:name="_Toc179632828"/>
      <w:bookmarkStart w:id="368" w:name="_Toc246997116"/>
      <w:bookmarkStart w:id="369" w:name="_Toc246996373"/>
      <w:bookmarkStart w:id="370" w:name="_Toc247085891"/>
      <w:bookmarkStart w:id="371" w:name="_Toc296602618"/>
      <w:r>
        <w:t>（一）投标人基本情况表</w:t>
      </w:r>
      <w:bookmarkEnd w:id="367"/>
      <w:bookmarkEnd w:id="368"/>
      <w:bookmarkEnd w:id="369"/>
      <w:bookmarkEnd w:id="370"/>
      <w:bookmarkEnd w:id="371"/>
    </w:p>
    <w:tbl>
      <w:tblPr>
        <w:tblStyle w:val="16"/>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765522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4D58B16">
            <w:pPr>
              <w:topLinePunct/>
              <w:spacing w:line="440" w:lineRule="exact"/>
              <w:jc w:val="center"/>
              <w:rPr>
                <w:szCs w:val="21"/>
              </w:rPr>
            </w:pPr>
            <w:r>
              <w:rPr>
                <w:szCs w:val="21"/>
              </w:rPr>
              <w:t>投标人名称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8DC88FA">
            <w:pPr>
              <w:topLinePunct/>
              <w:spacing w:line="440" w:lineRule="exact"/>
              <w:jc w:val="center"/>
              <w:rPr>
                <w:szCs w:val="21"/>
              </w:rPr>
            </w:pPr>
          </w:p>
        </w:tc>
      </w:tr>
      <w:tr w14:paraId="64180E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27BA2EE">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7868155C">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67DB0AB0">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498DD940">
            <w:pPr>
              <w:topLinePunct/>
              <w:spacing w:line="440" w:lineRule="exact"/>
              <w:jc w:val="center"/>
              <w:rPr>
                <w:szCs w:val="21"/>
              </w:rPr>
            </w:pPr>
          </w:p>
        </w:tc>
      </w:tr>
      <w:tr w14:paraId="324852B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7CE2AE52">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481E85F">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6E6A6515">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4019DDBE">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3B24B5EA">
            <w:pPr>
              <w:topLinePunct/>
              <w:spacing w:line="440" w:lineRule="exact"/>
              <w:jc w:val="center"/>
              <w:rPr>
                <w:szCs w:val="21"/>
              </w:rPr>
            </w:pPr>
          </w:p>
        </w:tc>
      </w:tr>
      <w:tr w14:paraId="019BA8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1AD071A4">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39BE4ACF">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0DC75602">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77435DC3">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134739BB">
            <w:pPr>
              <w:topLinePunct/>
              <w:spacing w:line="440" w:lineRule="exact"/>
              <w:jc w:val="center"/>
              <w:rPr>
                <w:szCs w:val="21"/>
              </w:rPr>
            </w:pPr>
          </w:p>
        </w:tc>
      </w:tr>
      <w:tr w14:paraId="76941F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60613CE">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24791BE8">
            <w:pPr>
              <w:topLinePunct/>
              <w:spacing w:line="440" w:lineRule="exact"/>
              <w:jc w:val="center"/>
              <w:rPr>
                <w:szCs w:val="21"/>
              </w:rPr>
            </w:pPr>
          </w:p>
        </w:tc>
      </w:tr>
      <w:tr w14:paraId="587A90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73C37EE">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25CDAC7">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144699FE">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78E63D3E">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0637B51">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26E5FB1D">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1ED6EA6F">
            <w:pPr>
              <w:topLinePunct/>
              <w:spacing w:line="440" w:lineRule="exact"/>
              <w:jc w:val="center"/>
              <w:rPr>
                <w:szCs w:val="21"/>
              </w:rPr>
            </w:pPr>
          </w:p>
        </w:tc>
      </w:tr>
      <w:tr w14:paraId="707422A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0EFFAE6">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1900294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7B41BE15">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2E7E2E3">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5D8E34A8">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5618A6F3">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7F986AE5">
            <w:pPr>
              <w:topLinePunct/>
              <w:spacing w:line="440" w:lineRule="exact"/>
              <w:jc w:val="center"/>
              <w:rPr>
                <w:szCs w:val="21"/>
              </w:rPr>
            </w:pPr>
          </w:p>
        </w:tc>
      </w:tr>
      <w:tr w14:paraId="773004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846503C">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A35D094">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6F8BFB0D">
            <w:pPr>
              <w:topLinePunct/>
              <w:spacing w:line="440" w:lineRule="exact"/>
              <w:ind w:firstLine="105" w:firstLineChars="50"/>
              <w:jc w:val="center"/>
              <w:rPr>
                <w:szCs w:val="21"/>
              </w:rPr>
            </w:pPr>
            <w:r>
              <w:rPr>
                <w:szCs w:val="21"/>
              </w:rPr>
              <w:t>员工总人数：</w:t>
            </w:r>
          </w:p>
        </w:tc>
      </w:tr>
      <w:tr w14:paraId="3FA51A7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351F780">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7F2B472">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13D0069E">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E40DC7E">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498F0021">
            <w:pPr>
              <w:topLinePunct/>
              <w:spacing w:line="440" w:lineRule="exact"/>
              <w:jc w:val="center"/>
              <w:rPr>
                <w:szCs w:val="21"/>
              </w:rPr>
            </w:pPr>
          </w:p>
        </w:tc>
      </w:tr>
      <w:tr w14:paraId="528464E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D2EEEED">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314AFA86">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358F6C6">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08CD0AC3">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6C7A93C6">
            <w:pPr>
              <w:topLinePunct/>
              <w:spacing w:line="440" w:lineRule="exact"/>
              <w:jc w:val="center"/>
              <w:rPr>
                <w:szCs w:val="21"/>
              </w:rPr>
            </w:pPr>
          </w:p>
        </w:tc>
      </w:tr>
      <w:tr w14:paraId="316BEB5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6746693">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27AFEF87">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2E9AC2D7">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40F50BA">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852ED9F">
            <w:pPr>
              <w:topLinePunct/>
              <w:spacing w:line="440" w:lineRule="exact"/>
              <w:jc w:val="center"/>
              <w:rPr>
                <w:szCs w:val="21"/>
              </w:rPr>
            </w:pPr>
          </w:p>
        </w:tc>
      </w:tr>
      <w:tr w14:paraId="7D3632C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0244D31">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8830CB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51AA9155">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6CA53AD5">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5CBEBB7A">
            <w:pPr>
              <w:topLinePunct/>
              <w:spacing w:line="440" w:lineRule="exact"/>
              <w:jc w:val="center"/>
              <w:rPr>
                <w:szCs w:val="21"/>
              </w:rPr>
            </w:pPr>
          </w:p>
        </w:tc>
      </w:tr>
      <w:tr w14:paraId="34D6D4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83425A7">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407B0B53">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9842B16">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06A6BAB">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30D3BC2">
            <w:pPr>
              <w:topLinePunct/>
              <w:spacing w:line="440" w:lineRule="exact"/>
              <w:jc w:val="center"/>
              <w:rPr>
                <w:szCs w:val="21"/>
              </w:rPr>
            </w:pPr>
          </w:p>
        </w:tc>
      </w:tr>
      <w:tr w14:paraId="67F8A7B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1B13DC26">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7ED81972">
            <w:pPr>
              <w:topLinePunct/>
              <w:spacing w:line="440" w:lineRule="exact"/>
              <w:jc w:val="center"/>
              <w:rPr>
                <w:szCs w:val="21"/>
              </w:rPr>
            </w:pPr>
          </w:p>
          <w:p w14:paraId="31E91EBA">
            <w:pPr>
              <w:topLinePunct/>
              <w:spacing w:line="440" w:lineRule="exact"/>
              <w:jc w:val="center"/>
              <w:rPr>
                <w:szCs w:val="21"/>
              </w:rPr>
            </w:pPr>
          </w:p>
          <w:p w14:paraId="48DF84F6">
            <w:pPr>
              <w:topLinePunct/>
              <w:spacing w:line="440" w:lineRule="exact"/>
              <w:jc w:val="center"/>
              <w:rPr>
                <w:szCs w:val="21"/>
              </w:rPr>
            </w:pPr>
          </w:p>
          <w:p w14:paraId="11F93D8F">
            <w:pPr>
              <w:topLinePunct/>
              <w:spacing w:line="440" w:lineRule="exact"/>
              <w:jc w:val="center"/>
              <w:rPr>
                <w:szCs w:val="21"/>
              </w:rPr>
            </w:pPr>
          </w:p>
          <w:p w14:paraId="3AB04EB1">
            <w:pPr>
              <w:topLinePunct/>
              <w:spacing w:line="440" w:lineRule="exact"/>
              <w:rPr>
                <w:szCs w:val="21"/>
              </w:rPr>
            </w:pPr>
          </w:p>
        </w:tc>
      </w:tr>
      <w:tr w14:paraId="12F735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B50346E">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DEFA993">
            <w:pPr>
              <w:topLinePunct/>
              <w:spacing w:line="440" w:lineRule="exact"/>
              <w:jc w:val="center"/>
              <w:rPr>
                <w:szCs w:val="21"/>
              </w:rPr>
            </w:pPr>
          </w:p>
        </w:tc>
      </w:tr>
    </w:tbl>
    <w:p w14:paraId="119D6F3C">
      <w:pPr>
        <w:rPr>
          <w:rFonts w:hint="default" w:ascii="Times New Roman" w:hAnsi="Times New Roman" w:cs="Times New Roman"/>
        </w:rPr>
      </w:pPr>
    </w:p>
    <w:p w14:paraId="42CACD59">
      <w:pPr>
        <w:rPr>
          <w:rFonts w:hint="default" w:ascii="Times New Roman" w:hAnsi="Times New Roman" w:cs="Times New Roman"/>
        </w:rPr>
      </w:pPr>
      <w:r>
        <w:rPr>
          <w:rFonts w:hint="default" w:ascii="Times New Roman" w:hAnsi="Times New Roman" w:cs="Times New Roman"/>
        </w:rPr>
        <w:br w:type="page"/>
      </w:r>
    </w:p>
    <w:bookmarkEnd w:id="345"/>
    <w:bookmarkEnd w:id="346"/>
    <w:bookmarkEnd w:id="347"/>
    <w:bookmarkEnd w:id="348"/>
    <w:bookmarkEnd w:id="349"/>
    <w:bookmarkEnd w:id="350"/>
    <w:p w14:paraId="4927BE41">
      <w:pPr>
        <w:pStyle w:val="4"/>
        <w:rPr>
          <w:rFonts w:hint="default" w:ascii="Times New Roman" w:hAnsi="Times New Roman" w:cs="Times New Roman"/>
        </w:rPr>
      </w:pPr>
      <w:bookmarkStart w:id="372" w:name="_Toc300835225"/>
      <w:bookmarkStart w:id="373" w:name="_Toc152042598"/>
      <w:bookmarkStart w:id="374" w:name="_Toc247527849"/>
      <w:bookmarkStart w:id="375" w:name="_Toc152045809"/>
      <w:bookmarkStart w:id="376" w:name="_Toc247514301"/>
      <w:bookmarkStart w:id="377" w:name="_Toc144974877"/>
      <w:r>
        <w:rPr>
          <w:rFonts w:hint="default" w:ascii="Times New Roman" w:hAnsi="Times New Roman" w:cs="Times New Roman"/>
        </w:rPr>
        <w:t>（二）近年财务状况表</w:t>
      </w:r>
      <w:bookmarkEnd w:id="372"/>
      <w:bookmarkEnd w:id="373"/>
      <w:bookmarkEnd w:id="374"/>
      <w:bookmarkEnd w:id="375"/>
      <w:bookmarkEnd w:id="376"/>
      <w:bookmarkEnd w:id="377"/>
    </w:p>
    <w:p w14:paraId="5D9819FD">
      <w:pPr>
        <w:topLinePunct/>
        <w:spacing w:line="440" w:lineRule="exact"/>
        <w:ind w:firstLine="420" w:firstLineChars="200"/>
        <w:rPr>
          <w:rFonts w:hint="eastAsia" w:ascii="Times New Roman" w:hAnsi="Times New Roman" w:eastAsiaTheme="minorEastAsia"/>
          <w:color w:val="000000"/>
          <w:lang w:eastAsia="zh-CN"/>
        </w:rPr>
      </w:pPr>
      <w:r>
        <w:rPr>
          <w:rFonts w:hint="eastAsia" w:ascii="Times New Roman" w:hAnsi="Times New Roman"/>
          <w:color w:val="000000"/>
        </w:rPr>
        <w:t>“近年财务状况表”应附经会计师事务所或审计机构审计的财务会计报表，包括资产</w:t>
      </w:r>
      <w:r>
        <w:rPr>
          <w:rFonts w:hint="eastAsia" w:ascii="Times New Roman" w:hAnsi="Times New Roman"/>
          <w:color w:val="000000"/>
          <w:lang w:val="en-US" w:eastAsia="zh-CN"/>
        </w:rPr>
        <w:t>负</w:t>
      </w:r>
      <w:r>
        <w:rPr>
          <w:rFonts w:hint="eastAsia" w:ascii="Times New Roman" w:hAnsi="Times New Roman"/>
          <w:color w:val="000000"/>
        </w:rPr>
        <w:t>债表、现金流量表、利润表和财务情况说明书的复印件，具体年份要求见投标人须知前附表</w:t>
      </w:r>
      <w:r>
        <w:rPr>
          <w:rFonts w:hint="eastAsia" w:ascii="Times New Roman" w:hAnsi="Times New Roman"/>
          <w:color w:val="000000"/>
          <w:lang w:eastAsia="zh-CN"/>
        </w:rPr>
        <w:t>。</w:t>
      </w:r>
    </w:p>
    <w:p w14:paraId="6053E3D4">
      <w:pPr>
        <w:topLinePunct/>
        <w:spacing w:line="440" w:lineRule="exact"/>
        <w:ind w:firstLine="420" w:firstLineChars="200"/>
        <w:rPr>
          <w:rFonts w:hint="default" w:ascii="Times New Roman" w:hAnsi="Times New Roman" w:eastAsia="黑体" w:cs="Times New Roman"/>
          <w:sz w:val="23"/>
          <w:szCs w:val="23"/>
        </w:rPr>
      </w:pPr>
      <w:r>
        <w:rPr>
          <w:rFonts w:hint="eastAsia" w:ascii="Times New Roman" w:hAnsi="Times New Roman"/>
          <w:color w:val="000000"/>
        </w:rPr>
        <w:t>投标人的成立时间少于投标人须知前附表规定年份的，应提供成立以来的财务状况表</w:t>
      </w:r>
      <w:r>
        <w:rPr>
          <w:rFonts w:hint="eastAsia" w:ascii="Times New Roman" w:hAnsi="Times New Roman"/>
          <w:color w:val="000000"/>
          <w:lang w:eastAsia="zh-CN"/>
        </w:rPr>
        <w:t>。</w:t>
      </w:r>
      <w:r>
        <w:rPr>
          <w:rFonts w:hint="default" w:ascii="Times New Roman" w:hAnsi="Times New Roman" w:eastAsia="黑体" w:cs="Times New Roman"/>
          <w:sz w:val="20"/>
          <w:szCs w:val="20"/>
        </w:rPr>
        <w:br w:type="page"/>
      </w:r>
    </w:p>
    <w:p w14:paraId="1F40E401">
      <w:pPr>
        <w:pStyle w:val="4"/>
        <w:rPr>
          <w:rFonts w:hint="default" w:ascii="Times New Roman" w:hAnsi="Times New Roman" w:cs="Times New Roman"/>
        </w:rPr>
      </w:pPr>
      <w:bookmarkStart w:id="378" w:name="_Toc152042599"/>
      <w:bookmarkStart w:id="379" w:name="_Toc300835226"/>
      <w:bookmarkStart w:id="380" w:name="_Toc247527850"/>
      <w:bookmarkStart w:id="381" w:name="_Toc247514302"/>
      <w:bookmarkStart w:id="382" w:name="_Toc152045810"/>
      <w:bookmarkStart w:id="383" w:name="_Toc144974878"/>
      <w:r>
        <w:rPr>
          <w:rFonts w:hint="default" w:ascii="Times New Roman" w:hAnsi="Times New Roman" w:cs="Times New Roman"/>
        </w:rPr>
        <w:t>（三）近年完成的类似项目情况表</w:t>
      </w:r>
      <w:bookmarkEnd w:id="378"/>
      <w:bookmarkEnd w:id="379"/>
      <w:bookmarkEnd w:id="380"/>
      <w:bookmarkEnd w:id="381"/>
      <w:bookmarkEnd w:id="382"/>
      <w:bookmarkEnd w:id="383"/>
    </w:p>
    <w:p w14:paraId="3C8AA72A">
      <w:pPr>
        <w:spacing w:line="440" w:lineRule="exact"/>
        <w:jc w:val="center"/>
        <w:rPr>
          <w:rFonts w:hint="default" w:ascii="Times New Roman" w:hAnsi="Times New Roman" w:eastAsia="黑体" w:cs="Times New Roman"/>
          <w:sz w:val="23"/>
          <w:szCs w:val="23"/>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39914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269" w:type="dxa"/>
            <w:noWrap w:val="0"/>
            <w:vAlign w:val="center"/>
          </w:tcPr>
          <w:p w14:paraId="38FA1C7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4473F9B2">
            <w:pPr>
              <w:topLinePunct/>
              <w:spacing w:line="440" w:lineRule="exact"/>
              <w:rPr>
                <w:rFonts w:hint="default" w:ascii="Times New Roman" w:hAnsi="Times New Roman" w:cs="Times New Roman"/>
                <w:szCs w:val="21"/>
                <w:highlight w:val="black"/>
              </w:rPr>
            </w:pPr>
          </w:p>
        </w:tc>
      </w:tr>
      <w:tr w14:paraId="52ACD3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269" w:type="dxa"/>
            <w:noWrap w:val="0"/>
            <w:vAlign w:val="center"/>
          </w:tcPr>
          <w:p w14:paraId="51C339B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77A4E41B">
            <w:pPr>
              <w:topLinePunct/>
              <w:spacing w:line="440" w:lineRule="exact"/>
              <w:rPr>
                <w:rFonts w:hint="default" w:ascii="Times New Roman" w:hAnsi="Times New Roman" w:cs="Times New Roman"/>
                <w:szCs w:val="21"/>
              </w:rPr>
            </w:pPr>
          </w:p>
        </w:tc>
      </w:tr>
      <w:tr w14:paraId="49BED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269" w:type="dxa"/>
            <w:noWrap w:val="0"/>
            <w:vAlign w:val="center"/>
          </w:tcPr>
          <w:p w14:paraId="60AE316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253" w:type="dxa"/>
            <w:noWrap w:val="0"/>
            <w:vAlign w:val="top"/>
          </w:tcPr>
          <w:p w14:paraId="3F51F16B">
            <w:pPr>
              <w:topLinePunct/>
              <w:spacing w:line="440" w:lineRule="exact"/>
              <w:rPr>
                <w:rFonts w:hint="default" w:ascii="Times New Roman" w:hAnsi="Times New Roman" w:cs="Times New Roman"/>
                <w:szCs w:val="21"/>
              </w:rPr>
            </w:pPr>
          </w:p>
        </w:tc>
      </w:tr>
      <w:tr w14:paraId="368AB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269" w:type="dxa"/>
            <w:noWrap w:val="0"/>
            <w:vAlign w:val="center"/>
          </w:tcPr>
          <w:p w14:paraId="59D2ED1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253" w:type="dxa"/>
            <w:noWrap w:val="0"/>
            <w:vAlign w:val="top"/>
          </w:tcPr>
          <w:p w14:paraId="27C06FD7">
            <w:pPr>
              <w:topLinePunct/>
              <w:spacing w:line="440" w:lineRule="exact"/>
              <w:rPr>
                <w:rFonts w:hint="default" w:ascii="Times New Roman" w:hAnsi="Times New Roman" w:cs="Times New Roman"/>
                <w:szCs w:val="21"/>
              </w:rPr>
            </w:pPr>
          </w:p>
        </w:tc>
      </w:tr>
      <w:tr w14:paraId="14315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269" w:type="dxa"/>
            <w:noWrap w:val="0"/>
            <w:vAlign w:val="center"/>
          </w:tcPr>
          <w:p w14:paraId="1325EF3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253" w:type="dxa"/>
            <w:noWrap w:val="0"/>
            <w:vAlign w:val="top"/>
          </w:tcPr>
          <w:p w14:paraId="044247B9">
            <w:pPr>
              <w:topLinePunct/>
              <w:spacing w:line="440" w:lineRule="exact"/>
              <w:rPr>
                <w:rFonts w:hint="default" w:ascii="Times New Roman" w:hAnsi="Times New Roman" w:cs="Times New Roman"/>
                <w:szCs w:val="21"/>
              </w:rPr>
            </w:pPr>
          </w:p>
        </w:tc>
      </w:tr>
      <w:tr w14:paraId="1271F9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269" w:type="dxa"/>
            <w:noWrap w:val="0"/>
            <w:vAlign w:val="center"/>
          </w:tcPr>
          <w:p w14:paraId="1FB2F1E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983C657">
            <w:pPr>
              <w:topLinePunct/>
              <w:spacing w:line="440" w:lineRule="exact"/>
              <w:rPr>
                <w:rFonts w:hint="default" w:ascii="Times New Roman" w:hAnsi="Times New Roman" w:cs="Times New Roman"/>
                <w:szCs w:val="21"/>
              </w:rPr>
            </w:pPr>
          </w:p>
        </w:tc>
      </w:tr>
      <w:tr w14:paraId="46E063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B452A4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253" w:type="dxa"/>
            <w:noWrap w:val="0"/>
            <w:vAlign w:val="top"/>
          </w:tcPr>
          <w:p w14:paraId="4D6284FC">
            <w:pPr>
              <w:topLinePunct/>
              <w:spacing w:line="440" w:lineRule="exact"/>
              <w:rPr>
                <w:rFonts w:hint="default" w:ascii="Times New Roman" w:hAnsi="Times New Roman" w:cs="Times New Roman"/>
                <w:szCs w:val="21"/>
              </w:rPr>
            </w:pPr>
          </w:p>
        </w:tc>
      </w:tr>
      <w:tr w14:paraId="595A05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269" w:type="dxa"/>
            <w:noWrap w:val="0"/>
            <w:vAlign w:val="center"/>
          </w:tcPr>
          <w:p w14:paraId="0C5C83A2">
            <w:pPr>
              <w:topLinePunct/>
              <w:spacing w:line="440" w:lineRule="exact"/>
              <w:jc w:val="center"/>
              <w:rPr>
                <w:rFonts w:hint="default" w:ascii="Times New Roman" w:hAnsi="Times New Roman" w:cs="Times New Roman"/>
                <w:szCs w:val="21"/>
              </w:rPr>
            </w:pPr>
            <w:r>
              <w:rPr>
                <w:rFonts w:hint="default" w:ascii="Times New Roman" w:hAnsi="Times New Roman" w:cs="Times New Roman"/>
              </w:rPr>
              <w:t>竣工</w:t>
            </w:r>
            <w:r>
              <w:rPr>
                <w:rFonts w:hint="default" w:ascii="Times New Roman" w:hAnsi="Times New Roman" w:cs="Times New Roman"/>
                <w:szCs w:val="21"/>
              </w:rPr>
              <w:t>日期</w:t>
            </w:r>
          </w:p>
        </w:tc>
        <w:tc>
          <w:tcPr>
            <w:tcW w:w="6253" w:type="dxa"/>
            <w:noWrap w:val="0"/>
            <w:vAlign w:val="top"/>
          </w:tcPr>
          <w:p w14:paraId="1BFF2423">
            <w:pPr>
              <w:topLinePunct/>
              <w:spacing w:line="440" w:lineRule="exact"/>
              <w:rPr>
                <w:rFonts w:hint="default" w:ascii="Times New Roman" w:hAnsi="Times New Roman" w:cs="Times New Roman"/>
                <w:szCs w:val="21"/>
              </w:rPr>
            </w:pPr>
          </w:p>
        </w:tc>
      </w:tr>
      <w:tr w14:paraId="11EA6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269" w:type="dxa"/>
            <w:noWrap w:val="0"/>
            <w:vAlign w:val="center"/>
          </w:tcPr>
          <w:p w14:paraId="6C3B473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253" w:type="dxa"/>
            <w:noWrap w:val="0"/>
            <w:vAlign w:val="top"/>
          </w:tcPr>
          <w:p w14:paraId="52048C37">
            <w:pPr>
              <w:topLinePunct/>
              <w:spacing w:line="440" w:lineRule="exact"/>
              <w:rPr>
                <w:rFonts w:hint="default" w:ascii="Times New Roman" w:hAnsi="Times New Roman" w:cs="Times New Roman"/>
                <w:szCs w:val="21"/>
              </w:rPr>
            </w:pPr>
          </w:p>
        </w:tc>
      </w:tr>
      <w:tr w14:paraId="12EA1C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269" w:type="dxa"/>
            <w:noWrap w:val="0"/>
            <w:vAlign w:val="center"/>
          </w:tcPr>
          <w:p w14:paraId="54D37C2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253" w:type="dxa"/>
            <w:noWrap w:val="0"/>
            <w:vAlign w:val="top"/>
          </w:tcPr>
          <w:p w14:paraId="21C18465">
            <w:pPr>
              <w:topLinePunct/>
              <w:spacing w:line="440" w:lineRule="exact"/>
              <w:rPr>
                <w:rFonts w:hint="default" w:ascii="Times New Roman" w:hAnsi="Times New Roman" w:cs="Times New Roman"/>
                <w:szCs w:val="21"/>
              </w:rPr>
            </w:pPr>
          </w:p>
        </w:tc>
      </w:tr>
      <w:tr w14:paraId="012B64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269" w:type="dxa"/>
            <w:noWrap w:val="0"/>
            <w:vAlign w:val="center"/>
          </w:tcPr>
          <w:p w14:paraId="0F9E72A7">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253" w:type="dxa"/>
            <w:noWrap w:val="0"/>
            <w:vAlign w:val="top"/>
          </w:tcPr>
          <w:p w14:paraId="0A35FD25">
            <w:pPr>
              <w:topLinePunct/>
              <w:spacing w:line="440" w:lineRule="exact"/>
              <w:rPr>
                <w:rFonts w:hint="default" w:ascii="Times New Roman" w:hAnsi="Times New Roman" w:cs="Times New Roman"/>
                <w:szCs w:val="21"/>
              </w:rPr>
            </w:pPr>
          </w:p>
        </w:tc>
      </w:tr>
      <w:tr w14:paraId="11EE15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269" w:type="dxa"/>
            <w:noWrap w:val="0"/>
            <w:vAlign w:val="center"/>
          </w:tcPr>
          <w:p w14:paraId="3F6C082E">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253" w:type="dxa"/>
            <w:noWrap w:val="0"/>
            <w:vAlign w:val="top"/>
          </w:tcPr>
          <w:p w14:paraId="55EA7234">
            <w:pPr>
              <w:topLinePunct/>
              <w:spacing w:line="440" w:lineRule="exact"/>
              <w:rPr>
                <w:rFonts w:hint="default" w:ascii="Times New Roman" w:hAnsi="Times New Roman" w:cs="Times New Roman"/>
                <w:szCs w:val="21"/>
              </w:rPr>
            </w:pPr>
          </w:p>
        </w:tc>
      </w:tr>
      <w:tr w14:paraId="497517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64AD1E0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424078EF">
            <w:pPr>
              <w:topLinePunct/>
              <w:spacing w:line="440" w:lineRule="exact"/>
              <w:rPr>
                <w:rFonts w:hint="default" w:ascii="Times New Roman" w:hAnsi="Times New Roman" w:cs="Times New Roman"/>
                <w:szCs w:val="21"/>
              </w:rPr>
            </w:pPr>
          </w:p>
          <w:p w14:paraId="18D260EE">
            <w:pPr>
              <w:topLinePunct/>
              <w:spacing w:line="440" w:lineRule="exact"/>
              <w:rPr>
                <w:rFonts w:hint="default" w:ascii="Times New Roman" w:hAnsi="Times New Roman" w:cs="Times New Roman"/>
                <w:szCs w:val="21"/>
              </w:rPr>
            </w:pPr>
          </w:p>
          <w:p w14:paraId="58EF3157">
            <w:pPr>
              <w:topLinePunct/>
              <w:spacing w:line="440" w:lineRule="exact"/>
              <w:rPr>
                <w:rFonts w:hint="default" w:ascii="Times New Roman" w:hAnsi="Times New Roman" w:cs="Times New Roman"/>
                <w:szCs w:val="21"/>
              </w:rPr>
            </w:pPr>
          </w:p>
          <w:p w14:paraId="007A6850">
            <w:pPr>
              <w:topLinePunct/>
              <w:spacing w:line="440" w:lineRule="exact"/>
              <w:rPr>
                <w:rFonts w:hint="default" w:ascii="Times New Roman" w:hAnsi="Times New Roman" w:cs="Times New Roman"/>
                <w:szCs w:val="21"/>
              </w:rPr>
            </w:pPr>
          </w:p>
          <w:p w14:paraId="2F6009FA">
            <w:pPr>
              <w:topLinePunct/>
              <w:spacing w:line="440" w:lineRule="exact"/>
              <w:rPr>
                <w:rFonts w:hint="default" w:ascii="Times New Roman" w:hAnsi="Times New Roman" w:cs="Times New Roman"/>
                <w:szCs w:val="21"/>
              </w:rPr>
            </w:pPr>
          </w:p>
          <w:p w14:paraId="789B991F">
            <w:pPr>
              <w:topLinePunct/>
              <w:spacing w:line="440" w:lineRule="exact"/>
              <w:rPr>
                <w:rFonts w:hint="default" w:ascii="Times New Roman" w:hAnsi="Times New Roman" w:cs="Times New Roman"/>
                <w:szCs w:val="21"/>
              </w:rPr>
            </w:pPr>
          </w:p>
          <w:p w14:paraId="20B3DB87">
            <w:pPr>
              <w:topLinePunct/>
              <w:spacing w:line="440" w:lineRule="exact"/>
              <w:rPr>
                <w:rFonts w:hint="default" w:ascii="Times New Roman" w:hAnsi="Times New Roman" w:cs="Times New Roman"/>
                <w:szCs w:val="21"/>
              </w:rPr>
            </w:pPr>
          </w:p>
        </w:tc>
      </w:tr>
      <w:tr w14:paraId="2FFB44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269" w:type="dxa"/>
            <w:noWrap w:val="0"/>
            <w:vAlign w:val="center"/>
          </w:tcPr>
          <w:p w14:paraId="334056A0">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50157E16">
            <w:pPr>
              <w:topLinePunct/>
              <w:spacing w:line="440" w:lineRule="exact"/>
              <w:rPr>
                <w:rFonts w:hint="default" w:ascii="Times New Roman" w:hAnsi="Times New Roman" w:cs="Times New Roman"/>
                <w:szCs w:val="21"/>
              </w:rPr>
            </w:pPr>
          </w:p>
        </w:tc>
      </w:tr>
    </w:tbl>
    <w:p w14:paraId="3A5F2F3C">
      <w:pPr>
        <w:spacing w:line="440" w:lineRule="exact"/>
        <w:rPr>
          <w:rFonts w:hint="default" w:ascii="Times New Roman" w:hAnsi="Times New Roman" w:cs="Times New Roman"/>
        </w:rPr>
      </w:pPr>
      <w:bookmarkStart w:id="384" w:name="_Toc152042600"/>
      <w:bookmarkStart w:id="385" w:name="_Toc247527851"/>
      <w:bookmarkStart w:id="386" w:name="_Toc247514303"/>
      <w:bookmarkStart w:id="387" w:name="_Toc152045811"/>
      <w:bookmarkStart w:id="388" w:name="_Toc144974879"/>
    </w:p>
    <w:p w14:paraId="43E919B6">
      <w:pPr>
        <w:spacing w:line="440" w:lineRule="exact"/>
        <w:rPr>
          <w:rFonts w:hint="default" w:ascii="Times New Roman" w:hAnsi="Times New Roman" w:cs="Times New Roman"/>
        </w:rPr>
      </w:pPr>
    </w:p>
    <w:p w14:paraId="0402CFB0">
      <w:pPr>
        <w:pStyle w:val="4"/>
        <w:rPr>
          <w:rFonts w:hint="default" w:ascii="Times New Roman" w:hAnsi="Times New Roman" w:cs="Times New Roman"/>
        </w:rPr>
      </w:pPr>
      <w:bookmarkStart w:id="389" w:name="_Toc300835227"/>
      <w:r>
        <w:rPr>
          <w:rFonts w:hint="default" w:ascii="Times New Roman" w:hAnsi="Times New Roman" w:cs="Times New Roman"/>
        </w:rPr>
        <w:t>（四）正在实施的和新承接的项目情况表</w:t>
      </w:r>
      <w:bookmarkEnd w:id="384"/>
      <w:bookmarkEnd w:id="385"/>
      <w:bookmarkEnd w:id="386"/>
      <w:bookmarkEnd w:id="387"/>
      <w:bookmarkEnd w:id="388"/>
      <w:bookmarkEnd w:id="389"/>
    </w:p>
    <w:p w14:paraId="705647EB">
      <w:pPr>
        <w:spacing w:line="440" w:lineRule="exact"/>
        <w:rPr>
          <w:rFonts w:hint="default" w:ascii="Times New Roman" w:hAnsi="Times New Roman" w:eastAsia="黑体" w:cs="Times New Roman"/>
          <w:sz w:val="20"/>
          <w:szCs w:val="20"/>
        </w:rPr>
      </w:pPr>
    </w:p>
    <w:tbl>
      <w:tblPr>
        <w:tblStyle w:val="16"/>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9"/>
        <w:gridCol w:w="6403"/>
      </w:tblGrid>
      <w:tr w14:paraId="345FC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2119" w:type="dxa"/>
            <w:noWrap w:val="0"/>
            <w:vAlign w:val="center"/>
          </w:tcPr>
          <w:p w14:paraId="6B5C466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403" w:type="dxa"/>
            <w:noWrap w:val="0"/>
            <w:vAlign w:val="top"/>
          </w:tcPr>
          <w:p w14:paraId="5E9CE978">
            <w:pPr>
              <w:topLinePunct/>
              <w:spacing w:line="440" w:lineRule="exact"/>
              <w:rPr>
                <w:rFonts w:hint="default" w:ascii="Times New Roman" w:hAnsi="Times New Roman" w:cs="Times New Roman"/>
                <w:szCs w:val="21"/>
              </w:rPr>
            </w:pPr>
          </w:p>
        </w:tc>
      </w:tr>
      <w:tr w14:paraId="6CCE61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2119" w:type="dxa"/>
            <w:noWrap w:val="0"/>
            <w:vAlign w:val="center"/>
          </w:tcPr>
          <w:p w14:paraId="7CDA9F1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403" w:type="dxa"/>
            <w:noWrap w:val="0"/>
            <w:vAlign w:val="top"/>
          </w:tcPr>
          <w:p w14:paraId="52226A55">
            <w:pPr>
              <w:topLinePunct/>
              <w:spacing w:line="440" w:lineRule="exact"/>
              <w:rPr>
                <w:rFonts w:hint="default" w:ascii="Times New Roman" w:hAnsi="Times New Roman" w:cs="Times New Roman"/>
                <w:szCs w:val="21"/>
              </w:rPr>
            </w:pPr>
          </w:p>
        </w:tc>
      </w:tr>
      <w:tr w14:paraId="044487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trPr>
        <w:tc>
          <w:tcPr>
            <w:tcW w:w="2119" w:type="dxa"/>
            <w:noWrap w:val="0"/>
            <w:vAlign w:val="center"/>
          </w:tcPr>
          <w:p w14:paraId="0195900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发包人名称</w:t>
            </w:r>
          </w:p>
        </w:tc>
        <w:tc>
          <w:tcPr>
            <w:tcW w:w="6403" w:type="dxa"/>
            <w:noWrap w:val="0"/>
            <w:vAlign w:val="top"/>
          </w:tcPr>
          <w:p w14:paraId="60D96C5A">
            <w:pPr>
              <w:topLinePunct/>
              <w:spacing w:line="440" w:lineRule="exact"/>
              <w:rPr>
                <w:rFonts w:hint="default" w:ascii="Times New Roman" w:hAnsi="Times New Roman" w:cs="Times New Roman"/>
                <w:szCs w:val="21"/>
              </w:rPr>
            </w:pPr>
          </w:p>
        </w:tc>
      </w:tr>
      <w:tr w14:paraId="7C92C3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8" w:hRule="atLeast"/>
        </w:trPr>
        <w:tc>
          <w:tcPr>
            <w:tcW w:w="2119" w:type="dxa"/>
            <w:noWrap w:val="0"/>
            <w:vAlign w:val="center"/>
          </w:tcPr>
          <w:p w14:paraId="5EAFE5DD">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发包人地址</w:t>
            </w:r>
          </w:p>
        </w:tc>
        <w:tc>
          <w:tcPr>
            <w:tcW w:w="6403" w:type="dxa"/>
            <w:noWrap w:val="0"/>
            <w:vAlign w:val="top"/>
          </w:tcPr>
          <w:p w14:paraId="66AD1789">
            <w:pPr>
              <w:topLinePunct/>
              <w:spacing w:line="440" w:lineRule="exact"/>
              <w:rPr>
                <w:rFonts w:hint="default" w:ascii="Times New Roman" w:hAnsi="Times New Roman" w:cs="Times New Roman"/>
                <w:szCs w:val="21"/>
              </w:rPr>
            </w:pPr>
          </w:p>
        </w:tc>
      </w:tr>
      <w:tr w14:paraId="099C4A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trPr>
        <w:tc>
          <w:tcPr>
            <w:tcW w:w="2119" w:type="dxa"/>
            <w:noWrap w:val="0"/>
            <w:vAlign w:val="center"/>
          </w:tcPr>
          <w:p w14:paraId="595B0BA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发包人电话</w:t>
            </w:r>
          </w:p>
        </w:tc>
        <w:tc>
          <w:tcPr>
            <w:tcW w:w="6403" w:type="dxa"/>
            <w:noWrap w:val="0"/>
            <w:vAlign w:val="top"/>
          </w:tcPr>
          <w:p w14:paraId="5A36788C">
            <w:pPr>
              <w:topLinePunct/>
              <w:spacing w:line="440" w:lineRule="exact"/>
              <w:rPr>
                <w:rFonts w:hint="default" w:ascii="Times New Roman" w:hAnsi="Times New Roman" w:cs="Times New Roman"/>
                <w:szCs w:val="21"/>
              </w:rPr>
            </w:pPr>
          </w:p>
        </w:tc>
      </w:tr>
      <w:tr w14:paraId="35CF66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trPr>
        <w:tc>
          <w:tcPr>
            <w:tcW w:w="2119" w:type="dxa"/>
            <w:noWrap w:val="0"/>
            <w:vAlign w:val="center"/>
          </w:tcPr>
          <w:p w14:paraId="0C2DFB8B">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签约合同价</w:t>
            </w:r>
          </w:p>
        </w:tc>
        <w:tc>
          <w:tcPr>
            <w:tcW w:w="6403" w:type="dxa"/>
            <w:noWrap w:val="0"/>
            <w:vAlign w:val="top"/>
          </w:tcPr>
          <w:p w14:paraId="7FB88A30">
            <w:pPr>
              <w:topLinePunct/>
              <w:spacing w:line="440" w:lineRule="exact"/>
              <w:rPr>
                <w:rFonts w:hint="default" w:ascii="Times New Roman" w:hAnsi="Times New Roman" w:cs="Times New Roman"/>
                <w:szCs w:val="21"/>
              </w:rPr>
            </w:pPr>
          </w:p>
        </w:tc>
      </w:tr>
      <w:tr w14:paraId="540EDD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4" w:hRule="atLeast"/>
        </w:trPr>
        <w:tc>
          <w:tcPr>
            <w:tcW w:w="2119" w:type="dxa"/>
            <w:noWrap w:val="0"/>
            <w:vAlign w:val="center"/>
          </w:tcPr>
          <w:p w14:paraId="6F95F33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开工日期</w:t>
            </w:r>
          </w:p>
        </w:tc>
        <w:tc>
          <w:tcPr>
            <w:tcW w:w="6403" w:type="dxa"/>
            <w:noWrap w:val="0"/>
            <w:vAlign w:val="top"/>
          </w:tcPr>
          <w:p w14:paraId="02D821CB">
            <w:pPr>
              <w:topLinePunct/>
              <w:spacing w:line="440" w:lineRule="exact"/>
              <w:rPr>
                <w:rFonts w:hint="default" w:ascii="Times New Roman" w:hAnsi="Times New Roman" w:cs="Times New Roman"/>
                <w:szCs w:val="21"/>
              </w:rPr>
            </w:pPr>
          </w:p>
        </w:tc>
      </w:tr>
      <w:tr w14:paraId="5CA606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7" w:hRule="atLeast"/>
        </w:trPr>
        <w:tc>
          <w:tcPr>
            <w:tcW w:w="2119" w:type="dxa"/>
            <w:noWrap w:val="0"/>
            <w:vAlign w:val="center"/>
          </w:tcPr>
          <w:p w14:paraId="539FC185">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计划</w:t>
            </w:r>
            <w:r>
              <w:rPr>
                <w:rFonts w:hint="default" w:ascii="Times New Roman" w:hAnsi="Times New Roman" w:cs="Times New Roman"/>
              </w:rPr>
              <w:t>竣工</w:t>
            </w:r>
            <w:r>
              <w:rPr>
                <w:rFonts w:hint="default" w:ascii="Times New Roman" w:hAnsi="Times New Roman" w:cs="Times New Roman"/>
                <w:szCs w:val="21"/>
              </w:rPr>
              <w:t>日期</w:t>
            </w:r>
          </w:p>
        </w:tc>
        <w:tc>
          <w:tcPr>
            <w:tcW w:w="6403" w:type="dxa"/>
            <w:noWrap w:val="0"/>
            <w:vAlign w:val="top"/>
          </w:tcPr>
          <w:p w14:paraId="6F10ED8F">
            <w:pPr>
              <w:topLinePunct/>
              <w:spacing w:line="440" w:lineRule="exact"/>
              <w:rPr>
                <w:rFonts w:hint="default" w:ascii="Times New Roman" w:hAnsi="Times New Roman" w:cs="Times New Roman"/>
                <w:szCs w:val="21"/>
              </w:rPr>
            </w:pPr>
          </w:p>
        </w:tc>
      </w:tr>
      <w:tr w14:paraId="70F84F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trPr>
        <w:tc>
          <w:tcPr>
            <w:tcW w:w="2119" w:type="dxa"/>
            <w:noWrap w:val="0"/>
            <w:vAlign w:val="center"/>
          </w:tcPr>
          <w:p w14:paraId="646F24CC">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承担的工作</w:t>
            </w:r>
          </w:p>
        </w:tc>
        <w:tc>
          <w:tcPr>
            <w:tcW w:w="6403" w:type="dxa"/>
            <w:noWrap w:val="0"/>
            <w:vAlign w:val="top"/>
          </w:tcPr>
          <w:p w14:paraId="6BDE1145">
            <w:pPr>
              <w:topLinePunct/>
              <w:spacing w:line="440" w:lineRule="exact"/>
              <w:rPr>
                <w:rFonts w:hint="default" w:ascii="Times New Roman" w:hAnsi="Times New Roman" w:cs="Times New Roman"/>
                <w:szCs w:val="21"/>
              </w:rPr>
            </w:pPr>
          </w:p>
        </w:tc>
      </w:tr>
      <w:tr w14:paraId="6CF87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2119" w:type="dxa"/>
            <w:noWrap w:val="0"/>
            <w:vAlign w:val="center"/>
          </w:tcPr>
          <w:p w14:paraId="3B49BE1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工程质量</w:t>
            </w:r>
          </w:p>
        </w:tc>
        <w:tc>
          <w:tcPr>
            <w:tcW w:w="6403" w:type="dxa"/>
            <w:noWrap w:val="0"/>
            <w:vAlign w:val="top"/>
          </w:tcPr>
          <w:p w14:paraId="39639619">
            <w:pPr>
              <w:topLinePunct/>
              <w:spacing w:line="440" w:lineRule="exact"/>
              <w:rPr>
                <w:rFonts w:hint="default" w:ascii="Times New Roman" w:hAnsi="Times New Roman" w:cs="Times New Roman"/>
                <w:szCs w:val="21"/>
              </w:rPr>
            </w:pPr>
          </w:p>
        </w:tc>
      </w:tr>
      <w:tr w14:paraId="0C1B9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2119" w:type="dxa"/>
            <w:noWrap w:val="0"/>
            <w:vAlign w:val="center"/>
          </w:tcPr>
          <w:p w14:paraId="30E87C31">
            <w:pPr>
              <w:topLinePunct/>
              <w:spacing w:line="440" w:lineRule="exact"/>
              <w:jc w:val="center"/>
              <w:rPr>
                <w:rFonts w:hint="eastAsia" w:ascii="Times New Roman" w:hAnsi="Times New Roman" w:cs="Times New Roman" w:eastAsiaTheme="minorEastAsia"/>
                <w:szCs w:val="21"/>
                <w:lang w:eastAsia="zh-CN"/>
              </w:rPr>
            </w:pPr>
            <w:r>
              <w:rPr>
                <w:rFonts w:hint="eastAsia" w:ascii="Times New Roman" w:hAnsi="Times New Roman" w:cs="Times New Roman"/>
                <w:szCs w:val="21"/>
                <w:lang w:eastAsia="zh-CN"/>
              </w:rPr>
              <w:t>项目负责人</w:t>
            </w:r>
          </w:p>
        </w:tc>
        <w:tc>
          <w:tcPr>
            <w:tcW w:w="6403" w:type="dxa"/>
            <w:noWrap w:val="0"/>
            <w:vAlign w:val="top"/>
          </w:tcPr>
          <w:p w14:paraId="04D95F1C">
            <w:pPr>
              <w:topLinePunct/>
              <w:spacing w:line="440" w:lineRule="exact"/>
              <w:rPr>
                <w:rFonts w:hint="default" w:ascii="Times New Roman" w:hAnsi="Times New Roman" w:cs="Times New Roman"/>
                <w:szCs w:val="21"/>
              </w:rPr>
            </w:pPr>
          </w:p>
        </w:tc>
      </w:tr>
      <w:tr w14:paraId="69C975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2119" w:type="dxa"/>
            <w:noWrap w:val="0"/>
            <w:vAlign w:val="center"/>
          </w:tcPr>
          <w:p w14:paraId="13B5A708">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技术负责人</w:t>
            </w:r>
          </w:p>
        </w:tc>
        <w:tc>
          <w:tcPr>
            <w:tcW w:w="6403" w:type="dxa"/>
            <w:noWrap w:val="0"/>
            <w:vAlign w:val="top"/>
          </w:tcPr>
          <w:p w14:paraId="741B43DC">
            <w:pPr>
              <w:topLinePunct/>
              <w:spacing w:line="440" w:lineRule="exact"/>
              <w:rPr>
                <w:rFonts w:hint="default" w:ascii="Times New Roman" w:hAnsi="Times New Roman" w:cs="Times New Roman"/>
                <w:szCs w:val="21"/>
              </w:rPr>
            </w:pPr>
          </w:p>
        </w:tc>
      </w:tr>
      <w:tr w14:paraId="6605E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36BFD734">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403" w:type="dxa"/>
            <w:noWrap w:val="0"/>
            <w:vAlign w:val="top"/>
          </w:tcPr>
          <w:p w14:paraId="5EFF8859">
            <w:pPr>
              <w:topLinePunct/>
              <w:spacing w:line="440" w:lineRule="exact"/>
              <w:rPr>
                <w:rFonts w:hint="default" w:ascii="Times New Roman" w:hAnsi="Times New Roman" w:cs="Times New Roman"/>
                <w:szCs w:val="21"/>
              </w:rPr>
            </w:pPr>
          </w:p>
          <w:p w14:paraId="4050AF5A">
            <w:pPr>
              <w:topLinePunct/>
              <w:spacing w:line="440" w:lineRule="exact"/>
              <w:rPr>
                <w:rFonts w:hint="default" w:ascii="Times New Roman" w:hAnsi="Times New Roman" w:cs="Times New Roman"/>
                <w:szCs w:val="21"/>
              </w:rPr>
            </w:pPr>
          </w:p>
          <w:p w14:paraId="755982F1">
            <w:pPr>
              <w:topLinePunct/>
              <w:spacing w:line="440" w:lineRule="exact"/>
              <w:rPr>
                <w:rFonts w:hint="default" w:ascii="Times New Roman" w:hAnsi="Times New Roman" w:cs="Times New Roman"/>
                <w:szCs w:val="21"/>
              </w:rPr>
            </w:pPr>
          </w:p>
          <w:p w14:paraId="10569A9C">
            <w:pPr>
              <w:topLinePunct/>
              <w:spacing w:line="440" w:lineRule="exact"/>
              <w:rPr>
                <w:rFonts w:hint="default" w:ascii="Times New Roman" w:hAnsi="Times New Roman" w:cs="Times New Roman"/>
                <w:szCs w:val="21"/>
              </w:rPr>
            </w:pPr>
          </w:p>
          <w:p w14:paraId="6DE1DDF4">
            <w:pPr>
              <w:topLinePunct/>
              <w:spacing w:line="440" w:lineRule="exact"/>
              <w:rPr>
                <w:rFonts w:hint="default" w:ascii="Times New Roman" w:hAnsi="Times New Roman" w:cs="Times New Roman"/>
                <w:szCs w:val="21"/>
              </w:rPr>
            </w:pPr>
          </w:p>
          <w:p w14:paraId="6D9FED99">
            <w:pPr>
              <w:topLinePunct/>
              <w:spacing w:line="440" w:lineRule="exact"/>
              <w:rPr>
                <w:rFonts w:hint="default" w:ascii="Times New Roman" w:hAnsi="Times New Roman" w:cs="Times New Roman"/>
                <w:szCs w:val="21"/>
              </w:rPr>
            </w:pPr>
          </w:p>
          <w:p w14:paraId="6C5764EF">
            <w:pPr>
              <w:topLinePunct/>
              <w:spacing w:line="440" w:lineRule="exact"/>
              <w:rPr>
                <w:rFonts w:hint="default" w:ascii="Times New Roman" w:hAnsi="Times New Roman" w:cs="Times New Roman"/>
                <w:szCs w:val="21"/>
              </w:rPr>
            </w:pPr>
          </w:p>
        </w:tc>
      </w:tr>
      <w:tr w14:paraId="302AF6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8" w:hRule="atLeast"/>
        </w:trPr>
        <w:tc>
          <w:tcPr>
            <w:tcW w:w="2119" w:type="dxa"/>
            <w:noWrap w:val="0"/>
            <w:vAlign w:val="center"/>
          </w:tcPr>
          <w:p w14:paraId="7BB63F6A">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403" w:type="dxa"/>
            <w:noWrap w:val="0"/>
            <w:vAlign w:val="top"/>
          </w:tcPr>
          <w:p w14:paraId="092B7970">
            <w:pPr>
              <w:topLinePunct/>
              <w:spacing w:line="440" w:lineRule="exact"/>
              <w:rPr>
                <w:rFonts w:hint="default" w:ascii="Times New Roman" w:hAnsi="Times New Roman" w:cs="Times New Roman"/>
                <w:szCs w:val="21"/>
              </w:rPr>
            </w:pPr>
          </w:p>
        </w:tc>
      </w:tr>
    </w:tbl>
    <w:p w14:paraId="08326214">
      <w:pPr>
        <w:spacing w:line="440" w:lineRule="exact"/>
        <w:rPr>
          <w:rFonts w:hint="default" w:ascii="Times New Roman" w:hAnsi="Times New Roman" w:cs="Times New Roman"/>
        </w:rPr>
      </w:pPr>
      <w:bookmarkStart w:id="390" w:name="_Toc152042601"/>
      <w:bookmarkStart w:id="391" w:name="_Toc152045812"/>
      <w:bookmarkStart w:id="392" w:name="_Toc247514304"/>
      <w:bookmarkStart w:id="393" w:name="_Toc144974880"/>
      <w:bookmarkStart w:id="394" w:name="_Toc247527852"/>
    </w:p>
    <w:p w14:paraId="237128EF">
      <w:pPr>
        <w:spacing w:line="440" w:lineRule="exact"/>
        <w:rPr>
          <w:rFonts w:hint="default" w:ascii="Times New Roman" w:hAnsi="Times New Roman" w:cs="Times New Roman"/>
        </w:rPr>
      </w:pPr>
    </w:p>
    <w:bookmarkEnd w:id="390"/>
    <w:bookmarkEnd w:id="391"/>
    <w:bookmarkEnd w:id="392"/>
    <w:bookmarkEnd w:id="393"/>
    <w:bookmarkEnd w:id="394"/>
    <w:p w14:paraId="0E4400BC">
      <w:pPr>
        <w:pStyle w:val="4"/>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3A72CCC6">
      <w:pPr>
        <w:spacing w:line="440" w:lineRule="exact"/>
        <w:ind w:firstLine="420" w:firstLineChars="200"/>
        <w:rPr>
          <w:rFonts w:hint="default" w:ascii="Times New Roman" w:hAnsi="Times New Roman" w:eastAsiaTheme="minorEastAsia"/>
          <w:color w:val="000000"/>
          <w:lang w:val="en-US" w:eastAsia="zh-CN"/>
        </w:rPr>
      </w:pPr>
      <w:r>
        <w:rPr>
          <w:rFonts w:ascii="Times New Roman" w:hAnsi="Times New Roman"/>
        </w:rPr>
        <w:t>注：</w:t>
      </w:r>
      <w:r>
        <w:rPr>
          <w:rFonts w:hint="eastAsia" w:ascii="Times New Roman" w:hAnsi="Times New Roman"/>
          <w:lang w:val="en-US" w:eastAsia="zh-CN"/>
        </w:rPr>
        <w:t>如有，按招标文件要求提供。</w:t>
      </w:r>
    </w:p>
    <w:p w14:paraId="33492EE8">
      <w:pPr>
        <w:spacing w:line="440" w:lineRule="exact"/>
        <w:rPr>
          <w:rFonts w:hint="default" w:ascii="Times New Roman" w:hAnsi="Times New Roman" w:cs="Times New Roman"/>
        </w:rPr>
      </w:pPr>
      <w:r>
        <w:rPr>
          <w:rFonts w:hint="default" w:ascii="Times New Roman" w:hAnsi="Times New Roman" w:cs="Times New Roman"/>
        </w:rPr>
        <w:br w:type="page"/>
      </w:r>
      <w:bookmarkStart w:id="395" w:name="_Toc152042602"/>
      <w:bookmarkStart w:id="396" w:name="_Toc247527853"/>
      <w:bookmarkStart w:id="397" w:name="_Toc152045813"/>
      <w:bookmarkStart w:id="398" w:name="_Toc247514305"/>
      <w:bookmarkStart w:id="399" w:name="_Toc144974881"/>
      <w:bookmarkStart w:id="400" w:name="_Toc247530162"/>
    </w:p>
    <w:bookmarkEnd w:id="395"/>
    <w:bookmarkEnd w:id="396"/>
    <w:bookmarkEnd w:id="397"/>
    <w:bookmarkEnd w:id="398"/>
    <w:bookmarkEnd w:id="399"/>
    <w:bookmarkEnd w:id="400"/>
    <w:p w14:paraId="06CAE35A">
      <w:pPr>
        <w:pStyle w:val="3"/>
        <w:jc w:val="center"/>
        <w:rPr>
          <w:rFonts w:hint="default" w:ascii="Times New Roman" w:hAnsi="Times New Roman" w:cs="Times New Roman"/>
        </w:rPr>
      </w:pPr>
      <w:bookmarkStart w:id="401" w:name="_Toc271821942"/>
      <w:bookmarkStart w:id="402" w:name="_Toc300835233"/>
      <w:r>
        <w:rPr>
          <w:rFonts w:hint="eastAsia" w:ascii="Times New Roman" w:hAnsi="Times New Roman" w:cs="Times New Roman"/>
          <w:lang w:val="en-US" w:eastAsia="zh-CN"/>
        </w:rPr>
        <w:t>十</w:t>
      </w:r>
      <w:r>
        <w:rPr>
          <w:rFonts w:hint="default" w:ascii="Times New Roman" w:hAnsi="Times New Roman" w:cs="Times New Roman"/>
        </w:rPr>
        <w:t>、其他资料</w:t>
      </w:r>
      <w:bookmarkEnd w:id="401"/>
      <w:bookmarkEnd w:id="402"/>
    </w:p>
    <w:p w14:paraId="1CC985B2">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八</w:t>
      </w:r>
      <w:r>
        <w:rPr>
          <w:rFonts w:hint="eastAsia" w:ascii="Times New Roman" w:hAnsi="Times New Roman"/>
        </w:rPr>
        <w:t>章“投标文件格式”未详尽列举，但招标文件要求或</w:t>
      </w:r>
      <w:r>
        <w:rPr>
          <w:rFonts w:hint="eastAsia" w:ascii="Times New Roman" w:hAnsi="Times New Roman"/>
          <w:lang w:val="en-US" w:eastAsia="zh-CN"/>
        </w:rPr>
        <w:t>投标人认为</w:t>
      </w:r>
      <w:r>
        <w:rPr>
          <w:rFonts w:hint="eastAsia" w:ascii="Times New Roman" w:hAnsi="Times New Roman"/>
        </w:rPr>
        <w:t>有必要提供的资料</w:t>
      </w:r>
      <w:r>
        <w:rPr>
          <w:rFonts w:hint="eastAsia" w:ascii="Times New Roman" w:hAnsi="Times New Roman"/>
          <w:lang w:eastAsia="zh-CN"/>
        </w:rPr>
        <w:t>。</w:t>
      </w:r>
    </w:p>
    <w:p w14:paraId="272C659F">
      <w:pPr>
        <w:spacing w:line="400" w:lineRule="exact"/>
        <w:rPr>
          <w:rFonts w:hint="default" w:ascii="Times New Roman" w:hAnsi="Times New Roman" w:cs="Times New Roman"/>
        </w:rPr>
      </w:pPr>
    </w:p>
    <w:p w14:paraId="01500721">
      <w:pPr>
        <w:pStyle w:val="5"/>
        <w:rPr>
          <w:rFonts w:hint="default" w:ascii="Times New Roman" w:hAnsi="Times New Roman" w:cs="Times New Roman"/>
        </w:rPr>
      </w:pPr>
    </w:p>
    <w:p w14:paraId="336C8CF5">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7129BCAF-1D74-4C14-8384-3D10072456E7}"/>
  </w:font>
  <w:font w:name="Arial">
    <w:panose1 w:val="020B0604020202020204"/>
    <w:charset w:val="01"/>
    <w:family w:val="swiss"/>
    <w:pitch w:val="default"/>
    <w:sig w:usb0="E0002EFF" w:usb1="C000785B" w:usb2="00000009" w:usb3="00000000" w:csb0="400001FF" w:csb1="FFFF0000"/>
    <w:embedRegular r:id="rId2" w:fontKey="{4879CEA6-A6E2-4F71-8A3E-93D3C9EEEF33}"/>
  </w:font>
  <w:font w:name="黑体">
    <w:panose1 w:val="02010609060101010101"/>
    <w:charset w:val="86"/>
    <w:family w:val="auto"/>
    <w:pitch w:val="default"/>
    <w:sig w:usb0="800002BF" w:usb1="38CF7CFA" w:usb2="00000016" w:usb3="00000000" w:csb0="00040001" w:csb1="00000000"/>
    <w:embedRegular r:id="rId3" w:fontKey="{AD062627-6340-4F8E-AB8B-814E8DB8C94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C5AC215E-BCE9-4776-9500-23AC1FB219F8}"/>
  </w:font>
  <w:font w:name="方正仿宋_GB2312">
    <w:panose1 w:val="02000000000000000000"/>
    <w:charset w:val="86"/>
    <w:family w:val="auto"/>
    <w:pitch w:val="default"/>
    <w:sig w:usb0="A00002BF" w:usb1="184F6CFA" w:usb2="00000012" w:usb3="00000000" w:csb0="00040001" w:csb1="00000000"/>
    <w:embedRegular r:id="rId5" w:fontKey="{A96FD5C2-414B-44E5-891C-7D0B104C7FFD}"/>
  </w:font>
  <w:font w:name="方正楷体_GB2312">
    <w:panose1 w:val="02000000000000000000"/>
    <w:charset w:val="86"/>
    <w:family w:val="auto"/>
    <w:pitch w:val="default"/>
    <w:sig w:usb0="A00002BF" w:usb1="184F6CFA" w:usb2="00000012" w:usb3="00000000" w:csb0="00040001" w:csb1="00000000"/>
    <w:embedRegular r:id="rId6" w:fontKey="{D3ACBC0E-766D-4CD0-9337-C9DF8F305E53}"/>
  </w:font>
  <w:font w:name="方正小标宋简体">
    <w:panose1 w:val="03000509000000000000"/>
    <w:charset w:val="86"/>
    <w:family w:val="auto"/>
    <w:pitch w:val="default"/>
    <w:sig w:usb0="00000001" w:usb1="080E0000" w:usb2="00000000" w:usb3="00000000" w:csb0="00040000" w:csb1="00000000"/>
    <w:embedRegular r:id="rId7" w:fontKey="{7BCF7A71-4E65-4FD4-858F-CF69B5DB6EF4}"/>
  </w:font>
  <w:font w:name="楷体">
    <w:panose1 w:val="02010609060101010101"/>
    <w:charset w:val="86"/>
    <w:family w:val="auto"/>
    <w:pitch w:val="default"/>
    <w:sig w:usb0="800002BF" w:usb1="38CF7CFA" w:usb2="00000016" w:usb3="00000000" w:csb0="00040001" w:csb1="00000000"/>
    <w:embedRegular r:id="rId8" w:fontKey="{11AF15DA-B1BB-45DF-B8E0-01E65324641B}"/>
  </w:font>
  <w:font w:name="仿宋_GB2312">
    <w:panose1 w:val="02010609030101010101"/>
    <w:charset w:val="86"/>
    <w:family w:val="modern"/>
    <w:pitch w:val="default"/>
    <w:sig w:usb0="00000001" w:usb1="080E0000" w:usb2="00000000" w:usb3="00000000" w:csb0="00040000" w:csb1="00000000"/>
    <w:embedRegular r:id="rId9" w:fontKey="{D771879E-E6C6-4A14-8794-5DAEB91196B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DF08FB">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DA36CA">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A91F09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5A91F095">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F8489">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embedTrueTypeFonts/>
  <w:saveSubsetFonts/>
  <w:bordersDoNotSurroundHeader w:val="0"/>
  <w:bordersDoNotSurroundFooter w:val="0"/>
  <w:documentProtection w:edit="readOnly" w:formatting="1"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ExZjUxNWE0NWJhMGEyZGI3ZWI3YTYxOTBiYmQ5M2YifQ=="/>
    <w:docVar w:name="KSO_WPS_MARK_KEY" w:val="9021a349-6061-4e0a-a324-1f2f7fba622a"/>
  </w:docVars>
  <w:rsids>
    <w:rsidRoot w:val="00000000"/>
    <w:rsid w:val="000A4B92"/>
    <w:rsid w:val="001669D4"/>
    <w:rsid w:val="002609D3"/>
    <w:rsid w:val="002C069E"/>
    <w:rsid w:val="00384B9C"/>
    <w:rsid w:val="0040224D"/>
    <w:rsid w:val="00733B0B"/>
    <w:rsid w:val="00764376"/>
    <w:rsid w:val="007747C6"/>
    <w:rsid w:val="00796B76"/>
    <w:rsid w:val="00850CC0"/>
    <w:rsid w:val="00B00F2F"/>
    <w:rsid w:val="00F705B3"/>
    <w:rsid w:val="00FF308E"/>
    <w:rsid w:val="011E6004"/>
    <w:rsid w:val="01216184"/>
    <w:rsid w:val="0145105E"/>
    <w:rsid w:val="019846E3"/>
    <w:rsid w:val="01CB0CDF"/>
    <w:rsid w:val="01CD2334"/>
    <w:rsid w:val="01E140D3"/>
    <w:rsid w:val="01E401D5"/>
    <w:rsid w:val="01EE1B51"/>
    <w:rsid w:val="01F16263"/>
    <w:rsid w:val="02016132"/>
    <w:rsid w:val="021D348F"/>
    <w:rsid w:val="026E5FAB"/>
    <w:rsid w:val="02775E4F"/>
    <w:rsid w:val="02983D41"/>
    <w:rsid w:val="029F2BC9"/>
    <w:rsid w:val="02A31129"/>
    <w:rsid w:val="02A46690"/>
    <w:rsid w:val="02AC508C"/>
    <w:rsid w:val="02BE075F"/>
    <w:rsid w:val="02F4317E"/>
    <w:rsid w:val="030635BF"/>
    <w:rsid w:val="0324584F"/>
    <w:rsid w:val="032652C7"/>
    <w:rsid w:val="033964DC"/>
    <w:rsid w:val="035021B2"/>
    <w:rsid w:val="03696450"/>
    <w:rsid w:val="03870314"/>
    <w:rsid w:val="038B6930"/>
    <w:rsid w:val="038E65F9"/>
    <w:rsid w:val="03C10800"/>
    <w:rsid w:val="03C96DCC"/>
    <w:rsid w:val="03CA6F85"/>
    <w:rsid w:val="03D23A10"/>
    <w:rsid w:val="03E80687"/>
    <w:rsid w:val="03FB71CD"/>
    <w:rsid w:val="040F3E66"/>
    <w:rsid w:val="04127BBC"/>
    <w:rsid w:val="041515CF"/>
    <w:rsid w:val="04210376"/>
    <w:rsid w:val="04212D24"/>
    <w:rsid w:val="042C575E"/>
    <w:rsid w:val="04382327"/>
    <w:rsid w:val="043A6EF6"/>
    <w:rsid w:val="043B4C5B"/>
    <w:rsid w:val="043F5557"/>
    <w:rsid w:val="044363A4"/>
    <w:rsid w:val="04885B47"/>
    <w:rsid w:val="04A52387"/>
    <w:rsid w:val="04B54547"/>
    <w:rsid w:val="04B62533"/>
    <w:rsid w:val="04BF3ADE"/>
    <w:rsid w:val="04C536D1"/>
    <w:rsid w:val="04C94AA8"/>
    <w:rsid w:val="04CD15E8"/>
    <w:rsid w:val="04CF4810"/>
    <w:rsid w:val="04D63FDF"/>
    <w:rsid w:val="04EB08D2"/>
    <w:rsid w:val="04EC7DA2"/>
    <w:rsid w:val="050252F6"/>
    <w:rsid w:val="055625ED"/>
    <w:rsid w:val="0572490A"/>
    <w:rsid w:val="05790131"/>
    <w:rsid w:val="057E3D65"/>
    <w:rsid w:val="058253F2"/>
    <w:rsid w:val="05872EB9"/>
    <w:rsid w:val="05933026"/>
    <w:rsid w:val="05BA17C0"/>
    <w:rsid w:val="05D9116E"/>
    <w:rsid w:val="05DD246D"/>
    <w:rsid w:val="061F0438"/>
    <w:rsid w:val="06292F58"/>
    <w:rsid w:val="063F4D83"/>
    <w:rsid w:val="064B59D4"/>
    <w:rsid w:val="06501BB5"/>
    <w:rsid w:val="06624967"/>
    <w:rsid w:val="06626753"/>
    <w:rsid w:val="06714440"/>
    <w:rsid w:val="067240CC"/>
    <w:rsid w:val="06866D3C"/>
    <w:rsid w:val="06972E4E"/>
    <w:rsid w:val="06A17EC3"/>
    <w:rsid w:val="06A31B6E"/>
    <w:rsid w:val="06A848F7"/>
    <w:rsid w:val="06B86823"/>
    <w:rsid w:val="06BF2153"/>
    <w:rsid w:val="06D375E0"/>
    <w:rsid w:val="06D9502E"/>
    <w:rsid w:val="06E329B2"/>
    <w:rsid w:val="06EB4F76"/>
    <w:rsid w:val="06ED1728"/>
    <w:rsid w:val="06F81D74"/>
    <w:rsid w:val="074267A8"/>
    <w:rsid w:val="074A7C93"/>
    <w:rsid w:val="07666E00"/>
    <w:rsid w:val="07723470"/>
    <w:rsid w:val="077965A7"/>
    <w:rsid w:val="07832BA1"/>
    <w:rsid w:val="07972327"/>
    <w:rsid w:val="07A85930"/>
    <w:rsid w:val="07D93108"/>
    <w:rsid w:val="07EE56D8"/>
    <w:rsid w:val="08071A24"/>
    <w:rsid w:val="083726B7"/>
    <w:rsid w:val="08554A0D"/>
    <w:rsid w:val="08563EE1"/>
    <w:rsid w:val="086D3DA1"/>
    <w:rsid w:val="08774BE1"/>
    <w:rsid w:val="088F5820"/>
    <w:rsid w:val="08903F11"/>
    <w:rsid w:val="08932D8F"/>
    <w:rsid w:val="08D54CEA"/>
    <w:rsid w:val="08ED571D"/>
    <w:rsid w:val="08F53A28"/>
    <w:rsid w:val="090C4E18"/>
    <w:rsid w:val="0922447E"/>
    <w:rsid w:val="0926237D"/>
    <w:rsid w:val="092D0C4C"/>
    <w:rsid w:val="09414AC1"/>
    <w:rsid w:val="096213E6"/>
    <w:rsid w:val="09641BD1"/>
    <w:rsid w:val="0967298A"/>
    <w:rsid w:val="098F4C8F"/>
    <w:rsid w:val="099027F2"/>
    <w:rsid w:val="099948FD"/>
    <w:rsid w:val="09A71C3D"/>
    <w:rsid w:val="09AD65FB"/>
    <w:rsid w:val="09AF2C22"/>
    <w:rsid w:val="09B32D8C"/>
    <w:rsid w:val="09C37FE6"/>
    <w:rsid w:val="09D236A1"/>
    <w:rsid w:val="09DB25D9"/>
    <w:rsid w:val="09DF226A"/>
    <w:rsid w:val="09EC69D2"/>
    <w:rsid w:val="09F669F9"/>
    <w:rsid w:val="0A002BCE"/>
    <w:rsid w:val="0A074254"/>
    <w:rsid w:val="0A3948CE"/>
    <w:rsid w:val="0A3B332D"/>
    <w:rsid w:val="0A466107"/>
    <w:rsid w:val="0A500304"/>
    <w:rsid w:val="0A5234C1"/>
    <w:rsid w:val="0A704DEE"/>
    <w:rsid w:val="0A8B5261"/>
    <w:rsid w:val="0A8E5075"/>
    <w:rsid w:val="0AA913FB"/>
    <w:rsid w:val="0AAE6B76"/>
    <w:rsid w:val="0AB37F43"/>
    <w:rsid w:val="0AB930A2"/>
    <w:rsid w:val="0ACA439A"/>
    <w:rsid w:val="0ADD0DF0"/>
    <w:rsid w:val="0AEB40E8"/>
    <w:rsid w:val="0B29130F"/>
    <w:rsid w:val="0B416906"/>
    <w:rsid w:val="0B5D1C2A"/>
    <w:rsid w:val="0B684BE8"/>
    <w:rsid w:val="0B685C3C"/>
    <w:rsid w:val="0B6D6042"/>
    <w:rsid w:val="0B7202E7"/>
    <w:rsid w:val="0B923CFA"/>
    <w:rsid w:val="0B991D46"/>
    <w:rsid w:val="0B9F686D"/>
    <w:rsid w:val="0BC4008C"/>
    <w:rsid w:val="0BDE31B0"/>
    <w:rsid w:val="0BE557DC"/>
    <w:rsid w:val="0C110CA2"/>
    <w:rsid w:val="0C30706F"/>
    <w:rsid w:val="0C4072B2"/>
    <w:rsid w:val="0C743400"/>
    <w:rsid w:val="0C773477"/>
    <w:rsid w:val="0C970F7A"/>
    <w:rsid w:val="0C9F113B"/>
    <w:rsid w:val="0CD3448B"/>
    <w:rsid w:val="0CF072F3"/>
    <w:rsid w:val="0D1D3A97"/>
    <w:rsid w:val="0D215336"/>
    <w:rsid w:val="0D2466BD"/>
    <w:rsid w:val="0D3A1668"/>
    <w:rsid w:val="0D5C2246"/>
    <w:rsid w:val="0D6A3C45"/>
    <w:rsid w:val="0D7F3B4D"/>
    <w:rsid w:val="0D837D9E"/>
    <w:rsid w:val="0D84383E"/>
    <w:rsid w:val="0DA13B17"/>
    <w:rsid w:val="0DA277FF"/>
    <w:rsid w:val="0DB8057F"/>
    <w:rsid w:val="0DC57869"/>
    <w:rsid w:val="0DC9777B"/>
    <w:rsid w:val="0DD331D8"/>
    <w:rsid w:val="0DDB677F"/>
    <w:rsid w:val="0E093A81"/>
    <w:rsid w:val="0E1201C4"/>
    <w:rsid w:val="0E3C08A3"/>
    <w:rsid w:val="0E43752E"/>
    <w:rsid w:val="0E626142"/>
    <w:rsid w:val="0E6D3EE4"/>
    <w:rsid w:val="0E8168AC"/>
    <w:rsid w:val="0E9601D9"/>
    <w:rsid w:val="0E981627"/>
    <w:rsid w:val="0EB66146"/>
    <w:rsid w:val="0EDF4D5E"/>
    <w:rsid w:val="0EF860F0"/>
    <w:rsid w:val="0F024085"/>
    <w:rsid w:val="0F1438EF"/>
    <w:rsid w:val="0F463825"/>
    <w:rsid w:val="0F4B0F6A"/>
    <w:rsid w:val="0F575798"/>
    <w:rsid w:val="0F5F5CB1"/>
    <w:rsid w:val="0F6D192D"/>
    <w:rsid w:val="0F6E4AA0"/>
    <w:rsid w:val="0F886069"/>
    <w:rsid w:val="0F9C6EF5"/>
    <w:rsid w:val="0FA819A2"/>
    <w:rsid w:val="0FCA08C0"/>
    <w:rsid w:val="0FCA14B6"/>
    <w:rsid w:val="0FE42DE8"/>
    <w:rsid w:val="0FF84BE0"/>
    <w:rsid w:val="0FFA6EBC"/>
    <w:rsid w:val="0FFB5096"/>
    <w:rsid w:val="101038A7"/>
    <w:rsid w:val="101E2D38"/>
    <w:rsid w:val="10446D2F"/>
    <w:rsid w:val="104957CA"/>
    <w:rsid w:val="104D6EF3"/>
    <w:rsid w:val="105C0433"/>
    <w:rsid w:val="1069417C"/>
    <w:rsid w:val="106C1E4B"/>
    <w:rsid w:val="108A23D3"/>
    <w:rsid w:val="1095135B"/>
    <w:rsid w:val="10D34B99"/>
    <w:rsid w:val="10D35E97"/>
    <w:rsid w:val="10DE52EC"/>
    <w:rsid w:val="10F66AD9"/>
    <w:rsid w:val="11114551"/>
    <w:rsid w:val="112269D1"/>
    <w:rsid w:val="11275303"/>
    <w:rsid w:val="11356135"/>
    <w:rsid w:val="11360C84"/>
    <w:rsid w:val="11586695"/>
    <w:rsid w:val="11800917"/>
    <w:rsid w:val="118955AD"/>
    <w:rsid w:val="11970BCB"/>
    <w:rsid w:val="1197226B"/>
    <w:rsid w:val="119B17DF"/>
    <w:rsid w:val="11AA0839"/>
    <w:rsid w:val="11C42470"/>
    <w:rsid w:val="11C71895"/>
    <w:rsid w:val="11CD444A"/>
    <w:rsid w:val="11E2334D"/>
    <w:rsid w:val="11F058CE"/>
    <w:rsid w:val="11FC3F3B"/>
    <w:rsid w:val="124D3BAD"/>
    <w:rsid w:val="125A52C4"/>
    <w:rsid w:val="12655D96"/>
    <w:rsid w:val="128E3C38"/>
    <w:rsid w:val="12A10CC7"/>
    <w:rsid w:val="12B14389"/>
    <w:rsid w:val="12BF2922"/>
    <w:rsid w:val="12C942C8"/>
    <w:rsid w:val="12D0084B"/>
    <w:rsid w:val="12DC5F5E"/>
    <w:rsid w:val="12DC7F8C"/>
    <w:rsid w:val="12E82A0B"/>
    <w:rsid w:val="131873D2"/>
    <w:rsid w:val="13274F9C"/>
    <w:rsid w:val="13417410"/>
    <w:rsid w:val="134A448A"/>
    <w:rsid w:val="134F7EA7"/>
    <w:rsid w:val="135107A8"/>
    <w:rsid w:val="136066CF"/>
    <w:rsid w:val="13657E31"/>
    <w:rsid w:val="136C3340"/>
    <w:rsid w:val="13710699"/>
    <w:rsid w:val="1387094F"/>
    <w:rsid w:val="139C08EB"/>
    <w:rsid w:val="13D35238"/>
    <w:rsid w:val="13D81B1F"/>
    <w:rsid w:val="13FD3CDB"/>
    <w:rsid w:val="14061B66"/>
    <w:rsid w:val="142B5FE2"/>
    <w:rsid w:val="14542872"/>
    <w:rsid w:val="147E2423"/>
    <w:rsid w:val="1487273A"/>
    <w:rsid w:val="148C28CB"/>
    <w:rsid w:val="14944440"/>
    <w:rsid w:val="149C4198"/>
    <w:rsid w:val="14A059A0"/>
    <w:rsid w:val="14B46A8F"/>
    <w:rsid w:val="14B97B05"/>
    <w:rsid w:val="14CD31B9"/>
    <w:rsid w:val="14DA6BBE"/>
    <w:rsid w:val="14E67563"/>
    <w:rsid w:val="14F926F4"/>
    <w:rsid w:val="15021B62"/>
    <w:rsid w:val="150A21BA"/>
    <w:rsid w:val="151779D1"/>
    <w:rsid w:val="1522437E"/>
    <w:rsid w:val="15283931"/>
    <w:rsid w:val="152F3C74"/>
    <w:rsid w:val="15382F40"/>
    <w:rsid w:val="158374C1"/>
    <w:rsid w:val="15901D56"/>
    <w:rsid w:val="15A62ECC"/>
    <w:rsid w:val="15B14179"/>
    <w:rsid w:val="15C516BD"/>
    <w:rsid w:val="1609105D"/>
    <w:rsid w:val="161F262E"/>
    <w:rsid w:val="162C356B"/>
    <w:rsid w:val="166266B1"/>
    <w:rsid w:val="16C724D4"/>
    <w:rsid w:val="16D411E7"/>
    <w:rsid w:val="16D52CED"/>
    <w:rsid w:val="16ED0036"/>
    <w:rsid w:val="170756D4"/>
    <w:rsid w:val="170F4587"/>
    <w:rsid w:val="17272C4C"/>
    <w:rsid w:val="173338FA"/>
    <w:rsid w:val="17507255"/>
    <w:rsid w:val="176115DC"/>
    <w:rsid w:val="176D7525"/>
    <w:rsid w:val="17824660"/>
    <w:rsid w:val="178F2FF8"/>
    <w:rsid w:val="179121FE"/>
    <w:rsid w:val="17915931"/>
    <w:rsid w:val="17C41ABF"/>
    <w:rsid w:val="18121892"/>
    <w:rsid w:val="18167A61"/>
    <w:rsid w:val="18175D56"/>
    <w:rsid w:val="18276B10"/>
    <w:rsid w:val="1871170C"/>
    <w:rsid w:val="18975082"/>
    <w:rsid w:val="189B5F22"/>
    <w:rsid w:val="18A70256"/>
    <w:rsid w:val="18A944F8"/>
    <w:rsid w:val="18B73074"/>
    <w:rsid w:val="18DA76F1"/>
    <w:rsid w:val="19034C2D"/>
    <w:rsid w:val="190D676E"/>
    <w:rsid w:val="1916127C"/>
    <w:rsid w:val="193D465D"/>
    <w:rsid w:val="193D4E12"/>
    <w:rsid w:val="194C1B1C"/>
    <w:rsid w:val="196C6238"/>
    <w:rsid w:val="198A59D6"/>
    <w:rsid w:val="199D1576"/>
    <w:rsid w:val="19A73D74"/>
    <w:rsid w:val="19AA5416"/>
    <w:rsid w:val="19CE7FF6"/>
    <w:rsid w:val="19D70C6D"/>
    <w:rsid w:val="19E2271F"/>
    <w:rsid w:val="19FD0204"/>
    <w:rsid w:val="1A075570"/>
    <w:rsid w:val="1A1C623A"/>
    <w:rsid w:val="1A270D5F"/>
    <w:rsid w:val="1A450AE4"/>
    <w:rsid w:val="1A4D4CED"/>
    <w:rsid w:val="1A797469"/>
    <w:rsid w:val="1A8850B8"/>
    <w:rsid w:val="1A9B5FFB"/>
    <w:rsid w:val="1AA066C8"/>
    <w:rsid w:val="1ADB0B95"/>
    <w:rsid w:val="1AF079B3"/>
    <w:rsid w:val="1AF80851"/>
    <w:rsid w:val="1B0361BC"/>
    <w:rsid w:val="1B116412"/>
    <w:rsid w:val="1B17631C"/>
    <w:rsid w:val="1B262D26"/>
    <w:rsid w:val="1B2670F4"/>
    <w:rsid w:val="1B2D1E19"/>
    <w:rsid w:val="1B2D7FD6"/>
    <w:rsid w:val="1B3A5220"/>
    <w:rsid w:val="1B3B258E"/>
    <w:rsid w:val="1B46065D"/>
    <w:rsid w:val="1B652C95"/>
    <w:rsid w:val="1B70155F"/>
    <w:rsid w:val="1B721452"/>
    <w:rsid w:val="1B723039"/>
    <w:rsid w:val="1B7700FA"/>
    <w:rsid w:val="1B770817"/>
    <w:rsid w:val="1B894EBC"/>
    <w:rsid w:val="1B8C1172"/>
    <w:rsid w:val="1B9269B7"/>
    <w:rsid w:val="1BB12BB2"/>
    <w:rsid w:val="1BCE49E9"/>
    <w:rsid w:val="1BD12722"/>
    <w:rsid w:val="1BD15865"/>
    <w:rsid w:val="1BFE7E24"/>
    <w:rsid w:val="1C100B6A"/>
    <w:rsid w:val="1C2075D6"/>
    <w:rsid w:val="1C2B6CB4"/>
    <w:rsid w:val="1C3774BA"/>
    <w:rsid w:val="1C5D5F8B"/>
    <w:rsid w:val="1C6E241C"/>
    <w:rsid w:val="1C9755BD"/>
    <w:rsid w:val="1C9D24FF"/>
    <w:rsid w:val="1CB07DF9"/>
    <w:rsid w:val="1CC3681B"/>
    <w:rsid w:val="1CE22A9B"/>
    <w:rsid w:val="1CF251D3"/>
    <w:rsid w:val="1CFF3217"/>
    <w:rsid w:val="1D0C3E62"/>
    <w:rsid w:val="1D1207F7"/>
    <w:rsid w:val="1D1D0D81"/>
    <w:rsid w:val="1D3D78C3"/>
    <w:rsid w:val="1D5835F0"/>
    <w:rsid w:val="1D8C5045"/>
    <w:rsid w:val="1D9244F8"/>
    <w:rsid w:val="1D931CEA"/>
    <w:rsid w:val="1DC177D9"/>
    <w:rsid w:val="1DDB31AC"/>
    <w:rsid w:val="1E1660C5"/>
    <w:rsid w:val="1E1A236E"/>
    <w:rsid w:val="1E225BB3"/>
    <w:rsid w:val="1E2A6113"/>
    <w:rsid w:val="1E2D212B"/>
    <w:rsid w:val="1E2E6E13"/>
    <w:rsid w:val="1E32182A"/>
    <w:rsid w:val="1E5A61EE"/>
    <w:rsid w:val="1E713E2F"/>
    <w:rsid w:val="1EA573D8"/>
    <w:rsid w:val="1EB0513B"/>
    <w:rsid w:val="1EB72F76"/>
    <w:rsid w:val="1EE36B2C"/>
    <w:rsid w:val="1EF342CB"/>
    <w:rsid w:val="1F020A44"/>
    <w:rsid w:val="1F041BC7"/>
    <w:rsid w:val="1F127B09"/>
    <w:rsid w:val="1F1542E6"/>
    <w:rsid w:val="1F2354C8"/>
    <w:rsid w:val="1F2D5E39"/>
    <w:rsid w:val="1F36160E"/>
    <w:rsid w:val="1F3D58D3"/>
    <w:rsid w:val="1F3F33F9"/>
    <w:rsid w:val="1F4D3D68"/>
    <w:rsid w:val="1F5D00BF"/>
    <w:rsid w:val="1F640255"/>
    <w:rsid w:val="1F671677"/>
    <w:rsid w:val="1F722047"/>
    <w:rsid w:val="1F904945"/>
    <w:rsid w:val="1FAA6A2E"/>
    <w:rsid w:val="1FC11059"/>
    <w:rsid w:val="1FDC7161"/>
    <w:rsid w:val="1FE570E2"/>
    <w:rsid w:val="1FE7673E"/>
    <w:rsid w:val="200E38F2"/>
    <w:rsid w:val="201E585F"/>
    <w:rsid w:val="203C50A6"/>
    <w:rsid w:val="2049266D"/>
    <w:rsid w:val="20534B67"/>
    <w:rsid w:val="20557DC5"/>
    <w:rsid w:val="205A5C16"/>
    <w:rsid w:val="205B7D6A"/>
    <w:rsid w:val="205C2878"/>
    <w:rsid w:val="207C33EE"/>
    <w:rsid w:val="2081342E"/>
    <w:rsid w:val="208539D6"/>
    <w:rsid w:val="208D63E6"/>
    <w:rsid w:val="209740BF"/>
    <w:rsid w:val="2099242E"/>
    <w:rsid w:val="20B0411F"/>
    <w:rsid w:val="20CC6F0F"/>
    <w:rsid w:val="20D658C9"/>
    <w:rsid w:val="20D95B5B"/>
    <w:rsid w:val="20DC2416"/>
    <w:rsid w:val="20F22231"/>
    <w:rsid w:val="21015C26"/>
    <w:rsid w:val="21121083"/>
    <w:rsid w:val="211518DD"/>
    <w:rsid w:val="212B2F31"/>
    <w:rsid w:val="21327DB2"/>
    <w:rsid w:val="213D6756"/>
    <w:rsid w:val="213D7BD8"/>
    <w:rsid w:val="214C4EC5"/>
    <w:rsid w:val="2153567F"/>
    <w:rsid w:val="21592826"/>
    <w:rsid w:val="217422B6"/>
    <w:rsid w:val="2188758A"/>
    <w:rsid w:val="219566E4"/>
    <w:rsid w:val="21A61686"/>
    <w:rsid w:val="21C13A32"/>
    <w:rsid w:val="21CF1595"/>
    <w:rsid w:val="21D0113C"/>
    <w:rsid w:val="21F42BC1"/>
    <w:rsid w:val="22270787"/>
    <w:rsid w:val="224D73DD"/>
    <w:rsid w:val="22592601"/>
    <w:rsid w:val="22603DB2"/>
    <w:rsid w:val="226D7B83"/>
    <w:rsid w:val="2293123C"/>
    <w:rsid w:val="22A570EC"/>
    <w:rsid w:val="23232A0A"/>
    <w:rsid w:val="232E56FD"/>
    <w:rsid w:val="23311BED"/>
    <w:rsid w:val="233D40F4"/>
    <w:rsid w:val="233F5F96"/>
    <w:rsid w:val="235F406A"/>
    <w:rsid w:val="235F4D23"/>
    <w:rsid w:val="236D4028"/>
    <w:rsid w:val="238A4DFC"/>
    <w:rsid w:val="24226CC5"/>
    <w:rsid w:val="24312A4A"/>
    <w:rsid w:val="24424F22"/>
    <w:rsid w:val="244A5E9A"/>
    <w:rsid w:val="244C4BB8"/>
    <w:rsid w:val="24691193"/>
    <w:rsid w:val="246C3A46"/>
    <w:rsid w:val="247152E7"/>
    <w:rsid w:val="247B2273"/>
    <w:rsid w:val="24F86524"/>
    <w:rsid w:val="24FF7718"/>
    <w:rsid w:val="251A7612"/>
    <w:rsid w:val="25237A22"/>
    <w:rsid w:val="252E0774"/>
    <w:rsid w:val="25481BCE"/>
    <w:rsid w:val="256E1E26"/>
    <w:rsid w:val="25812F8D"/>
    <w:rsid w:val="25814DB7"/>
    <w:rsid w:val="25824959"/>
    <w:rsid w:val="25916979"/>
    <w:rsid w:val="25987A23"/>
    <w:rsid w:val="25A20B86"/>
    <w:rsid w:val="25B6018D"/>
    <w:rsid w:val="25B85CB3"/>
    <w:rsid w:val="25BC46FF"/>
    <w:rsid w:val="25BF23A7"/>
    <w:rsid w:val="25C517A2"/>
    <w:rsid w:val="25C70F00"/>
    <w:rsid w:val="25C805EC"/>
    <w:rsid w:val="25EF3DCB"/>
    <w:rsid w:val="25EF41EA"/>
    <w:rsid w:val="25F5789E"/>
    <w:rsid w:val="25FD6A72"/>
    <w:rsid w:val="2608561B"/>
    <w:rsid w:val="26196938"/>
    <w:rsid w:val="26261861"/>
    <w:rsid w:val="26382AAC"/>
    <w:rsid w:val="26506FAD"/>
    <w:rsid w:val="26656277"/>
    <w:rsid w:val="26663117"/>
    <w:rsid w:val="267771CA"/>
    <w:rsid w:val="26807144"/>
    <w:rsid w:val="268A362E"/>
    <w:rsid w:val="269560EE"/>
    <w:rsid w:val="26AF686C"/>
    <w:rsid w:val="26CA60FC"/>
    <w:rsid w:val="26D16018"/>
    <w:rsid w:val="26DB3228"/>
    <w:rsid w:val="26DF6074"/>
    <w:rsid w:val="26E05716"/>
    <w:rsid w:val="26FE679C"/>
    <w:rsid w:val="27274A6B"/>
    <w:rsid w:val="272D447F"/>
    <w:rsid w:val="27301EDB"/>
    <w:rsid w:val="27421CD9"/>
    <w:rsid w:val="27453115"/>
    <w:rsid w:val="27506A4B"/>
    <w:rsid w:val="276C029F"/>
    <w:rsid w:val="27867E0A"/>
    <w:rsid w:val="27982DD4"/>
    <w:rsid w:val="27AA0490"/>
    <w:rsid w:val="27DD09CE"/>
    <w:rsid w:val="27EC553C"/>
    <w:rsid w:val="280C4BFC"/>
    <w:rsid w:val="2813394B"/>
    <w:rsid w:val="281C1F63"/>
    <w:rsid w:val="281C54D8"/>
    <w:rsid w:val="28211030"/>
    <w:rsid w:val="2828561F"/>
    <w:rsid w:val="283610D5"/>
    <w:rsid w:val="285F5293"/>
    <w:rsid w:val="28622D71"/>
    <w:rsid w:val="286E69FD"/>
    <w:rsid w:val="28792268"/>
    <w:rsid w:val="28AF0F35"/>
    <w:rsid w:val="28C56178"/>
    <w:rsid w:val="28FA546B"/>
    <w:rsid w:val="28FE025E"/>
    <w:rsid w:val="290527F5"/>
    <w:rsid w:val="29245F1A"/>
    <w:rsid w:val="29366359"/>
    <w:rsid w:val="29586D7A"/>
    <w:rsid w:val="29772B51"/>
    <w:rsid w:val="29791894"/>
    <w:rsid w:val="2984235F"/>
    <w:rsid w:val="29967FD2"/>
    <w:rsid w:val="29A52D8F"/>
    <w:rsid w:val="29C56C3A"/>
    <w:rsid w:val="29D85278"/>
    <w:rsid w:val="29E1380C"/>
    <w:rsid w:val="29E85046"/>
    <w:rsid w:val="29EE439A"/>
    <w:rsid w:val="2A017BFD"/>
    <w:rsid w:val="2A0A71F8"/>
    <w:rsid w:val="2A241B69"/>
    <w:rsid w:val="2A4913A2"/>
    <w:rsid w:val="2A9154D8"/>
    <w:rsid w:val="2AA04C57"/>
    <w:rsid w:val="2ABC7FF4"/>
    <w:rsid w:val="2AD750C3"/>
    <w:rsid w:val="2AE77D08"/>
    <w:rsid w:val="2AEA3011"/>
    <w:rsid w:val="2B252D72"/>
    <w:rsid w:val="2B2A2635"/>
    <w:rsid w:val="2B3B2204"/>
    <w:rsid w:val="2B3E0375"/>
    <w:rsid w:val="2B492499"/>
    <w:rsid w:val="2B652A8D"/>
    <w:rsid w:val="2B6C55DB"/>
    <w:rsid w:val="2B8613CE"/>
    <w:rsid w:val="2B8D5640"/>
    <w:rsid w:val="2BA17168"/>
    <w:rsid w:val="2BDE6601"/>
    <w:rsid w:val="2BF4029C"/>
    <w:rsid w:val="2BF65788"/>
    <w:rsid w:val="2C1C6937"/>
    <w:rsid w:val="2C202757"/>
    <w:rsid w:val="2C22657D"/>
    <w:rsid w:val="2C270D43"/>
    <w:rsid w:val="2C6436A6"/>
    <w:rsid w:val="2C7A2A8F"/>
    <w:rsid w:val="2C842D93"/>
    <w:rsid w:val="2C9023A5"/>
    <w:rsid w:val="2C937549"/>
    <w:rsid w:val="2C9D5C03"/>
    <w:rsid w:val="2C9D6A04"/>
    <w:rsid w:val="2CB62598"/>
    <w:rsid w:val="2CBC136A"/>
    <w:rsid w:val="2CD47877"/>
    <w:rsid w:val="2CFE607B"/>
    <w:rsid w:val="2D036B9B"/>
    <w:rsid w:val="2D095409"/>
    <w:rsid w:val="2D3A3199"/>
    <w:rsid w:val="2D4B38E7"/>
    <w:rsid w:val="2D5470D9"/>
    <w:rsid w:val="2D551303"/>
    <w:rsid w:val="2D772574"/>
    <w:rsid w:val="2D8D31B7"/>
    <w:rsid w:val="2D8D5835"/>
    <w:rsid w:val="2DAB1C25"/>
    <w:rsid w:val="2DCC12FC"/>
    <w:rsid w:val="2DD66E3A"/>
    <w:rsid w:val="2DE0224B"/>
    <w:rsid w:val="2DF17D73"/>
    <w:rsid w:val="2E107C11"/>
    <w:rsid w:val="2E652B8E"/>
    <w:rsid w:val="2E66167A"/>
    <w:rsid w:val="2E6C7EF1"/>
    <w:rsid w:val="2E6D69DB"/>
    <w:rsid w:val="2E6F6584"/>
    <w:rsid w:val="2E7823B0"/>
    <w:rsid w:val="2E933BCE"/>
    <w:rsid w:val="2E955EA9"/>
    <w:rsid w:val="2E982B26"/>
    <w:rsid w:val="2E9A4AF0"/>
    <w:rsid w:val="2E9C6490"/>
    <w:rsid w:val="2EA40069"/>
    <w:rsid w:val="2EAA3B87"/>
    <w:rsid w:val="2EB66E96"/>
    <w:rsid w:val="2EBC23A0"/>
    <w:rsid w:val="2EDE36DA"/>
    <w:rsid w:val="2EFA0191"/>
    <w:rsid w:val="2F436846"/>
    <w:rsid w:val="2F4556CE"/>
    <w:rsid w:val="2F4E7B55"/>
    <w:rsid w:val="2F593240"/>
    <w:rsid w:val="2F6F3C93"/>
    <w:rsid w:val="2F754A27"/>
    <w:rsid w:val="2FB1448A"/>
    <w:rsid w:val="2FC802AE"/>
    <w:rsid w:val="301C41BF"/>
    <w:rsid w:val="302369A0"/>
    <w:rsid w:val="302C5C1C"/>
    <w:rsid w:val="303474C0"/>
    <w:rsid w:val="305C41A9"/>
    <w:rsid w:val="30784B46"/>
    <w:rsid w:val="30820205"/>
    <w:rsid w:val="30874948"/>
    <w:rsid w:val="308E41B5"/>
    <w:rsid w:val="30952C59"/>
    <w:rsid w:val="30FF4D69"/>
    <w:rsid w:val="310E5321"/>
    <w:rsid w:val="3113559B"/>
    <w:rsid w:val="311978DB"/>
    <w:rsid w:val="31213560"/>
    <w:rsid w:val="312421F6"/>
    <w:rsid w:val="3127420C"/>
    <w:rsid w:val="31477BEB"/>
    <w:rsid w:val="315523B1"/>
    <w:rsid w:val="31804840"/>
    <w:rsid w:val="3198056E"/>
    <w:rsid w:val="31CD31BF"/>
    <w:rsid w:val="31DD1EE2"/>
    <w:rsid w:val="31E10F55"/>
    <w:rsid w:val="320B7F80"/>
    <w:rsid w:val="3219008D"/>
    <w:rsid w:val="32215B79"/>
    <w:rsid w:val="322241F2"/>
    <w:rsid w:val="3229379D"/>
    <w:rsid w:val="32294133"/>
    <w:rsid w:val="322D5AFA"/>
    <w:rsid w:val="32372650"/>
    <w:rsid w:val="324D35C8"/>
    <w:rsid w:val="32514C44"/>
    <w:rsid w:val="328916BE"/>
    <w:rsid w:val="32894636"/>
    <w:rsid w:val="32974C7A"/>
    <w:rsid w:val="32AC5CBD"/>
    <w:rsid w:val="32BB4ABE"/>
    <w:rsid w:val="32C02899"/>
    <w:rsid w:val="32C8549C"/>
    <w:rsid w:val="32CA16D9"/>
    <w:rsid w:val="32D22AAA"/>
    <w:rsid w:val="32E83928"/>
    <w:rsid w:val="32F45590"/>
    <w:rsid w:val="331C19F3"/>
    <w:rsid w:val="33380434"/>
    <w:rsid w:val="334F5753"/>
    <w:rsid w:val="3369683F"/>
    <w:rsid w:val="33773188"/>
    <w:rsid w:val="337E77C9"/>
    <w:rsid w:val="338F53C2"/>
    <w:rsid w:val="33925662"/>
    <w:rsid w:val="339B7AA1"/>
    <w:rsid w:val="33B7637D"/>
    <w:rsid w:val="33CF6FEA"/>
    <w:rsid w:val="33D4661F"/>
    <w:rsid w:val="33ED39C2"/>
    <w:rsid w:val="33F46A50"/>
    <w:rsid w:val="33F7209D"/>
    <w:rsid w:val="340F56DE"/>
    <w:rsid w:val="3420548B"/>
    <w:rsid w:val="3425597D"/>
    <w:rsid w:val="342A5DF5"/>
    <w:rsid w:val="344851FD"/>
    <w:rsid w:val="34627E5E"/>
    <w:rsid w:val="349B2BDB"/>
    <w:rsid w:val="349B5E0E"/>
    <w:rsid w:val="34A432B6"/>
    <w:rsid w:val="34AA020B"/>
    <w:rsid w:val="34BC17DA"/>
    <w:rsid w:val="34D015E3"/>
    <w:rsid w:val="34F85DA8"/>
    <w:rsid w:val="3509398E"/>
    <w:rsid w:val="3547266B"/>
    <w:rsid w:val="3554479E"/>
    <w:rsid w:val="357D63E5"/>
    <w:rsid w:val="357F00D0"/>
    <w:rsid w:val="35894506"/>
    <w:rsid w:val="35A377DB"/>
    <w:rsid w:val="35A75662"/>
    <w:rsid w:val="35B144E6"/>
    <w:rsid w:val="35E7387F"/>
    <w:rsid w:val="35E81F7A"/>
    <w:rsid w:val="35EF4AF5"/>
    <w:rsid w:val="35F42D38"/>
    <w:rsid w:val="35F52BF3"/>
    <w:rsid w:val="360530D8"/>
    <w:rsid w:val="3605698A"/>
    <w:rsid w:val="36162F1C"/>
    <w:rsid w:val="363277D2"/>
    <w:rsid w:val="366244D5"/>
    <w:rsid w:val="369E2CA4"/>
    <w:rsid w:val="36A82C1D"/>
    <w:rsid w:val="36B34449"/>
    <w:rsid w:val="36C342D9"/>
    <w:rsid w:val="36F328CD"/>
    <w:rsid w:val="37070849"/>
    <w:rsid w:val="370F2E93"/>
    <w:rsid w:val="370F32ED"/>
    <w:rsid w:val="374C2700"/>
    <w:rsid w:val="374E35E0"/>
    <w:rsid w:val="37560CC6"/>
    <w:rsid w:val="378D0CEB"/>
    <w:rsid w:val="379A026D"/>
    <w:rsid w:val="37A2207E"/>
    <w:rsid w:val="37A2434F"/>
    <w:rsid w:val="37EA0736"/>
    <w:rsid w:val="37ED6D6E"/>
    <w:rsid w:val="37F45271"/>
    <w:rsid w:val="37F606DB"/>
    <w:rsid w:val="380C3B20"/>
    <w:rsid w:val="381039F4"/>
    <w:rsid w:val="38422CE2"/>
    <w:rsid w:val="38464281"/>
    <w:rsid w:val="386E21B0"/>
    <w:rsid w:val="38AE496C"/>
    <w:rsid w:val="38B54D45"/>
    <w:rsid w:val="38B60DFD"/>
    <w:rsid w:val="38D242CD"/>
    <w:rsid w:val="390E4110"/>
    <w:rsid w:val="39290F4A"/>
    <w:rsid w:val="393E0C7A"/>
    <w:rsid w:val="39470BCD"/>
    <w:rsid w:val="39821F75"/>
    <w:rsid w:val="398B5520"/>
    <w:rsid w:val="398C3DB7"/>
    <w:rsid w:val="39AB6275"/>
    <w:rsid w:val="39E17621"/>
    <w:rsid w:val="39E41315"/>
    <w:rsid w:val="39F227B1"/>
    <w:rsid w:val="3A151290"/>
    <w:rsid w:val="3A201663"/>
    <w:rsid w:val="3A257964"/>
    <w:rsid w:val="3A292038"/>
    <w:rsid w:val="3A437DEA"/>
    <w:rsid w:val="3A4A1178"/>
    <w:rsid w:val="3A524E6B"/>
    <w:rsid w:val="3A571AE7"/>
    <w:rsid w:val="3A762A49"/>
    <w:rsid w:val="3A826354"/>
    <w:rsid w:val="3A9D28F5"/>
    <w:rsid w:val="3ACD43C9"/>
    <w:rsid w:val="3AFF2C64"/>
    <w:rsid w:val="3B2F69DB"/>
    <w:rsid w:val="3B5E2A01"/>
    <w:rsid w:val="3B79226F"/>
    <w:rsid w:val="3B8F1138"/>
    <w:rsid w:val="3B904834"/>
    <w:rsid w:val="3B932344"/>
    <w:rsid w:val="3B9D20F5"/>
    <w:rsid w:val="3BB33F88"/>
    <w:rsid w:val="3BC62A80"/>
    <w:rsid w:val="3BD93153"/>
    <w:rsid w:val="3BDA6996"/>
    <w:rsid w:val="3C0812EB"/>
    <w:rsid w:val="3C0A3047"/>
    <w:rsid w:val="3C2E50FB"/>
    <w:rsid w:val="3C37637A"/>
    <w:rsid w:val="3C4A12AD"/>
    <w:rsid w:val="3C5125FC"/>
    <w:rsid w:val="3C690ECB"/>
    <w:rsid w:val="3C860462"/>
    <w:rsid w:val="3C860AC6"/>
    <w:rsid w:val="3C8967A4"/>
    <w:rsid w:val="3C960BC8"/>
    <w:rsid w:val="3C9848A1"/>
    <w:rsid w:val="3CA509B7"/>
    <w:rsid w:val="3CA509D1"/>
    <w:rsid w:val="3CA80712"/>
    <w:rsid w:val="3CBE0304"/>
    <w:rsid w:val="3CD537E6"/>
    <w:rsid w:val="3CD93879"/>
    <w:rsid w:val="3D2571D3"/>
    <w:rsid w:val="3D651965"/>
    <w:rsid w:val="3D7A2818"/>
    <w:rsid w:val="3D8106EA"/>
    <w:rsid w:val="3D834DF8"/>
    <w:rsid w:val="3DA352B1"/>
    <w:rsid w:val="3DB44E55"/>
    <w:rsid w:val="3DB8289D"/>
    <w:rsid w:val="3DBA61E7"/>
    <w:rsid w:val="3DC14624"/>
    <w:rsid w:val="3DD55956"/>
    <w:rsid w:val="3DFC4E7F"/>
    <w:rsid w:val="3E100FFC"/>
    <w:rsid w:val="3E201534"/>
    <w:rsid w:val="3E616FB8"/>
    <w:rsid w:val="3E651EE9"/>
    <w:rsid w:val="3E784A78"/>
    <w:rsid w:val="3E8554F5"/>
    <w:rsid w:val="3EB65E71"/>
    <w:rsid w:val="3EBD4108"/>
    <w:rsid w:val="3EC33032"/>
    <w:rsid w:val="3EC61DB3"/>
    <w:rsid w:val="3EF62661"/>
    <w:rsid w:val="3F3C595E"/>
    <w:rsid w:val="3F59346C"/>
    <w:rsid w:val="3F657308"/>
    <w:rsid w:val="3F7856B5"/>
    <w:rsid w:val="3F7970EE"/>
    <w:rsid w:val="3F8003ED"/>
    <w:rsid w:val="3F8B5F41"/>
    <w:rsid w:val="3FC519F7"/>
    <w:rsid w:val="3FD0326B"/>
    <w:rsid w:val="3FD34D1A"/>
    <w:rsid w:val="3FED63B1"/>
    <w:rsid w:val="40031733"/>
    <w:rsid w:val="40076D3D"/>
    <w:rsid w:val="401F65F0"/>
    <w:rsid w:val="4038148A"/>
    <w:rsid w:val="404470DB"/>
    <w:rsid w:val="404C2292"/>
    <w:rsid w:val="405D572D"/>
    <w:rsid w:val="408D1EA0"/>
    <w:rsid w:val="408E2DBF"/>
    <w:rsid w:val="409D2A1A"/>
    <w:rsid w:val="40A752D1"/>
    <w:rsid w:val="40B21FB5"/>
    <w:rsid w:val="40B95E2E"/>
    <w:rsid w:val="40C17F9E"/>
    <w:rsid w:val="40C43B66"/>
    <w:rsid w:val="40E247F7"/>
    <w:rsid w:val="40EE5966"/>
    <w:rsid w:val="410F1967"/>
    <w:rsid w:val="41335FC7"/>
    <w:rsid w:val="41405083"/>
    <w:rsid w:val="415978C8"/>
    <w:rsid w:val="415C1B4D"/>
    <w:rsid w:val="4177481D"/>
    <w:rsid w:val="417843F2"/>
    <w:rsid w:val="41807B75"/>
    <w:rsid w:val="418A1799"/>
    <w:rsid w:val="41A61C3F"/>
    <w:rsid w:val="41B17185"/>
    <w:rsid w:val="41E77BF5"/>
    <w:rsid w:val="41F05895"/>
    <w:rsid w:val="420C70DA"/>
    <w:rsid w:val="4226611D"/>
    <w:rsid w:val="42423625"/>
    <w:rsid w:val="425402BB"/>
    <w:rsid w:val="42564ADA"/>
    <w:rsid w:val="42747A95"/>
    <w:rsid w:val="427E52C8"/>
    <w:rsid w:val="428B4A24"/>
    <w:rsid w:val="429D02B3"/>
    <w:rsid w:val="42FA6BD0"/>
    <w:rsid w:val="42FB4E01"/>
    <w:rsid w:val="4301585B"/>
    <w:rsid w:val="430A1DED"/>
    <w:rsid w:val="431247FD"/>
    <w:rsid w:val="431B31A4"/>
    <w:rsid w:val="43325808"/>
    <w:rsid w:val="433E1CAF"/>
    <w:rsid w:val="43412297"/>
    <w:rsid w:val="43413ED4"/>
    <w:rsid w:val="43594499"/>
    <w:rsid w:val="43636C3F"/>
    <w:rsid w:val="436A173D"/>
    <w:rsid w:val="436E5353"/>
    <w:rsid w:val="437C0AF5"/>
    <w:rsid w:val="438073DF"/>
    <w:rsid w:val="439D6340"/>
    <w:rsid w:val="43AD0C98"/>
    <w:rsid w:val="43EA577A"/>
    <w:rsid w:val="43FD7280"/>
    <w:rsid w:val="44093E52"/>
    <w:rsid w:val="441532B2"/>
    <w:rsid w:val="441C5686"/>
    <w:rsid w:val="441E55BD"/>
    <w:rsid w:val="442A3DC9"/>
    <w:rsid w:val="442C59F4"/>
    <w:rsid w:val="442C5CE7"/>
    <w:rsid w:val="443F7EE3"/>
    <w:rsid w:val="44477A7A"/>
    <w:rsid w:val="445A5900"/>
    <w:rsid w:val="44831552"/>
    <w:rsid w:val="44A72CB4"/>
    <w:rsid w:val="44DC0CFE"/>
    <w:rsid w:val="44DC4FCA"/>
    <w:rsid w:val="44FD1C6D"/>
    <w:rsid w:val="4500499D"/>
    <w:rsid w:val="4506547E"/>
    <w:rsid w:val="4517434D"/>
    <w:rsid w:val="453F207E"/>
    <w:rsid w:val="454276A8"/>
    <w:rsid w:val="45465AD9"/>
    <w:rsid w:val="456A0EF0"/>
    <w:rsid w:val="457C4AF8"/>
    <w:rsid w:val="45863281"/>
    <w:rsid w:val="45A100BA"/>
    <w:rsid w:val="45A31600"/>
    <w:rsid w:val="45E526C2"/>
    <w:rsid w:val="45EF5694"/>
    <w:rsid w:val="45F32D75"/>
    <w:rsid w:val="45FE4441"/>
    <w:rsid w:val="46026F63"/>
    <w:rsid w:val="460934CE"/>
    <w:rsid w:val="460F2CBC"/>
    <w:rsid w:val="461D3BE5"/>
    <w:rsid w:val="461F685B"/>
    <w:rsid w:val="463A35BA"/>
    <w:rsid w:val="464478D6"/>
    <w:rsid w:val="46594972"/>
    <w:rsid w:val="46763AFA"/>
    <w:rsid w:val="468477C0"/>
    <w:rsid w:val="46A86AC5"/>
    <w:rsid w:val="46AF0ACC"/>
    <w:rsid w:val="46CD2EA3"/>
    <w:rsid w:val="46E33C2A"/>
    <w:rsid w:val="46E42955"/>
    <w:rsid w:val="46EB5C2E"/>
    <w:rsid w:val="46EE5581"/>
    <w:rsid w:val="47191F43"/>
    <w:rsid w:val="471B210D"/>
    <w:rsid w:val="47266AC9"/>
    <w:rsid w:val="47330BB1"/>
    <w:rsid w:val="47431FE5"/>
    <w:rsid w:val="474340E1"/>
    <w:rsid w:val="4754737E"/>
    <w:rsid w:val="476E5DEA"/>
    <w:rsid w:val="478D08F6"/>
    <w:rsid w:val="47914A33"/>
    <w:rsid w:val="4792415F"/>
    <w:rsid w:val="479B0044"/>
    <w:rsid w:val="479C10BC"/>
    <w:rsid w:val="47A4380D"/>
    <w:rsid w:val="47A6297A"/>
    <w:rsid w:val="47B35BF8"/>
    <w:rsid w:val="47C041C7"/>
    <w:rsid w:val="47C92759"/>
    <w:rsid w:val="47CB4E60"/>
    <w:rsid w:val="47CD1E0C"/>
    <w:rsid w:val="47D964DB"/>
    <w:rsid w:val="47FC33A5"/>
    <w:rsid w:val="48012A31"/>
    <w:rsid w:val="481D4366"/>
    <w:rsid w:val="483A3EEB"/>
    <w:rsid w:val="485803F1"/>
    <w:rsid w:val="4865215C"/>
    <w:rsid w:val="486942C4"/>
    <w:rsid w:val="486D24D6"/>
    <w:rsid w:val="487B552A"/>
    <w:rsid w:val="48842F37"/>
    <w:rsid w:val="48A34F21"/>
    <w:rsid w:val="48B05292"/>
    <w:rsid w:val="48B971DC"/>
    <w:rsid w:val="48CC18F2"/>
    <w:rsid w:val="48F556EA"/>
    <w:rsid w:val="48F94ED4"/>
    <w:rsid w:val="48FC03E1"/>
    <w:rsid w:val="491946D3"/>
    <w:rsid w:val="4924047E"/>
    <w:rsid w:val="49276380"/>
    <w:rsid w:val="49441489"/>
    <w:rsid w:val="4948117F"/>
    <w:rsid w:val="494B0B0D"/>
    <w:rsid w:val="497E20AD"/>
    <w:rsid w:val="49820EB7"/>
    <w:rsid w:val="499416E9"/>
    <w:rsid w:val="49961FD3"/>
    <w:rsid w:val="49A62143"/>
    <w:rsid w:val="49A63EAD"/>
    <w:rsid w:val="49A83327"/>
    <w:rsid w:val="49B4166E"/>
    <w:rsid w:val="49BA2C9E"/>
    <w:rsid w:val="49BC3715"/>
    <w:rsid w:val="49F72310"/>
    <w:rsid w:val="49FD2EE4"/>
    <w:rsid w:val="4A0B4FDE"/>
    <w:rsid w:val="4A317C5F"/>
    <w:rsid w:val="4A343D11"/>
    <w:rsid w:val="4A38723F"/>
    <w:rsid w:val="4A497D35"/>
    <w:rsid w:val="4A8A37D8"/>
    <w:rsid w:val="4A8B4AB2"/>
    <w:rsid w:val="4A8E6E5F"/>
    <w:rsid w:val="4AD9595B"/>
    <w:rsid w:val="4AF93EAE"/>
    <w:rsid w:val="4B311212"/>
    <w:rsid w:val="4B3E6720"/>
    <w:rsid w:val="4B43535A"/>
    <w:rsid w:val="4B476348"/>
    <w:rsid w:val="4B625BF7"/>
    <w:rsid w:val="4BB21AF4"/>
    <w:rsid w:val="4BB54107"/>
    <w:rsid w:val="4BB67EEE"/>
    <w:rsid w:val="4BD17814"/>
    <w:rsid w:val="4BDC5109"/>
    <w:rsid w:val="4BE84FA7"/>
    <w:rsid w:val="4BF23DA9"/>
    <w:rsid w:val="4BF70C92"/>
    <w:rsid w:val="4BFD0513"/>
    <w:rsid w:val="4C005E77"/>
    <w:rsid w:val="4C1415E6"/>
    <w:rsid w:val="4C1A02C6"/>
    <w:rsid w:val="4C261319"/>
    <w:rsid w:val="4C2B76C1"/>
    <w:rsid w:val="4C5419A1"/>
    <w:rsid w:val="4C5429A3"/>
    <w:rsid w:val="4C645A11"/>
    <w:rsid w:val="4C87254B"/>
    <w:rsid w:val="4C936A42"/>
    <w:rsid w:val="4CDE4416"/>
    <w:rsid w:val="4D115B26"/>
    <w:rsid w:val="4D1C2C8C"/>
    <w:rsid w:val="4D1E77BE"/>
    <w:rsid w:val="4D245FC5"/>
    <w:rsid w:val="4D2B3B2C"/>
    <w:rsid w:val="4D7372A0"/>
    <w:rsid w:val="4DA943B0"/>
    <w:rsid w:val="4DAA1780"/>
    <w:rsid w:val="4DC515BB"/>
    <w:rsid w:val="4DCB5984"/>
    <w:rsid w:val="4DD51249"/>
    <w:rsid w:val="4DD64458"/>
    <w:rsid w:val="4DDD4E1A"/>
    <w:rsid w:val="4DEB6377"/>
    <w:rsid w:val="4E135BFA"/>
    <w:rsid w:val="4E1B2DDB"/>
    <w:rsid w:val="4E250E8C"/>
    <w:rsid w:val="4E35535F"/>
    <w:rsid w:val="4E355E12"/>
    <w:rsid w:val="4E5D7C3A"/>
    <w:rsid w:val="4E8D762E"/>
    <w:rsid w:val="4E9B1112"/>
    <w:rsid w:val="4EA06365"/>
    <w:rsid w:val="4EBC7D13"/>
    <w:rsid w:val="4EBD3915"/>
    <w:rsid w:val="4ECD54B1"/>
    <w:rsid w:val="4ED4046B"/>
    <w:rsid w:val="4EDF4B15"/>
    <w:rsid w:val="4EEA2AD2"/>
    <w:rsid w:val="4EF43B16"/>
    <w:rsid w:val="4F0E1E8F"/>
    <w:rsid w:val="4F2B6C13"/>
    <w:rsid w:val="4F3153D3"/>
    <w:rsid w:val="4F5F3ED1"/>
    <w:rsid w:val="4F804E7C"/>
    <w:rsid w:val="4F85516A"/>
    <w:rsid w:val="4F944D8F"/>
    <w:rsid w:val="4FC11A85"/>
    <w:rsid w:val="4FCA5221"/>
    <w:rsid w:val="4FED0FB9"/>
    <w:rsid w:val="50454464"/>
    <w:rsid w:val="507410D2"/>
    <w:rsid w:val="50A4392E"/>
    <w:rsid w:val="50A97681"/>
    <w:rsid w:val="50AE3B94"/>
    <w:rsid w:val="50AF7418"/>
    <w:rsid w:val="50DB387E"/>
    <w:rsid w:val="50E93575"/>
    <w:rsid w:val="50EE4AFC"/>
    <w:rsid w:val="50F04D4E"/>
    <w:rsid w:val="50F102ED"/>
    <w:rsid w:val="50F57385"/>
    <w:rsid w:val="50F6016F"/>
    <w:rsid w:val="50FB1FB9"/>
    <w:rsid w:val="51051E45"/>
    <w:rsid w:val="51132FF4"/>
    <w:rsid w:val="51151213"/>
    <w:rsid w:val="513225F9"/>
    <w:rsid w:val="513F5114"/>
    <w:rsid w:val="51440384"/>
    <w:rsid w:val="5147420C"/>
    <w:rsid w:val="515E6A1B"/>
    <w:rsid w:val="516B705C"/>
    <w:rsid w:val="5177537A"/>
    <w:rsid w:val="517A07BA"/>
    <w:rsid w:val="51823496"/>
    <w:rsid w:val="518806E3"/>
    <w:rsid w:val="51915487"/>
    <w:rsid w:val="5196484B"/>
    <w:rsid w:val="519A07DF"/>
    <w:rsid w:val="51A1217B"/>
    <w:rsid w:val="51A47CAD"/>
    <w:rsid w:val="51BC2004"/>
    <w:rsid w:val="51C462A1"/>
    <w:rsid w:val="51CB0C5C"/>
    <w:rsid w:val="51CB74F6"/>
    <w:rsid w:val="51D13948"/>
    <w:rsid w:val="51EB5979"/>
    <w:rsid w:val="521265C8"/>
    <w:rsid w:val="521A0101"/>
    <w:rsid w:val="52241967"/>
    <w:rsid w:val="52263E21"/>
    <w:rsid w:val="522D1CB6"/>
    <w:rsid w:val="524349D3"/>
    <w:rsid w:val="52444C58"/>
    <w:rsid w:val="5263075C"/>
    <w:rsid w:val="52635075"/>
    <w:rsid w:val="52660A26"/>
    <w:rsid w:val="52717995"/>
    <w:rsid w:val="528315FB"/>
    <w:rsid w:val="52910142"/>
    <w:rsid w:val="52990759"/>
    <w:rsid w:val="52B87033"/>
    <w:rsid w:val="52BB0A0D"/>
    <w:rsid w:val="52BE5917"/>
    <w:rsid w:val="52CE6E0D"/>
    <w:rsid w:val="52DB10B0"/>
    <w:rsid w:val="52ED3633"/>
    <w:rsid w:val="531B72EC"/>
    <w:rsid w:val="531E35FC"/>
    <w:rsid w:val="531E3DBA"/>
    <w:rsid w:val="532B1547"/>
    <w:rsid w:val="532C2C22"/>
    <w:rsid w:val="533E6E17"/>
    <w:rsid w:val="5343182D"/>
    <w:rsid w:val="53552E21"/>
    <w:rsid w:val="535D3886"/>
    <w:rsid w:val="536C4A63"/>
    <w:rsid w:val="539B26A9"/>
    <w:rsid w:val="53A201DA"/>
    <w:rsid w:val="53B22D34"/>
    <w:rsid w:val="53B6236C"/>
    <w:rsid w:val="53BD6F30"/>
    <w:rsid w:val="53DD0E57"/>
    <w:rsid w:val="53F63014"/>
    <w:rsid w:val="540540F5"/>
    <w:rsid w:val="542913B3"/>
    <w:rsid w:val="543F18BA"/>
    <w:rsid w:val="54883400"/>
    <w:rsid w:val="548F66B7"/>
    <w:rsid w:val="54932F58"/>
    <w:rsid w:val="54A81CB5"/>
    <w:rsid w:val="54AB6860"/>
    <w:rsid w:val="54B0031A"/>
    <w:rsid w:val="54C076CF"/>
    <w:rsid w:val="54C41B11"/>
    <w:rsid w:val="54CD2C7A"/>
    <w:rsid w:val="54EE1E00"/>
    <w:rsid w:val="550E49C6"/>
    <w:rsid w:val="552609CE"/>
    <w:rsid w:val="55A47D96"/>
    <w:rsid w:val="55A97243"/>
    <w:rsid w:val="55B04693"/>
    <w:rsid w:val="55C94049"/>
    <w:rsid w:val="55DA287E"/>
    <w:rsid w:val="55DD1819"/>
    <w:rsid w:val="55EE6DAD"/>
    <w:rsid w:val="56073162"/>
    <w:rsid w:val="5609127C"/>
    <w:rsid w:val="560C77D2"/>
    <w:rsid w:val="56243B92"/>
    <w:rsid w:val="563D619D"/>
    <w:rsid w:val="56413F2B"/>
    <w:rsid w:val="56537C47"/>
    <w:rsid w:val="56A010C0"/>
    <w:rsid w:val="56B96B8E"/>
    <w:rsid w:val="56C747B5"/>
    <w:rsid w:val="56D42684"/>
    <w:rsid w:val="56DC773A"/>
    <w:rsid w:val="56DD2471"/>
    <w:rsid w:val="56F1653F"/>
    <w:rsid w:val="57210A6D"/>
    <w:rsid w:val="5729657E"/>
    <w:rsid w:val="5744214A"/>
    <w:rsid w:val="57454D4A"/>
    <w:rsid w:val="574B480A"/>
    <w:rsid w:val="57543081"/>
    <w:rsid w:val="5789649C"/>
    <w:rsid w:val="5792629F"/>
    <w:rsid w:val="57A373F0"/>
    <w:rsid w:val="57C83C57"/>
    <w:rsid w:val="57F952EA"/>
    <w:rsid w:val="57FB2FB4"/>
    <w:rsid w:val="581A4428"/>
    <w:rsid w:val="582028C2"/>
    <w:rsid w:val="582908A2"/>
    <w:rsid w:val="583C0128"/>
    <w:rsid w:val="583D07DD"/>
    <w:rsid w:val="585F1862"/>
    <w:rsid w:val="58620D26"/>
    <w:rsid w:val="58706FB1"/>
    <w:rsid w:val="587C5983"/>
    <w:rsid w:val="58E8415E"/>
    <w:rsid w:val="58FF1A45"/>
    <w:rsid w:val="591C580B"/>
    <w:rsid w:val="5926497A"/>
    <w:rsid w:val="592A1893"/>
    <w:rsid w:val="595D3E12"/>
    <w:rsid w:val="59961EFB"/>
    <w:rsid w:val="59A11353"/>
    <w:rsid w:val="59B40569"/>
    <w:rsid w:val="5A0336C4"/>
    <w:rsid w:val="5A1D0D82"/>
    <w:rsid w:val="5A20315B"/>
    <w:rsid w:val="5A461F0B"/>
    <w:rsid w:val="5A4C2893"/>
    <w:rsid w:val="5A5827FE"/>
    <w:rsid w:val="5A70211C"/>
    <w:rsid w:val="5AAB2A29"/>
    <w:rsid w:val="5AAB3211"/>
    <w:rsid w:val="5AAC7307"/>
    <w:rsid w:val="5AB86388"/>
    <w:rsid w:val="5ABF41C0"/>
    <w:rsid w:val="5ACA577B"/>
    <w:rsid w:val="5AD07CB2"/>
    <w:rsid w:val="5ADD72A9"/>
    <w:rsid w:val="5AE37CAA"/>
    <w:rsid w:val="5AEF1DC1"/>
    <w:rsid w:val="5B0000C2"/>
    <w:rsid w:val="5B3A7E78"/>
    <w:rsid w:val="5B3D442E"/>
    <w:rsid w:val="5B412C22"/>
    <w:rsid w:val="5B4B2EB1"/>
    <w:rsid w:val="5B570332"/>
    <w:rsid w:val="5B5F0395"/>
    <w:rsid w:val="5B61236E"/>
    <w:rsid w:val="5B6300A3"/>
    <w:rsid w:val="5B6C0ED6"/>
    <w:rsid w:val="5B705300"/>
    <w:rsid w:val="5B790B4E"/>
    <w:rsid w:val="5B7A2400"/>
    <w:rsid w:val="5B9B626D"/>
    <w:rsid w:val="5BA762EC"/>
    <w:rsid w:val="5BAE4352"/>
    <w:rsid w:val="5BAF4E87"/>
    <w:rsid w:val="5BD32897"/>
    <w:rsid w:val="5BF50A44"/>
    <w:rsid w:val="5C276D6A"/>
    <w:rsid w:val="5C295CCC"/>
    <w:rsid w:val="5C381A3A"/>
    <w:rsid w:val="5C5C135C"/>
    <w:rsid w:val="5C872DAA"/>
    <w:rsid w:val="5C974816"/>
    <w:rsid w:val="5CA97228"/>
    <w:rsid w:val="5CBA57BD"/>
    <w:rsid w:val="5CC2508E"/>
    <w:rsid w:val="5CC5471C"/>
    <w:rsid w:val="5CDC5386"/>
    <w:rsid w:val="5CEE7B85"/>
    <w:rsid w:val="5CF73D69"/>
    <w:rsid w:val="5D155A24"/>
    <w:rsid w:val="5D202057"/>
    <w:rsid w:val="5D447851"/>
    <w:rsid w:val="5D4700C2"/>
    <w:rsid w:val="5D543F38"/>
    <w:rsid w:val="5D6C4615"/>
    <w:rsid w:val="5D7C5A81"/>
    <w:rsid w:val="5D852344"/>
    <w:rsid w:val="5DD31E8F"/>
    <w:rsid w:val="5DDF2196"/>
    <w:rsid w:val="5DF704AE"/>
    <w:rsid w:val="5DF954B7"/>
    <w:rsid w:val="5DFF05CD"/>
    <w:rsid w:val="5E1672C2"/>
    <w:rsid w:val="5E1B6033"/>
    <w:rsid w:val="5E1C1411"/>
    <w:rsid w:val="5E2612F9"/>
    <w:rsid w:val="5E3653EC"/>
    <w:rsid w:val="5E534129"/>
    <w:rsid w:val="5E6E3C24"/>
    <w:rsid w:val="5E7255BD"/>
    <w:rsid w:val="5E916AC6"/>
    <w:rsid w:val="5E937CCC"/>
    <w:rsid w:val="5EAD1C27"/>
    <w:rsid w:val="5EB6477F"/>
    <w:rsid w:val="5EED4A41"/>
    <w:rsid w:val="5EF83794"/>
    <w:rsid w:val="5F0173CC"/>
    <w:rsid w:val="5F1A1A93"/>
    <w:rsid w:val="5F287F7E"/>
    <w:rsid w:val="5F475677"/>
    <w:rsid w:val="5F484198"/>
    <w:rsid w:val="5F4D50E3"/>
    <w:rsid w:val="5F567498"/>
    <w:rsid w:val="5F75229B"/>
    <w:rsid w:val="5F7D704B"/>
    <w:rsid w:val="5F7D71F9"/>
    <w:rsid w:val="5F8420E2"/>
    <w:rsid w:val="5F887220"/>
    <w:rsid w:val="5F9022AB"/>
    <w:rsid w:val="5FB41298"/>
    <w:rsid w:val="5FB81E56"/>
    <w:rsid w:val="5FD85FDC"/>
    <w:rsid w:val="5FEB78D3"/>
    <w:rsid w:val="5FEC00EE"/>
    <w:rsid w:val="600951D4"/>
    <w:rsid w:val="6010358A"/>
    <w:rsid w:val="601A25EF"/>
    <w:rsid w:val="60250EC1"/>
    <w:rsid w:val="60367D1F"/>
    <w:rsid w:val="603E7832"/>
    <w:rsid w:val="6044067F"/>
    <w:rsid w:val="60793AF7"/>
    <w:rsid w:val="6099592B"/>
    <w:rsid w:val="60A13AB9"/>
    <w:rsid w:val="60A7744C"/>
    <w:rsid w:val="60CF04AB"/>
    <w:rsid w:val="60DB5486"/>
    <w:rsid w:val="60E82C1A"/>
    <w:rsid w:val="60EC0541"/>
    <w:rsid w:val="60FD245E"/>
    <w:rsid w:val="61033EA8"/>
    <w:rsid w:val="610A1613"/>
    <w:rsid w:val="611141B2"/>
    <w:rsid w:val="61251167"/>
    <w:rsid w:val="61432D9E"/>
    <w:rsid w:val="61683AEB"/>
    <w:rsid w:val="618A70BC"/>
    <w:rsid w:val="61963F6D"/>
    <w:rsid w:val="61BD1F9D"/>
    <w:rsid w:val="61EA093B"/>
    <w:rsid w:val="62024DB4"/>
    <w:rsid w:val="62117D72"/>
    <w:rsid w:val="62140656"/>
    <w:rsid w:val="621912AD"/>
    <w:rsid w:val="62210A89"/>
    <w:rsid w:val="62285DB7"/>
    <w:rsid w:val="626857C6"/>
    <w:rsid w:val="62856942"/>
    <w:rsid w:val="62923991"/>
    <w:rsid w:val="62966DA1"/>
    <w:rsid w:val="629903C1"/>
    <w:rsid w:val="62AB32FE"/>
    <w:rsid w:val="62F20D03"/>
    <w:rsid w:val="62F26EC0"/>
    <w:rsid w:val="62F75B83"/>
    <w:rsid w:val="63095375"/>
    <w:rsid w:val="6312135F"/>
    <w:rsid w:val="632A3D0D"/>
    <w:rsid w:val="633443AB"/>
    <w:rsid w:val="6353750E"/>
    <w:rsid w:val="638857E1"/>
    <w:rsid w:val="63AB78F4"/>
    <w:rsid w:val="63C27722"/>
    <w:rsid w:val="63C642C7"/>
    <w:rsid w:val="63C85688"/>
    <w:rsid w:val="63CD5666"/>
    <w:rsid w:val="63D01EF3"/>
    <w:rsid w:val="63D2038C"/>
    <w:rsid w:val="63E631E1"/>
    <w:rsid w:val="63F66CE6"/>
    <w:rsid w:val="63FB3E0B"/>
    <w:rsid w:val="640E7E19"/>
    <w:rsid w:val="642A0284"/>
    <w:rsid w:val="64316BD5"/>
    <w:rsid w:val="64326656"/>
    <w:rsid w:val="647527CB"/>
    <w:rsid w:val="648A0F84"/>
    <w:rsid w:val="648E4974"/>
    <w:rsid w:val="648F4377"/>
    <w:rsid w:val="649E65A7"/>
    <w:rsid w:val="64B70C4D"/>
    <w:rsid w:val="64D14920"/>
    <w:rsid w:val="64DC3A26"/>
    <w:rsid w:val="64EA382F"/>
    <w:rsid w:val="64ED3306"/>
    <w:rsid w:val="6511603A"/>
    <w:rsid w:val="652763A9"/>
    <w:rsid w:val="653B0F51"/>
    <w:rsid w:val="65434194"/>
    <w:rsid w:val="65477730"/>
    <w:rsid w:val="654912E0"/>
    <w:rsid w:val="655C2B7E"/>
    <w:rsid w:val="655D3BA6"/>
    <w:rsid w:val="656A4332"/>
    <w:rsid w:val="656C5B5F"/>
    <w:rsid w:val="65733372"/>
    <w:rsid w:val="65744876"/>
    <w:rsid w:val="657845AE"/>
    <w:rsid w:val="65991D3E"/>
    <w:rsid w:val="659A2704"/>
    <w:rsid w:val="659D3FA3"/>
    <w:rsid w:val="659E280B"/>
    <w:rsid w:val="65B74A52"/>
    <w:rsid w:val="65BD55BD"/>
    <w:rsid w:val="65C53449"/>
    <w:rsid w:val="65F27286"/>
    <w:rsid w:val="6602655A"/>
    <w:rsid w:val="66037BA1"/>
    <w:rsid w:val="660D45C7"/>
    <w:rsid w:val="66280ABB"/>
    <w:rsid w:val="666717B3"/>
    <w:rsid w:val="6668032B"/>
    <w:rsid w:val="667C4290"/>
    <w:rsid w:val="66AB481F"/>
    <w:rsid w:val="66C95898"/>
    <w:rsid w:val="66DA6FA9"/>
    <w:rsid w:val="66F8201A"/>
    <w:rsid w:val="670C13E0"/>
    <w:rsid w:val="671C5A04"/>
    <w:rsid w:val="673F01D2"/>
    <w:rsid w:val="675863D3"/>
    <w:rsid w:val="676777C3"/>
    <w:rsid w:val="677D4B8A"/>
    <w:rsid w:val="67802ACE"/>
    <w:rsid w:val="67804B33"/>
    <w:rsid w:val="679057A8"/>
    <w:rsid w:val="67BE7D16"/>
    <w:rsid w:val="67C40A09"/>
    <w:rsid w:val="67D020A7"/>
    <w:rsid w:val="67D600B8"/>
    <w:rsid w:val="67E4087E"/>
    <w:rsid w:val="6821192D"/>
    <w:rsid w:val="6828049B"/>
    <w:rsid w:val="68337E89"/>
    <w:rsid w:val="68337EE8"/>
    <w:rsid w:val="683A6C76"/>
    <w:rsid w:val="685962FD"/>
    <w:rsid w:val="685A62AF"/>
    <w:rsid w:val="685C5B46"/>
    <w:rsid w:val="688C0656"/>
    <w:rsid w:val="68AE1735"/>
    <w:rsid w:val="68B72950"/>
    <w:rsid w:val="68D60630"/>
    <w:rsid w:val="68F00432"/>
    <w:rsid w:val="68F8555D"/>
    <w:rsid w:val="691D712E"/>
    <w:rsid w:val="69603C65"/>
    <w:rsid w:val="696B2F5C"/>
    <w:rsid w:val="697E7396"/>
    <w:rsid w:val="69915AAA"/>
    <w:rsid w:val="69A009FE"/>
    <w:rsid w:val="69A729C5"/>
    <w:rsid w:val="69AB1384"/>
    <w:rsid w:val="69BB0E9B"/>
    <w:rsid w:val="69BF206E"/>
    <w:rsid w:val="69E46DF1"/>
    <w:rsid w:val="69E8174D"/>
    <w:rsid w:val="69EB7655"/>
    <w:rsid w:val="69F66247"/>
    <w:rsid w:val="69F820EF"/>
    <w:rsid w:val="69F86AAF"/>
    <w:rsid w:val="6A1F6154"/>
    <w:rsid w:val="6A2746CC"/>
    <w:rsid w:val="6A4F7CF0"/>
    <w:rsid w:val="6A5517EC"/>
    <w:rsid w:val="6A55309E"/>
    <w:rsid w:val="6A694BA1"/>
    <w:rsid w:val="6A734205"/>
    <w:rsid w:val="6A793230"/>
    <w:rsid w:val="6ABC3292"/>
    <w:rsid w:val="6AC04F0B"/>
    <w:rsid w:val="6AD34458"/>
    <w:rsid w:val="6ADC4801"/>
    <w:rsid w:val="6ADF25FC"/>
    <w:rsid w:val="6B020CD0"/>
    <w:rsid w:val="6B1148AC"/>
    <w:rsid w:val="6B3E0351"/>
    <w:rsid w:val="6B3F0049"/>
    <w:rsid w:val="6B42449D"/>
    <w:rsid w:val="6B4A5562"/>
    <w:rsid w:val="6B565807"/>
    <w:rsid w:val="6B7A369F"/>
    <w:rsid w:val="6BAC2823"/>
    <w:rsid w:val="6BBD5024"/>
    <w:rsid w:val="6BF37DF1"/>
    <w:rsid w:val="6C13293F"/>
    <w:rsid w:val="6C133210"/>
    <w:rsid w:val="6C2D6AD7"/>
    <w:rsid w:val="6C630CE9"/>
    <w:rsid w:val="6C914CAA"/>
    <w:rsid w:val="6CB57E24"/>
    <w:rsid w:val="6CCC3665"/>
    <w:rsid w:val="6CEC0F34"/>
    <w:rsid w:val="6CF73CA4"/>
    <w:rsid w:val="6D005FF7"/>
    <w:rsid w:val="6D021C57"/>
    <w:rsid w:val="6D05105B"/>
    <w:rsid w:val="6D0B750C"/>
    <w:rsid w:val="6D207FCD"/>
    <w:rsid w:val="6D280C36"/>
    <w:rsid w:val="6D286C4C"/>
    <w:rsid w:val="6D2B5B01"/>
    <w:rsid w:val="6D381497"/>
    <w:rsid w:val="6D5E1B5F"/>
    <w:rsid w:val="6D6A2DB3"/>
    <w:rsid w:val="6D6A69AA"/>
    <w:rsid w:val="6D79127B"/>
    <w:rsid w:val="6D832281"/>
    <w:rsid w:val="6DC237AE"/>
    <w:rsid w:val="6DF91502"/>
    <w:rsid w:val="6E01482E"/>
    <w:rsid w:val="6E096679"/>
    <w:rsid w:val="6E0D1941"/>
    <w:rsid w:val="6E18292B"/>
    <w:rsid w:val="6E23688A"/>
    <w:rsid w:val="6E402C35"/>
    <w:rsid w:val="6E403BCF"/>
    <w:rsid w:val="6E424CF7"/>
    <w:rsid w:val="6E96703D"/>
    <w:rsid w:val="6E984122"/>
    <w:rsid w:val="6EB26D11"/>
    <w:rsid w:val="6EC4761A"/>
    <w:rsid w:val="6ED26905"/>
    <w:rsid w:val="6ED924EF"/>
    <w:rsid w:val="6EE20566"/>
    <w:rsid w:val="6EEB6DD8"/>
    <w:rsid w:val="6EF513F6"/>
    <w:rsid w:val="6F0230C8"/>
    <w:rsid w:val="6F0357BE"/>
    <w:rsid w:val="6F1F0771"/>
    <w:rsid w:val="6F3669E2"/>
    <w:rsid w:val="6F3A0437"/>
    <w:rsid w:val="6F3E67F6"/>
    <w:rsid w:val="6F452492"/>
    <w:rsid w:val="6F4A77A1"/>
    <w:rsid w:val="6F4E1ABB"/>
    <w:rsid w:val="6F65489B"/>
    <w:rsid w:val="6F7E0543"/>
    <w:rsid w:val="6F86274A"/>
    <w:rsid w:val="6F8A6B50"/>
    <w:rsid w:val="6F9E4E98"/>
    <w:rsid w:val="6FAA07C1"/>
    <w:rsid w:val="6FB536E7"/>
    <w:rsid w:val="6FC169C6"/>
    <w:rsid w:val="6FD20CED"/>
    <w:rsid w:val="700148B1"/>
    <w:rsid w:val="700708F2"/>
    <w:rsid w:val="701D640C"/>
    <w:rsid w:val="70262445"/>
    <w:rsid w:val="70796EB7"/>
    <w:rsid w:val="70846EFD"/>
    <w:rsid w:val="70891E2B"/>
    <w:rsid w:val="709304FC"/>
    <w:rsid w:val="70B21D55"/>
    <w:rsid w:val="70BA4068"/>
    <w:rsid w:val="70BD374B"/>
    <w:rsid w:val="70D54F38"/>
    <w:rsid w:val="70DB4D56"/>
    <w:rsid w:val="70F06D61"/>
    <w:rsid w:val="70F36F46"/>
    <w:rsid w:val="71231B23"/>
    <w:rsid w:val="713B214A"/>
    <w:rsid w:val="714633CE"/>
    <w:rsid w:val="717B7EB5"/>
    <w:rsid w:val="718621EE"/>
    <w:rsid w:val="71894FD2"/>
    <w:rsid w:val="71A3311F"/>
    <w:rsid w:val="71AA4E1C"/>
    <w:rsid w:val="71B12103"/>
    <w:rsid w:val="72005730"/>
    <w:rsid w:val="72280301"/>
    <w:rsid w:val="7231753D"/>
    <w:rsid w:val="72386C6E"/>
    <w:rsid w:val="723A3057"/>
    <w:rsid w:val="72400885"/>
    <w:rsid w:val="724B6026"/>
    <w:rsid w:val="725273EA"/>
    <w:rsid w:val="725B1897"/>
    <w:rsid w:val="72603689"/>
    <w:rsid w:val="726C47BC"/>
    <w:rsid w:val="726F4DBD"/>
    <w:rsid w:val="72CD2240"/>
    <w:rsid w:val="72D57472"/>
    <w:rsid w:val="72DC19E2"/>
    <w:rsid w:val="72EC4E12"/>
    <w:rsid w:val="73373DED"/>
    <w:rsid w:val="73391B68"/>
    <w:rsid w:val="733F7A24"/>
    <w:rsid w:val="735C44F0"/>
    <w:rsid w:val="73691968"/>
    <w:rsid w:val="736A01CD"/>
    <w:rsid w:val="736B4D35"/>
    <w:rsid w:val="73741988"/>
    <w:rsid w:val="73752768"/>
    <w:rsid w:val="73814929"/>
    <w:rsid w:val="7393399F"/>
    <w:rsid w:val="739509AF"/>
    <w:rsid w:val="73984022"/>
    <w:rsid w:val="73C11347"/>
    <w:rsid w:val="73E2421D"/>
    <w:rsid w:val="74000D97"/>
    <w:rsid w:val="740D2C3B"/>
    <w:rsid w:val="74185CCF"/>
    <w:rsid w:val="741D2E7E"/>
    <w:rsid w:val="74381F4E"/>
    <w:rsid w:val="7460720F"/>
    <w:rsid w:val="74694C3B"/>
    <w:rsid w:val="746A6AAD"/>
    <w:rsid w:val="747A4FBC"/>
    <w:rsid w:val="748051BB"/>
    <w:rsid w:val="748B466B"/>
    <w:rsid w:val="749018A2"/>
    <w:rsid w:val="74B84955"/>
    <w:rsid w:val="74D94903"/>
    <w:rsid w:val="74DC7834"/>
    <w:rsid w:val="74E271F1"/>
    <w:rsid w:val="74F17E67"/>
    <w:rsid w:val="75326EC3"/>
    <w:rsid w:val="754B7577"/>
    <w:rsid w:val="7551327B"/>
    <w:rsid w:val="755F3E02"/>
    <w:rsid w:val="755F782E"/>
    <w:rsid w:val="757F5473"/>
    <w:rsid w:val="75A16A9F"/>
    <w:rsid w:val="75BC6CCF"/>
    <w:rsid w:val="75E27D49"/>
    <w:rsid w:val="761867BE"/>
    <w:rsid w:val="76365AD0"/>
    <w:rsid w:val="765D57EA"/>
    <w:rsid w:val="7688585F"/>
    <w:rsid w:val="76C23869"/>
    <w:rsid w:val="76F54CF0"/>
    <w:rsid w:val="76FD5906"/>
    <w:rsid w:val="77072866"/>
    <w:rsid w:val="770B684E"/>
    <w:rsid w:val="771D50F3"/>
    <w:rsid w:val="77204CB1"/>
    <w:rsid w:val="775748F9"/>
    <w:rsid w:val="777C1603"/>
    <w:rsid w:val="77A14CDE"/>
    <w:rsid w:val="77AA2F7D"/>
    <w:rsid w:val="77B238DE"/>
    <w:rsid w:val="77C96BD3"/>
    <w:rsid w:val="78266CE5"/>
    <w:rsid w:val="7827421F"/>
    <w:rsid w:val="782B4A23"/>
    <w:rsid w:val="78301161"/>
    <w:rsid w:val="78302F8F"/>
    <w:rsid w:val="783E28E5"/>
    <w:rsid w:val="784117AB"/>
    <w:rsid w:val="78510397"/>
    <w:rsid w:val="78552936"/>
    <w:rsid w:val="78731F0E"/>
    <w:rsid w:val="78754CBA"/>
    <w:rsid w:val="78962FA5"/>
    <w:rsid w:val="78C148AC"/>
    <w:rsid w:val="78CA1FEE"/>
    <w:rsid w:val="78CB3FEB"/>
    <w:rsid w:val="78D444A0"/>
    <w:rsid w:val="793B5CE2"/>
    <w:rsid w:val="795C411F"/>
    <w:rsid w:val="796834B3"/>
    <w:rsid w:val="797B3C8A"/>
    <w:rsid w:val="797F45FC"/>
    <w:rsid w:val="79970647"/>
    <w:rsid w:val="79D9682C"/>
    <w:rsid w:val="79DB75C0"/>
    <w:rsid w:val="79E37881"/>
    <w:rsid w:val="79E4486C"/>
    <w:rsid w:val="79EA2E0E"/>
    <w:rsid w:val="79ED08FA"/>
    <w:rsid w:val="7A0360C6"/>
    <w:rsid w:val="7A067AFA"/>
    <w:rsid w:val="7A0C585A"/>
    <w:rsid w:val="7A2C7450"/>
    <w:rsid w:val="7A326B5A"/>
    <w:rsid w:val="7A553725"/>
    <w:rsid w:val="7A616D0A"/>
    <w:rsid w:val="7A7F2C76"/>
    <w:rsid w:val="7A8506C2"/>
    <w:rsid w:val="7A8814C8"/>
    <w:rsid w:val="7AAC462A"/>
    <w:rsid w:val="7AE85868"/>
    <w:rsid w:val="7AF84FA0"/>
    <w:rsid w:val="7AF909C6"/>
    <w:rsid w:val="7B6F1BD0"/>
    <w:rsid w:val="7B732126"/>
    <w:rsid w:val="7B755C15"/>
    <w:rsid w:val="7B7B20CE"/>
    <w:rsid w:val="7B8E1216"/>
    <w:rsid w:val="7B9962AD"/>
    <w:rsid w:val="7B9A1345"/>
    <w:rsid w:val="7BAD0F8C"/>
    <w:rsid w:val="7BC167E5"/>
    <w:rsid w:val="7BCA6C86"/>
    <w:rsid w:val="7C044DA1"/>
    <w:rsid w:val="7C2B3C5E"/>
    <w:rsid w:val="7C2E19A1"/>
    <w:rsid w:val="7C365DE1"/>
    <w:rsid w:val="7CA33449"/>
    <w:rsid w:val="7CCE4D69"/>
    <w:rsid w:val="7D0A0BA4"/>
    <w:rsid w:val="7D107AF3"/>
    <w:rsid w:val="7D3C4514"/>
    <w:rsid w:val="7D4253C7"/>
    <w:rsid w:val="7D4C5341"/>
    <w:rsid w:val="7D4E5EE6"/>
    <w:rsid w:val="7D6E02A7"/>
    <w:rsid w:val="7D8901AD"/>
    <w:rsid w:val="7D8E577D"/>
    <w:rsid w:val="7D9A426A"/>
    <w:rsid w:val="7DD02D0F"/>
    <w:rsid w:val="7E006F08"/>
    <w:rsid w:val="7E333E03"/>
    <w:rsid w:val="7E391FE6"/>
    <w:rsid w:val="7E90249F"/>
    <w:rsid w:val="7E916762"/>
    <w:rsid w:val="7EA916FD"/>
    <w:rsid w:val="7EAB552B"/>
    <w:rsid w:val="7EBE700C"/>
    <w:rsid w:val="7EE53C64"/>
    <w:rsid w:val="7F492E42"/>
    <w:rsid w:val="7F541580"/>
    <w:rsid w:val="7F590594"/>
    <w:rsid w:val="7F6000C3"/>
    <w:rsid w:val="7F667225"/>
    <w:rsid w:val="7F844A6E"/>
    <w:rsid w:val="7FAA1C29"/>
    <w:rsid w:val="7FAC4830"/>
    <w:rsid w:val="7FB659E5"/>
    <w:rsid w:val="7FB7407D"/>
    <w:rsid w:val="7FBF303C"/>
    <w:rsid w:val="7FEF65CD"/>
    <w:rsid w:val="7FF337B8"/>
    <w:rsid w:val="7FF60A27"/>
    <w:rsid w:val="7FF61A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8">
    <w:name w:val="Default Paragraph Font"/>
    <w:semiHidden/>
    <w:qFormat/>
    <w:uiPriority w:val="0"/>
  </w:style>
  <w:style w:type="table" w:default="1" w:styleId="16">
    <w:name w:val="Normal Table"/>
    <w:semiHidden/>
    <w:qFormat/>
    <w:uiPriority w:val="0"/>
    <w:tblPr>
      <w:tblCellMar>
        <w:top w:w="0" w:type="dxa"/>
        <w:left w:w="108" w:type="dxa"/>
        <w:bottom w:w="0" w:type="dxa"/>
        <w:right w:w="108" w:type="dxa"/>
      </w:tblCellMar>
    </w:tblPr>
  </w:style>
  <w:style w:type="paragraph" w:styleId="5">
    <w:name w:val="annotation text"/>
    <w:basedOn w:val="1"/>
    <w:qFormat/>
    <w:uiPriority w:val="0"/>
    <w:pPr>
      <w:jc w:val="left"/>
    </w:pPr>
    <w:rPr>
      <w:rFonts w:eastAsia="宋体"/>
      <w:kern w:val="2"/>
      <w:sz w:val="21"/>
      <w:szCs w:val="24"/>
      <w:lang w:val="en-US" w:eastAsia="zh-CN" w:bidi="ar-SA"/>
    </w:rPr>
  </w:style>
  <w:style w:type="paragraph" w:styleId="6">
    <w:name w:val="Body Text 3"/>
    <w:basedOn w:val="1"/>
    <w:qFormat/>
    <w:uiPriority w:val="0"/>
    <w:rPr>
      <w:rFonts w:ascii="宋体"/>
      <w:sz w:val="24"/>
      <w:szCs w:val="20"/>
    </w:rPr>
  </w:style>
  <w:style w:type="paragraph" w:styleId="7">
    <w:name w:val="Body Text"/>
    <w:basedOn w:val="1"/>
    <w:qFormat/>
    <w:uiPriority w:val="0"/>
    <w:pPr>
      <w:spacing w:after="120"/>
    </w:p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7"/>
    <w:qFormat/>
    <w:uiPriority w:val="0"/>
    <w:pPr>
      <w:ind w:firstLine="420" w:firstLineChars="100"/>
    </w:p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basedOn w:val="18"/>
    <w:qFormat/>
    <w:uiPriority w:val="0"/>
  </w:style>
  <w:style w:type="paragraph" w:customStyle="1" w:styleId="20">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21">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22">
    <w:name w:val="5正文"/>
    <w:qFormat/>
    <w:uiPriority w:val="0"/>
    <w:pPr>
      <w:spacing w:after="200" w:line="360" w:lineRule="auto"/>
      <w:ind w:right="210" w:rightChars="100"/>
    </w:pPr>
    <w:rPr>
      <w:rFonts w:ascii="Calibri" w:hAnsi="Calibri" w:eastAsia="方正仿宋_GB2312" w:cs="Times New Roman"/>
      <w:sz w:val="24"/>
      <w:szCs w:val="21"/>
      <w:lang w:val="en-US" w:eastAsia="zh-CN" w:bidi="ar-SA"/>
    </w:rPr>
  </w:style>
  <w:style w:type="paragraph" w:customStyle="1" w:styleId="23">
    <w:name w:val="列出段落1"/>
    <w:basedOn w:val="1"/>
    <w:qFormat/>
    <w:uiPriority w:val="34"/>
    <w:pPr>
      <w:ind w:firstLine="420" w:firstLineChars="200"/>
    </w:pPr>
  </w:style>
  <w:style w:type="character" w:customStyle="1" w:styleId="24">
    <w:name w:val="font11"/>
    <w:basedOn w:val="18"/>
    <w:qFormat/>
    <w:uiPriority w:val="0"/>
    <w:rPr>
      <w:rFonts w:ascii="Calibri" w:hAnsi="Calibri" w:cs="Calibri"/>
      <w:color w:val="000000"/>
      <w:sz w:val="21"/>
      <w:szCs w:val="21"/>
      <w:u w:val="none"/>
    </w:rPr>
  </w:style>
  <w:style w:type="character" w:customStyle="1" w:styleId="25">
    <w:name w:val="font21"/>
    <w:basedOn w:val="18"/>
    <w:qFormat/>
    <w:uiPriority w:val="0"/>
    <w:rPr>
      <w:rFonts w:hint="eastAsia" w:ascii="宋体" w:hAnsi="宋体" w:eastAsia="宋体" w:cs="宋体"/>
      <w:color w:val="000000"/>
      <w:sz w:val="21"/>
      <w:szCs w:val="21"/>
      <w:u w:val="none"/>
    </w:rPr>
  </w:style>
  <w:style w:type="character" w:customStyle="1" w:styleId="26">
    <w:name w:val="font01"/>
    <w:basedOn w:val="18"/>
    <w:qFormat/>
    <w:uiPriority w:val="0"/>
    <w:rPr>
      <w:rFonts w:ascii="Calibri" w:hAnsi="Calibri" w:cs="Calibri"/>
      <w:color w:val="000000"/>
      <w:sz w:val="21"/>
      <w:szCs w:val="21"/>
      <w:u w:val="none"/>
    </w:rPr>
  </w:style>
  <w:style w:type="character" w:customStyle="1" w:styleId="27">
    <w:name w:val="font31"/>
    <w:basedOn w:val="18"/>
    <w:qFormat/>
    <w:uiPriority w:val="0"/>
    <w:rPr>
      <w:rFonts w:hint="default" w:ascii="Calibri" w:hAnsi="Calibri" w:cs="Calibri"/>
      <w:color w:val="000000"/>
      <w:sz w:val="21"/>
      <w:szCs w:val="21"/>
      <w:u w:val="none"/>
    </w:rPr>
  </w:style>
  <w:style w:type="paragraph" w:customStyle="1" w:styleId="28">
    <w:name w:val="Table Paragraph"/>
    <w:basedOn w:val="1"/>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53</Pages>
  <Words>3554</Words>
  <Characters>4601</Characters>
  <Lines>0</Lines>
  <Paragraphs>0</Paragraphs>
  <TotalTime>22</TotalTime>
  <ScaleCrop>false</ScaleCrop>
  <LinksUpToDate>false</LinksUpToDate>
  <CharactersWithSpaces>4665</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张迪</cp:lastModifiedBy>
  <cp:lastPrinted>2024-10-18T08:04:00Z</cp:lastPrinted>
  <dcterms:modified xsi:type="dcterms:W3CDTF">2024-11-05T02:30:25Z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3DC1C1C5EC6741F69426F536341F9981</vt:lpwstr>
  </property>
</Properties>
</file>