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11C8AF">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5D3B53C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B9406F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0BFE66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水安凤栖上院34号地块工程项目发泡混凝土施工</w:t>
      </w:r>
    </w:p>
    <w:p w14:paraId="4E7832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5D87F3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605E69D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5226605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9B516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671DB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AHTKJS-2024-80号</w:t>
      </w:r>
    </w:p>
    <w:p w14:paraId="48B5635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01B998E1">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449E8BE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39AA3A0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375F68C">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3E0245BC">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33C9749A">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0E3C7000">
      <w:pPr>
        <w:spacing w:line="540" w:lineRule="exact"/>
        <w:rPr>
          <w:rFonts w:hint="default" w:ascii="Times New Roman" w:hAnsi="Times New Roman" w:cs="Times New Roman"/>
        </w:rPr>
      </w:pPr>
    </w:p>
    <w:p w14:paraId="5566A002">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1888C664">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34272732">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536D4038">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510F9EB9">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60784DCF">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376CB377">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7A3544CA">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75D336C6">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4210CCBD">
      <w:pPr>
        <w:spacing w:line="540" w:lineRule="exact"/>
        <w:rPr>
          <w:rFonts w:hint="default" w:ascii="Times New Roman" w:hAnsi="Times New Roman" w:cs="Times New Roman"/>
        </w:rPr>
      </w:pPr>
    </w:p>
    <w:p w14:paraId="2087D531">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1C14B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0319F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96424B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A149E0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74B2B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0F59498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026E98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516DDA9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4D6DA80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7F8F1C3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558C8EC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6777465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5D13440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7B378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08EF35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8EF1F2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2EB8E9C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6F67686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57AA470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5D071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05549C8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356D2B0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57EF370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43579136">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w:t>
            </w:r>
            <w:bookmarkStart w:id="6" w:name="_GoBack"/>
            <w:bookmarkEnd w:id="6"/>
            <w:r>
              <w:rPr>
                <w:rFonts w:hint="eastAsia" w:ascii="Times New Roman" w:hAnsi="Times New Roman" w:cs="Times New Roman"/>
                <w:szCs w:val="21"/>
                <w:highlight w:val="none"/>
                <w:lang w:val="en-US" w:eastAsia="zh-CN"/>
              </w:rPr>
              <w:t>建设工程有限公司</w:t>
            </w:r>
          </w:p>
          <w:p w14:paraId="41606877">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地址：亳州交通投资控股集团有限公司15楼（药都路与希夷大道交叉口东北角15楼）</w:t>
            </w:r>
          </w:p>
          <w:p w14:paraId="2FE2FEF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水安凤栖上院34号地块工程项目发泡混凝土施工</w:t>
            </w:r>
            <w:r>
              <w:rPr>
                <w:rFonts w:hint="eastAsia" w:ascii="Times New Roman" w:hAnsi="Times New Roman" w:cs="Times New Roman"/>
                <w:szCs w:val="21"/>
                <w:highlight w:val="none"/>
                <w:lang w:val="en-US" w:eastAsia="zh-CN"/>
              </w:rPr>
              <w:t>响应文件</w:t>
            </w:r>
          </w:p>
          <w:p w14:paraId="6E0BBB81">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项目编号：AHTKJS-2024-80号</w:t>
            </w:r>
          </w:p>
          <w:p w14:paraId="735CC26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年10月29日16时00分</w:t>
            </w:r>
            <w:r>
              <w:rPr>
                <w:rFonts w:hint="eastAsia" w:ascii="Times New Roman" w:hAnsi="Times New Roman" w:cs="Times New Roman"/>
                <w:szCs w:val="21"/>
                <w:highlight w:val="none"/>
                <w:lang w:val="en-US" w:eastAsia="zh-CN"/>
              </w:rPr>
              <w:t>前不得开启</w:t>
            </w:r>
          </w:p>
        </w:tc>
      </w:tr>
      <w:tr w14:paraId="2B2DD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21908EA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3516E6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42A72D95">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tc>
      </w:tr>
    </w:tbl>
    <w:p w14:paraId="00A7F209">
      <w:pPr>
        <w:spacing w:line="540" w:lineRule="exact"/>
        <w:rPr>
          <w:rFonts w:hint="eastAsia" w:ascii="Times New Roman" w:hAnsi="Times New Roman" w:cs="Times New Roman"/>
          <w:highlight w:val="none"/>
          <w:lang w:val="en-US" w:eastAsia="zh-CN"/>
        </w:rPr>
      </w:pPr>
    </w:p>
    <w:p w14:paraId="394BC55C">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744AF46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52042583"/>
      <w:bookmarkStart w:id="1" w:name="_Toc144974862"/>
      <w:bookmarkStart w:id="2" w:name="_Toc300835216"/>
      <w:bookmarkStart w:id="3" w:name="_Toc247514286"/>
      <w:bookmarkStart w:id="4" w:name="_Toc247527834"/>
      <w:bookmarkStart w:id="5" w:name="_Toc152045794"/>
      <w:r>
        <w:rPr>
          <w:rFonts w:hint="eastAsia" w:ascii="黑体" w:hAnsi="黑体" w:eastAsia="黑体" w:cs="黑体"/>
          <w:b w:val="0"/>
          <w:bCs w:val="0"/>
          <w:color w:val="000000"/>
          <w:sz w:val="32"/>
          <w:szCs w:val="32"/>
          <w:lang w:val="en-US" w:eastAsia="zh-CN"/>
        </w:rPr>
        <w:t>一、报价函</w:t>
      </w:r>
    </w:p>
    <w:p w14:paraId="5AC6C27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7DAE836A">
      <w:pPr>
        <w:spacing w:line="440" w:lineRule="exact"/>
        <w:rPr>
          <w:rFonts w:hint="default" w:ascii="Times New Roman" w:hAnsi="Times New Roman" w:cs="Times New Roman" w:eastAsiaTheme="minorEastAsia"/>
          <w:sz w:val="20"/>
          <w:szCs w:val="20"/>
          <w:highlight w:val="none"/>
          <w:lang w:val="en-US" w:eastAsia="zh-CN"/>
        </w:rPr>
      </w:pPr>
    </w:p>
    <w:p w14:paraId="13F9961C">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安徽通康建设工程有限公司</w:t>
      </w:r>
      <w:permEnd w:id="0"/>
      <w:r>
        <w:rPr>
          <w:rFonts w:hint="eastAsia" w:ascii="Times New Roman" w:hAnsi="Times New Roman" w:cs="Times New Roman"/>
          <w:szCs w:val="21"/>
          <w:lang w:val="en-US" w:eastAsia="zh-CN"/>
        </w:rPr>
        <w:t>：</w:t>
      </w:r>
    </w:p>
    <w:p w14:paraId="6AD8A08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水安凤栖上院34号地块工程项目发泡混凝土施工</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AHTKJS-2024-80号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4C2BA454">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水安凤栖上院34号地块工程项目发泡混凝土施工</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AHTKJS-2024-80号</w:t>
      </w:r>
      <w:r>
        <w:rPr>
          <w:rFonts w:hint="default" w:ascii="Times New Roman" w:hAnsi="Times New Roman" w:cs="Times New Roman"/>
          <w:szCs w:val="21"/>
          <w:u w:val="single"/>
          <w:lang w:val="en-US" w:eastAsia="zh-CN"/>
        </w:rPr>
        <w:t>）</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，计划工期：自招标人下达开工指令之日起</w:t>
      </w:r>
      <w:r>
        <w:rPr>
          <w:rFonts w:hint="eastAsia" w:ascii="Times New Roman" w:hAnsi="Times New Roman" w:cs="Times New Roman"/>
          <w:szCs w:val="21"/>
          <w:u w:val="single"/>
          <w:lang w:val="en-US" w:eastAsia="zh-CN"/>
        </w:rPr>
        <w:t>180</w:t>
      </w:r>
      <w:r>
        <w:rPr>
          <w:rFonts w:hint="eastAsia" w:ascii="Times New Roman" w:hAnsi="Times New Roman" w:cs="Times New Roman"/>
          <w:szCs w:val="21"/>
          <w:lang w:val="en-US" w:eastAsia="zh-CN"/>
        </w:rPr>
        <w:t>日历天，质量标准：符合国家、地方、行业现行相关规范合格标准。</w:t>
      </w:r>
      <w:permEnd w:id="3"/>
    </w:p>
    <w:p w14:paraId="5E408186">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42408427">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（一）报价函；（二）法定代表人（单位负责人）身份证明；（二）授权委托书；（三）分项报价表；（四）资格审查资料；（五）其他资料。</w:t>
      </w:r>
    </w:p>
    <w:p w14:paraId="58ED4291">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62C7F07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7E6CE3C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313416C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1A193EC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419138FA">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7B6E6670">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0D735E4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453E073D">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2316B68B">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AEEADC6">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1AA16F6F">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55A35CA9">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6B80ACA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530A89B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7911EF25">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9CE8A61">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5D64BAD">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41BB7BC6">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E2067C5">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59F12AF4">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6BF29655">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10B32188">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77C2D728">
      <w:pPr>
        <w:spacing w:line="440" w:lineRule="exact"/>
        <w:rPr>
          <w:rFonts w:hint="default" w:ascii="Times New Roman" w:hAnsi="Times New Roman" w:cs="Times New Roman"/>
          <w:szCs w:val="21"/>
        </w:rPr>
      </w:pPr>
    </w:p>
    <w:p w14:paraId="5CC167E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44116D0A">
      <w:pPr>
        <w:spacing w:line="440" w:lineRule="exact"/>
        <w:rPr>
          <w:rFonts w:hint="default" w:ascii="Times New Roman" w:hAnsi="Times New Roman" w:cs="Times New Roman"/>
          <w:szCs w:val="21"/>
        </w:rPr>
      </w:pPr>
    </w:p>
    <w:p w14:paraId="11EB6448">
      <w:pPr>
        <w:spacing w:line="440" w:lineRule="exact"/>
        <w:rPr>
          <w:rFonts w:hint="default" w:ascii="Times New Roman" w:hAnsi="Times New Roman" w:cs="Times New Roman"/>
          <w:szCs w:val="21"/>
        </w:rPr>
      </w:pPr>
    </w:p>
    <w:p w14:paraId="0234CD9F">
      <w:pPr>
        <w:spacing w:line="440" w:lineRule="exact"/>
        <w:rPr>
          <w:rFonts w:hint="default" w:ascii="Times New Roman" w:hAnsi="Times New Roman" w:cs="Times New Roman"/>
          <w:szCs w:val="21"/>
        </w:rPr>
      </w:pPr>
    </w:p>
    <w:p w14:paraId="61A8B726">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E1130E9">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0E914AA2">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3D3942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615D249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4EC1C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777218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0E391078">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0E32B9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66B09E4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0F1EAA73">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7D998760">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32E77FE">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695AEA09">
      <w:pPr>
        <w:spacing w:line="440" w:lineRule="exact"/>
        <w:ind w:firstLine="420" w:firstLineChars="200"/>
        <w:rPr>
          <w:rFonts w:hint="default" w:ascii="Times New Roman" w:hAnsi="Times New Roman" w:cs="Times New Roman"/>
          <w:szCs w:val="21"/>
        </w:rPr>
      </w:pPr>
    </w:p>
    <w:p w14:paraId="28CAF3B0">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770E3949">
      <w:pPr>
        <w:spacing w:line="440" w:lineRule="exact"/>
        <w:ind w:firstLine="420" w:firstLineChars="200"/>
        <w:rPr>
          <w:rFonts w:hint="eastAsia" w:ascii="Times New Roman" w:hAnsi="Times New Roman" w:cs="Times New Roman"/>
          <w:szCs w:val="21"/>
          <w:lang w:val="en-US" w:eastAsia="zh-CN"/>
        </w:rPr>
      </w:pPr>
    </w:p>
    <w:p w14:paraId="05D265B0">
      <w:pPr>
        <w:spacing w:line="440" w:lineRule="exact"/>
        <w:rPr>
          <w:rFonts w:hint="default" w:ascii="Times New Roman" w:hAnsi="Times New Roman" w:cs="Times New Roman"/>
          <w:szCs w:val="21"/>
        </w:rPr>
      </w:pPr>
    </w:p>
    <w:p w14:paraId="1968D71E">
      <w:pPr>
        <w:spacing w:line="440" w:lineRule="exact"/>
        <w:rPr>
          <w:rFonts w:hint="default" w:ascii="Times New Roman" w:hAnsi="Times New Roman" w:cs="Times New Roman"/>
          <w:szCs w:val="21"/>
        </w:rPr>
      </w:pPr>
    </w:p>
    <w:p w14:paraId="1E4A4CB9">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C0DAA62">
      <w:pPr>
        <w:spacing w:line="440" w:lineRule="exact"/>
        <w:rPr>
          <w:rFonts w:hint="default" w:ascii="Times New Roman" w:hAnsi="Times New Roman" w:cs="Times New Roman"/>
          <w:szCs w:val="21"/>
        </w:rPr>
      </w:pPr>
    </w:p>
    <w:p w14:paraId="4F8A3AFE">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09DB2D55">
      <w:pPr>
        <w:spacing w:line="440" w:lineRule="exact"/>
        <w:rPr>
          <w:rFonts w:hint="eastAsia" w:ascii="Times New Roman" w:hAnsi="Times New Roman" w:cs="Times New Roman" w:eastAsiaTheme="minorEastAsia"/>
          <w:szCs w:val="21"/>
          <w:lang w:val="en-US" w:eastAsia="zh-CN"/>
        </w:rPr>
      </w:pPr>
    </w:p>
    <w:p w14:paraId="465D79F5">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5B679C2D">
      <w:pPr>
        <w:spacing w:line="440" w:lineRule="exact"/>
        <w:rPr>
          <w:rFonts w:hint="default" w:ascii="Times New Roman" w:hAnsi="Times New Roman" w:cs="Times New Roman"/>
          <w:szCs w:val="21"/>
        </w:rPr>
      </w:pPr>
    </w:p>
    <w:p w14:paraId="04B4C130">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1F5DBBA2">
      <w:pPr>
        <w:spacing w:line="440" w:lineRule="exact"/>
        <w:rPr>
          <w:rFonts w:hint="default" w:ascii="Times New Roman" w:hAnsi="Times New Roman" w:cs="Times New Roman"/>
          <w:szCs w:val="21"/>
        </w:rPr>
      </w:pPr>
    </w:p>
    <w:p w14:paraId="21490082">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8B95E36">
      <w:pPr>
        <w:spacing w:line="440" w:lineRule="exact"/>
        <w:rPr>
          <w:rFonts w:hint="default" w:ascii="Times New Roman" w:hAnsi="Times New Roman" w:cs="Times New Roman"/>
          <w:szCs w:val="21"/>
        </w:rPr>
      </w:pPr>
    </w:p>
    <w:p w14:paraId="67718503">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953BC86">
      <w:pPr>
        <w:rPr>
          <w:rFonts w:hint="eastAsia" w:ascii="Times New Roman" w:hAnsi="Times New Roman" w:eastAsia="仿宋_GB2312" w:cs="Times New Roman"/>
          <w:color w:val="000000"/>
          <w:sz w:val="28"/>
          <w:szCs w:val="28"/>
          <w:highlight w:val="none"/>
          <w:lang w:val="en-US" w:eastAsia="zh-CN"/>
        </w:rPr>
      </w:pPr>
    </w:p>
    <w:p w14:paraId="7FFEFA15">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1FA5CCC1">
      <w:pPr>
        <w:pStyle w:val="3"/>
        <w:jc w:val="center"/>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33F03E3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230BFD2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1982C5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2257FE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004678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8CD2A0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31F6AA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4D2254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DD1C2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B15698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4E990B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44B1B4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564499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777CCD7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6DEDBB1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67476D3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631DFF1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1588821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03D0AA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EA0AEE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FA4380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1EFE43A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320A9E8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A97B71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2EC78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24A32D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14:paraId="1563D7C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A8A3BCF">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25D79FC5">
      <w:pPr>
        <w:ind w:firstLine="420" w:firstLineChars="200"/>
        <w:rPr>
          <w:rFonts w:hint="eastAsia" w:ascii="Times New Roman" w:hAnsi="Times New Roman" w:cs="Times New Roman"/>
          <w:lang w:val="en-US" w:eastAsia="zh-CN"/>
        </w:rPr>
      </w:pPr>
    </w:p>
    <w:p w14:paraId="7F43FCF0">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tbl>
      <w:tblPr>
        <w:tblStyle w:val="15"/>
        <w:tblpPr w:leftFromText="180" w:rightFromText="180" w:vertAnchor="text" w:horzAnchor="page" w:tblpX="795" w:tblpY="169"/>
        <w:tblOverlap w:val="never"/>
        <w:tblW w:w="10856"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autofit"/>
        <w:tblCellMar>
          <w:top w:w="0" w:type="dxa"/>
          <w:left w:w="108" w:type="dxa"/>
          <w:bottom w:w="0" w:type="dxa"/>
          <w:right w:w="108" w:type="dxa"/>
        </w:tblCellMar>
      </w:tblPr>
      <w:tblGrid>
        <w:gridCol w:w="426"/>
        <w:gridCol w:w="1158"/>
        <w:gridCol w:w="2465"/>
        <w:gridCol w:w="480"/>
        <w:gridCol w:w="1161"/>
        <w:gridCol w:w="816"/>
        <w:gridCol w:w="2779"/>
        <w:gridCol w:w="1571"/>
      </w:tblGrid>
      <w:tr w14:paraId="18FA3A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33" w:hRule="atLeast"/>
        </w:trPr>
        <w:tc>
          <w:tcPr>
            <w:tcW w:w="426" w:type="dxa"/>
            <w:vMerge w:val="restart"/>
            <w:tcBorders>
              <w:tl2br w:val="nil"/>
              <w:tr2bl w:val="nil"/>
            </w:tcBorders>
            <w:shd w:val="clear" w:color="FFFFFF" w:fill="FFFFFF"/>
            <w:vAlign w:val="center"/>
          </w:tcPr>
          <w:p w14:paraId="085E5C97">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58" w:type="dxa"/>
            <w:vMerge w:val="restart"/>
            <w:tcBorders>
              <w:tl2br w:val="nil"/>
              <w:tr2bl w:val="nil"/>
            </w:tcBorders>
            <w:shd w:val="clear" w:color="FFFFFF" w:fill="FFFFFF"/>
            <w:vAlign w:val="center"/>
          </w:tcPr>
          <w:p w14:paraId="602BE1F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465" w:type="dxa"/>
            <w:vMerge w:val="restart"/>
            <w:tcBorders>
              <w:tl2br w:val="nil"/>
              <w:tr2bl w:val="nil"/>
            </w:tcBorders>
            <w:shd w:val="clear" w:color="FFFFFF" w:fill="FFFFFF"/>
            <w:vAlign w:val="center"/>
          </w:tcPr>
          <w:p w14:paraId="4585E14C">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480" w:type="dxa"/>
            <w:vMerge w:val="restart"/>
            <w:tcBorders>
              <w:tl2br w:val="nil"/>
              <w:tr2bl w:val="nil"/>
            </w:tcBorders>
            <w:shd w:val="clear" w:color="FFFFFF" w:fill="FFFFFF"/>
            <w:vAlign w:val="center"/>
          </w:tcPr>
          <w:p w14:paraId="6398458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1161" w:type="dxa"/>
            <w:vMerge w:val="restart"/>
            <w:tcBorders>
              <w:tl2br w:val="nil"/>
              <w:tr2bl w:val="nil"/>
            </w:tcBorders>
            <w:shd w:val="clear" w:color="FFFFFF" w:fill="FFFFFF"/>
            <w:vAlign w:val="center"/>
          </w:tcPr>
          <w:p w14:paraId="36549CA0">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816" w:type="dxa"/>
            <w:vMerge w:val="restart"/>
            <w:tcBorders>
              <w:tl2br w:val="nil"/>
              <w:tr2bl w:val="nil"/>
            </w:tcBorders>
            <w:shd w:val="clear" w:color="FFFFFF" w:fill="FFFFFF"/>
            <w:vAlign w:val="center"/>
          </w:tcPr>
          <w:p w14:paraId="29B01FF2">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税率</w:t>
            </w:r>
          </w:p>
        </w:tc>
        <w:tc>
          <w:tcPr>
            <w:tcW w:w="4350" w:type="dxa"/>
            <w:gridSpan w:val="2"/>
            <w:tcBorders>
              <w:tl2br w:val="nil"/>
              <w:tr2bl w:val="nil"/>
            </w:tcBorders>
            <w:shd w:val="clear" w:color="FFFFFF" w:fill="FFFFFF"/>
            <w:vAlign w:val="center"/>
          </w:tcPr>
          <w:p w14:paraId="4397938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金额（元）</w:t>
            </w:r>
          </w:p>
        </w:tc>
      </w:tr>
      <w:tr w14:paraId="5DBBB7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940" w:hRule="atLeast"/>
        </w:trPr>
        <w:tc>
          <w:tcPr>
            <w:tcW w:w="426" w:type="dxa"/>
            <w:vMerge w:val="continue"/>
            <w:tcBorders>
              <w:tl2br w:val="nil"/>
              <w:tr2bl w:val="nil"/>
            </w:tcBorders>
            <w:shd w:val="clear" w:color="FFFFFF" w:fill="FFFFFF"/>
            <w:vAlign w:val="center"/>
          </w:tcPr>
          <w:p w14:paraId="02A74985">
            <w:pPr>
              <w:jc w:val="center"/>
              <w:rPr>
                <w:rFonts w:hint="eastAsia" w:ascii="黑体" w:hAnsi="宋体" w:eastAsia="黑体" w:cs="黑体"/>
                <w:i w:val="0"/>
                <w:iCs w:val="0"/>
                <w:color w:val="000000"/>
                <w:sz w:val="21"/>
                <w:szCs w:val="21"/>
                <w:u w:val="none"/>
              </w:rPr>
            </w:pPr>
          </w:p>
        </w:tc>
        <w:tc>
          <w:tcPr>
            <w:tcW w:w="1158" w:type="dxa"/>
            <w:vMerge w:val="continue"/>
            <w:tcBorders>
              <w:tl2br w:val="nil"/>
              <w:tr2bl w:val="nil"/>
            </w:tcBorders>
            <w:shd w:val="clear" w:color="FFFFFF" w:fill="FFFFFF"/>
            <w:vAlign w:val="center"/>
          </w:tcPr>
          <w:p w14:paraId="42AFEFA3">
            <w:pPr>
              <w:jc w:val="center"/>
              <w:rPr>
                <w:rFonts w:hint="eastAsia" w:ascii="黑体" w:hAnsi="宋体" w:eastAsia="黑体" w:cs="黑体"/>
                <w:i w:val="0"/>
                <w:iCs w:val="0"/>
                <w:color w:val="000000"/>
                <w:sz w:val="21"/>
                <w:szCs w:val="21"/>
                <w:u w:val="none"/>
              </w:rPr>
            </w:pPr>
          </w:p>
        </w:tc>
        <w:tc>
          <w:tcPr>
            <w:tcW w:w="2465" w:type="dxa"/>
            <w:vMerge w:val="continue"/>
            <w:tcBorders>
              <w:tl2br w:val="nil"/>
              <w:tr2bl w:val="nil"/>
            </w:tcBorders>
            <w:shd w:val="clear" w:color="FFFFFF" w:fill="FFFFFF"/>
            <w:vAlign w:val="center"/>
          </w:tcPr>
          <w:p w14:paraId="077FF4B7">
            <w:pPr>
              <w:jc w:val="center"/>
              <w:rPr>
                <w:rFonts w:hint="eastAsia" w:ascii="黑体" w:hAnsi="宋体" w:eastAsia="黑体" w:cs="黑体"/>
                <w:i w:val="0"/>
                <w:iCs w:val="0"/>
                <w:color w:val="000000"/>
                <w:sz w:val="21"/>
                <w:szCs w:val="21"/>
                <w:u w:val="none"/>
              </w:rPr>
            </w:pPr>
          </w:p>
        </w:tc>
        <w:tc>
          <w:tcPr>
            <w:tcW w:w="480" w:type="dxa"/>
            <w:vMerge w:val="continue"/>
            <w:tcBorders>
              <w:tl2br w:val="nil"/>
              <w:tr2bl w:val="nil"/>
            </w:tcBorders>
            <w:shd w:val="clear" w:color="FFFFFF" w:fill="FFFFFF"/>
            <w:vAlign w:val="center"/>
          </w:tcPr>
          <w:p w14:paraId="61A92065">
            <w:pPr>
              <w:jc w:val="center"/>
              <w:rPr>
                <w:rFonts w:hint="eastAsia" w:ascii="黑体" w:hAnsi="宋体" w:eastAsia="黑体" w:cs="黑体"/>
                <w:i w:val="0"/>
                <w:iCs w:val="0"/>
                <w:color w:val="000000"/>
                <w:sz w:val="21"/>
                <w:szCs w:val="21"/>
                <w:u w:val="none"/>
              </w:rPr>
            </w:pPr>
          </w:p>
        </w:tc>
        <w:tc>
          <w:tcPr>
            <w:tcW w:w="1161" w:type="dxa"/>
            <w:vMerge w:val="continue"/>
            <w:tcBorders>
              <w:tl2br w:val="nil"/>
              <w:tr2bl w:val="nil"/>
            </w:tcBorders>
            <w:shd w:val="clear" w:color="FFFFFF" w:fill="FFFFFF"/>
            <w:vAlign w:val="center"/>
          </w:tcPr>
          <w:p w14:paraId="2DA15D50">
            <w:pPr>
              <w:jc w:val="center"/>
              <w:rPr>
                <w:rFonts w:hint="eastAsia" w:ascii="黑体" w:hAnsi="宋体" w:eastAsia="黑体" w:cs="黑体"/>
                <w:i w:val="0"/>
                <w:iCs w:val="0"/>
                <w:color w:val="000000"/>
                <w:sz w:val="21"/>
                <w:szCs w:val="21"/>
                <w:u w:val="none"/>
              </w:rPr>
            </w:pPr>
          </w:p>
        </w:tc>
        <w:tc>
          <w:tcPr>
            <w:tcW w:w="816" w:type="dxa"/>
            <w:vMerge w:val="continue"/>
            <w:tcBorders>
              <w:tl2br w:val="nil"/>
              <w:tr2bl w:val="nil"/>
            </w:tcBorders>
            <w:shd w:val="clear" w:color="FFFFFF" w:fill="FFFFFF"/>
            <w:vAlign w:val="center"/>
          </w:tcPr>
          <w:p w14:paraId="3AB2C57B">
            <w:pPr>
              <w:jc w:val="center"/>
              <w:rPr>
                <w:rFonts w:hint="eastAsia" w:ascii="黑体" w:hAnsi="宋体" w:eastAsia="黑体" w:cs="黑体"/>
                <w:i w:val="0"/>
                <w:iCs w:val="0"/>
                <w:color w:val="000000"/>
                <w:sz w:val="21"/>
                <w:szCs w:val="21"/>
                <w:u w:val="none"/>
              </w:rPr>
            </w:pPr>
          </w:p>
        </w:tc>
        <w:tc>
          <w:tcPr>
            <w:tcW w:w="2779" w:type="dxa"/>
            <w:tcBorders>
              <w:tl2br w:val="nil"/>
              <w:tr2bl w:val="nil"/>
            </w:tcBorders>
            <w:shd w:val="clear" w:color="FFFFFF" w:fill="FFFFFF"/>
            <w:vAlign w:val="center"/>
          </w:tcPr>
          <w:p w14:paraId="4D4A667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含税单价</w:t>
            </w:r>
          </w:p>
        </w:tc>
        <w:tc>
          <w:tcPr>
            <w:tcW w:w="1571" w:type="dxa"/>
            <w:tcBorders>
              <w:tl2br w:val="nil"/>
              <w:tr2bl w:val="nil"/>
            </w:tcBorders>
            <w:shd w:val="clear" w:color="FFFFFF" w:fill="FFFFFF"/>
            <w:vAlign w:val="center"/>
          </w:tcPr>
          <w:p w14:paraId="73A0CBF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含税合价</w:t>
            </w:r>
          </w:p>
        </w:tc>
      </w:tr>
      <w:tr w14:paraId="558B18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205" w:hRule="atLeast"/>
        </w:trPr>
        <w:tc>
          <w:tcPr>
            <w:tcW w:w="426" w:type="dxa"/>
            <w:tcBorders>
              <w:tl2br w:val="nil"/>
              <w:tr2bl w:val="nil"/>
            </w:tcBorders>
            <w:shd w:val="clear" w:color="auto" w:fill="auto"/>
            <w:vAlign w:val="center"/>
          </w:tcPr>
          <w:p w14:paraId="0B5A58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58" w:type="dxa"/>
            <w:tcBorders>
              <w:tl2br w:val="nil"/>
              <w:tr2bl w:val="nil"/>
            </w:tcBorders>
            <w:shd w:val="clear" w:color="auto" w:fill="auto"/>
            <w:vAlign w:val="center"/>
          </w:tcPr>
          <w:p w14:paraId="0CA37E2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屋面找坡层</w:t>
            </w:r>
          </w:p>
        </w:tc>
        <w:tc>
          <w:tcPr>
            <w:tcW w:w="2465" w:type="dxa"/>
            <w:tcBorders>
              <w:tl2br w:val="nil"/>
              <w:tr2bl w:val="nil"/>
            </w:tcBorders>
            <w:shd w:val="clear" w:color="auto" w:fill="auto"/>
            <w:vAlign w:val="center"/>
          </w:tcPr>
          <w:p w14:paraId="076DCB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1、部位：屋面找坡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2、找坡层厚度：最薄处30mm厚发泡混凝土找坡层2%  3、具体详见图纸、图集、答疑、招标文件、政府相关文件、规范等其它资料，满足验收要求</w:t>
            </w:r>
          </w:p>
        </w:tc>
        <w:tc>
          <w:tcPr>
            <w:tcW w:w="480" w:type="dxa"/>
            <w:tcBorders>
              <w:tl2br w:val="nil"/>
              <w:tr2bl w:val="nil"/>
            </w:tcBorders>
            <w:shd w:val="clear" w:color="auto" w:fill="auto"/>
            <w:vAlign w:val="center"/>
          </w:tcPr>
          <w:p w14:paraId="2D3946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61" w:type="dxa"/>
            <w:tcBorders>
              <w:tl2br w:val="nil"/>
              <w:tr2bl w:val="nil"/>
            </w:tcBorders>
            <w:shd w:val="clear" w:color="auto" w:fill="auto"/>
            <w:vAlign w:val="center"/>
          </w:tcPr>
          <w:p w14:paraId="18BEEEB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7715.670</w:t>
            </w:r>
          </w:p>
        </w:tc>
        <w:tc>
          <w:tcPr>
            <w:tcW w:w="816" w:type="dxa"/>
            <w:tcBorders>
              <w:tl2br w:val="nil"/>
              <w:tr2bl w:val="nil"/>
            </w:tcBorders>
            <w:shd w:val="clear" w:color="auto" w:fill="auto"/>
            <w:vAlign w:val="center"/>
          </w:tcPr>
          <w:p w14:paraId="2EE5E5D8">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2779" w:type="dxa"/>
            <w:tcBorders>
              <w:tl2br w:val="nil"/>
              <w:tr2bl w:val="nil"/>
            </w:tcBorders>
            <w:shd w:val="clear" w:color="auto" w:fill="auto"/>
            <w:vAlign w:val="center"/>
          </w:tcPr>
          <w:p w14:paraId="6568AE4A">
            <w:pPr>
              <w:jc w:val="right"/>
              <w:rPr>
                <w:rFonts w:hint="eastAsia" w:ascii="宋体" w:hAnsi="宋体" w:eastAsia="宋体" w:cs="宋体"/>
                <w:i w:val="0"/>
                <w:iCs w:val="0"/>
                <w:color w:val="000000"/>
                <w:sz w:val="21"/>
                <w:szCs w:val="21"/>
                <w:u w:val="none"/>
              </w:rPr>
            </w:pPr>
          </w:p>
        </w:tc>
        <w:tc>
          <w:tcPr>
            <w:tcW w:w="1571" w:type="dxa"/>
            <w:tcBorders>
              <w:tl2br w:val="nil"/>
              <w:tr2bl w:val="nil"/>
            </w:tcBorders>
            <w:shd w:val="clear" w:color="auto" w:fill="auto"/>
            <w:vAlign w:val="center"/>
          </w:tcPr>
          <w:p w14:paraId="3F577C5B">
            <w:pPr>
              <w:jc w:val="right"/>
              <w:rPr>
                <w:rFonts w:hint="eastAsia" w:ascii="宋体" w:hAnsi="宋体" w:eastAsia="宋体" w:cs="宋体"/>
                <w:i w:val="0"/>
                <w:iCs w:val="0"/>
                <w:color w:val="000000"/>
                <w:sz w:val="21"/>
                <w:szCs w:val="21"/>
                <w:u w:val="none"/>
              </w:rPr>
            </w:pPr>
          </w:p>
        </w:tc>
      </w:tr>
      <w:tr w14:paraId="53D689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518" w:hRule="atLeast"/>
        </w:trPr>
        <w:tc>
          <w:tcPr>
            <w:tcW w:w="426" w:type="dxa"/>
            <w:tcBorders>
              <w:tl2br w:val="nil"/>
              <w:tr2bl w:val="nil"/>
            </w:tcBorders>
            <w:shd w:val="clear" w:color="auto" w:fill="auto"/>
            <w:vAlign w:val="center"/>
          </w:tcPr>
          <w:p w14:paraId="08EDC3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58" w:type="dxa"/>
            <w:tcBorders>
              <w:tl2br w:val="nil"/>
              <w:tr2bl w:val="nil"/>
            </w:tcBorders>
            <w:shd w:val="clear" w:color="auto" w:fill="auto"/>
            <w:vAlign w:val="center"/>
          </w:tcPr>
          <w:p w14:paraId="27F2747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顶板找坡层</w:t>
            </w:r>
          </w:p>
        </w:tc>
        <w:tc>
          <w:tcPr>
            <w:tcW w:w="2465" w:type="dxa"/>
            <w:tcBorders>
              <w:tl2br w:val="nil"/>
              <w:tr2bl w:val="nil"/>
            </w:tcBorders>
            <w:shd w:val="clear" w:color="auto" w:fill="auto"/>
            <w:vAlign w:val="center"/>
          </w:tcPr>
          <w:p w14:paraId="1BE274D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1、部位：地库顶板         2、材料品种、规格、厚度：最薄处30厚发泡混凝土找坡层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3、具体详见图纸、图集、答疑、招标文件、政府相关文件、规范等其它资料，满足验收要求</w:t>
            </w:r>
          </w:p>
        </w:tc>
        <w:tc>
          <w:tcPr>
            <w:tcW w:w="480" w:type="dxa"/>
            <w:tcBorders>
              <w:tl2br w:val="nil"/>
              <w:tr2bl w:val="nil"/>
            </w:tcBorders>
            <w:shd w:val="clear" w:color="auto" w:fill="auto"/>
            <w:vAlign w:val="center"/>
          </w:tcPr>
          <w:p w14:paraId="6F3721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61" w:type="dxa"/>
            <w:tcBorders>
              <w:tl2br w:val="nil"/>
              <w:tr2bl w:val="nil"/>
            </w:tcBorders>
            <w:shd w:val="clear" w:color="auto" w:fill="auto"/>
            <w:vAlign w:val="center"/>
          </w:tcPr>
          <w:p w14:paraId="37D0999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17069.120</w:t>
            </w:r>
          </w:p>
        </w:tc>
        <w:tc>
          <w:tcPr>
            <w:tcW w:w="816" w:type="dxa"/>
            <w:tcBorders>
              <w:tl2br w:val="nil"/>
              <w:tr2bl w:val="nil"/>
            </w:tcBorders>
            <w:shd w:val="clear" w:color="auto" w:fill="auto"/>
            <w:vAlign w:val="center"/>
          </w:tcPr>
          <w:p w14:paraId="5BDCF546">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2779" w:type="dxa"/>
            <w:tcBorders>
              <w:tl2br w:val="nil"/>
              <w:tr2bl w:val="nil"/>
            </w:tcBorders>
            <w:shd w:val="clear" w:color="auto" w:fill="auto"/>
            <w:vAlign w:val="center"/>
          </w:tcPr>
          <w:p w14:paraId="470980FB">
            <w:pPr>
              <w:jc w:val="right"/>
              <w:rPr>
                <w:rFonts w:hint="eastAsia" w:ascii="宋体" w:hAnsi="宋体" w:eastAsia="宋体" w:cs="宋体"/>
                <w:i w:val="0"/>
                <w:iCs w:val="0"/>
                <w:color w:val="000000"/>
                <w:sz w:val="21"/>
                <w:szCs w:val="21"/>
                <w:u w:val="none"/>
              </w:rPr>
            </w:pPr>
          </w:p>
        </w:tc>
        <w:tc>
          <w:tcPr>
            <w:tcW w:w="1571" w:type="dxa"/>
            <w:tcBorders>
              <w:tl2br w:val="nil"/>
              <w:tr2bl w:val="nil"/>
            </w:tcBorders>
            <w:shd w:val="clear" w:color="auto" w:fill="auto"/>
            <w:vAlign w:val="center"/>
          </w:tcPr>
          <w:p w14:paraId="03F52645">
            <w:pPr>
              <w:jc w:val="right"/>
              <w:rPr>
                <w:rFonts w:hint="eastAsia" w:ascii="宋体" w:hAnsi="宋体" w:eastAsia="宋体" w:cs="宋体"/>
                <w:i w:val="0"/>
                <w:iCs w:val="0"/>
                <w:color w:val="000000"/>
                <w:sz w:val="21"/>
                <w:szCs w:val="21"/>
                <w:u w:val="none"/>
              </w:rPr>
            </w:pPr>
          </w:p>
        </w:tc>
      </w:tr>
      <w:tr w14:paraId="7122BD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1218" w:hRule="atLeast"/>
        </w:trPr>
        <w:tc>
          <w:tcPr>
            <w:tcW w:w="9285" w:type="dxa"/>
            <w:gridSpan w:val="7"/>
            <w:tcBorders>
              <w:tl2br w:val="nil"/>
              <w:tr2bl w:val="nil"/>
            </w:tcBorders>
            <w:shd w:val="clear" w:color="auto" w:fill="auto"/>
            <w:vAlign w:val="center"/>
          </w:tcPr>
          <w:p w14:paraId="1A946EAF">
            <w:pPr>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571" w:type="dxa"/>
            <w:tcBorders>
              <w:tl2br w:val="nil"/>
              <w:tr2bl w:val="nil"/>
            </w:tcBorders>
            <w:shd w:val="clear" w:color="auto" w:fill="auto"/>
            <w:vAlign w:val="center"/>
          </w:tcPr>
          <w:p w14:paraId="1AC9782A">
            <w:pPr>
              <w:jc w:val="center"/>
              <w:rPr>
                <w:rFonts w:hint="eastAsia" w:ascii="宋体" w:hAnsi="宋体" w:eastAsia="宋体" w:cs="宋体"/>
                <w:i w:val="0"/>
                <w:iCs w:val="0"/>
                <w:color w:val="000000"/>
                <w:kern w:val="0"/>
                <w:sz w:val="21"/>
                <w:szCs w:val="21"/>
                <w:u w:val="none"/>
                <w:lang w:val="en-US" w:eastAsia="zh-CN" w:bidi="ar"/>
              </w:rPr>
            </w:pPr>
          </w:p>
        </w:tc>
      </w:tr>
    </w:tbl>
    <w:p w14:paraId="2950CC1F">
      <w:pPr>
        <w:ind w:firstLine="420" w:firstLineChars="200"/>
        <w:rPr>
          <w:rFonts w:hint="eastAsia" w:ascii="Times New Roman" w:hAnsi="Times New Roman" w:cs="Times New Roman"/>
          <w:lang w:val="en-US" w:eastAsia="zh-CN"/>
        </w:rPr>
      </w:pPr>
    </w:p>
    <w:p w14:paraId="3996B874">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4380A9F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ADC806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FB50B2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DF091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DF5903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7A1B3C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D2CF76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6466B5D">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p>
    <w:p w14:paraId="6CE2745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5E67E93B">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注：1、提供供应商的营业执照的复印件或扫描件，加盖供应商单位公章；</w:t>
      </w:r>
    </w:p>
    <w:p w14:paraId="49126A27">
      <w:pPr>
        <w:numPr>
          <w:ilvl w:val="0"/>
          <w:numId w:val="0"/>
        </w:numPr>
        <w:topLinePunct/>
        <w:spacing w:line="440" w:lineRule="exact"/>
        <w:ind w:firstLine="840" w:firstLineChars="400"/>
        <w:rPr>
          <w:rFonts w:hint="eastAsia" w:ascii="Times New Roman" w:hAnsi="Times New Roman" w:cs="Times New Roman"/>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2、</w:t>
      </w:r>
      <w:r>
        <w:rPr>
          <w:rFonts w:hint="eastAsia" w:ascii="Times New Roman" w:hAnsi="Times New Roman" w:cs="Times New Roman"/>
          <w:szCs w:val="21"/>
          <w:lang w:val="en-US" w:eastAsia="zh-CN"/>
        </w:rPr>
        <w:t>提供供应商的</w:t>
      </w:r>
      <w:r>
        <w:rPr>
          <w:rFonts w:hint="eastAsia" w:ascii="Times New Roman" w:hAnsi="Times New Roman" w:cs="Times New Roman" w:eastAsiaTheme="minorEastAsia"/>
          <w:kern w:val="2"/>
          <w:sz w:val="21"/>
          <w:szCs w:val="21"/>
          <w:lang w:val="en-US" w:eastAsia="zh-CN" w:bidi="ar-SA"/>
        </w:rPr>
        <w:t>防水防腐保温工程专业承包二级及以上资质和安全生产许可证的复印件或扫描件，加盖供应商单位公章</w:t>
      </w:r>
      <w:r>
        <w:rPr>
          <w:rFonts w:hint="eastAsia" w:ascii="Times New Roman" w:hAnsi="Times New Roman" w:cs="Times New Roman"/>
          <w:kern w:val="2"/>
          <w:sz w:val="21"/>
          <w:szCs w:val="21"/>
          <w:lang w:val="en-US" w:eastAsia="zh-CN" w:bidi="ar-SA"/>
        </w:rPr>
        <w:t>；</w:t>
      </w:r>
    </w:p>
    <w:p w14:paraId="3090E83F">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eastAsiaTheme="minorEastAsia"/>
          <w:kern w:val="2"/>
          <w:sz w:val="21"/>
          <w:szCs w:val="21"/>
          <w:lang w:val="en-US" w:eastAsia="zh-CN" w:bidi="ar-SA"/>
        </w:rPr>
        <w:t>3、</w:t>
      </w:r>
      <w:r>
        <w:rPr>
          <w:rFonts w:hint="eastAsia" w:ascii="Times New Roman" w:hAnsi="Times New Roman" w:cs="Times New Roman"/>
          <w:szCs w:val="21"/>
          <w:lang w:val="en-US" w:eastAsia="zh-CN"/>
        </w:rPr>
        <w:t>提供供应商的业绩合同的复印件或扫描件，加盖供应商单位公章；</w:t>
      </w:r>
    </w:p>
    <w:p w14:paraId="26074235">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4、提供供应商的信用中国查询证明的复印件或扫描件，加盖供应商单位公章。</w:t>
      </w:r>
      <w:permEnd w:id="4"/>
    </w:p>
    <w:p w14:paraId="44596F03">
      <w:pPr>
        <w:topLinePunct/>
        <w:spacing w:line="440" w:lineRule="exact"/>
        <w:ind w:firstLine="420" w:firstLineChars="200"/>
        <w:rPr>
          <w:rFonts w:hint="eastAsia" w:ascii="Times New Roman" w:hAnsi="Times New Roman" w:cs="Times New Roman"/>
          <w:szCs w:val="21"/>
          <w:lang w:val="en-US" w:eastAsia="zh-CN"/>
        </w:rPr>
      </w:pPr>
    </w:p>
    <w:p w14:paraId="72E3A8F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A467C4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851702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E562D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EE915B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6E5A1F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3139E34">
      <w:pPr>
        <w:topLinePunct/>
        <w:spacing w:line="440" w:lineRule="exact"/>
        <w:rPr>
          <w:rFonts w:hint="eastAsia" w:ascii="Times New Roman" w:hAnsi="Times New Roman" w:cs="Times New Roman"/>
          <w:szCs w:val="21"/>
          <w:lang w:val="en-US" w:eastAsia="zh-CN"/>
        </w:rPr>
      </w:pPr>
    </w:p>
    <w:p w14:paraId="4AC2BC8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53CBD286">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FBC8DDE-B980-45BB-8AF2-2524EE5D11C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B6FA6210-4C54-4DC1-B711-470F5E504EDD}"/>
  </w:font>
  <w:font w:name="方正小标宋简体">
    <w:panose1 w:val="02000000000000000000"/>
    <w:charset w:val="86"/>
    <w:family w:val="auto"/>
    <w:pitch w:val="default"/>
    <w:sig w:usb0="00000001" w:usb1="08000000" w:usb2="00000000" w:usb3="00000000" w:csb0="00040000" w:csb1="00000000"/>
    <w:embedRegular r:id="rId3" w:fontKey="{D0DE30B7-5748-4337-B6D9-18C0567C6B41}"/>
  </w:font>
  <w:font w:name="楷体">
    <w:panose1 w:val="02010609060101010101"/>
    <w:charset w:val="86"/>
    <w:family w:val="auto"/>
    <w:pitch w:val="default"/>
    <w:sig w:usb0="800002BF" w:usb1="38CF7CFA" w:usb2="00000016" w:usb3="00000000" w:csb0="00040001" w:csb1="00000000"/>
    <w:embedRegular r:id="rId4" w:fontKey="{CF575DC1-63F8-4096-B1A1-40EE1A1000E5}"/>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A7294C">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7A93C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37A93C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EE967">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25783B"/>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CF5982"/>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E4FBD"/>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0152B"/>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CD5A8B"/>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A60ECE"/>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BB7382"/>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845F24"/>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D4054"/>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3F0D66"/>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C567D4"/>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BB2E4B"/>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1960</Words>
  <Characters>2051</Characters>
  <Lines>0</Lines>
  <Paragraphs>0</Paragraphs>
  <TotalTime>0</TotalTime>
  <ScaleCrop>false</ScaleCrop>
  <LinksUpToDate>false</LinksUpToDate>
  <CharactersWithSpaces>2827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2021-03-03T02:52:00Z</cp:lastPrinted>
  <dcterms:modified xsi:type="dcterms:W3CDTF">2024-10-22T10:36:31Z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E2CB090A92CA4F34AC5824E49CC36B1F</vt:lpwstr>
  </property>
</Properties>
</file>