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水安凤栖上院34号地块工程项目发泡混凝土施工询价公告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167"/>
      <w:bookmarkStart w:id="1" w:name="_Toc152042296"/>
      <w:bookmarkStart w:id="2" w:name="_Toc246996910"/>
      <w:bookmarkStart w:id="3" w:name="_Toc247085681"/>
      <w:bookmarkStart w:id="4" w:name="_Toc296602411"/>
      <w:bookmarkStart w:id="5" w:name="_Toc179632537"/>
      <w:bookmarkStart w:id="6" w:name="_Toc152045520"/>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水安凤栖上院34号地块工程项目发泡混凝土施工</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AHTKJS-2024-80号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r>
        <w:rPr>
          <w:rFonts w:hint="eastAsia" w:asciiTheme="minorEastAsia" w:hAnsiTheme="minorEastAsia" w:cstheme="minorEastAsia"/>
          <w:sz w:val="28"/>
          <w:szCs w:val="28"/>
          <w:highlight w:val="none"/>
          <w:lang w:val="en-US" w:eastAsia="zh-CN"/>
        </w:rPr>
        <w:t xml:space="preserve"> </w:t>
      </w:r>
      <w:permEnd w:id="4"/>
    </w:p>
    <w:p w14:paraId="417F0AA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（二）采购范围：按照设计图纸要求，完成屋面和地库顶板发泡混凝土施工（</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提供水泥，剩余辅材和机械、人工由</w:t>
      </w:r>
      <w:r>
        <w:rPr>
          <w:rFonts w:hint="eastAsia" w:asciiTheme="minorEastAsia" w:hAnsiTheme="minorEastAsia" w:cstheme="minorEastAsia"/>
          <w:sz w:val="28"/>
          <w:szCs w:val="28"/>
          <w:highlight w:val="none"/>
          <w:lang w:val="en-US" w:eastAsia="zh-CN"/>
        </w:rPr>
        <w:t>成交人</w:t>
      </w:r>
      <w:r>
        <w:rPr>
          <w:rFonts w:hint="eastAsia" w:asciiTheme="minorEastAsia" w:hAnsiTheme="minorEastAsia" w:eastAsiaTheme="minorEastAsia" w:cstheme="minorEastAsia"/>
          <w:sz w:val="28"/>
          <w:szCs w:val="28"/>
          <w:highlight w:val="none"/>
          <w:lang w:val="en-US" w:eastAsia="zh-CN"/>
        </w:rPr>
        <w:t>承担，其费用综合考虑纳入报价）。具体详见图纸及清单。</w:t>
      </w:r>
    </w:p>
    <w:p w14:paraId="34727E7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（三）服务期限：自招标人下达开工指令之日起180日历天。</w:t>
      </w:r>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5"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5"/>
    </w:p>
    <w:p w14:paraId="6311E4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6" w:edGrp="everyone"/>
      <w:r>
        <w:rPr>
          <w:rFonts w:hint="eastAsia" w:asciiTheme="minorEastAsia" w:hAnsiTheme="minorEastAsia" w:cstheme="minorEastAsia"/>
          <w:color w:val="FF0000"/>
          <w:sz w:val="28"/>
          <w:szCs w:val="28"/>
          <w:highlight w:val="none"/>
          <w:lang w:val="en-US" w:eastAsia="zh-CN"/>
        </w:rPr>
        <w:t>（含税，3%）</w:t>
      </w:r>
      <w:permEnd w:id="6"/>
      <w:r>
        <w:rPr>
          <w:rFonts w:hint="eastAsia" w:asciiTheme="minorEastAsia" w:hAnsiTheme="minorEastAsia" w:eastAsiaTheme="minorEastAsia" w:cstheme="minorEastAsia"/>
          <w:sz w:val="28"/>
          <w:szCs w:val="28"/>
          <w:highlight w:val="none"/>
          <w:lang w:val="en-US" w:eastAsia="zh-CN"/>
        </w:rPr>
        <w:t>：198278.32元，供应商按固定单价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52B023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）具有防水防腐保温工程专业承包二级及以上资质和安全生产许可证；</w:t>
      </w:r>
    </w:p>
    <w:p w14:paraId="754462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8" w:edGrp="everyone"/>
      <w:r>
        <w:rPr>
          <w:rFonts w:hint="eastAsia" w:asciiTheme="minorEastAsia" w:hAnsiTheme="minorEastAsia" w:eastAsiaTheme="minorEastAsia" w:cstheme="minorEastAsia"/>
          <w:sz w:val="28"/>
          <w:szCs w:val="28"/>
          <w:highlight w:val="none"/>
          <w:lang w:val="en-US" w:eastAsia="zh-CN"/>
        </w:rPr>
        <w:t>合同签订时间</w:t>
      </w:r>
      <w:permEnd w:id="8"/>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单项合同金额不低于15万元发泡混凝土施工业绩</w:t>
      </w:r>
      <w:r>
        <w:rPr>
          <w:rFonts w:hint="eastAsia" w:asciiTheme="minorEastAsia" w:hAnsiTheme="minorEastAsia" w:eastAsiaTheme="minorEastAsia" w:cstheme="minorEastAsia"/>
          <w:sz w:val="28"/>
          <w:szCs w:val="28"/>
          <w:highlight w:val="none"/>
          <w:lang w:val="en-US" w:eastAsia="zh-CN"/>
        </w:rPr>
        <w:t>；</w:t>
      </w:r>
    </w:p>
    <w:p w14:paraId="1D74CA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9" w:edGrp="everyone"/>
      <w:r>
        <w:rPr>
          <w:rFonts w:hint="default" w:asciiTheme="minorEastAsia" w:hAnsiTheme="minorEastAsia" w:eastAsiaTheme="minorEastAsia" w:cstheme="minorEastAsia"/>
          <w:sz w:val="28"/>
          <w:szCs w:val="28"/>
          <w:highlight w:val="none"/>
          <w:lang w:val="en-US" w:eastAsia="zh-CN"/>
        </w:rPr>
        <w:t>提供业绩合同的复印件或扫描件加盖单位公章装订入投标文件中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ermEnd w:id="9"/>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1"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1"/>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2"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2"/>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3"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3"/>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4" w:edGrp="everyone"/>
      <w:r>
        <w:rPr>
          <w:rFonts w:hint="eastAsia" w:asciiTheme="minorEastAsia" w:hAnsiTheme="minorEastAsia" w:cstheme="minorEastAsia"/>
          <w:color w:val="FF0000"/>
          <w:sz w:val="28"/>
          <w:szCs w:val="28"/>
          <w:highlight w:val="none"/>
          <w:lang w:val="en-US" w:eastAsia="zh-CN"/>
        </w:rPr>
        <w:t>AHTKJS-2024-80号</w:t>
      </w:r>
      <w:r>
        <w:rPr>
          <w:rFonts w:hint="eastAsia" w:asciiTheme="minorEastAsia" w:hAnsiTheme="minorEastAsia" w:eastAsiaTheme="minorEastAsia" w:cstheme="minorEastAsia"/>
          <w:color w:val="FF0000"/>
          <w:sz w:val="28"/>
          <w:szCs w:val="28"/>
          <w:highlight w:val="none"/>
          <w:lang w:val="en-US" w:eastAsia="zh-CN"/>
        </w:rPr>
        <w:t>保证金</w:t>
      </w:r>
      <w:permEnd w:id="1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5"/>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6"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6"/>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7"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7"/>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8"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8"/>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9"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9"/>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29319C4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无预付款；当月进度完成时，支付当期已完工合格工程量价款的80%；竣工验收通过后（五方责任主体验收通过），工程款付至累计产值合格价款的85%。工程结算审核完成后付至最终结算价款的97%；余款3%作为质保金，待质保期满后无息退还。</w:t>
            </w:r>
          </w:p>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51F92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2609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CA1FA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质保期</w:t>
            </w:r>
          </w:p>
        </w:tc>
        <w:tc>
          <w:tcPr>
            <w:tcW w:w="5921" w:type="dxa"/>
            <w:vAlign w:val="center"/>
          </w:tcPr>
          <w:p w14:paraId="0E81C35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自竣工验收合格之日起</w:t>
            </w:r>
            <w:r>
              <w:rPr>
                <w:rFonts w:hint="eastAsia" w:asciiTheme="minorEastAsia" w:hAnsiTheme="minorEastAsia" w:cstheme="minorEastAsia"/>
                <w:kern w:val="0"/>
                <w:sz w:val="28"/>
                <w:szCs w:val="28"/>
                <w:highlight w:val="none"/>
                <w:u w:val="single"/>
                <w:shd w:val="clear" w:color="auto" w:fill="auto"/>
                <w:vertAlign w:val="baseline"/>
                <w:lang w:val="en-US" w:eastAsia="zh-CN"/>
              </w:rPr>
              <w:t xml:space="preserve"> 2 </w:t>
            </w:r>
            <w:r>
              <w:rPr>
                <w:rFonts w:hint="eastAsia" w:asciiTheme="minorEastAsia" w:hAnsiTheme="minorEastAsia" w:cstheme="minorEastAsia"/>
                <w:kern w:val="0"/>
                <w:sz w:val="28"/>
                <w:szCs w:val="28"/>
                <w:highlight w:val="none"/>
                <w:shd w:val="clear" w:color="auto" w:fill="auto"/>
                <w:vertAlign w:val="baseline"/>
                <w:lang w:val="en-US" w:eastAsia="zh-CN"/>
              </w:rPr>
              <w:t>年</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0"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0"/>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default" w:asciiTheme="minorEastAsia" w:hAnsiTheme="minorEastAsia" w:eastAsiaTheme="minorEastAsia" w:cstheme="minorEastAsia"/>
          <w:color w:val="FF0000"/>
          <w:sz w:val="28"/>
          <w:szCs w:val="28"/>
          <w:highlight w:val="none"/>
          <w:lang w:val="en-US" w:eastAsia="zh-CN"/>
        </w:rPr>
        <w:t>允许</w:t>
      </w:r>
      <w:permEnd w:id="22"/>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19155250522</w:t>
      </w:r>
    </w:p>
    <w:p w14:paraId="1130D6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22</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264D1B"/>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20D3"/>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684C10"/>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A56E26"/>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701B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767A43"/>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CC5836"/>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2417</Words>
  <Characters>2612</Characters>
  <Lines>0</Lines>
  <Paragraphs>0</Paragraphs>
  <TotalTime>0</TotalTime>
  <ScaleCrop>false</ScaleCrop>
  <LinksUpToDate>false</LinksUpToDate>
  <CharactersWithSpaces>2666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2024-10-22T10:36:11Z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E2CB090A92CA4F34AC5824E49CC36B1F</vt:lpwstr>
  </property>
</Properties>
</file>