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03DC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14:paraId="35D23EE2">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080A9286">
      <w:pPr>
        <w:pStyle w:val="3"/>
        <w:keepNext/>
        <w:keepLines/>
        <w:pageBreakBefore w:val="0"/>
        <w:widowControl/>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cs="Times New Roman"/>
          <w:b/>
          <w:bCs/>
          <w:sz w:val="32"/>
          <w:szCs w:val="32"/>
          <w:highlight w:val="none"/>
          <w:lang w:val="en-US" w:eastAsia="zh-CN"/>
        </w:rPr>
      </w:pPr>
      <w:r>
        <w:rPr>
          <w:rFonts w:hint="eastAsia" w:ascii="Times New Roman" w:hAnsi="Times New Roman" w:cs="Times New Roman"/>
          <w:b/>
          <w:bCs/>
          <w:sz w:val="32"/>
          <w:szCs w:val="32"/>
          <w:highlight w:val="none"/>
          <w:lang w:val="en-US" w:eastAsia="zh-CN"/>
        </w:rPr>
        <w:t>设备参数要求（尺寸、性能和配置参数表）</w:t>
      </w:r>
      <w:bookmarkStart w:id="0" w:name="_Toc373397665"/>
    </w:p>
    <w:p w14:paraId="2FE8452C">
      <w:pPr>
        <w:pStyle w:val="3"/>
        <w:keepNext/>
        <w:keepLines/>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cs="Times New Roman"/>
          <w:b/>
          <w:bCs/>
          <w:sz w:val="32"/>
          <w:szCs w:val="32"/>
          <w:highlight w:val="none"/>
          <w:lang w:val="en-US" w:eastAsia="zh-CN"/>
        </w:rPr>
      </w:pPr>
      <w:r>
        <w:rPr>
          <w:rFonts w:hint="eastAsia" w:ascii="Times New Roman" w:hAnsi="Times New Roman" w:cs="Times New Roman"/>
          <w:b/>
          <w:bCs/>
          <w:sz w:val="32"/>
          <w:szCs w:val="32"/>
          <w:highlight w:val="none"/>
          <w:lang w:val="en-US" w:eastAsia="zh-CN"/>
        </w:rPr>
        <w:t>路面养护车（汽车挖机）技术参数要求</w:t>
      </w:r>
    </w:p>
    <w:bookmarkEnd w:id="0"/>
    <w:p w14:paraId="72169499">
      <w:pPr>
        <w:jc w:val="both"/>
        <w:rPr>
          <w:rFonts w:hint="eastAsia"/>
          <w:lang w:val="en-US" w:eastAsia="zh-CN"/>
        </w:rPr>
      </w:pPr>
    </w:p>
    <w:tbl>
      <w:tblPr>
        <w:tblStyle w:val="12"/>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8283"/>
      </w:tblGrid>
      <w:tr w14:paraId="21187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49B36819">
            <w:pPr>
              <w:spacing w:line="360" w:lineRule="auto"/>
              <w:jc w:val="center"/>
              <w:rPr>
                <w:rFonts w:ascii="宋体" w:hAnsi="宋体"/>
                <w:b/>
                <w:sz w:val="24"/>
              </w:rPr>
            </w:pPr>
            <w:r>
              <w:rPr>
                <w:rFonts w:ascii="宋体" w:hAnsi="宋体"/>
                <w:b/>
                <w:sz w:val="24"/>
              </w:rPr>
              <w:t>序号</w:t>
            </w:r>
          </w:p>
        </w:tc>
        <w:tc>
          <w:tcPr>
            <w:tcW w:w="8283" w:type="dxa"/>
            <w:vAlign w:val="center"/>
          </w:tcPr>
          <w:p w14:paraId="358066F3">
            <w:pPr>
              <w:spacing w:line="360" w:lineRule="auto"/>
              <w:jc w:val="center"/>
              <w:rPr>
                <w:rFonts w:ascii="宋体" w:hAnsi="宋体"/>
                <w:b/>
                <w:sz w:val="24"/>
              </w:rPr>
            </w:pPr>
            <w:r>
              <w:rPr>
                <w:rFonts w:ascii="宋体" w:hAnsi="宋体"/>
                <w:b/>
                <w:sz w:val="24"/>
              </w:rPr>
              <w:t>技术规格要求</w:t>
            </w:r>
          </w:p>
        </w:tc>
      </w:tr>
      <w:tr w14:paraId="2C422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25328E20">
            <w:pPr>
              <w:spacing w:line="360" w:lineRule="auto"/>
              <w:jc w:val="center"/>
              <w:rPr>
                <w:rFonts w:ascii="宋体" w:hAnsi="宋体"/>
                <w:sz w:val="24"/>
              </w:rPr>
            </w:pPr>
            <w:r>
              <w:rPr>
                <w:rFonts w:ascii="宋体" w:hAnsi="宋体"/>
                <w:sz w:val="24"/>
              </w:rPr>
              <w:t>2.1</w:t>
            </w:r>
          </w:p>
        </w:tc>
        <w:tc>
          <w:tcPr>
            <w:tcW w:w="8283" w:type="dxa"/>
            <w:vAlign w:val="center"/>
          </w:tcPr>
          <w:p w14:paraId="7BCD8753">
            <w:pPr>
              <w:spacing w:line="360" w:lineRule="auto"/>
              <w:jc w:val="left"/>
              <w:rPr>
                <w:rFonts w:ascii="宋体" w:hAnsi="宋体"/>
                <w:sz w:val="24"/>
              </w:rPr>
            </w:pPr>
            <w:r>
              <w:rPr>
                <w:rFonts w:hint="eastAsia" w:ascii="宋体" w:hAnsi="宋体"/>
                <w:sz w:val="24"/>
              </w:rPr>
              <w:t>结构</w:t>
            </w:r>
            <w:r>
              <w:rPr>
                <w:rFonts w:ascii="宋体" w:hAnsi="宋体"/>
                <w:sz w:val="24"/>
              </w:rPr>
              <w:t>形式：4×2卡车底盘</w:t>
            </w:r>
            <w:r>
              <w:rPr>
                <w:rFonts w:hint="eastAsia" w:ascii="宋体" w:hAnsi="宋体"/>
                <w:sz w:val="24"/>
              </w:rPr>
              <w:t>固定安装式，上装多功能液压工作臂需通过中央液压回转装置以及副车架采用螺栓及骑马钉的方式固定于卡车底盘大梁上，多功能液压工作臂应安装在卡车尾部，副车架上还应配备液压升降的平衡支腿系统。</w:t>
            </w:r>
          </w:p>
        </w:tc>
      </w:tr>
      <w:tr w14:paraId="03DBB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0AB2F085">
            <w:pPr>
              <w:spacing w:line="360" w:lineRule="auto"/>
              <w:jc w:val="center"/>
              <w:rPr>
                <w:rFonts w:ascii="宋体" w:hAnsi="宋体"/>
                <w:sz w:val="24"/>
              </w:rPr>
            </w:pPr>
            <w:r>
              <w:rPr>
                <w:rFonts w:hint="eastAsia" w:ascii="宋体" w:hAnsi="宋体"/>
                <w:sz w:val="24"/>
              </w:rPr>
              <w:t>▲2.2</w:t>
            </w:r>
          </w:p>
        </w:tc>
        <w:tc>
          <w:tcPr>
            <w:tcW w:w="8283" w:type="dxa"/>
            <w:vAlign w:val="center"/>
          </w:tcPr>
          <w:p w14:paraId="07E37854">
            <w:pPr>
              <w:spacing w:line="360" w:lineRule="auto"/>
              <w:jc w:val="left"/>
              <w:rPr>
                <w:rFonts w:ascii="宋体" w:hAnsi="宋体"/>
                <w:sz w:val="24"/>
              </w:rPr>
            </w:pPr>
            <w:r>
              <w:rPr>
                <w:rFonts w:hint="eastAsia" w:ascii="宋体" w:hAnsi="宋体"/>
                <w:sz w:val="24"/>
              </w:rPr>
              <w:t>多功能液压工作臂应可以基于液压回转中心实现3</w:t>
            </w:r>
            <w:r>
              <w:rPr>
                <w:rFonts w:ascii="宋体" w:hAnsi="宋体"/>
                <w:sz w:val="24"/>
              </w:rPr>
              <w:t>60</w:t>
            </w:r>
            <w:r>
              <w:rPr>
                <w:rFonts w:hint="eastAsia" w:ascii="宋体" w:hAnsi="宋体"/>
                <w:sz w:val="24"/>
              </w:rPr>
              <w:t>度液压连续旋转，使得工作臂和液各压属具可以在车体周围各个方向进行施工，多功能工作臂由大臂和小臂组成，大臂和小臂可以液压充分合拢，使得大臂和小臂可以收叠于底盘驾驶室顶部，最大限度降低行驶高度，提高整车行驶稳定性和通过性。</w:t>
            </w:r>
          </w:p>
        </w:tc>
      </w:tr>
      <w:tr w14:paraId="226DC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5299E372">
            <w:pPr>
              <w:spacing w:line="360" w:lineRule="auto"/>
              <w:jc w:val="center"/>
              <w:rPr>
                <w:rFonts w:ascii="宋体" w:hAnsi="宋体"/>
                <w:b/>
                <w:sz w:val="24"/>
              </w:rPr>
            </w:pPr>
            <w:r>
              <w:rPr>
                <w:rFonts w:hint="eastAsia" w:ascii="宋体" w:hAnsi="宋体"/>
                <w:b/>
                <w:sz w:val="24"/>
              </w:rPr>
              <w:t>2</w:t>
            </w:r>
            <w:r>
              <w:rPr>
                <w:rFonts w:ascii="宋体" w:hAnsi="宋体"/>
                <w:b/>
                <w:sz w:val="24"/>
              </w:rPr>
              <w:t>.3</w:t>
            </w:r>
          </w:p>
        </w:tc>
        <w:tc>
          <w:tcPr>
            <w:tcW w:w="8283" w:type="dxa"/>
            <w:vAlign w:val="center"/>
          </w:tcPr>
          <w:p w14:paraId="3280951C">
            <w:pPr>
              <w:spacing w:line="360" w:lineRule="auto"/>
              <w:jc w:val="left"/>
              <w:rPr>
                <w:rFonts w:ascii="宋体" w:hAnsi="宋体"/>
                <w:b/>
                <w:sz w:val="24"/>
              </w:rPr>
            </w:pPr>
            <w:r>
              <w:rPr>
                <w:rFonts w:hint="eastAsia" w:ascii="宋体" w:hAnsi="宋体"/>
                <w:b/>
                <w:sz w:val="24"/>
              </w:rPr>
              <w:t>卡车底盘部分：</w:t>
            </w:r>
          </w:p>
        </w:tc>
      </w:tr>
      <w:tr w14:paraId="5931E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7D010206">
            <w:pPr>
              <w:spacing w:line="360" w:lineRule="auto"/>
              <w:jc w:val="center"/>
              <w:rPr>
                <w:rFonts w:ascii="宋体" w:hAnsi="宋体"/>
                <w:sz w:val="24"/>
              </w:rPr>
            </w:pPr>
            <w:r>
              <w:rPr>
                <w:rFonts w:hint="eastAsia" w:ascii="宋体" w:hAnsi="宋体"/>
                <w:sz w:val="24"/>
              </w:rPr>
              <w:t>2</w:t>
            </w:r>
            <w:r>
              <w:rPr>
                <w:rFonts w:ascii="宋体" w:hAnsi="宋体"/>
                <w:sz w:val="24"/>
              </w:rPr>
              <w:t>.3.1</w:t>
            </w:r>
          </w:p>
        </w:tc>
        <w:tc>
          <w:tcPr>
            <w:tcW w:w="8283" w:type="dxa"/>
            <w:vAlign w:val="center"/>
          </w:tcPr>
          <w:p w14:paraId="47B06191">
            <w:pPr>
              <w:spacing w:line="360" w:lineRule="auto"/>
              <w:jc w:val="left"/>
              <w:rPr>
                <w:rFonts w:ascii="宋体" w:hAnsi="宋体"/>
                <w:sz w:val="24"/>
              </w:rPr>
            </w:pPr>
            <w:r>
              <w:rPr>
                <w:rFonts w:hint="eastAsia" w:ascii="宋体" w:hAnsi="宋体"/>
                <w:sz w:val="24"/>
              </w:rPr>
              <w:t>底盘推荐采用东风系列、五十铃系列、解放、江陵系列同档次或更优。</w:t>
            </w:r>
          </w:p>
        </w:tc>
      </w:tr>
      <w:tr w14:paraId="349DB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17C946A8">
            <w:pPr>
              <w:spacing w:line="360" w:lineRule="auto"/>
              <w:jc w:val="center"/>
              <w:rPr>
                <w:rFonts w:ascii="宋体" w:hAnsi="宋体"/>
                <w:sz w:val="24"/>
              </w:rPr>
            </w:pPr>
            <w:r>
              <w:rPr>
                <w:rFonts w:ascii="宋体" w:hAnsi="宋体"/>
                <w:sz w:val="24"/>
              </w:rPr>
              <w:t>2.3.2</w:t>
            </w:r>
          </w:p>
        </w:tc>
        <w:tc>
          <w:tcPr>
            <w:tcW w:w="8283" w:type="dxa"/>
            <w:vAlign w:val="center"/>
          </w:tcPr>
          <w:p w14:paraId="61E4B549">
            <w:pPr>
              <w:spacing w:line="360" w:lineRule="auto"/>
              <w:jc w:val="left"/>
              <w:rPr>
                <w:rFonts w:ascii="宋体" w:hAnsi="宋体"/>
                <w:sz w:val="24"/>
              </w:rPr>
            </w:pPr>
            <w:r>
              <w:rPr>
                <w:rFonts w:hint="eastAsia" w:ascii="宋体" w:hAnsi="宋体"/>
                <w:sz w:val="24"/>
              </w:rPr>
              <w:t>整车外形尺寸（长x宽x高）：≤6</w:t>
            </w:r>
            <w:r>
              <w:rPr>
                <w:rFonts w:ascii="宋体" w:hAnsi="宋体"/>
                <w:sz w:val="24"/>
              </w:rPr>
              <w:t>600</w:t>
            </w:r>
            <w:r>
              <w:rPr>
                <w:rFonts w:hint="eastAsia" w:ascii="宋体" w:hAnsi="宋体"/>
                <w:sz w:val="24"/>
              </w:rPr>
              <w:t>mm</w:t>
            </w:r>
            <w:r>
              <w:rPr>
                <w:rFonts w:ascii="宋体" w:hAnsi="宋体"/>
                <w:sz w:val="24"/>
              </w:rPr>
              <w:t xml:space="preserve"> </w:t>
            </w:r>
            <w:r>
              <w:rPr>
                <w:rFonts w:hint="eastAsia" w:ascii="宋体" w:hAnsi="宋体"/>
                <w:sz w:val="24"/>
              </w:rPr>
              <w:t>x</w:t>
            </w:r>
            <w:r>
              <w:rPr>
                <w:rFonts w:ascii="宋体" w:hAnsi="宋体"/>
                <w:sz w:val="24"/>
              </w:rPr>
              <w:t xml:space="preserve"> 2200</w:t>
            </w:r>
            <w:r>
              <w:rPr>
                <w:rFonts w:hint="eastAsia" w:ascii="宋体" w:hAnsi="宋体"/>
                <w:sz w:val="24"/>
              </w:rPr>
              <w:t>mm</w:t>
            </w:r>
            <w:r>
              <w:rPr>
                <w:rFonts w:ascii="宋体" w:hAnsi="宋体"/>
                <w:sz w:val="24"/>
              </w:rPr>
              <w:t xml:space="preserve"> </w:t>
            </w:r>
            <w:r>
              <w:rPr>
                <w:rFonts w:hint="eastAsia" w:ascii="宋体" w:hAnsi="宋体"/>
                <w:sz w:val="24"/>
              </w:rPr>
              <w:t>x</w:t>
            </w:r>
            <w:r>
              <w:rPr>
                <w:rFonts w:ascii="宋体" w:hAnsi="宋体"/>
                <w:sz w:val="24"/>
              </w:rPr>
              <w:t xml:space="preserve"> 3400</w:t>
            </w:r>
            <w:r>
              <w:rPr>
                <w:rFonts w:hint="eastAsia" w:ascii="宋体" w:hAnsi="宋体"/>
                <w:sz w:val="24"/>
              </w:rPr>
              <w:t>mm。</w:t>
            </w:r>
          </w:p>
        </w:tc>
      </w:tr>
      <w:tr w14:paraId="34871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26FC66CB">
            <w:pPr>
              <w:spacing w:line="360" w:lineRule="auto"/>
              <w:jc w:val="center"/>
              <w:rPr>
                <w:rFonts w:ascii="宋体" w:hAnsi="宋体"/>
                <w:sz w:val="24"/>
              </w:rPr>
            </w:pPr>
            <w:r>
              <w:rPr>
                <w:rFonts w:hint="eastAsia" w:ascii="宋体" w:hAnsi="宋体"/>
                <w:sz w:val="24"/>
              </w:rPr>
              <w:t>2.</w:t>
            </w:r>
            <w:r>
              <w:rPr>
                <w:rFonts w:ascii="宋体" w:hAnsi="宋体"/>
                <w:sz w:val="24"/>
              </w:rPr>
              <w:t>3</w:t>
            </w:r>
            <w:r>
              <w:rPr>
                <w:rFonts w:hint="eastAsia" w:ascii="宋体" w:hAnsi="宋体"/>
                <w:sz w:val="24"/>
              </w:rPr>
              <w:t>.</w:t>
            </w:r>
            <w:r>
              <w:rPr>
                <w:rFonts w:ascii="宋体" w:hAnsi="宋体"/>
                <w:sz w:val="24"/>
              </w:rPr>
              <w:t>3</w:t>
            </w:r>
          </w:p>
        </w:tc>
        <w:tc>
          <w:tcPr>
            <w:tcW w:w="8283" w:type="dxa"/>
            <w:vAlign w:val="center"/>
          </w:tcPr>
          <w:p w14:paraId="28BD5529">
            <w:pPr>
              <w:spacing w:line="360" w:lineRule="auto"/>
              <w:jc w:val="left"/>
              <w:rPr>
                <w:rFonts w:ascii="宋体" w:hAnsi="宋体"/>
                <w:sz w:val="24"/>
              </w:rPr>
            </w:pPr>
            <w:r>
              <w:rPr>
                <w:rFonts w:hint="eastAsia" w:ascii="宋体" w:hAnsi="宋体"/>
                <w:sz w:val="24"/>
              </w:rPr>
              <w:t>最大总质量≥</w:t>
            </w:r>
            <w:r>
              <w:rPr>
                <w:rFonts w:hint="eastAsia" w:ascii="宋体" w:hAnsi="宋体"/>
                <w:color w:val="FF0000"/>
                <w:sz w:val="24"/>
              </w:rPr>
              <w:t>9900</w:t>
            </w:r>
            <w:r>
              <w:rPr>
                <w:rFonts w:ascii="宋体" w:hAnsi="宋体"/>
                <w:color w:val="FF0000"/>
                <w:sz w:val="24"/>
              </w:rPr>
              <w:t>kg</w:t>
            </w:r>
          </w:p>
        </w:tc>
      </w:tr>
      <w:tr w14:paraId="37A3C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1BB4261D">
            <w:pPr>
              <w:spacing w:line="360" w:lineRule="auto"/>
              <w:jc w:val="center"/>
              <w:rPr>
                <w:rFonts w:ascii="宋体" w:hAnsi="宋体"/>
                <w:sz w:val="24"/>
              </w:rPr>
            </w:pPr>
            <w:r>
              <w:rPr>
                <w:rFonts w:hint="eastAsia" w:ascii="宋体" w:hAnsi="宋体"/>
                <w:sz w:val="24"/>
              </w:rPr>
              <w:t>2</w:t>
            </w:r>
            <w:r>
              <w:rPr>
                <w:rFonts w:ascii="宋体" w:hAnsi="宋体"/>
                <w:sz w:val="24"/>
              </w:rPr>
              <w:t>.3.4</w:t>
            </w:r>
          </w:p>
        </w:tc>
        <w:tc>
          <w:tcPr>
            <w:tcW w:w="8283" w:type="dxa"/>
            <w:vAlign w:val="center"/>
          </w:tcPr>
          <w:p w14:paraId="357399BE">
            <w:pPr>
              <w:spacing w:line="360" w:lineRule="auto"/>
              <w:jc w:val="left"/>
              <w:rPr>
                <w:rFonts w:ascii="宋体" w:hAnsi="宋体"/>
                <w:sz w:val="24"/>
              </w:rPr>
            </w:pPr>
            <w:r>
              <w:rPr>
                <w:rFonts w:hint="eastAsia" w:ascii="宋体" w:hAnsi="宋体"/>
                <w:sz w:val="24"/>
              </w:rPr>
              <w:t>轴距≤</w:t>
            </w:r>
            <w:r>
              <w:rPr>
                <w:rFonts w:ascii="宋体" w:hAnsi="宋体"/>
                <w:sz w:val="24"/>
              </w:rPr>
              <w:t>3815</w:t>
            </w:r>
            <w:r>
              <w:rPr>
                <w:rFonts w:hint="eastAsia" w:ascii="宋体" w:hAnsi="宋体"/>
                <w:sz w:val="24"/>
              </w:rPr>
              <w:t>mm</w:t>
            </w:r>
          </w:p>
        </w:tc>
      </w:tr>
      <w:tr w14:paraId="7143E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43958D85">
            <w:pPr>
              <w:spacing w:line="360" w:lineRule="auto"/>
              <w:jc w:val="center"/>
              <w:rPr>
                <w:rFonts w:ascii="宋体" w:hAnsi="宋体"/>
                <w:sz w:val="24"/>
              </w:rPr>
            </w:pPr>
            <w:r>
              <w:rPr>
                <w:rFonts w:hint="eastAsia" w:ascii="宋体" w:hAnsi="宋体"/>
                <w:sz w:val="24"/>
              </w:rPr>
              <w:t>2</w:t>
            </w:r>
            <w:r>
              <w:rPr>
                <w:rFonts w:ascii="宋体" w:hAnsi="宋体"/>
                <w:sz w:val="24"/>
              </w:rPr>
              <w:t>.3.5</w:t>
            </w:r>
          </w:p>
        </w:tc>
        <w:tc>
          <w:tcPr>
            <w:tcW w:w="8283" w:type="dxa"/>
            <w:vAlign w:val="center"/>
          </w:tcPr>
          <w:p w14:paraId="0BB3A681">
            <w:pPr>
              <w:spacing w:line="360" w:lineRule="auto"/>
              <w:jc w:val="left"/>
              <w:rPr>
                <w:rFonts w:ascii="宋体" w:hAnsi="宋体"/>
                <w:sz w:val="24"/>
              </w:rPr>
            </w:pPr>
            <w:r>
              <w:rPr>
                <w:rFonts w:hint="eastAsia" w:ascii="宋体" w:hAnsi="宋体"/>
                <w:sz w:val="24"/>
              </w:rPr>
              <w:t>驾驶室准乘人数：≥</w:t>
            </w:r>
            <w:r>
              <w:rPr>
                <w:rFonts w:ascii="宋体" w:hAnsi="宋体"/>
                <w:sz w:val="24"/>
              </w:rPr>
              <w:t>3</w:t>
            </w:r>
          </w:p>
        </w:tc>
      </w:tr>
      <w:tr w14:paraId="2E650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599280FA">
            <w:pPr>
              <w:spacing w:line="360" w:lineRule="auto"/>
              <w:jc w:val="center"/>
              <w:rPr>
                <w:rFonts w:ascii="宋体" w:hAnsi="宋体"/>
                <w:sz w:val="24"/>
              </w:rPr>
            </w:pPr>
            <w:r>
              <w:rPr>
                <w:rFonts w:hint="eastAsia" w:ascii="宋体" w:hAnsi="宋体"/>
                <w:sz w:val="24"/>
              </w:rPr>
              <w:t>2</w:t>
            </w:r>
            <w:r>
              <w:rPr>
                <w:rFonts w:ascii="宋体" w:hAnsi="宋体"/>
                <w:sz w:val="24"/>
              </w:rPr>
              <w:t>.3.6</w:t>
            </w:r>
          </w:p>
        </w:tc>
        <w:tc>
          <w:tcPr>
            <w:tcW w:w="8283" w:type="dxa"/>
            <w:vAlign w:val="center"/>
          </w:tcPr>
          <w:p w14:paraId="32D50355">
            <w:pPr>
              <w:spacing w:line="360" w:lineRule="auto"/>
              <w:jc w:val="left"/>
              <w:rPr>
                <w:rFonts w:ascii="宋体" w:hAnsi="宋体"/>
                <w:sz w:val="24"/>
              </w:rPr>
            </w:pPr>
            <w:r>
              <w:rPr>
                <w:rFonts w:hint="eastAsia" w:ascii="宋体" w:hAnsi="宋体"/>
                <w:sz w:val="24"/>
              </w:rPr>
              <w:t>最高车速：≥</w:t>
            </w:r>
            <w:r>
              <w:rPr>
                <w:rFonts w:ascii="宋体" w:hAnsi="宋体"/>
                <w:sz w:val="24"/>
              </w:rPr>
              <w:t>110</w:t>
            </w:r>
            <w:r>
              <w:rPr>
                <w:rFonts w:hint="eastAsia" w:ascii="宋体" w:hAnsi="宋体"/>
                <w:sz w:val="24"/>
              </w:rPr>
              <w:t>km</w:t>
            </w:r>
            <w:r>
              <w:rPr>
                <w:rFonts w:ascii="宋体" w:hAnsi="宋体"/>
                <w:sz w:val="24"/>
              </w:rPr>
              <w:t>/h</w:t>
            </w:r>
          </w:p>
        </w:tc>
      </w:tr>
      <w:tr w14:paraId="07CBC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2AFF300C">
            <w:pPr>
              <w:spacing w:line="360" w:lineRule="auto"/>
              <w:jc w:val="center"/>
              <w:rPr>
                <w:rFonts w:ascii="宋体" w:hAnsi="宋体"/>
                <w:sz w:val="24"/>
              </w:rPr>
            </w:pPr>
            <w:r>
              <w:rPr>
                <w:rFonts w:hint="eastAsia" w:ascii="宋体" w:hAnsi="宋体"/>
                <w:sz w:val="24"/>
              </w:rPr>
              <w:t>2</w:t>
            </w:r>
            <w:r>
              <w:rPr>
                <w:rFonts w:ascii="宋体" w:hAnsi="宋体"/>
                <w:sz w:val="24"/>
              </w:rPr>
              <w:t>.2.7</w:t>
            </w:r>
          </w:p>
        </w:tc>
        <w:tc>
          <w:tcPr>
            <w:tcW w:w="8283" w:type="dxa"/>
            <w:vAlign w:val="center"/>
          </w:tcPr>
          <w:p w14:paraId="592253A3">
            <w:pPr>
              <w:spacing w:line="360" w:lineRule="auto"/>
              <w:jc w:val="left"/>
              <w:rPr>
                <w:rFonts w:ascii="宋体" w:hAnsi="宋体"/>
                <w:sz w:val="24"/>
              </w:rPr>
            </w:pPr>
            <w:r>
              <w:rPr>
                <w:rFonts w:hint="eastAsia" w:ascii="宋体" w:hAnsi="宋体"/>
                <w:sz w:val="24"/>
              </w:rPr>
              <w:t>制动装置：气刹，前后鼓式、带ABS</w:t>
            </w:r>
          </w:p>
        </w:tc>
      </w:tr>
      <w:tr w14:paraId="15EF6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7E5CCFA2">
            <w:pPr>
              <w:spacing w:line="360" w:lineRule="auto"/>
              <w:jc w:val="center"/>
              <w:rPr>
                <w:rFonts w:ascii="宋体" w:hAnsi="宋体"/>
                <w:b/>
                <w:sz w:val="24"/>
              </w:rPr>
            </w:pPr>
            <w:r>
              <w:rPr>
                <w:rFonts w:hint="eastAsia" w:ascii="宋体" w:hAnsi="宋体"/>
                <w:b/>
                <w:sz w:val="24"/>
              </w:rPr>
              <w:t>2.</w:t>
            </w:r>
            <w:r>
              <w:rPr>
                <w:rFonts w:ascii="宋体" w:hAnsi="宋体"/>
                <w:b/>
                <w:sz w:val="24"/>
              </w:rPr>
              <w:t>4</w:t>
            </w:r>
          </w:p>
        </w:tc>
        <w:tc>
          <w:tcPr>
            <w:tcW w:w="8283" w:type="dxa"/>
            <w:vAlign w:val="center"/>
          </w:tcPr>
          <w:p w14:paraId="78B42086">
            <w:pPr>
              <w:spacing w:line="360" w:lineRule="auto"/>
              <w:jc w:val="left"/>
              <w:rPr>
                <w:rFonts w:ascii="宋体" w:hAnsi="宋体"/>
                <w:b/>
                <w:sz w:val="24"/>
              </w:rPr>
            </w:pPr>
            <w:r>
              <w:rPr>
                <w:rFonts w:hint="eastAsia" w:ascii="宋体" w:hAnsi="宋体"/>
                <w:b/>
                <w:sz w:val="24"/>
              </w:rPr>
              <w:t>发动机部分</w:t>
            </w:r>
          </w:p>
        </w:tc>
      </w:tr>
      <w:tr w14:paraId="69D65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67CA5634">
            <w:pPr>
              <w:spacing w:line="360" w:lineRule="auto"/>
              <w:jc w:val="center"/>
              <w:rPr>
                <w:rFonts w:ascii="宋体" w:hAnsi="宋体"/>
                <w:sz w:val="24"/>
              </w:rPr>
            </w:pPr>
            <w:r>
              <w:rPr>
                <w:rFonts w:hint="eastAsia" w:ascii="宋体" w:hAnsi="宋体"/>
                <w:sz w:val="24"/>
              </w:rPr>
              <w:t>2.</w:t>
            </w:r>
            <w:r>
              <w:rPr>
                <w:rFonts w:ascii="宋体" w:hAnsi="宋体"/>
                <w:sz w:val="24"/>
              </w:rPr>
              <w:t>4</w:t>
            </w:r>
            <w:r>
              <w:rPr>
                <w:rFonts w:hint="eastAsia" w:ascii="宋体" w:hAnsi="宋体"/>
                <w:sz w:val="24"/>
              </w:rPr>
              <w:t>.1</w:t>
            </w:r>
          </w:p>
        </w:tc>
        <w:tc>
          <w:tcPr>
            <w:tcW w:w="8283" w:type="dxa"/>
            <w:vAlign w:val="center"/>
          </w:tcPr>
          <w:p w14:paraId="2DACC60C">
            <w:pPr>
              <w:spacing w:line="360" w:lineRule="auto"/>
              <w:jc w:val="left"/>
              <w:rPr>
                <w:rFonts w:ascii="宋体" w:hAnsi="宋体"/>
                <w:sz w:val="24"/>
              </w:rPr>
            </w:pPr>
            <w:r>
              <w:rPr>
                <w:rFonts w:hint="eastAsia" w:ascii="宋体" w:hAnsi="宋体"/>
                <w:sz w:val="24"/>
              </w:rPr>
              <w:t>发动机功率≥1</w:t>
            </w:r>
            <w:r>
              <w:rPr>
                <w:rFonts w:ascii="宋体" w:hAnsi="宋体"/>
                <w:sz w:val="24"/>
              </w:rPr>
              <w:t>15</w:t>
            </w:r>
            <w:r>
              <w:rPr>
                <w:rFonts w:hint="eastAsia" w:ascii="宋体" w:hAnsi="宋体"/>
                <w:sz w:val="24"/>
              </w:rPr>
              <w:t>kw</w:t>
            </w:r>
          </w:p>
        </w:tc>
      </w:tr>
      <w:tr w14:paraId="5C439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42D7DC1F">
            <w:pPr>
              <w:spacing w:line="360" w:lineRule="auto"/>
              <w:jc w:val="center"/>
              <w:rPr>
                <w:rFonts w:ascii="宋体" w:hAnsi="宋体"/>
                <w:sz w:val="24"/>
              </w:rPr>
            </w:pPr>
            <w:r>
              <w:rPr>
                <w:rFonts w:hint="eastAsia" w:ascii="宋体" w:hAnsi="宋体"/>
                <w:sz w:val="24"/>
              </w:rPr>
              <w:t>2.</w:t>
            </w:r>
            <w:r>
              <w:rPr>
                <w:rFonts w:ascii="宋体" w:hAnsi="宋体"/>
                <w:sz w:val="24"/>
              </w:rPr>
              <w:t>4</w:t>
            </w:r>
            <w:r>
              <w:rPr>
                <w:rFonts w:hint="eastAsia" w:ascii="宋体" w:hAnsi="宋体"/>
                <w:sz w:val="24"/>
              </w:rPr>
              <w:t>.2★</w:t>
            </w:r>
          </w:p>
        </w:tc>
        <w:tc>
          <w:tcPr>
            <w:tcW w:w="8283" w:type="dxa"/>
            <w:vAlign w:val="center"/>
          </w:tcPr>
          <w:p w14:paraId="19EFCA6C">
            <w:pPr>
              <w:spacing w:line="360" w:lineRule="auto"/>
              <w:jc w:val="left"/>
              <w:rPr>
                <w:rFonts w:ascii="宋体" w:hAnsi="宋体"/>
                <w:sz w:val="24"/>
              </w:rPr>
            </w:pPr>
            <w:r>
              <w:rPr>
                <w:rFonts w:hint="eastAsia" w:ascii="宋体" w:hAnsi="宋体"/>
                <w:sz w:val="24"/>
              </w:rPr>
              <w:t>排放标准：国六排放</w:t>
            </w:r>
          </w:p>
        </w:tc>
      </w:tr>
      <w:tr w14:paraId="36DE7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007D184D">
            <w:pPr>
              <w:spacing w:line="360" w:lineRule="auto"/>
              <w:jc w:val="center"/>
              <w:rPr>
                <w:rFonts w:ascii="宋体" w:hAnsi="宋体"/>
                <w:sz w:val="24"/>
              </w:rPr>
            </w:pPr>
            <w:r>
              <w:rPr>
                <w:rFonts w:hint="eastAsia" w:ascii="宋体" w:hAnsi="宋体"/>
                <w:sz w:val="24"/>
              </w:rPr>
              <w:t>2.</w:t>
            </w:r>
            <w:r>
              <w:rPr>
                <w:rFonts w:ascii="宋体" w:hAnsi="宋体"/>
                <w:sz w:val="24"/>
              </w:rPr>
              <w:t>4</w:t>
            </w:r>
            <w:r>
              <w:rPr>
                <w:rFonts w:hint="eastAsia" w:ascii="宋体" w:hAnsi="宋体"/>
                <w:sz w:val="24"/>
              </w:rPr>
              <w:t>.3</w:t>
            </w:r>
          </w:p>
        </w:tc>
        <w:tc>
          <w:tcPr>
            <w:tcW w:w="8283" w:type="dxa"/>
            <w:vAlign w:val="center"/>
          </w:tcPr>
          <w:p w14:paraId="4CF453C9">
            <w:pPr>
              <w:spacing w:line="360" w:lineRule="auto"/>
              <w:jc w:val="left"/>
              <w:rPr>
                <w:rFonts w:ascii="宋体" w:hAnsi="宋体"/>
                <w:sz w:val="24"/>
              </w:rPr>
            </w:pPr>
            <w:r>
              <w:rPr>
                <w:rFonts w:hint="eastAsia" w:ascii="宋体" w:hAnsi="宋体"/>
                <w:sz w:val="24"/>
              </w:rPr>
              <w:t>燃油类型：柴油</w:t>
            </w:r>
          </w:p>
        </w:tc>
      </w:tr>
      <w:tr w14:paraId="16787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7532BCC6">
            <w:pPr>
              <w:spacing w:line="360" w:lineRule="auto"/>
              <w:jc w:val="center"/>
              <w:rPr>
                <w:rFonts w:ascii="宋体" w:hAnsi="宋体"/>
                <w:sz w:val="24"/>
              </w:rPr>
            </w:pPr>
            <w:r>
              <w:rPr>
                <w:rFonts w:ascii="宋体" w:hAnsi="宋体"/>
                <w:sz w:val="24"/>
              </w:rPr>
              <w:t>2.5</w:t>
            </w:r>
          </w:p>
        </w:tc>
        <w:tc>
          <w:tcPr>
            <w:tcW w:w="8283" w:type="dxa"/>
            <w:vAlign w:val="center"/>
          </w:tcPr>
          <w:p w14:paraId="072FA000">
            <w:pPr>
              <w:spacing w:line="360" w:lineRule="auto"/>
              <w:jc w:val="left"/>
              <w:rPr>
                <w:rFonts w:ascii="宋体" w:hAnsi="宋体"/>
                <w:sz w:val="24"/>
              </w:rPr>
            </w:pPr>
            <w:r>
              <w:rPr>
                <w:rFonts w:hint="eastAsia" w:ascii="宋体" w:hAnsi="宋体"/>
                <w:sz w:val="24"/>
              </w:rPr>
              <w:t>多功能工作臂在配合标准挖斗实施挖掘施工时应具有如下工作性能</w:t>
            </w:r>
          </w:p>
          <w:p w14:paraId="11E453FC">
            <w:pPr>
              <w:spacing w:line="360" w:lineRule="auto"/>
              <w:jc w:val="left"/>
              <w:rPr>
                <w:rFonts w:ascii="宋体" w:hAnsi="宋体"/>
                <w:sz w:val="24"/>
              </w:rPr>
            </w:pPr>
            <w:r>
              <w:rPr>
                <w:rFonts w:hint="eastAsia" w:ascii="宋体" w:hAnsi="宋体"/>
                <w:sz w:val="24"/>
              </w:rPr>
              <w:t>（自回转中心计算）：</w:t>
            </w:r>
          </w:p>
        </w:tc>
      </w:tr>
      <w:tr w14:paraId="48450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08F7C350">
            <w:pPr>
              <w:spacing w:line="360" w:lineRule="auto"/>
              <w:jc w:val="center"/>
              <w:rPr>
                <w:rFonts w:ascii="宋体" w:hAnsi="宋体"/>
                <w:sz w:val="24"/>
              </w:rPr>
            </w:pPr>
            <w:r>
              <w:rPr>
                <w:rFonts w:ascii="宋体" w:hAnsi="宋体"/>
                <w:sz w:val="24"/>
              </w:rPr>
              <w:t>2.5.1</w:t>
            </w:r>
          </w:p>
        </w:tc>
        <w:tc>
          <w:tcPr>
            <w:tcW w:w="8283" w:type="dxa"/>
            <w:vAlign w:val="center"/>
          </w:tcPr>
          <w:p w14:paraId="31027F86">
            <w:pPr>
              <w:spacing w:line="360" w:lineRule="auto"/>
              <w:jc w:val="left"/>
              <w:rPr>
                <w:rFonts w:ascii="宋体" w:hAnsi="宋体"/>
                <w:sz w:val="24"/>
              </w:rPr>
            </w:pPr>
            <w:r>
              <w:rPr>
                <w:rFonts w:hint="eastAsia" w:ascii="宋体" w:hAnsi="宋体"/>
                <w:sz w:val="24"/>
              </w:rPr>
              <w:t>最大挖掘高度</w:t>
            </w:r>
            <w:r>
              <w:rPr>
                <w:rFonts w:ascii="宋体" w:hAnsi="宋体"/>
                <w:sz w:val="24"/>
              </w:rPr>
              <w:t>≥4.9</w:t>
            </w:r>
            <w:r>
              <w:rPr>
                <w:rFonts w:hint="eastAsia" w:ascii="宋体" w:hAnsi="宋体"/>
                <w:sz w:val="24"/>
              </w:rPr>
              <w:t>米</w:t>
            </w:r>
          </w:p>
        </w:tc>
      </w:tr>
      <w:tr w14:paraId="0313C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2990C9FB">
            <w:pPr>
              <w:spacing w:line="360" w:lineRule="auto"/>
              <w:jc w:val="center"/>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5</w:t>
            </w:r>
            <w:r>
              <w:rPr>
                <w:rFonts w:ascii="宋体" w:hAnsi="宋体"/>
                <w:sz w:val="24"/>
              </w:rPr>
              <w:t>.1</w:t>
            </w:r>
          </w:p>
        </w:tc>
        <w:tc>
          <w:tcPr>
            <w:tcW w:w="8283" w:type="dxa"/>
            <w:vAlign w:val="center"/>
          </w:tcPr>
          <w:p w14:paraId="21F6F834">
            <w:pPr>
              <w:spacing w:line="360" w:lineRule="auto"/>
              <w:jc w:val="left"/>
              <w:rPr>
                <w:rFonts w:ascii="宋体" w:hAnsi="宋体"/>
                <w:sz w:val="24"/>
              </w:rPr>
            </w:pPr>
            <w:r>
              <w:rPr>
                <w:rFonts w:hint="eastAsia" w:ascii="宋体" w:hAnsi="宋体"/>
                <w:sz w:val="24"/>
              </w:rPr>
              <w:t>最大挖掘半径</w:t>
            </w:r>
            <w:r>
              <w:rPr>
                <w:rFonts w:ascii="宋体" w:hAnsi="宋体"/>
                <w:sz w:val="24"/>
              </w:rPr>
              <w:t>≥6.7</w:t>
            </w:r>
            <w:r>
              <w:rPr>
                <w:rFonts w:hint="eastAsia" w:ascii="宋体" w:hAnsi="宋体"/>
                <w:sz w:val="24"/>
              </w:rPr>
              <w:t>米</w:t>
            </w:r>
          </w:p>
        </w:tc>
      </w:tr>
      <w:tr w14:paraId="733FC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4F99A2A2">
            <w:pPr>
              <w:spacing w:line="360" w:lineRule="auto"/>
              <w:jc w:val="center"/>
              <w:rPr>
                <w:rFonts w:ascii="宋体" w:hAnsi="宋体"/>
                <w:sz w:val="24"/>
              </w:rPr>
            </w:pPr>
            <w:r>
              <w:rPr>
                <w:rFonts w:hint="eastAsia" w:ascii="宋体" w:hAnsi="宋体"/>
                <w:sz w:val="24"/>
              </w:rPr>
              <w:t>2</w:t>
            </w:r>
            <w:r>
              <w:rPr>
                <w:rFonts w:ascii="宋体" w:hAnsi="宋体"/>
                <w:sz w:val="24"/>
              </w:rPr>
              <w:t>.5.2</w:t>
            </w:r>
          </w:p>
        </w:tc>
        <w:tc>
          <w:tcPr>
            <w:tcW w:w="8283" w:type="dxa"/>
            <w:vAlign w:val="center"/>
          </w:tcPr>
          <w:p w14:paraId="06A6FA0F">
            <w:pPr>
              <w:spacing w:line="360" w:lineRule="auto"/>
              <w:jc w:val="left"/>
              <w:rPr>
                <w:rFonts w:ascii="宋体" w:hAnsi="宋体"/>
                <w:sz w:val="24"/>
              </w:rPr>
            </w:pPr>
            <w:r>
              <w:rPr>
                <w:rFonts w:hint="eastAsia" w:ascii="宋体" w:hAnsi="宋体"/>
                <w:sz w:val="24"/>
              </w:rPr>
              <w:t>最大挖掘深度</w:t>
            </w:r>
            <w:r>
              <w:rPr>
                <w:rFonts w:ascii="宋体" w:hAnsi="宋体"/>
                <w:sz w:val="24"/>
              </w:rPr>
              <w:t>≥4.2</w:t>
            </w:r>
            <w:r>
              <w:rPr>
                <w:rFonts w:hint="eastAsia" w:ascii="宋体" w:hAnsi="宋体"/>
                <w:sz w:val="24"/>
              </w:rPr>
              <w:t>米</w:t>
            </w:r>
          </w:p>
        </w:tc>
      </w:tr>
      <w:tr w14:paraId="123C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6C4A0E14">
            <w:pPr>
              <w:spacing w:line="360" w:lineRule="auto"/>
              <w:jc w:val="center"/>
              <w:rPr>
                <w:rFonts w:ascii="宋体" w:hAnsi="宋体"/>
                <w:sz w:val="24"/>
              </w:rPr>
            </w:pPr>
            <w:r>
              <w:rPr>
                <w:rFonts w:hint="eastAsia" w:ascii="宋体" w:hAnsi="宋体"/>
                <w:sz w:val="24"/>
              </w:rPr>
              <w:t>2</w:t>
            </w:r>
            <w:r>
              <w:rPr>
                <w:rFonts w:ascii="宋体" w:hAnsi="宋体"/>
                <w:sz w:val="24"/>
              </w:rPr>
              <w:t>.5.3</w:t>
            </w:r>
          </w:p>
        </w:tc>
        <w:tc>
          <w:tcPr>
            <w:tcW w:w="8283" w:type="dxa"/>
            <w:vAlign w:val="center"/>
          </w:tcPr>
          <w:p w14:paraId="58D51503">
            <w:pPr>
              <w:spacing w:line="360" w:lineRule="auto"/>
              <w:jc w:val="left"/>
              <w:rPr>
                <w:rFonts w:ascii="宋体" w:hAnsi="宋体"/>
                <w:sz w:val="24"/>
              </w:rPr>
            </w:pPr>
            <w:r>
              <w:rPr>
                <w:rFonts w:hint="eastAsia" w:ascii="宋体" w:hAnsi="宋体"/>
                <w:sz w:val="24"/>
              </w:rPr>
              <w:t>最大挖掘力</w:t>
            </w:r>
            <w:r>
              <w:rPr>
                <w:rFonts w:ascii="宋体" w:hAnsi="宋体"/>
                <w:sz w:val="24"/>
              </w:rPr>
              <w:t>≥43</w:t>
            </w:r>
            <w:r>
              <w:rPr>
                <w:rFonts w:hint="eastAsia" w:ascii="宋体" w:hAnsi="宋体"/>
                <w:sz w:val="24"/>
              </w:rPr>
              <w:t>kN</w:t>
            </w:r>
          </w:p>
        </w:tc>
      </w:tr>
      <w:tr w14:paraId="30E8D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66A246BD">
            <w:pPr>
              <w:spacing w:line="360" w:lineRule="auto"/>
              <w:jc w:val="center"/>
              <w:rPr>
                <w:rFonts w:ascii="宋体" w:hAnsi="宋体"/>
                <w:sz w:val="24"/>
              </w:rPr>
            </w:pPr>
            <w:r>
              <w:rPr>
                <w:rFonts w:hint="eastAsia" w:ascii="宋体" w:hAnsi="宋体"/>
                <w:sz w:val="24"/>
              </w:rPr>
              <w:t>2</w:t>
            </w:r>
            <w:r>
              <w:rPr>
                <w:rFonts w:ascii="宋体" w:hAnsi="宋体"/>
                <w:sz w:val="24"/>
              </w:rPr>
              <w:t>.6</w:t>
            </w:r>
          </w:p>
        </w:tc>
        <w:tc>
          <w:tcPr>
            <w:tcW w:w="8283" w:type="dxa"/>
            <w:vAlign w:val="center"/>
          </w:tcPr>
          <w:p w14:paraId="1E187A6C">
            <w:pPr>
              <w:spacing w:line="360" w:lineRule="auto"/>
              <w:jc w:val="left"/>
              <w:rPr>
                <w:rFonts w:ascii="宋体" w:hAnsi="宋体"/>
                <w:sz w:val="24"/>
              </w:rPr>
            </w:pPr>
            <w:r>
              <w:rPr>
                <w:rFonts w:hint="eastAsia" w:ascii="宋体" w:hAnsi="宋体"/>
                <w:sz w:val="24"/>
              </w:rPr>
              <w:t>为保持整车在工作中的平衡，路面养护车工作装置应安装有前后各一对液压升降的平衡支腿，保证车辆在不平路面条件下作业中的稳定性。前平衡支腿为液压直伸上下式，后平衡支腿为液压变幅八字式（提供实物图片），液压平衡支腿由多功能工作臂控制室遥控控制，操作手无需离开上车驾驶室即可远程控制支腿升降。</w:t>
            </w:r>
          </w:p>
        </w:tc>
      </w:tr>
      <w:tr w14:paraId="0E10C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5DB46633">
            <w:pPr>
              <w:spacing w:line="360" w:lineRule="auto"/>
              <w:jc w:val="center"/>
              <w:rPr>
                <w:rFonts w:ascii="宋体" w:hAnsi="宋体"/>
                <w:b/>
                <w:sz w:val="24"/>
              </w:rPr>
            </w:pPr>
            <w:r>
              <w:rPr>
                <w:rFonts w:hint="eastAsia" w:ascii="宋体" w:hAnsi="宋体"/>
                <w:b/>
                <w:sz w:val="24"/>
              </w:rPr>
              <w:t>2</w:t>
            </w:r>
            <w:r>
              <w:rPr>
                <w:rFonts w:ascii="宋体" w:hAnsi="宋体"/>
                <w:b/>
                <w:sz w:val="24"/>
              </w:rPr>
              <w:t>.7</w:t>
            </w:r>
          </w:p>
        </w:tc>
        <w:tc>
          <w:tcPr>
            <w:tcW w:w="8283" w:type="dxa"/>
            <w:vAlign w:val="center"/>
          </w:tcPr>
          <w:p w14:paraId="1E3624E2">
            <w:pPr>
              <w:spacing w:line="360" w:lineRule="auto"/>
              <w:jc w:val="left"/>
              <w:rPr>
                <w:rFonts w:ascii="宋体" w:hAnsi="宋体"/>
                <w:b/>
                <w:sz w:val="24"/>
              </w:rPr>
            </w:pPr>
            <w:r>
              <w:rPr>
                <w:rFonts w:hint="eastAsia" w:ascii="宋体" w:hAnsi="宋体"/>
                <w:b/>
                <w:sz w:val="24"/>
              </w:rPr>
              <w:t>车身布局</w:t>
            </w:r>
          </w:p>
        </w:tc>
      </w:tr>
      <w:tr w14:paraId="1456B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235F9830">
            <w:pPr>
              <w:spacing w:line="360" w:lineRule="auto"/>
              <w:jc w:val="center"/>
              <w:rPr>
                <w:rFonts w:ascii="宋体" w:hAnsi="宋体"/>
                <w:sz w:val="24"/>
              </w:rPr>
            </w:pPr>
            <w:r>
              <w:rPr>
                <w:rFonts w:ascii="宋体" w:hAnsi="宋体"/>
                <w:sz w:val="24"/>
              </w:rPr>
              <w:t>2.7.1</w:t>
            </w:r>
          </w:p>
        </w:tc>
        <w:tc>
          <w:tcPr>
            <w:tcW w:w="8283" w:type="dxa"/>
            <w:vAlign w:val="center"/>
          </w:tcPr>
          <w:p w14:paraId="63D3BF80">
            <w:pPr>
              <w:spacing w:line="360" w:lineRule="auto"/>
              <w:jc w:val="left"/>
              <w:rPr>
                <w:rFonts w:ascii="宋体" w:hAnsi="宋体"/>
                <w:sz w:val="24"/>
              </w:rPr>
            </w:pPr>
            <w:r>
              <w:rPr>
                <w:rFonts w:hint="eastAsia" w:ascii="宋体" w:hAnsi="宋体"/>
                <w:sz w:val="24"/>
              </w:rPr>
              <w:t>车身右侧设置铝合金开放式货厢，用于安置各种随车液压工作属具、施工工具或各类施工材料。</w:t>
            </w:r>
          </w:p>
        </w:tc>
      </w:tr>
      <w:tr w14:paraId="1F198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07E15C64">
            <w:pPr>
              <w:spacing w:line="360" w:lineRule="auto"/>
              <w:jc w:val="center"/>
              <w:rPr>
                <w:rFonts w:ascii="宋体" w:hAnsi="宋体"/>
                <w:sz w:val="24"/>
              </w:rPr>
            </w:pPr>
            <w:r>
              <w:rPr>
                <w:rFonts w:hint="eastAsia" w:ascii="宋体" w:hAnsi="宋体"/>
                <w:sz w:val="24"/>
              </w:rPr>
              <w:t>2</w:t>
            </w:r>
            <w:r>
              <w:rPr>
                <w:rFonts w:ascii="宋体" w:hAnsi="宋体"/>
                <w:sz w:val="24"/>
              </w:rPr>
              <w:t>.7</w:t>
            </w:r>
            <w:r>
              <w:rPr>
                <w:rFonts w:hint="eastAsia" w:ascii="宋体" w:hAnsi="宋体"/>
                <w:sz w:val="24"/>
              </w:rPr>
              <w:t>.2</w:t>
            </w:r>
          </w:p>
        </w:tc>
        <w:tc>
          <w:tcPr>
            <w:tcW w:w="8283" w:type="dxa"/>
            <w:vAlign w:val="center"/>
          </w:tcPr>
          <w:p w14:paraId="6DD9FCEE">
            <w:pPr>
              <w:spacing w:line="360" w:lineRule="auto"/>
              <w:jc w:val="left"/>
              <w:rPr>
                <w:rFonts w:ascii="宋体" w:hAnsi="宋体"/>
                <w:sz w:val="24"/>
              </w:rPr>
            </w:pPr>
            <w:r>
              <w:rPr>
                <w:rFonts w:hint="eastAsia" w:ascii="宋体" w:hAnsi="宋体"/>
                <w:sz w:val="24"/>
              </w:rPr>
              <w:t>车身左侧设置钢制异型封闭式货厢，货厢门可开启，内置有柴油发电机组用于给各种电动工具供电，额定输出功率</w:t>
            </w:r>
            <w:r>
              <w:rPr>
                <w:rFonts w:ascii="宋体" w:hAnsi="宋体"/>
                <w:sz w:val="24"/>
              </w:rPr>
              <w:t>≥5.6</w:t>
            </w:r>
            <w:r>
              <w:rPr>
                <w:rFonts w:hint="eastAsia" w:ascii="宋体" w:hAnsi="宋体"/>
                <w:sz w:val="24"/>
              </w:rPr>
              <w:t>kva。</w:t>
            </w:r>
          </w:p>
        </w:tc>
      </w:tr>
      <w:tr w14:paraId="7EFC6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36A55695">
            <w:pPr>
              <w:spacing w:line="360" w:lineRule="auto"/>
              <w:jc w:val="center"/>
              <w:rPr>
                <w:rFonts w:ascii="宋体" w:hAnsi="宋体"/>
                <w:b/>
                <w:sz w:val="24"/>
              </w:rPr>
            </w:pPr>
            <w:r>
              <w:rPr>
                <w:rFonts w:hint="eastAsia" w:ascii="宋体" w:hAnsi="宋体"/>
                <w:b/>
                <w:sz w:val="24"/>
              </w:rPr>
              <w:t>2.</w:t>
            </w:r>
            <w:r>
              <w:rPr>
                <w:rFonts w:ascii="宋体" w:hAnsi="宋体"/>
                <w:b/>
                <w:sz w:val="24"/>
              </w:rPr>
              <w:t>8</w:t>
            </w:r>
          </w:p>
        </w:tc>
        <w:tc>
          <w:tcPr>
            <w:tcW w:w="8283" w:type="dxa"/>
            <w:vAlign w:val="center"/>
          </w:tcPr>
          <w:p w14:paraId="7EA41898">
            <w:pPr>
              <w:spacing w:line="360" w:lineRule="auto"/>
              <w:jc w:val="left"/>
              <w:rPr>
                <w:rFonts w:ascii="宋体" w:hAnsi="宋体"/>
                <w:b/>
                <w:sz w:val="24"/>
              </w:rPr>
            </w:pPr>
            <w:r>
              <w:rPr>
                <w:rFonts w:hint="eastAsia" w:ascii="宋体" w:hAnsi="宋体"/>
                <w:b/>
                <w:sz w:val="24"/>
              </w:rPr>
              <w:t>控制室</w:t>
            </w:r>
          </w:p>
        </w:tc>
      </w:tr>
      <w:tr w14:paraId="45C21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33BB2964">
            <w:pPr>
              <w:spacing w:line="360" w:lineRule="auto"/>
              <w:jc w:val="center"/>
              <w:rPr>
                <w:rFonts w:ascii="宋体" w:hAnsi="宋体"/>
                <w:sz w:val="24"/>
              </w:rPr>
            </w:pPr>
            <w:r>
              <w:rPr>
                <w:rFonts w:hint="eastAsia" w:ascii="宋体" w:hAnsi="宋体"/>
                <w:sz w:val="24"/>
              </w:rPr>
              <w:t>2</w:t>
            </w:r>
            <w:r>
              <w:rPr>
                <w:rFonts w:ascii="宋体" w:hAnsi="宋体"/>
                <w:sz w:val="24"/>
              </w:rPr>
              <w:t>.8.1</w:t>
            </w:r>
          </w:p>
        </w:tc>
        <w:tc>
          <w:tcPr>
            <w:tcW w:w="8283" w:type="dxa"/>
            <w:vAlign w:val="center"/>
          </w:tcPr>
          <w:p w14:paraId="4013FAC0">
            <w:pPr>
              <w:spacing w:line="360" w:lineRule="auto"/>
              <w:jc w:val="left"/>
              <w:rPr>
                <w:rFonts w:ascii="宋体" w:hAnsi="宋体"/>
                <w:sz w:val="24"/>
              </w:rPr>
            </w:pPr>
            <w:r>
              <w:rPr>
                <w:rFonts w:hint="eastAsia" w:ascii="宋体" w:hAnsi="宋体"/>
                <w:sz w:val="24"/>
              </w:rPr>
              <w:t>配置有冷暖空调和收音机的全封闭多功能工作臂控制室，控制室为四面全玻璃设计，正前方玻璃可以完全打开。工作臂控制室可以随多功能工作臂同步液压3</w:t>
            </w:r>
            <w:r>
              <w:rPr>
                <w:rFonts w:ascii="宋体" w:hAnsi="宋体"/>
                <w:sz w:val="24"/>
              </w:rPr>
              <w:t>60</w:t>
            </w:r>
            <w:r>
              <w:rPr>
                <w:rFonts w:hint="eastAsia" w:ascii="宋体" w:hAnsi="宋体"/>
                <w:sz w:val="24"/>
              </w:rPr>
              <w:t>度连续旋转。</w:t>
            </w:r>
          </w:p>
        </w:tc>
      </w:tr>
      <w:tr w14:paraId="3E972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6B15772D">
            <w:pPr>
              <w:spacing w:line="360" w:lineRule="auto"/>
              <w:jc w:val="center"/>
              <w:rPr>
                <w:rFonts w:ascii="宋体" w:hAnsi="宋体"/>
                <w:sz w:val="24"/>
              </w:rPr>
            </w:pPr>
            <w:r>
              <w:rPr>
                <w:rFonts w:hint="eastAsia" w:ascii="宋体" w:hAnsi="宋体"/>
                <w:sz w:val="24"/>
              </w:rPr>
              <w:t>2</w:t>
            </w:r>
            <w:r>
              <w:rPr>
                <w:rFonts w:ascii="宋体" w:hAnsi="宋体"/>
                <w:sz w:val="24"/>
              </w:rPr>
              <w:t>.8.2</w:t>
            </w:r>
          </w:p>
        </w:tc>
        <w:tc>
          <w:tcPr>
            <w:tcW w:w="8283" w:type="dxa"/>
            <w:vAlign w:val="center"/>
          </w:tcPr>
          <w:p w14:paraId="1A964CD6">
            <w:pPr>
              <w:spacing w:line="360" w:lineRule="auto"/>
              <w:jc w:val="left"/>
              <w:rPr>
                <w:rFonts w:ascii="宋体" w:hAnsi="宋体"/>
                <w:sz w:val="24"/>
              </w:rPr>
            </w:pPr>
            <w:r>
              <w:rPr>
                <w:rFonts w:hint="eastAsia" w:ascii="宋体" w:hAnsi="宋体"/>
                <w:sz w:val="24"/>
              </w:rPr>
              <w:t>控制室顶及工作臂顶部安装有夜间工作灯，可由控制室进行遥控开关。</w:t>
            </w:r>
          </w:p>
        </w:tc>
      </w:tr>
      <w:tr w14:paraId="1815F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6A6FD581">
            <w:pPr>
              <w:spacing w:line="360" w:lineRule="auto"/>
              <w:jc w:val="center"/>
              <w:rPr>
                <w:rFonts w:ascii="宋体" w:hAnsi="宋体"/>
                <w:sz w:val="24"/>
              </w:rPr>
            </w:pPr>
            <w:r>
              <w:rPr>
                <w:rFonts w:ascii="宋体" w:hAnsi="宋体"/>
                <w:sz w:val="24"/>
              </w:rPr>
              <w:t>2.8.3</w:t>
            </w:r>
          </w:p>
        </w:tc>
        <w:tc>
          <w:tcPr>
            <w:tcW w:w="8283" w:type="dxa"/>
            <w:vAlign w:val="center"/>
          </w:tcPr>
          <w:p w14:paraId="73477366">
            <w:pPr>
              <w:spacing w:line="360" w:lineRule="auto"/>
              <w:jc w:val="left"/>
              <w:rPr>
                <w:rFonts w:ascii="宋体" w:hAnsi="宋体"/>
                <w:sz w:val="24"/>
              </w:rPr>
            </w:pPr>
            <w:r>
              <w:rPr>
                <w:rFonts w:hint="eastAsia" w:ascii="宋体" w:hAnsi="宋体"/>
                <w:sz w:val="24"/>
              </w:rPr>
              <w:t>控制室安装有无线闭路电视监控装置，设置彩色液晶显示器于底盘驾驶室，底盘驾驶员可以远程实时监控工作臂实际工作状况。</w:t>
            </w:r>
          </w:p>
        </w:tc>
      </w:tr>
      <w:tr w14:paraId="47664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1DB84A52">
            <w:pPr>
              <w:spacing w:line="360" w:lineRule="auto"/>
              <w:jc w:val="center"/>
              <w:rPr>
                <w:rFonts w:ascii="宋体" w:hAnsi="宋体"/>
                <w:b/>
                <w:sz w:val="24"/>
              </w:rPr>
            </w:pPr>
            <w:r>
              <w:rPr>
                <w:rFonts w:hint="eastAsia" w:ascii="宋体" w:hAnsi="宋体"/>
                <w:b/>
                <w:sz w:val="24"/>
              </w:rPr>
              <w:t>2</w:t>
            </w:r>
            <w:r>
              <w:rPr>
                <w:rFonts w:ascii="宋体" w:hAnsi="宋体"/>
                <w:b/>
                <w:sz w:val="24"/>
              </w:rPr>
              <w:t>.9</w:t>
            </w:r>
          </w:p>
        </w:tc>
        <w:tc>
          <w:tcPr>
            <w:tcW w:w="8283" w:type="dxa"/>
            <w:vAlign w:val="center"/>
          </w:tcPr>
          <w:p w14:paraId="2DE643FB">
            <w:pPr>
              <w:spacing w:line="360" w:lineRule="auto"/>
              <w:jc w:val="left"/>
              <w:rPr>
                <w:rFonts w:ascii="宋体" w:hAnsi="宋体"/>
                <w:b/>
                <w:sz w:val="24"/>
              </w:rPr>
            </w:pPr>
            <w:r>
              <w:rPr>
                <w:rFonts w:hint="eastAsia" w:ascii="宋体" w:hAnsi="宋体"/>
                <w:b/>
                <w:sz w:val="24"/>
              </w:rPr>
              <w:t>液压系统</w:t>
            </w:r>
          </w:p>
        </w:tc>
      </w:tr>
      <w:tr w14:paraId="140E0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3E61C27D">
            <w:pPr>
              <w:spacing w:line="360" w:lineRule="auto"/>
              <w:jc w:val="center"/>
              <w:rPr>
                <w:rFonts w:ascii="宋体" w:hAnsi="宋体"/>
                <w:sz w:val="24"/>
              </w:rPr>
            </w:pPr>
            <w:r>
              <w:rPr>
                <w:rFonts w:ascii="宋体" w:hAnsi="宋体"/>
                <w:sz w:val="24"/>
              </w:rPr>
              <w:t>2.9.1</w:t>
            </w:r>
          </w:p>
        </w:tc>
        <w:tc>
          <w:tcPr>
            <w:tcW w:w="8283" w:type="dxa"/>
            <w:vAlign w:val="center"/>
          </w:tcPr>
          <w:p w14:paraId="6967F51A">
            <w:pPr>
              <w:spacing w:line="360" w:lineRule="auto"/>
              <w:jc w:val="left"/>
              <w:rPr>
                <w:rFonts w:ascii="宋体" w:hAnsi="宋体"/>
                <w:sz w:val="24"/>
              </w:rPr>
            </w:pPr>
            <w:r>
              <w:rPr>
                <w:rFonts w:hint="eastAsia" w:ascii="宋体" w:hAnsi="宋体"/>
                <w:sz w:val="24"/>
              </w:rPr>
              <w:t>配备辅助液压系统提供液压属具用液压动力，工作压力</w:t>
            </w:r>
            <w:r>
              <w:rPr>
                <w:rFonts w:ascii="宋体" w:hAnsi="宋体"/>
                <w:color w:val="FF0000"/>
                <w:sz w:val="24"/>
              </w:rPr>
              <w:t>≥160</w:t>
            </w:r>
            <w:r>
              <w:rPr>
                <w:rFonts w:hint="eastAsia" w:ascii="宋体" w:hAnsi="宋体"/>
                <w:color w:val="FF0000"/>
                <w:sz w:val="24"/>
              </w:rPr>
              <w:t>bar</w:t>
            </w:r>
            <w:r>
              <w:rPr>
                <w:rFonts w:hint="eastAsia" w:ascii="宋体" w:hAnsi="宋体"/>
                <w:sz w:val="24"/>
              </w:rPr>
              <w:t>，工作流量</w:t>
            </w:r>
            <w:r>
              <w:rPr>
                <w:rFonts w:ascii="宋体" w:hAnsi="宋体"/>
                <w:sz w:val="24"/>
              </w:rPr>
              <w:t>≥60</w:t>
            </w:r>
            <w:r>
              <w:rPr>
                <w:rFonts w:hint="eastAsia" w:ascii="宋体" w:hAnsi="宋体"/>
                <w:sz w:val="24"/>
              </w:rPr>
              <w:t>lpm，由安装于右侧操作手柄上的按钮开关控制，液压油管上配备液压快插，方便液压属具的快速更换。</w:t>
            </w:r>
          </w:p>
        </w:tc>
      </w:tr>
      <w:tr w14:paraId="6F865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255BF211">
            <w:pPr>
              <w:spacing w:line="360" w:lineRule="auto"/>
              <w:jc w:val="center"/>
              <w:rPr>
                <w:rFonts w:ascii="宋体" w:hAnsi="宋体"/>
                <w:sz w:val="24"/>
              </w:rPr>
            </w:pPr>
            <w:r>
              <w:rPr>
                <w:rFonts w:ascii="宋体" w:hAnsi="宋体"/>
                <w:sz w:val="24"/>
              </w:rPr>
              <w:t>2.9.2</w:t>
            </w:r>
          </w:p>
        </w:tc>
        <w:tc>
          <w:tcPr>
            <w:tcW w:w="8283" w:type="dxa"/>
            <w:vAlign w:val="center"/>
          </w:tcPr>
          <w:p w14:paraId="2E7A0A10">
            <w:pPr>
              <w:spacing w:line="360" w:lineRule="auto"/>
              <w:jc w:val="left"/>
              <w:rPr>
                <w:rFonts w:ascii="宋体" w:hAnsi="宋体"/>
                <w:sz w:val="24"/>
              </w:rPr>
            </w:pPr>
            <w:r>
              <w:rPr>
                <w:rFonts w:hint="eastAsia" w:ascii="宋体" w:hAnsi="宋体"/>
                <w:sz w:val="24"/>
              </w:rPr>
              <w:t>配备额外两路比例控制双动液压油路（四路钢制油管），可用于驱动液压属具的各种附加拓展动作，如拓展属具摆动和旋转。比例控制应由安装与左右操作手柄上的两个指尖拨轮比例控制。</w:t>
            </w:r>
          </w:p>
        </w:tc>
      </w:tr>
      <w:tr w14:paraId="743AE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0FFC1CFC">
            <w:pPr>
              <w:spacing w:line="360" w:lineRule="auto"/>
              <w:jc w:val="center"/>
              <w:rPr>
                <w:rFonts w:ascii="宋体" w:hAnsi="宋体"/>
                <w:sz w:val="24"/>
              </w:rPr>
            </w:pPr>
            <w:r>
              <w:rPr>
                <w:rFonts w:ascii="宋体" w:hAnsi="宋体"/>
                <w:sz w:val="24"/>
              </w:rPr>
              <w:t>2.9.3</w:t>
            </w:r>
          </w:p>
        </w:tc>
        <w:tc>
          <w:tcPr>
            <w:tcW w:w="8283" w:type="dxa"/>
            <w:vAlign w:val="center"/>
          </w:tcPr>
          <w:p w14:paraId="35C632FE">
            <w:pPr>
              <w:spacing w:line="360" w:lineRule="auto"/>
              <w:jc w:val="left"/>
              <w:rPr>
                <w:rFonts w:ascii="宋体" w:hAnsi="宋体"/>
                <w:sz w:val="24"/>
              </w:rPr>
            </w:pPr>
            <w:r>
              <w:rPr>
                <w:rFonts w:hint="eastAsia" w:ascii="宋体" w:hAnsi="宋体"/>
                <w:sz w:val="24"/>
              </w:rPr>
              <w:t>多功能液压工作臂顶端应配置液压属具快换装置，由液压先导阀额外增配的常压液压油路控制，用于液压属具的快速更换，静态压力</w:t>
            </w:r>
            <w:r>
              <w:rPr>
                <w:rFonts w:ascii="宋体" w:hAnsi="宋体"/>
                <w:sz w:val="24"/>
              </w:rPr>
              <w:t>≥25</w:t>
            </w:r>
            <w:r>
              <w:rPr>
                <w:rFonts w:hint="eastAsia" w:ascii="宋体" w:hAnsi="宋体"/>
                <w:sz w:val="24"/>
              </w:rPr>
              <w:t>bar。由安装在多功能工作臂控制室内的翘板开关控制。该管路应固定安装于小臂前端。</w:t>
            </w:r>
          </w:p>
        </w:tc>
      </w:tr>
      <w:tr w14:paraId="7035D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039AF5EA">
            <w:pPr>
              <w:spacing w:line="360" w:lineRule="auto"/>
              <w:jc w:val="center"/>
              <w:rPr>
                <w:rFonts w:ascii="宋体" w:hAnsi="宋体"/>
                <w:sz w:val="24"/>
              </w:rPr>
            </w:pPr>
            <w:r>
              <w:rPr>
                <w:rFonts w:hint="eastAsia" w:ascii="宋体" w:hAnsi="宋体"/>
                <w:sz w:val="24"/>
              </w:rPr>
              <w:t>2</w:t>
            </w:r>
            <w:r>
              <w:rPr>
                <w:rFonts w:ascii="宋体" w:hAnsi="宋体"/>
                <w:sz w:val="24"/>
              </w:rPr>
              <w:t>.9.4</w:t>
            </w:r>
          </w:p>
        </w:tc>
        <w:tc>
          <w:tcPr>
            <w:tcW w:w="8283" w:type="dxa"/>
            <w:vAlign w:val="center"/>
          </w:tcPr>
          <w:p w14:paraId="4B324698">
            <w:pPr>
              <w:spacing w:line="360" w:lineRule="auto"/>
              <w:jc w:val="left"/>
              <w:rPr>
                <w:rFonts w:ascii="宋体" w:hAnsi="宋体"/>
                <w:sz w:val="24"/>
              </w:rPr>
            </w:pPr>
            <w:r>
              <w:rPr>
                <w:rFonts w:hint="eastAsia" w:ascii="宋体" w:hAnsi="宋体"/>
                <w:sz w:val="24"/>
              </w:rPr>
              <w:t>工作臂上应配置液压溢流管，直接同液压油箱连通，可以在液压属具供油过多的情况下，将液压油溢流回液压油箱，保护工作属具液压马达。</w:t>
            </w:r>
          </w:p>
        </w:tc>
      </w:tr>
      <w:tr w14:paraId="3D38D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17A344B0">
            <w:pPr>
              <w:spacing w:line="360" w:lineRule="auto"/>
              <w:jc w:val="center"/>
              <w:rPr>
                <w:rFonts w:ascii="宋体" w:hAnsi="宋体"/>
                <w:sz w:val="24"/>
              </w:rPr>
            </w:pPr>
            <w:r>
              <w:rPr>
                <w:rFonts w:hint="eastAsia" w:ascii="宋体" w:hAnsi="宋体"/>
                <w:sz w:val="24"/>
              </w:rPr>
              <w:t>2.</w:t>
            </w:r>
            <w:r>
              <w:rPr>
                <w:rFonts w:ascii="宋体" w:hAnsi="宋体"/>
                <w:sz w:val="24"/>
              </w:rPr>
              <w:t>9.5</w:t>
            </w:r>
          </w:p>
        </w:tc>
        <w:tc>
          <w:tcPr>
            <w:tcW w:w="8283" w:type="dxa"/>
            <w:vAlign w:val="center"/>
          </w:tcPr>
          <w:p w14:paraId="284E6575">
            <w:pPr>
              <w:spacing w:line="360" w:lineRule="auto"/>
              <w:jc w:val="left"/>
              <w:rPr>
                <w:rFonts w:ascii="宋体" w:hAnsi="宋体"/>
                <w:sz w:val="24"/>
              </w:rPr>
            </w:pPr>
            <w:r>
              <w:rPr>
                <w:rFonts w:hint="eastAsia" w:ascii="宋体" w:hAnsi="宋体"/>
                <w:sz w:val="24"/>
              </w:rPr>
              <w:t>液压属具用的各路液压供油管应在大臂和小臂上采用钢管固定安装，管口采用锥密封。未配备液压快插的油管出厂均应配置钢制堵头封堵，保证系统清洁度。</w:t>
            </w:r>
            <w:r>
              <w:rPr>
                <w:rFonts w:hint="eastAsia" w:ascii="宋体" w:hAnsi="宋体"/>
                <w:sz w:val="24"/>
                <w:highlight w:val="yellow"/>
              </w:rPr>
              <w:t>（</w:t>
            </w:r>
            <w:r>
              <w:rPr>
                <w:rFonts w:hint="eastAsia" w:ascii="宋体" w:hAnsi="宋体"/>
                <w:b/>
                <w:bCs/>
                <w:sz w:val="24"/>
                <w:highlight w:val="yellow"/>
              </w:rPr>
              <w:t>提供实物照片作为佐证</w:t>
            </w:r>
            <w:r>
              <w:rPr>
                <w:rFonts w:hint="eastAsia" w:ascii="宋体" w:hAnsi="宋体"/>
                <w:b/>
                <w:bCs/>
                <w:sz w:val="24"/>
                <w:highlight w:val="yellow"/>
                <w:lang w:eastAsia="zh-CN"/>
              </w:rPr>
              <w:t>，</w:t>
            </w:r>
            <w:r>
              <w:rPr>
                <w:rFonts w:hint="eastAsia" w:ascii="宋体" w:hAnsi="宋体"/>
                <w:b/>
                <w:bCs/>
                <w:sz w:val="24"/>
                <w:highlight w:val="yellow"/>
                <w:lang w:val="en-US" w:eastAsia="zh-CN"/>
              </w:rPr>
              <w:t>附在响应文件中</w:t>
            </w:r>
            <w:r>
              <w:rPr>
                <w:rFonts w:hint="eastAsia" w:ascii="宋体" w:hAnsi="宋体"/>
                <w:sz w:val="24"/>
                <w:highlight w:val="yellow"/>
              </w:rPr>
              <w:t>）</w:t>
            </w:r>
            <w:r>
              <w:rPr>
                <w:rFonts w:hint="eastAsia" w:ascii="宋体" w:hAnsi="宋体"/>
                <w:sz w:val="24"/>
              </w:rPr>
              <w:t>。</w:t>
            </w:r>
          </w:p>
        </w:tc>
      </w:tr>
      <w:tr w14:paraId="13B41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3E0CC729">
            <w:pPr>
              <w:spacing w:line="360" w:lineRule="auto"/>
              <w:jc w:val="center"/>
              <w:rPr>
                <w:rFonts w:ascii="宋体" w:hAnsi="宋体"/>
                <w:b/>
                <w:sz w:val="24"/>
              </w:rPr>
            </w:pPr>
            <w:r>
              <w:rPr>
                <w:rFonts w:hint="eastAsia" w:ascii="宋体" w:hAnsi="宋体"/>
                <w:b/>
                <w:sz w:val="24"/>
              </w:rPr>
              <w:t>2</w:t>
            </w:r>
            <w:r>
              <w:rPr>
                <w:rFonts w:ascii="宋体" w:hAnsi="宋体"/>
                <w:b/>
                <w:sz w:val="24"/>
              </w:rPr>
              <w:t>.10</w:t>
            </w:r>
          </w:p>
        </w:tc>
        <w:tc>
          <w:tcPr>
            <w:tcW w:w="8283" w:type="dxa"/>
            <w:vAlign w:val="center"/>
          </w:tcPr>
          <w:p w14:paraId="35B44419">
            <w:pPr>
              <w:spacing w:line="360" w:lineRule="auto"/>
              <w:jc w:val="left"/>
              <w:rPr>
                <w:rFonts w:ascii="宋体" w:hAnsi="宋体"/>
                <w:b/>
                <w:sz w:val="24"/>
              </w:rPr>
            </w:pPr>
            <w:r>
              <w:rPr>
                <w:rFonts w:hint="eastAsia" w:ascii="宋体" w:hAnsi="宋体"/>
                <w:b/>
                <w:sz w:val="24"/>
              </w:rPr>
              <w:t>副发动机</w:t>
            </w:r>
          </w:p>
        </w:tc>
      </w:tr>
      <w:tr w14:paraId="2D251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0EA00A0A">
            <w:pPr>
              <w:spacing w:line="360" w:lineRule="auto"/>
              <w:jc w:val="center"/>
              <w:rPr>
                <w:rFonts w:ascii="宋体" w:hAnsi="宋体"/>
                <w:sz w:val="24"/>
              </w:rPr>
            </w:pPr>
            <w:r>
              <w:rPr>
                <w:rFonts w:ascii="宋体" w:hAnsi="宋体"/>
                <w:sz w:val="24"/>
              </w:rPr>
              <w:t>2.10.</w:t>
            </w:r>
            <w:r>
              <w:rPr>
                <w:rFonts w:hint="eastAsia" w:ascii="宋体" w:hAnsi="宋体"/>
                <w:sz w:val="24"/>
              </w:rPr>
              <w:t>1</w:t>
            </w:r>
          </w:p>
        </w:tc>
        <w:tc>
          <w:tcPr>
            <w:tcW w:w="8283" w:type="dxa"/>
            <w:vAlign w:val="center"/>
          </w:tcPr>
          <w:p w14:paraId="29973AE2">
            <w:pPr>
              <w:spacing w:line="360" w:lineRule="auto"/>
              <w:jc w:val="left"/>
              <w:rPr>
                <w:rFonts w:ascii="宋体" w:hAnsi="宋体"/>
                <w:sz w:val="24"/>
              </w:rPr>
            </w:pPr>
            <w:r>
              <w:rPr>
                <w:rFonts w:hint="eastAsia" w:ascii="宋体" w:hAnsi="宋体"/>
                <w:sz w:val="24"/>
              </w:rPr>
              <w:t>多功能液压工作臂由副发动机驱动的液压系统提供动力，采用水冷四冲程柴油发动机，额定功率</w:t>
            </w:r>
            <w:r>
              <w:rPr>
                <w:rFonts w:ascii="宋体" w:hAnsi="宋体"/>
                <w:sz w:val="24"/>
              </w:rPr>
              <w:t>≥38.3</w:t>
            </w:r>
            <w:r>
              <w:rPr>
                <w:rFonts w:hint="eastAsia" w:ascii="宋体" w:hAnsi="宋体"/>
                <w:sz w:val="24"/>
              </w:rPr>
              <w:t>kw</w:t>
            </w:r>
          </w:p>
        </w:tc>
      </w:tr>
      <w:tr w14:paraId="5CA4B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48CD6962">
            <w:pPr>
              <w:spacing w:line="360" w:lineRule="auto"/>
              <w:jc w:val="center"/>
              <w:rPr>
                <w:rFonts w:ascii="宋体" w:hAnsi="宋体"/>
                <w:sz w:val="24"/>
              </w:rPr>
            </w:pPr>
            <w:r>
              <w:rPr>
                <w:rFonts w:ascii="宋体" w:hAnsi="宋体"/>
                <w:sz w:val="24"/>
              </w:rPr>
              <w:t>2</w:t>
            </w:r>
            <w:r>
              <w:rPr>
                <w:rFonts w:hint="eastAsia" w:ascii="宋体" w:hAnsi="宋体"/>
                <w:sz w:val="24"/>
              </w:rPr>
              <w:t>.</w:t>
            </w:r>
            <w:r>
              <w:rPr>
                <w:rFonts w:ascii="宋体" w:hAnsi="宋体"/>
                <w:sz w:val="24"/>
              </w:rPr>
              <w:t>10.2</w:t>
            </w:r>
          </w:p>
        </w:tc>
        <w:tc>
          <w:tcPr>
            <w:tcW w:w="8283" w:type="dxa"/>
            <w:vAlign w:val="center"/>
          </w:tcPr>
          <w:p w14:paraId="18526546">
            <w:pPr>
              <w:spacing w:line="360" w:lineRule="auto"/>
              <w:jc w:val="left"/>
              <w:rPr>
                <w:rFonts w:ascii="宋体" w:hAnsi="宋体"/>
                <w:sz w:val="24"/>
              </w:rPr>
            </w:pPr>
            <w:r>
              <w:rPr>
                <w:rFonts w:hint="eastAsia" w:ascii="宋体" w:hAnsi="宋体"/>
                <w:sz w:val="24"/>
              </w:rPr>
              <w:t>副发动机排放必须达到GB</w:t>
            </w:r>
            <w:r>
              <w:rPr>
                <w:rFonts w:ascii="宋体" w:hAnsi="宋体"/>
                <w:sz w:val="24"/>
              </w:rPr>
              <w:t>20891-2014</w:t>
            </w:r>
            <w:r>
              <w:rPr>
                <w:rFonts w:hint="eastAsia" w:ascii="宋体" w:hAnsi="宋体"/>
                <w:sz w:val="24"/>
              </w:rPr>
              <w:t>非道路国四排放要求。</w:t>
            </w:r>
          </w:p>
        </w:tc>
      </w:tr>
      <w:tr w14:paraId="42462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0397D478">
            <w:pPr>
              <w:spacing w:line="360" w:lineRule="auto"/>
              <w:jc w:val="center"/>
              <w:rPr>
                <w:rFonts w:ascii="宋体" w:hAnsi="宋体"/>
                <w:b/>
                <w:sz w:val="24"/>
              </w:rPr>
            </w:pPr>
            <w:r>
              <w:rPr>
                <w:rFonts w:hint="eastAsia" w:ascii="宋体" w:hAnsi="宋体"/>
                <w:b/>
                <w:sz w:val="24"/>
              </w:rPr>
              <w:t>2</w:t>
            </w:r>
            <w:r>
              <w:rPr>
                <w:rFonts w:ascii="宋体" w:hAnsi="宋体"/>
                <w:b/>
                <w:sz w:val="24"/>
              </w:rPr>
              <w:t>.11</w:t>
            </w:r>
          </w:p>
        </w:tc>
        <w:tc>
          <w:tcPr>
            <w:tcW w:w="8283" w:type="dxa"/>
            <w:vAlign w:val="center"/>
          </w:tcPr>
          <w:p w14:paraId="01F494B9">
            <w:pPr>
              <w:spacing w:line="360" w:lineRule="auto"/>
              <w:jc w:val="left"/>
              <w:rPr>
                <w:rFonts w:ascii="宋体" w:hAnsi="宋体"/>
                <w:b/>
                <w:sz w:val="24"/>
              </w:rPr>
            </w:pPr>
            <w:r>
              <w:rPr>
                <w:rFonts w:hint="eastAsia" w:ascii="宋体" w:hAnsi="宋体"/>
                <w:b/>
                <w:sz w:val="24"/>
              </w:rPr>
              <w:t>标准属具</w:t>
            </w:r>
          </w:p>
        </w:tc>
      </w:tr>
      <w:tr w14:paraId="4E53C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698A3ABF">
            <w:pPr>
              <w:spacing w:line="360" w:lineRule="auto"/>
              <w:jc w:val="center"/>
              <w:rPr>
                <w:rFonts w:ascii="宋体" w:hAnsi="宋体"/>
                <w:sz w:val="24"/>
              </w:rPr>
            </w:pPr>
            <w:r>
              <w:rPr>
                <w:rFonts w:hint="eastAsia" w:ascii="宋体" w:hAnsi="宋体"/>
                <w:sz w:val="24"/>
              </w:rPr>
              <w:t>2</w:t>
            </w:r>
            <w:r>
              <w:rPr>
                <w:rFonts w:ascii="宋体" w:hAnsi="宋体"/>
                <w:sz w:val="24"/>
              </w:rPr>
              <w:t>.11.1</w:t>
            </w:r>
          </w:p>
        </w:tc>
        <w:tc>
          <w:tcPr>
            <w:tcW w:w="8283" w:type="dxa"/>
            <w:vAlign w:val="center"/>
          </w:tcPr>
          <w:p w14:paraId="5F0A3B7B">
            <w:pPr>
              <w:spacing w:line="360" w:lineRule="auto"/>
              <w:jc w:val="left"/>
              <w:rPr>
                <w:rFonts w:ascii="宋体" w:hAnsi="宋体"/>
                <w:sz w:val="24"/>
              </w:rPr>
            </w:pPr>
            <w:r>
              <w:rPr>
                <w:rFonts w:hint="eastAsia" w:ascii="宋体" w:hAnsi="宋体"/>
                <w:sz w:val="24"/>
              </w:rPr>
              <w:t>随车标配挖掘斗，斗容</w:t>
            </w:r>
            <w:r>
              <w:rPr>
                <w:rFonts w:ascii="宋体" w:hAnsi="宋体"/>
                <w:sz w:val="24"/>
              </w:rPr>
              <w:t> </w:t>
            </w:r>
            <w:bookmarkStart w:id="1" w:name="_Hlk144925453"/>
            <w:r>
              <w:rPr>
                <w:rFonts w:ascii="宋体" w:hAnsi="宋体"/>
                <w:sz w:val="24"/>
              </w:rPr>
              <w:t>≥</w:t>
            </w:r>
            <w:bookmarkEnd w:id="1"/>
            <w:r>
              <w:rPr>
                <w:rFonts w:ascii="宋体" w:hAnsi="宋体"/>
                <w:sz w:val="24"/>
              </w:rPr>
              <w:t>0.</w:t>
            </w:r>
            <w:r>
              <w:rPr>
                <w:rFonts w:hint="eastAsia" w:ascii="宋体" w:hAnsi="宋体"/>
                <w:sz w:val="24"/>
              </w:rPr>
              <w:t>2</w:t>
            </w:r>
            <w:r>
              <w:rPr>
                <w:rFonts w:ascii="宋体" w:hAnsi="宋体"/>
                <w:sz w:val="24"/>
              </w:rPr>
              <w:t>1</w:t>
            </w:r>
            <w:r>
              <w:rPr>
                <w:rFonts w:hint="eastAsia" w:ascii="宋体" w:hAnsi="宋体"/>
                <w:sz w:val="24"/>
              </w:rPr>
              <w:t>立方米</w:t>
            </w:r>
          </w:p>
        </w:tc>
      </w:tr>
      <w:tr w14:paraId="781BC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5C07C377">
            <w:pPr>
              <w:spacing w:line="360" w:lineRule="auto"/>
              <w:jc w:val="center"/>
              <w:rPr>
                <w:rFonts w:ascii="宋体" w:hAnsi="宋体"/>
                <w:sz w:val="24"/>
              </w:rPr>
            </w:pPr>
            <w:r>
              <w:rPr>
                <w:rFonts w:hint="eastAsia" w:ascii="宋体" w:hAnsi="宋体"/>
                <w:sz w:val="24"/>
              </w:rPr>
              <w:t>2</w:t>
            </w:r>
            <w:r>
              <w:rPr>
                <w:rFonts w:ascii="宋体" w:hAnsi="宋体"/>
                <w:sz w:val="24"/>
              </w:rPr>
              <w:t>.11.2</w:t>
            </w:r>
          </w:p>
        </w:tc>
        <w:tc>
          <w:tcPr>
            <w:tcW w:w="8283" w:type="dxa"/>
            <w:vAlign w:val="center"/>
          </w:tcPr>
          <w:p w14:paraId="30C3EC96">
            <w:pPr>
              <w:spacing w:line="360" w:lineRule="auto"/>
              <w:jc w:val="left"/>
              <w:rPr>
                <w:rFonts w:ascii="宋体" w:hAnsi="宋体"/>
                <w:sz w:val="24"/>
              </w:rPr>
            </w:pPr>
            <w:r>
              <w:rPr>
                <w:rFonts w:hint="eastAsia" w:ascii="宋体" w:hAnsi="宋体"/>
                <w:sz w:val="24"/>
              </w:rPr>
              <w:t>随车标配液压破碎锤用于路面破碎以及液压平板夯用于土方回填和压实，夯板工作宽度</w:t>
            </w:r>
            <w:r>
              <w:rPr>
                <w:rFonts w:ascii="宋体" w:hAnsi="宋体"/>
                <w:sz w:val="24"/>
              </w:rPr>
              <w:t>≥</w:t>
            </w:r>
            <w:r>
              <w:rPr>
                <w:rFonts w:hint="eastAsia" w:ascii="宋体" w:hAnsi="宋体"/>
                <w:sz w:val="24"/>
              </w:rPr>
              <w:t>5</w:t>
            </w:r>
            <w:r>
              <w:rPr>
                <w:rFonts w:ascii="宋体" w:hAnsi="宋体"/>
                <w:sz w:val="24"/>
              </w:rPr>
              <w:t>50</w:t>
            </w:r>
            <w:r>
              <w:rPr>
                <w:rFonts w:hint="eastAsia" w:ascii="宋体" w:hAnsi="宋体"/>
                <w:sz w:val="24"/>
              </w:rPr>
              <w:t>mm</w:t>
            </w:r>
          </w:p>
        </w:tc>
      </w:tr>
      <w:tr w14:paraId="7CD1E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65D238AB">
            <w:pPr>
              <w:spacing w:line="360" w:lineRule="auto"/>
              <w:jc w:val="center"/>
              <w:rPr>
                <w:rFonts w:ascii="宋体" w:hAnsi="宋体"/>
                <w:sz w:val="24"/>
              </w:rPr>
            </w:pPr>
            <w:r>
              <w:rPr>
                <w:rFonts w:hint="eastAsia" w:ascii="宋体" w:hAnsi="宋体"/>
                <w:sz w:val="24"/>
              </w:rPr>
              <w:t>2</w:t>
            </w:r>
            <w:r>
              <w:rPr>
                <w:rFonts w:ascii="宋体" w:hAnsi="宋体"/>
                <w:sz w:val="24"/>
              </w:rPr>
              <w:t>.11.3</w:t>
            </w:r>
          </w:p>
        </w:tc>
        <w:tc>
          <w:tcPr>
            <w:tcW w:w="8283" w:type="dxa"/>
            <w:vAlign w:val="center"/>
          </w:tcPr>
          <w:p w14:paraId="04A8BD82">
            <w:pPr>
              <w:spacing w:line="360" w:lineRule="auto"/>
              <w:jc w:val="left"/>
              <w:rPr>
                <w:rFonts w:ascii="宋体" w:hAnsi="宋体"/>
                <w:sz w:val="24"/>
              </w:rPr>
            </w:pPr>
            <w:r>
              <w:rPr>
                <w:rFonts w:hint="eastAsia" w:ascii="宋体" w:hAnsi="宋体"/>
                <w:sz w:val="24"/>
              </w:rPr>
              <w:t>铣刨机工作宽度≥3</w:t>
            </w:r>
            <w:r>
              <w:rPr>
                <w:rFonts w:ascii="宋体" w:hAnsi="宋体"/>
                <w:sz w:val="24"/>
              </w:rPr>
              <w:t>00mm</w:t>
            </w:r>
          </w:p>
          <w:p w14:paraId="1D907AAE">
            <w:pPr>
              <w:spacing w:line="360" w:lineRule="auto"/>
              <w:jc w:val="left"/>
              <w:rPr>
                <w:rFonts w:ascii="宋体" w:hAnsi="宋体"/>
                <w:sz w:val="24"/>
              </w:rPr>
            </w:pPr>
            <w:r>
              <w:rPr>
                <w:rFonts w:ascii="宋体" w:hAnsi="宋体"/>
                <w:sz w:val="24"/>
              </w:rPr>
              <w:t>工作深度：</w:t>
            </w:r>
            <w:r>
              <w:rPr>
                <w:rFonts w:hint="eastAsia" w:ascii="宋体" w:hAnsi="宋体"/>
                <w:sz w:val="24"/>
              </w:rPr>
              <w:t>0</w:t>
            </w:r>
            <w:r>
              <w:rPr>
                <w:rFonts w:ascii="宋体" w:hAnsi="宋体"/>
                <w:sz w:val="24"/>
              </w:rPr>
              <w:t>-100mm</w:t>
            </w:r>
          </w:p>
          <w:p w14:paraId="0CDE279C">
            <w:pPr>
              <w:spacing w:line="360" w:lineRule="auto"/>
              <w:jc w:val="left"/>
              <w:rPr>
                <w:rFonts w:ascii="宋体" w:hAnsi="宋体"/>
                <w:sz w:val="24"/>
              </w:rPr>
            </w:pPr>
            <w:r>
              <w:rPr>
                <w:rFonts w:ascii="宋体" w:hAnsi="宋体"/>
                <w:sz w:val="24"/>
              </w:rPr>
              <w:t>所需流量</w:t>
            </w:r>
            <w:r>
              <w:rPr>
                <w:rFonts w:hint="eastAsia" w:ascii="宋体" w:hAnsi="宋体"/>
                <w:sz w:val="24"/>
              </w:rPr>
              <w:t>(</w:t>
            </w:r>
            <w:r>
              <w:rPr>
                <w:rFonts w:ascii="宋体" w:hAnsi="宋体"/>
                <w:sz w:val="24"/>
              </w:rPr>
              <w:t>l/min)：45–75</w:t>
            </w:r>
          </w:p>
        </w:tc>
      </w:tr>
      <w:tr w14:paraId="2486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08EDCCAA">
            <w:pPr>
              <w:spacing w:line="360" w:lineRule="auto"/>
              <w:jc w:val="center"/>
              <w:rPr>
                <w:rFonts w:hint="default" w:ascii="宋体" w:hAnsi="宋体" w:eastAsiaTheme="minorEastAsia"/>
                <w:sz w:val="24"/>
                <w:lang w:val="en-US" w:eastAsia="zh-CN"/>
              </w:rPr>
            </w:pPr>
            <w:r>
              <w:rPr>
                <w:rFonts w:hint="eastAsia" w:ascii="宋体" w:hAnsi="宋体"/>
                <w:sz w:val="24"/>
                <w:lang w:val="en-US" w:eastAsia="zh-CN"/>
              </w:rPr>
              <w:t>2.11.4</w:t>
            </w:r>
          </w:p>
        </w:tc>
        <w:tc>
          <w:tcPr>
            <w:tcW w:w="8283" w:type="dxa"/>
            <w:vAlign w:val="center"/>
          </w:tcPr>
          <w:p w14:paraId="1A03AD21">
            <w:pPr>
              <w:spacing w:line="360" w:lineRule="auto"/>
              <w:jc w:val="left"/>
              <w:rPr>
                <w:rFonts w:ascii="宋体" w:hAnsi="宋体"/>
                <w:sz w:val="24"/>
              </w:rPr>
            </w:pPr>
            <w:r>
              <w:rPr>
                <w:rFonts w:hint="eastAsia" w:ascii="宋体" w:hAnsi="宋体"/>
                <w:sz w:val="24"/>
                <w:lang w:val="en-US" w:eastAsia="zh-CN"/>
              </w:rPr>
              <w:t>液压平板夯</w:t>
            </w:r>
          </w:p>
        </w:tc>
      </w:tr>
      <w:tr w14:paraId="348A4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vAlign w:val="center"/>
          </w:tcPr>
          <w:p w14:paraId="54581337">
            <w:pPr>
              <w:spacing w:line="360" w:lineRule="auto"/>
              <w:jc w:val="center"/>
              <w:rPr>
                <w:rFonts w:ascii="宋体" w:hAnsi="宋体"/>
                <w:sz w:val="24"/>
              </w:rPr>
            </w:pPr>
            <w:r>
              <w:rPr>
                <w:rFonts w:hint="eastAsia" w:ascii="宋体" w:hAnsi="宋体"/>
                <w:sz w:val="24"/>
              </w:rPr>
              <w:t>3</w:t>
            </w:r>
          </w:p>
        </w:tc>
        <w:tc>
          <w:tcPr>
            <w:tcW w:w="8283" w:type="dxa"/>
            <w:vAlign w:val="center"/>
          </w:tcPr>
          <w:p w14:paraId="3DA95877">
            <w:pPr>
              <w:spacing w:line="360" w:lineRule="auto"/>
              <w:jc w:val="left"/>
              <w:rPr>
                <w:rFonts w:ascii="宋体" w:hAnsi="宋体"/>
                <w:sz w:val="24"/>
              </w:rPr>
            </w:pPr>
            <w:r>
              <w:rPr>
                <w:rFonts w:hint="eastAsia" w:ascii="宋体" w:hAnsi="宋体"/>
                <w:sz w:val="24"/>
              </w:rPr>
              <w:t>交货期：自合同签订之日起15日历天内完成供货</w:t>
            </w:r>
          </w:p>
        </w:tc>
      </w:tr>
    </w:tbl>
    <w:p w14:paraId="26BD1096">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说明：</w:t>
      </w:r>
    </w:p>
    <w:p w14:paraId="064D84F1">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1.本章是为满足采购人采购需求的最低要求，并未对一切技术参数和要求作出规定，也未充分引述有关规范和标准，供应商应保证提供的响应设备是符合或优于采购文件规定和有关规范、标准的优质产品；</w:t>
      </w:r>
    </w:p>
    <w:p w14:paraId="18F8598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2.为鼓励不同品牌充分竞争，如某设备的某项技术参数或要求属于个别品牌专有，则该技术参数、要求不具有限制性，供应商可对该技术参数或要求的响应情况进行说明，并经询价小组审核确认；</w:t>
      </w:r>
    </w:p>
    <w:p w14:paraId="40A1434B">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本章凡涉及参考品牌、推荐品牌（或参考型号、推荐型号）等表述的，均不具有限制性，供应商可自行选择其他品牌（或型号）投标，但供应商应当在响应文件中提供技术证明材料，以证明响应设备的质量、性能、参数等相当于或优于参考品牌、推荐品牌（或参考型号、推荐型号），否则其投标无效；</w:t>
      </w:r>
    </w:p>
    <w:p w14:paraId="38EE56D9">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4.标有“★”的参数为关键技术参数，必须响应或优于响应，否则其投标无效。</w:t>
      </w:r>
      <w:bookmarkStart w:id="2" w:name="_GoBack"/>
      <w:bookmarkEnd w:id="2"/>
    </w:p>
    <w:p w14:paraId="035C1FE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3e946cca-d41e-48c9-bc88-9ca67644096a"/>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4275C"/>
    <w:rsid w:val="00F67EBA"/>
    <w:rsid w:val="00FF2734"/>
    <w:rsid w:val="01594B35"/>
    <w:rsid w:val="01E0373D"/>
    <w:rsid w:val="032A1114"/>
    <w:rsid w:val="034B4BE6"/>
    <w:rsid w:val="035229D7"/>
    <w:rsid w:val="037405E1"/>
    <w:rsid w:val="038F541B"/>
    <w:rsid w:val="041A71AD"/>
    <w:rsid w:val="0475016D"/>
    <w:rsid w:val="04B62533"/>
    <w:rsid w:val="04D354F8"/>
    <w:rsid w:val="04F036EB"/>
    <w:rsid w:val="066824AC"/>
    <w:rsid w:val="066F1D0E"/>
    <w:rsid w:val="06AE3E0A"/>
    <w:rsid w:val="06BD21C2"/>
    <w:rsid w:val="07794418"/>
    <w:rsid w:val="07F95559"/>
    <w:rsid w:val="08334683"/>
    <w:rsid w:val="084C6B81"/>
    <w:rsid w:val="086504F8"/>
    <w:rsid w:val="094762F4"/>
    <w:rsid w:val="0B316DB7"/>
    <w:rsid w:val="0B4D3BF1"/>
    <w:rsid w:val="0E8F2773"/>
    <w:rsid w:val="0EE32E18"/>
    <w:rsid w:val="0F4A52C7"/>
    <w:rsid w:val="11800151"/>
    <w:rsid w:val="118B7221"/>
    <w:rsid w:val="122B630F"/>
    <w:rsid w:val="1409144A"/>
    <w:rsid w:val="15E50ECA"/>
    <w:rsid w:val="16675465"/>
    <w:rsid w:val="1720040C"/>
    <w:rsid w:val="17602EFE"/>
    <w:rsid w:val="17B120CF"/>
    <w:rsid w:val="17B77C73"/>
    <w:rsid w:val="17D11706"/>
    <w:rsid w:val="1828759A"/>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432352D"/>
    <w:rsid w:val="253A6668"/>
    <w:rsid w:val="25D7012F"/>
    <w:rsid w:val="25E87F6B"/>
    <w:rsid w:val="260C737D"/>
    <w:rsid w:val="26650304"/>
    <w:rsid w:val="26A24E49"/>
    <w:rsid w:val="27B25C24"/>
    <w:rsid w:val="27CC5A46"/>
    <w:rsid w:val="28205DAC"/>
    <w:rsid w:val="284D3501"/>
    <w:rsid w:val="286E3521"/>
    <w:rsid w:val="299D3B3E"/>
    <w:rsid w:val="2AF949D6"/>
    <w:rsid w:val="2B7D1B09"/>
    <w:rsid w:val="2CA862FE"/>
    <w:rsid w:val="2CBF5B79"/>
    <w:rsid w:val="2DB72D51"/>
    <w:rsid w:val="2EA72D69"/>
    <w:rsid w:val="2FA81E31"/>
    <w:rsid w:val="3025488D"/>
    <w:rsid w:val="317B58FC"/>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CF7F8D"/>
    <w:rsid w:val="3ED01E68"/>
    <w:rsid w:val="4019701E"/>
    <w:rsid w:val="407C4056"/>
    <w:rsid w:val="4162149D"/>
    <w:rsid w:val="421649E1"/>
    <w:rsid w:val="43313FC3"/>
    <w:rsid w:val="439E2535"/>
    <w:rsid w:val="43CC0E50"/>
    <w:rsid w:val="44C2414A"/>
    <w:rsid w:val="452A0524"/>
    <w:rsid w:val="459359FA"/>
    <w:rsid w:val="46A12F7F"/>
    <w:rsid w:val="46E44703"/>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C246CB1"/>
    <w:rsid w:val="5D662547"/>
    <w:rsid w:val="5FDC6467"/>
    <w:rsid w:val="604653D4"/>
    <w:rsid w:val="60C767CF"/>
    <w:rsid w:val="60CD01D3"/>
    <w:rsid w:val="60D3511D"/>
    <w:rsid w:val="60EB2945"/>
    <w:rsid w:val="613A3445"/>
    <w:rsid w:val="627831CA"/>
    <w:rsid w:val="632223E3"/>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28C05E7"/>
    <w:rsid w:val="731E270E"/>
    <w:rsid w:val="73C61A83"/>
    <w:rsid w:val="74C74B98"/>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99"/>
    <w:pPr>
      <w:tabs>
        <w:tab w:val="left" w:pos="420"/>
      </w:tabs>
      <w:ind w:firstLine="480"/>
    </w:pPr>
    <w:rPr>
      <w:rFonts w:ascii="等线" w:hAnsi="等线" w:eastAsia="等线" w:cs="等线"/>
      <w:lang w:val="zh-CN" w:bidi="zh-CN"/>
    </w:rPr>
  </w:style>
  <w:style w:type="paragraph" w:styleId="7">
    <w:name w:val="Body Text Indent"/>
    <w:basedOn w:val="1"/>
    <w:next w:val="8"/>
    <w:qFormat/>
    <w:uiPriority w:val="0"/>
    <w:pPr>
      <w:spacing w:after="120" w:afterLines="0"/>
      <w:ind w:left="420" w:leftChars="200"/>
    </w:pPr>
  </w:style>
  <w:style w:type="paragraph" w:styleId="8">
    <w:name w:val="envelope return"/>
    <w:basedOn w:val="1"/>
    <w:qFormat/>
    <w:uiPriority w:val="0"/>
    <w:pPr>
      <w:snapToGrid w:val="0"/>
    </w:pPr>
    <w:rPr>
      <w:rFonts w:ascii="Arial" w:hAnsi="Arial"/>
      <w:szCs w:val="20"/>
    </w:rPr>
  </w:style>
  <w:style w:type="paragraph" w:styleId="9">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Body Text First Indent 2"/>
    <w:basedOn w:val="7"/>
    <w:next w:val="1"/>
    <w:unhideWhenUsed/>
    <w:qFormat/>
    <w:uiPriority w:val="0"/>
    <w:pPr>
      <w:ind w:firstLine="42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qFormat/>
    <w:uiPriority w:val="1"/>
    <w:pPr>
      <w:autoSpaceDE w:val="0"/>
      <w:autoSpaceDN w:val="0"/>
      <w:jc w:val="left"/>
    </w:pPr>
    <w:rPr>
      <w:rFonts w:ascii="宋体" w:hAnsi="宋体" w:eastAsia="宋体" w:cs="宋体"/>
      <w:kern w:val="0"/>
      <w:sz w:val="22"/>
    </w:rPr>
  </w:style>
  <w:style w:type="table" w:customStyle="1" w:styleId="15">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1881</Words>
  <Characters>2145</Characters>
  <Lines>22</Lines>
  <Paragraphs>6</Paragraphs>
  <TotalTime>10</TotalTime>
  <ScaleCrop>false</ScaleCrop>
  <LinksUpToDate>false</LinksUpToDate>
  <CharactersWithSpaces>2150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张迪</cp:lastModifiedBy>
  <cp:lastPrinted>2021-05-25T08:19:00Z</cp:lastPrinted>
  <dcterms:modified xsi:type="dcterms:W3CDTF">2024-10-17T08:03:49Z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EE9CCD5557B1411BBD299B8BEE96EB37</vt:lpwstr>
  </property>
</Properties>
</file>