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E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亳州高铁南站金融商务中心光伏车棚钢结构专业分包询价公告</w:t>
      </w:r>
    </w:p>
    <w:p w14:paraId="40A654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5D24A0C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2296"/>
      <w:bookmarkStart w:id="1" w:name="_Toc246996167"/>
      <w:bookmarkStart w:id="2" w:name="_Toc296602411"/>
      <w:bookmarkStart w:id="3" w:name="_Toc144974488"/>
      <w:bookmarkStart w:id="4" w:name="_Toc152045520"/>
      <w:bookmarkStart w:id="5" w:name="_Toc179632537"/>
      <w:bookmarkStart w:id="6" w:name="_Toc246996910"/>
      <w:bookmarkStart w:id="7" w:name="_Toc24708568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7FD20C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亳州高铁南站金融商务中心光伏车棚钢结构专业分包</w:t>
      </w:r>
    </w:p>
    <w:p w14:paraId="6A062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 xml:space="preserve">AHTKJS-2024-79号 </w:t>
      </w:r>
      <w:permEnd w:id="1"/>
    </w:p>
    <w:p w14:paraId="194AE0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2" w:edGrp="everyone"/>
      <w:r>
        <w:rPr>
          <w:rFonts w:hint="eastAsia" w:asciiTheme="minorEastAsia" w:hAnsiTheme="minorEastAsia" w:cstheme="minorEastAsia"/>
          <w:sz w:val="28"/>
          <w:szCs w:val="28"/>
          <w:highlight w:val="none"/>
          <w:lang w:val="en-US" w:eastAsia="zh-CN"/>
        </w:rPr>
        <w:t>企业自筹</w:t>
      </w:r>
    </w:p>
    <w:permEnd w:id="2"/>
    <w:p w14:paraId="683FAB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permStart w:id="3"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3"/>
    <w:p w14:paraId="7F8F5C2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4772B1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22CD16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4" w:edGrp="everyone"/>
      <w:r>
        <w:rPr>
          <w:rFonts w:hint="eastAsia" w:asciiTheme="minorEastAsia" w:hAnsiTheme="minorEastAsia" w:eastAsiaTheme="minorEastAsia" w:cstheme="minorEastAsia"/>
          <w:sz w:val="28"/>
          <w:szCs w:val="28"/>
          <w:highlight w:val="none"/>
          <w:lang w:val="en-US" w:eastAsia="zh-CN"/>
        </w:rPr>
        <w:t>亳州高铁南站金融商务中心460KW光储一体化项目,总装机容量为540.2kWp，该系统使用110kW逆变器3台、60kW逆变器1台、40kW逆变1台、30kW逆变1台、125kW/261kWh储能成套设备1台，并网柜3台，车棚采用车棚固有倾角平铺固定安装。逆变器放在屋顶、车棚立柱以及墙壁挂装,并网柜安装在配电室,具体位置详见图纸。</w:t>
      </w:r>
      <w:r>
        <w:rPr>
          <w:rFonts w:hint="eastAsia" w:asciiTheme="minorEastAsia" w:hAnsiTheme="minorEastAsia" w:cstheme="minorEastAsia"/>
          <w:sz w:val="28"/>
          <w:szCs w:val="28"/>
          <w:highlight w:val="none"/>
          <w:lang w:val="en-US" w:eastAsia="zh-CN"/>
        </w:rPr>
        <w:t xml:space="preserve"> </w:t>
      </w:r>
      <w:permEnd w:id="4"/>
    </w:p>
    <w:p w14:paraId="17CC03A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本次招标的范围是亳州高铁南站金融商务中心光伏车棚钢结构专业分包，施工内容包括但不限于亳州高铁南站金融商务中心光伏项目内所有现浇混凝土基础（包含土方开挖回填、余方弃置、路面拆除及恢复、垫层）、钢筋工程、钢架（钢柱、钢梁、钢支撑、钢拉条、檩条）、锚栓铁件等内容的施工。以上工程为包工包料（含基础及土方）、包质量、包安全、包资料、包方案、包施工机械、包施工措施、包税费、包检测、包文明施工、包施工用水电费、包竣工验收合格和工程保修等内容，以及设计变更、业主及招标人要求增加、工程联系单等要求的安装工作内容。详见图纸和工程量清单，具体工程量以实际完成合格工程量为准。投标单位投标前请认真看阅施工图、并现场勘察了解情况，投标时我方认为投标单位已充分了解工程概况。</w:t>
      </w:r>
    </w:p>
    <w:p w14:paraId="7679706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专业分包安全文明施工范围：招标人提供施工场区大门、围挡、冲洗设备、实名制通道及设备、扬尘监测仪、变压器；为满足安全文明施工要求进行的施工范围内洒水、清扫、覆盖、冲洗等施工，所需的一切辅助工作以及其他专业分包单位所需的配合工作，均由专业分包人负责，其费用综合考虑纳入报价；专业分包人须全力协助处理周边居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14:paraId="02DCF9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5"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
    <w:permEnd w:id="5"/>
    <w:p w14:paraId="675EE8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6" w:edGrp="everyone"/>
      <w:r>
        <w:rPr>
          <w:rFonts w:hint="eastAsia" w:asciiTheme="minorEastAsia" w:hAnsiTheme="minorEastAsia" w:eastAsiaTheme="minorEastAsia" w:cstheme="minorEastAsia"/>
          <w:sz w:val="28"/>
          <w:szCs w:val="28"/>
          <w:highlight w:val="none"/>
          <w:lang w:val="en-US" w:eastAsia="zh-CN"/>
        </w:rPr>
        <w:t>自合同签订之日起30日历天。</w:t>
      </w:r>
      <w:permEnd w:id="6"/>
    </w:p>
    <w:p w14:paraId="0B7036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7" w:edGrp="everyone"/>
      <w:r>
        <w:rPr>
          <w:rFonts w:hint="eastAsia" w:asciiTheme="minorEastAsia" w:hAnsiTheme="minorEastAsia" w:eastAsiaTheme="minorEastAsia" w:cstheme="minorEastAsia"/>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：不超过建设单位提供的清单控 制价内钢结构分部分项工程费用的90% （此部分仅包含分部分项工程费用，不含项目措施费、不可竞争费用），按费率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1215D7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68776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8"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8"/>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14:paraId="51D22D3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（二）具有钢结构工程专业承包叁级及以上资质和安全生产许可证；</w:t>
      </w:r>
    </w:p>
    <w:p w14:paraId="6387B19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9" w:edGrp="everyone"/>
      <w:r>
        <w:rPr>
          <w:rFonts w:hint="eastAsia" w:asciiTheme="minorEastAsia" w:hAnsiTheme="minorEastAsia" w:eastAsiaTheme="minorEastAsia" w:cstheme="minorEastAsia"/>
          <w:sz w:val="28"/>
          <w:szCs w:val="28"/>
          <w:highlight w:val="none"/>
          <w:u w:val="single"/>
          <w:lang w:val="en-US" w:eastAsia="zh-CN"/>
        </w:rPr>
        <w:t>建筑</w:t>
      </w:r>
      <w:r>
        <w:rPr>
          <w:rFonts w:hint="eastAsia" w:asciiTheme="minorEastAsia" w:hAnsiTheme="minorEastAsia" w:cstheme="minorEastAsia"/>
          <w:sz w:val="28"/>
          <w:szCs w:val="28"/>
          <w:highlight w:val="none"/>
          <w:u w:val="single"/>
          <w:lang w:val="en-US" w:eastAsia="zh-CN"/>
        </w:rPr>
        <w:t>工程</w:t>
      </w:r>
      <w:r>
        <w:rPr>
          <w:rFonts w:hint="eastAsia" w:asciiTheme="minorEastAsia" w:hAnsiTheme="minorEastAsia" w:eastAsiaTheme="minorEastAsia" w:cstheme="minorEastAsia"/>
          <w:sz w:val="28"/>
          <w:szCs w:val="28"/>
          <w:highlight w:val="none"/>
          <w:u w:val="single"/>
          <w:lang w:val="en-US" w:eastAsia="zh-CN"/>
        </w:rPr>
        <w:t>专业二级及以上</w:t>
      </w:r>
      <w:r>
        <w:rPr>
          <w:rFonts w:hint="eastAsia" w:asciiTheme="minorEastAsia" w:hAnsiTheme="minorEastAsia" w:eastAsiaTheme="minorEastAsia" w:cstheme="minorEastAsia"/>
          <w:sz w:val="28"/>
          <w:szCs w:val="28"/>
          <w:highlight w:val="none"/>
          <w:lang w:val="en-US" w:eastAsia="zh-CN"/>
        </w:rPr>
        <w:t>注册建造师执业资格</w:t>
      </w:r>
      <w:r>
        <w:rPr>
          <w:rFonts w:hint="eastAsia" w:asciiTheme="minorEastAsia" w:hAnsiTheme="minorEastAsia" w:cstheme="minorEastAsia"/>
          <w:sz w:val="28"/>
          <w:szCs w:val="28"/>
          <w:highlight w:val="none"/>
          <w:lang w:val="en-US" w:eastAsia="zh-CN"/>
        </w:rPr>
        <w:t>和</w:t>
      </w:r>
      <w:r>
        <w:rPr>
          <w:rFonts w:hint="eastAsia" w:asciiTheme="minorEastAsia" w:hAnsiTheme="minorEastAsia" w:eastAsiaTheme="minorEastAsia" w:cstheme="minorEastAsia"/>
          <w:sz w:val="28"/>
          <w:szCs w:val="28"/>
          <w:highlight w:val="none"/>
          <w:lang w:val="en-US" w:eastAsia="zh-CN"/>
        </w:rPr>
        <w:t>有效的安全考核合格证书B证</w:t>
      </w:r>
      <w:r>
        <w:rPr>
          <w:rFonts w:hint="eastAsia" w:asciiTheme="minorEastAsia" w:hAnsiTheme="minorEastAsia" w:cstheme="minorEastAsia"/>
          <w:sz w:val="28"/>
          <w:szCs w:val="28"/>
          <w:highlight w:val="none"/>
          <w:lang w:val="en-US" w:eastAsia="zh-CN"/>
        </w:rPr>
        <w:t>。</w:t>
      </w:r>
    </w:p>
    <w:p w14:paraId="2A1F235D">
      <w:pPr>
        <w:wordWrap w:val="0"/>
        <w:spacing w:line="480" w:lineRule="exact"/>
        <w:ind w:firstLine="560" w:firstLineChars="200"/>
        <w:rPr>
          <w:rFonts w:hint="eastAsia"/>
          <w:lang w:val="en-US" w:eastAsia="zh-CN"/>
        </w:rPr>
      </w:pPr>
      <w:r>
        <w:rPr>
          <w:rFonts w:hint="eastAsia" w:asciiTheme="minorEastAsia" w:hAnsiTheme="minorEastAsia" w:eastAsiaTheme="minorEastAsia" w:cstheme="minorEastAsia"/>
          <w:sz w:val="28"/>
          <w:szCs w:val="28"/>
          <w:highlight w:val="none"/>
          <w:lang w:val="en-US" w:eastAsia="zh-CN"/>
        </w:rPr>
        <w:t>注：项目负责人应附</w:t>
      </w:r>
      <w:r>
        <w:rPr>
          <w:rFonts w:hint="eastAsia" w:asciiTheme="minorEastAsia" w:hAnsiTheme="minorEastAsia" w:cstheme="minorEastAsia"/>
          <w:sz w:val="28"/>
          <w:szCs w:val="28"/>
          <w:highlight w:val="none"/>
          <w:lang w:val="en-US" w:eastAsia="zh-CN"/>
        </w:rPr>
        <w:t>身份证、</w:t>
      </w:r>
      <w:r>
        <w:rPr>
          <w:rFonts w:hint="eastAsia" w:asciiTheme="minorEastAsia" w:hAnsiTheme="minorEastAsia" w:eastAsiaTheme="minorEastAsia" w:cstheme="minorEastAsia"/>
          <w:sz w:val="28"/>
          <w:szCs w:val="28"/>
          <w:highlight w:val="none"/>
          <w:lang w:val="en-US" w:eastAsia="zh-CN"/>
        </w:rPr>
        <w:t>执业资格证（或注册证书）、</w:t>
      </w:r>
      <w:r>
        <w:rPr>
          <w:rFonts w:hint="eastAsia" w:asciiTheme="minorEastAsia" w:hAnsiTheme="minorEastAsia" w:cstheme="minorEastAsia"/>
          <w:sz w:val="28"/>
          <w:szCs w:val="28"/>
          <w:highlight w:val="none"/>
          <w:lang w:val="en-US" w:eastAsia="zh-CN"/>
        </w:rPr>
        <w:t>有效的安全考核B证及</w:t>
      </w:r>
      <w:r>
        <w:rPr>
          <w:rFonts w:hint="eastAsia" w:asciiTheme="minorEastAsia" w:hAnsiTheme="minorEastAsia" w:eastAsiaTheme="minorEastAsia" w:cstheme="minorEastAsia"/>
          <w:sz w:val="28"/>
          <w:szCs w:val="28"/>
          <w:highlight w:val="none"/>
          <w:lang w:val="en-US" w:eastAsia="zh-CN"/>
        </w:rPr>
        <w:t>缴纳养老保险的复印件。养老保险须提供</w:t>
      </w:r>
      <w:r>
        <w:rPr>
          <w:rFonts w:hint="eastAsia" w:asciiTheme="minorEastAsia" w:hAnsiTheme="minorEastAsia" w:eastAsiaTheme="minorEastAsia" w:cstheme="minorEastAsia"/>
          <w:sz w:val="28"/>
          <w:szCs w:val="28"/>
          <w:highlight w:val="none"/>
          <w:u w:val="single"/>
          <w:lang w:val="en-US" w:eastAsia="zh-CN"/>
        </w:rPr>
        <w:t>202</w:t>
      </w:r>
      <w:r>
        <w:rPr>
          <w:rFonts w:hint="eastAsia" w:asciiTheme="minorEastAsia" w:hAnsiTheme="minorEastAsia" w:cstheme="minorEastAsia"/>
          <w:sz w:val="28"/>
          <w:szCs w:val="28"/>
          <w:highlight w:val="none"/>
          <w:u w:val="single"/>
          <w:lang w:val="en-US" w:eastAsia="zh-CN"/>
        </w:rPr>
        <w:t>4</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月以来在投标单位已缴纳的任意</w:t>
      </w:r>
      <w:r>
        <w:rPr>
          <w:rFonts w:hint="eastAsia" w:asciiTheme="minorEastAsia" w:hAnsiTheme="minorEastAsia" w:eastAsiaTheme="minorEastAsia" w:cstheme="minorEastAsia"/>
          <w:sz w:val="28"/>
          <w:szCs w:val="28"/>
          <w:highlight w:val="none"/>
          <w:u w:val="single"/>
          <w:lang w:val="en-US" w:eastAsia="zh-CN"/>
        </w:rPr>
        <w:t>3</w:t>
      </w:r>
      <w:r>
        <w:rPr>
          <w:rFonts w:hint="eastAsia" w:asciiTheme="minorEastAsia" w:hAnsiTheme="minorEastAsia" w:eastAsiaTheme="minorEastAsia" w:cstheme="minorEastAsia"/>
          <w:sz w:val="28"/>
          <w:szCs w:val="28"/>
          <w:highlight w:val="none"/>
          <w:lang w:val="en-US" w:eastAsia="zh-CN"/>
        </w:rPr>
        <w:t>个月的养老保险证明（指养老保险管理单位出具的养老保险证明，加盖养老保险管理单位的公章或电子章；投标时将原件、复印件或扫描件制作在投标文件中）。</w:t>
      </w:r>
      <w:permEnd w:id="9"/>
    </w:p>
    <w:p w14:paraId="4C3C64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2019</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0"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0"/>
      <w:r>
        <w:rPr>
          <w:rFonts w:hint="eastAsia" w:asciiTheme="minorEastAsia" w:hAnsiTheme="minorEastAsia" w:eastAsiaTheme="minorEastAsia" w:cstheme="minorEastAsia"/>
          <w:sz w:val="28"/>
          <w:szCs w:val="28"/>
          <w:highlight w:val="none"/>
          <w:lang w:val="en-US" w:eastAsia="zh-CN"/>
        </w:rPr>
        <w:t>为准。类似项目业绩指：</w:t>
      </w:r>
      <w:permStart w:id="11" w:edGrp="everyone"/>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40</w:t>
      </w:r>
      <w:r>
        <w:rPr>
          <w:rFonts w:hint="eastAsia" w:asciiTheme="minorEastAsia" w:hAnsiTheme="minorEastAsia" w:eastAsiaTheme="minorEastAsia" w:cstheme="minorEastAsia"/>
          <w:sz w:val="28"/>
          <w:szCs w:val="28"/>
          <w:highlight w:val="none"/>
          <w:u w:val="single"/>
          <w:lang w:val="en-US" w:eastAsia="zh-CN"/>
        </w:rPr>
        <w:t>万元的钢结构工程专业分包业绩</w:t>
      </w:r>
      <w:r>
        <w:rPr>
          <w:rFonts w:hint="eastAsia" w:asciiTheme="minorEastAsia" w:hAnsiTheme="minorEastAsia" w:cstheme="minorEastAsia"/>
          <w:sz w:val="28"/>
          <w:szCs w:val="28"/>
          <w:highlight w:val="none"/>
          <w:u w:val="single"/>
          <w:lang w:val="en-US" w:eastAsia="zh-CN"/>
        </w:rPr>
        <w:t>或单项合同中钢结构专业部分不低于40万元的总承包业绩</w:t>
      </w:r>
      <w:permEnd w:id="11"/>
      <w:r>
        <w:rPr>
          <w:rFonts w:hint="eastAsia" w:asciiTheme="minorEastAsia" w:hAnsiTheme="minorEastAsia" w:eastAsiaTheme="minorEastAsia" w:cstheme="minorEastAsia"/>
          <w:sz w:val="28"/>
          <w:szCs w:val="28"/>
          <w:highlight w:val="none"/>
          <w:lang w:val="en-US" w:eastAsia="zh-CN"/>
        </w:rPr>
        <w:t>；</w:t>
      </w:r>
    </w:p>
    <w:p w14:paraId="428442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2" w:edGrp="everyone"/>
      <w:r>
        <w:rPr>
          <w:rFonts w:hint="default" w:asciiTheme="minorEastAsia" w:hAnsiTheme="minorEastAsia" w:eastAsiaTheme="minorEastAsia" w:cstheme="minorEastAsia"/>
          <w:sz w:val="28"/>
          <w:szCs w:val="28"/>
          <w:highlight w:val="none"/>
          <w:lang w:val="en-US" w:eastAsia="zh-CN"/>
        </w:rPr>
        <w:t>提供业绩合同的复印件或扫描件加盖单位公章装订入投标文件中</w:t>
      </w:r>
      <w:r>
        <w:rPr>
          <w:rFonts w:hint="eastAsia" w:asciiTheme="minorEastAsia" w:hAnsiTheme="minorEastAsia" w:cstheme="minorEastAsia"/>
          <w:sz w:val="28"/>
          <w:szCs w:val="28"/>
          <w:highlight w:val="none"/>
          <w:lang w:val="en-US" w:eastAsia="zh-CN"/>
        </w:rPr>
        <w:t>；以总承包身份参与投标须提供钢结构专业部分清单</w:t>
      </w:r>
      <w:r>
        <w:rPr>
          <w:rFonts w:hint="default" w:asciiTheme="minorEastAsia" w:hAnsiTheme="minorEastAsia" w:eastAsiaTheme="minorEastAsia" w:cstheme="minorEastAsia"/>
          <w:sz w:val="28"/>
          <w:szCs w:val="28"/>
          <w:highlight w:val="none"/>
          <w:lang w:val="en-US" w:eastAsia="zh-CN"/>
        </w:rPr>
        <w:t>的复印件或扫描件加盖单位公章装订入投标文件中</w:t>
      </w:r>
      <w:r>
        <w:rPr>
          <w:rFonts w:hint="eastAsia" w:asciiTheme="minorEastAsia" w:hAnsiTheme="minorEastAsia" w:cstheme="minorEastAsia"/>
          <w:sz w:val="28"/>
          <w:szCs w:val="28"/>
          <w:highlight w:val="none"/>
          <w:lang w:val="en-US" w:eastAsia="zh-CN"/>
        </w:rPr>
        <w:t>。</w:t>
      </w:r>
      <w:permEnd w:id="12"/>
    </w:p>
    <w:p w14:paraId="5DA4083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36AFF2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5357AAF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3C17ED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5A8AB3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2C447DD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14:paraId="2522C4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3" w:edGrp="everyone"/>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1043E92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7F4C0D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36DE859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14"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14"/>
    <w:p w14:paraId="0651556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15"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15"/>
    <w:p w14:paraId="40ABE46E">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permStart w:id="16" w:edGrp="everyone"/>
      <w:r>
        <w:rPr>
          <w:rFonts w:hint="eastAsia" w:asciiTheme="minorEastAsia" w:hAnsiTheme="minorEastAsia" w:cstheme="minorEastAsia"/>
          <w:sz w:val="28"/>
          <w:szCs w:val="28"/>
          <w:highlight w:val="none"/>
          <w:lang w:val="en-US" w:eastAsia="zh-CN"/>
        </w:rPr>
        <w:t>5000元</w:t>
      </w:r>
      <w:r>
        <w:rPr>
          <w:rFonts w:hint="eastAsia" w:asciiTheme="minorEastAsia" w:hAnsiTheme="minorEastAsia" w:eastAsiaTheme="minorEastAsia" w:cstheme="minorEastAsia"/>
          <w:sz w:val="28"/>
          <w:szCs w:val="28"/>
          <w:highlight w:val="none"/>
          <w:lang w:val="en-US" w:eastAsia="zh-CN"/>
        </w:rPr>
        <w:t xml:space="preserve"> </w:t>
      </w:r>
      <w:permEnd w:id="16"/>
    </w:p>
    <w:p w14:paraId="384EAFAA">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118881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sz w:val="28"/>
          <w:szCs w:val="28"/>
        </w:rPr>
      </w:pPr>
      <w:r>
        <w:rPr>
          <w:rFonts w:hint="eastAsia" w:ascii="宋体" w:hAnsi="宋体" w:cs="宋体"/>
          <w:sz w:val="28"/>
          <w:szCs w:val="28"/>
        </w:rPr>
        <w:t>银行账户：20010003301266600000015</w:t>
      </w:r>
    </w:p>
    <w:p w14:paraId="12467620">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4446F9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17" w:edGrp="everyone"/>
      <w:r>
        <w:rPr>
          <w:rFonts w:hint="eastAsia" w:asciiTheme="minorEastAsia" w:hAnsiTheme="minorEastAsia" w:cstheme="minorEastAsia"/>
          <w:color w:val="FF0000"/>
          <w:sz w:val="28"/>
          <w:szCs w:val="28"/>
          <w:highlight w:val="none"/>
          <w:lang w:val="en-US" w:eastAsia="zh-CN"/>
        </w:rPr>
        <w:t>AHTKJS-2024-79号</w:t>
      </w:r>
      <w:r>
        <w:rPr>
          <w:rFonts w:hint="eastAsia" w:asciiTheme="minorEastAsia" w:hAnsiTheme="minorEastAsia" w:eastAsiaTheme="minorEastAsia" w:cstheme="minorEastAsia"/>
          <w:color w:val="FF0000"/>
          <w:sz w:val="28"/>
          <w:szCs w:val="28"/>
          <w:highlight w:val="none"/>
          <w:lang w:val="en-US" w:eastAsia="zh-CN"/>
        </w:rPr>
        <w:t>保证金</w:t>
      </w:r>
      <w:permEnd w:id="1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39AF2E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523ACC6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6E29D7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D111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6CD571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2025EB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ermEnd w:id="18"/>
    <w:p w14:paraId="79A387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eastAsiaTheme="minorEastAsia" w:cstheme="minorEastAsia"/>
          <w:color w:val="FF0000"/>
          <w:sz w:val="28"/>
          <w:szCs w:val="28"/>
          <w:highlight w:val="none"/>
        </w:rPr>
        <w:t>1</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9"/>
    </w:p>
    <w:p w14:paraId="04441B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20" w:edGrp="everyone"/>
      <w:r>
        <w:rPr>
          <w:rFonts w:hint="eastAsia" w:asciiTheme="minorEastAsia" w:hAnsiTheme="minorEastAsia" w:cstheme="minorEastAsia"/>
          <w:sz w:val="28"/>
          <w:szCs w:val="28"/>
          <w:highlight w:val="none"/>
          <w:lang w:val="en-US" w:eastAsia="zh-CN"/>
        </w:rPr>
        <w:t>同投标保证金</w:t>
      </w:r>
      <w:r>
        <w:rPr>
          <w:rFonts w:hint="eastAsia" w:asciiTheme="minorEastAsia" w:hAnsiTheme="minorEastAsia" w:cstheme="minorEastAsia"/>
          <w:b/>
          <w:bCs/>
          <w:color w:val="FF0000"/>
          <w:sz w:val="28"/>
          <w:szCs w:val="28"/>
          <w:highlight w:val="none"/>
          <w:lang w:val="en-US" w:eastAsia="zh-CN"/>
        </w:rPr>
        <w:t xml:space="preserve"> </w:t>
      </w:r>
      <w:permEnd w:id="20"/>
    </w:p>
    <w:p w14:paraId="69668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2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21"/>
    <w:p w14:paraId="0B79E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621685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B97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C23F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43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24340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E84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500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04510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121B22A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22"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安徽通康建设工程有限公司 </w:t>
            </w:r>
            <w:permEnd w:id="22"/>
          </w:p>
        </w:tc>
      </w:tr>
      <w:tr w14:paraId="3A2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08DF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048496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425A659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(1)工程竣工验收、并网发电，中标人提出付款申请，经招标人审核后，付至招标人确认产值价款的85%;</w:t>
            </w:r>
          </w:p>
          <w:p w14:paraId="697FDF7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(2)工程结算审核结束后30日内，支付至工程审定价款的97%;余款3%待缺陷责任期满后无质量问题或质量问题已解决后无息付清。</w:t>
            </w:r>
          </w:p>
          <w:p w14:paraId="056EBBF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注：招标人付款前，中标人应按照国家税收有关规定开具等额增值税专用发票，否则招标人有权暂停付款。</w:t>
            </w:r>
          </w:p>
        </w:tc>
      </w:tr>
      <w:tr w14:paraId="54381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shd w:val="clear" w:color="auto" w:fill="auto"/>
            <w:vAlign w:val="center"/>
          </w:tcPr>
          <w:p w14:paraId="315758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3</w:t>
            </w:r>
          </w:p>
        </w:tc>
        <w:tc>
          <w:tcPr>
            <w:tcW w:w="1749" w:type="dxa"/>
            <w:shd w:val="clear" w:color="auto" w:fill="auto"/>
            <w:vAlign w:val="center"/>
          </w:tcPr>
          <w:p w14:paraId="7A0295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工程质量缺陷责任期</w:t>
            </w:r>
          </w:p>
        </w:tc>
        <w:tc>
          <w:tcPr>
            <w:tcW w:w="5921" w:type="dxa"/>
            <w:shd w:val="clear" w:color="auto" w:fill="auto"/>
            <w:vAlign w:val="center"/>
          </w:tcPr>
          <w:p w14:paraId="7AC6DE7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permStart w:id="23" w:edGrp="everyone"/>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自竣（交）工验收合格之日起2年。</w:t>
            </w:r>
            <w:permEnd w:id="23"/>
          </w:p>
        </w:tc>
      </w:tr>
    </w:tbl>
    <w:p w14:paraId="2D73FCF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E5415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本次询价采用合理低价法确定成交人。</w:t>
      </w:r>
    </w:p>
    <w:p w14:paraId="230FB9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eastAsiaTheme="minorEastAsia" w:cstheme="minorEastAsia"/>
          <w:sz w:val="28"/>
          <w:szCs w:val="28"/>
          <w:highlight w:val="none"/>
          <w:lang w:val="en-US" w:eastAsia="zh-CN"/>
        </w:rPr>
        <w:t>以评审合格的投标人的投标报价为有效报价：</w:t>
      </w:r>
    </w:p>
    <w:p w14:paraId="5C60EA3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（1）有效报价为10家及以上时，去掉2个最高价和2个最低价，取余下投标人的报价算术平均值作为评标基准价；</w:t>
      </w:r>
    </w:p>
    <w:p w14:paraId="5476910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（2）有效报价为5（含）家至 10（不含）家时，去掉1个最高价和1个最低价，取余下投标人的报价进行算术平均值作为评标基准价；</w:t>
      </w:r>
    </w:p>
    <w:p w14:paraId="333FCA3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（3）有效报价在5家以下时，取所有投标人的报价进行算术平均值作为评标基准价。</w:t>
      </w:r>
    </w:p>
    <w:p w14:paraId="58B825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取所有纳入评标基准价计算的投标报价与评标基准价相减，其差值绝对值最小的为第一名，次小的为第二名……以此类推。</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（说明：去掉1个或 2个最高价，是指按照有效报价排序，从排序最高的有效报价依次去掉；去掉1个或2个最低价，是指按照有效报价排序，从排序最低的有效报价依次去掉。）</w:t>
      </w:r>
      <w:permEnd w:id="24"/>
    </w:p>
    <w:p w14:paraId="322ACC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4FF8AC4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25"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6C65A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法务部（招投标中心）</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E0D1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6" w:edGrp="everyone"/>
      <w:r>
        <w:rPr>
          <w:rFonts w:hint="default" w:asciiTheme="minorEastAsia" w:hAnsiTheme="minorEastAsia" w:eastAsiaTheme="minorEastAsia" w:cstheme="minorEastAsia"/>
          <w:color w:val="FF0000"/>
          <w:sz w:val="28"/>
          <w:szCs w:val="28"/>
          <w:highlight w:val="none"/>
          <w:lang w:val="en-US" w:eastAsia="zh-CN"/>
        </w:rPr>
        <w:t>允许</w:t>
      </w:r>
      <w:permEnd w:id="26"/>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w:t>
      </w:r>
      <w:bookmarkStart w:id="8" w:name="_GoBack"/>
      <w:bookmarkEnd w:id="8"/>
      <w:r>
        <w:rPr>
          <w:rFonts w:hint="eastAsia" w:asciiTheme="minorEastAsia" w:hAnsiTheme="minorEastAsia" w:cstheme="minorEastAsia"/>
          <w:i w:val="0"/>
          <w:iCs w:val="0"/>
          <w:sz w:val="28"/>
          <w:szCs w:val="28"/>
          <w:highlight w:val="none"/>
          <w:lang w:val="en-US" w:eastAsia="zh-CN"/>
        </w:rPr>
        <w:t>送至指定地点并联系招标平台工作人员签收；</w:t>
      </w:r>
    </w:p>
    <w:p w14:paraId="0D5C2D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7E7968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70DA34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7"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27"/>
    <w:p w14:paraId="20969C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8" w:edGrp="everyone"/>
      <w:r>
        <w:rPr>
          <w:rFonts w:hint="eastAsia" w:asciiTheme="minorEastAsia" w:hAnsiTheme="minorEastAsia" w:cstheme="minorEastAsia"/>
          <w:sz w:val="28"/>
          <w:szCs w:val="28"/>
        </w:rPr>
        <w:t>安徽省亳州市谯城区S309收费站</w:t>
      </w:r>
      <w:permEnd w:id="28"/>
    </w:p>
    <w:p w14:paraId="4F35A18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cstheme="minorEastAsia"/>
          <w:sz w:val="28"/>
          <w:szCs w:val="28"/>
          <w:lang w:val="en-US" w:eastAsia="zh-CN"/>
        </w:rPr>
        <w:t>施经理</w:t>
      </w:r>
      <w:r>
        <w:rPr>
          <w:rFonts w:hint="eastAsia" w:asciiTheme="minorEastAsia" w:hAnsiTheme="minorEastAsia" w:cstheme="minorEastAsia"/>
          <w:sz w:val="28"/>
          <w:szCs w:val="28"/>
          <w:highlight w:val="none"/>
          <w:lang w:val="en-US" w:eastAsia="zh-CN"/>
        </w:rPr>
        <w:t xml:space="preserve">      </w:t>
      </w:r>
      <w:permEnd w:id="29"/>
    </w:p>
    <w:p w14:paraId="28453EF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0" w:edGrp="everyone"/>
      <w:r>
        <w:rPr>
          <w:rFonts w:hint="eastAsia" w:asciiTheme="minorEastAsia" w:hAnsiTheme="minorEastAsia" w:cstheme="minorEastAsia"/>
          <w:sz w:val="28"/>
          <w:szCs w:val="28"/>
          <w:lang w:val="en-US" w:eastAsia="zh-CN"/>
        </w:rPr>
        <w:t>18715648625</w:t>
      </w:r>
      <w:r>
        <w:rPr>
          <w:rFonts w:hint="eastAsia" w:asciiTheme="minorEastAsia" w:hAnsiTheme="minorEastAsia" w:cstheme="minorEastAsia"/>
          <w:sz w:val="28"/>
          <w:szCs w:val="28"/>
          <w:highlight w:val="none"/>
          <w:lang w:val="en-US" w:eastAsia="zh-CN"/>
        </w:rPr>
        <w:t xml:space="preserve"> </w:t>
      </w:r>
      <w:permEnd w:id="30"/>
    </w:p>
    <w:p w14:paraId="2530CFC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10B6212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0C20E4A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permStart w:id="31" w:edGrp="everyone"/>
      <w:r>
        <w:rPr>
          <w:rFonts w:hint="eastAsia" w:asciiTheme="minorEastAsia" w:hAnsiTheme="minorEastAsia" w:cstheme="minorEastAsia"/>
          <w:sz w:val="28"/>
          <w:szCs w:val="28"/>
        </w:rPr>
        <w:t>安徽省亳州市谯城区S309收费站</w:t>
      </w:r>
      <w:permEnd w:id="31"/>
    </w:p>
    <w:p w14:paraId="69327C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4F3322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3B79E96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2312" w:cs="Times New Roman"/>
          <w:sz w:val="28"/>
          <w:szCs w:val="28"/>
          <w:highlight w:val="none"/>
          <w:lang w:val="en-US" w:eastAsia="zh-CN"/>
        </w:rPr>
      </w:pPr>
    </w:p>
    <w:p w14:paraId="7DD2CF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仿宋_GB2312" w:hAnsi="仿宋_GB2312" w:eastAsia="仿宋_GB2312" w:cs="仿宋_GB2312"/>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32" w:edGrp="everyone"/>
      <w:r>
        <w:rPr>
          <w:rFonts w:hint="eastAsia" w:asciiTheme="minorEastAsia" w:hAnsiTheme="minorEastAsia" w:eastAsiaTheme="minorEastAsia" w:cstheme="minorEastAsia"/>
          <w:sz w:val="28"/>
          <w:szCs w:val="28"/>
          <w:highlight w:val="none"/>
          <w:lang w:val="en-US" w:eastAsia="zh-CN"/>
        </w:rPr>
        <w:t>安徽通康建设工程有限公司</w:t>
      </w:r>
    </w:p>
    <w:p w14:paraId="6CC739B9">
      <w:pPr>
        <w:keepNext w:val="0"/>
        <w:keepLines w:val="0"/>
        <w:pageBreakBefore w:val="0"/>
        <w:widowControl w:val="0"/>
        <w:kinsoku/>
        <w:wordWrap/>
        <w:overflowPunct/>
        <w:topLinePunct w:val="0"/>
        <w:autoSpaceDE/>
        <w:autoSpaceDN/>
        <w:bidi w:val="0"/>
        <w:adjustRightInd/>
        <w:snapToGrid/>
        <w:spacing w:line="440" w:lineRule="exact"/>
        <w:ind w:firstLine="5320" w:firstLineChars="1900"/>
        <w:jc w:val="right"/>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10</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17</w:t>
      </w:r>
      <w:r>
        <w:rPr>
          <w:rFonts w:hint="eastAsia" w:asciiTheme="minorEastAsia" w:hAnsiTheme="minorEastAsia" w:eastAsiaTheme="minorEastAsia" w:cstheme="minorEastAsia"/>
          <w:color w:val="auto"/>
          <w:sz w:val="28"/>
          <w:szCs w:val="28"/>
          <w:highlight w:val="none"/>
          <w:lang w:val="en-US" w:eastAsia="zh-CN"/>
        </w:rPr>
        <w:t>日</w:t>
      </w:r>
      <w:permEnd w:id="32"/>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方正仿宋_GB2312">
    <w:altName w:val="仿宋"/>
    <w:panose1 w:val="02000000000000000000"/>
    <w:charset w:val="86"/>
    <w:family w:val="auto"/>
    <w:pitch w:val="default"/>
    <w:sig w:usb0="00000000" w:usb1="00000000" w:usb2="00000012" w:usb3="00000000" w:csb0="00040001" w:csb1="00000000"/>
  </w:font>
  <w:font w:name="Kingsoft Symbol">
    <w:panose1 w:val="0500010001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300E6">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5C87">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264D1B"/>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64A5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8D57EA"/>
    <w:rsid w:val="16AE5D39"/>
    <w:rsid w:val="16C724D4"/>
    <w:rsid w:val="16D411E7"/>
    <w:rsid w:val="16FE3822"/>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D1F80"/>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644A62"/>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3C354B"/>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5697E"/>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24A9B"/>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8E24461"/>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3E47C4"/>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51EF"/>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95F53"/>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4FF0C2E"/>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767A43"/>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202F24"/>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szCs w:val="20"/>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3500</Words>
  <Characters>3716</Characters>
  <Lines>0</Lines>
  <Paragraphs>0</Paragraphs>
  <TotalTime>1</TotalTime>
  <ScaleCrop>false</ScaleCrop>
  <LinksUpToDate>false</LinksUpToDate>
  <CharactersWithSpaces>3779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2021-05-20T07:40:00Z</cp:lastPrinted>
  <dcterms:modified xsi:type="dcterms:W3CDTF">2024-10-17T02:50:49Z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E2CB090A92CA4F34AC5824E49CC36B1F</vt:lpwstr>
  </property>
</Properties>
</file>