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89FE0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附件2：采购需求</w:t>
      </w:r>
    </w:p>
    <w:p w14:paraId="3D9BDD5E">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1</w:t>
      </w:r>
      <w:r>
        <w:rPr>
          <w:rFonts w:hint="eastAsia" w:ascii="Times New Roman" w:hAnsi="Times New Roman" w:cs="Times New Roman"/>
          <w:sz w:val="32"/>
          <w:szCs w:val="32"/>
          <w:lang w:val="en-US" w:eastAsia="zh-CN"/>
        </w:rPr>
        <w:t>、</w:t>
      </w:r>
      <w:r>
        <w:rPr>
          <w:rFonts w:hint="default" w:ascii="Times New Roman" w:hAnsi="Times New Roman" w:cs="Times New Roman"/>
          <w:sz w:val="32"/>
          <w:szCs w:val="32"/>
          <w:lang w:val="en-US" w:eastAsia="zh-CN"/>
        </w:rPr>
        <w:t>工程质量：符合国家、地方、行业现行相关规范合格标准，符合工程量清单、施工图纸要求。具体要求详见（公路工程质量检验评定标准JTG F80/1-2017。</w:t>
      </w:r>
    </w:p>
    <w:p w14:paraId="0858272F">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2</w:t>
      </w:r>
      <w:r>
        <w:rPr>
          <w:rFonts w:hint="eastAsia" w:ascii="Times New Roman" w:hAnsi="Times New Roman" w:cs="Times New Roman"/>
          <w:sz w:val="32"/>
          <w:szCs w:val="32"/>
          <w:lang w:val="en-US" w:eastAsia="zh-CN"/>
        </w:rPr>
        <w:t>、</w:t>
      </w:r>
      <w:r>
        <w:rPr>
          <w:rFonts w:hint="default" w:ascii="Times New Roman" w:hAnsi="Times New Roman" w:cs="Times New Roman"/>
          <w:sz w:val="32"/>
          <w:szCs w:val="32"/>
          <w:lang w:val="en-US" w:eastAsia="zh-CN"/>
        </w:rPr>
        <w:t>所完成的工程量清单内容均指满足设计图纸要求技术标准和图纸工程数量表所列所有的施工项目。若成交人未按照图纸技术标准要求或数量表施工，采购人有权按照成交人清单价格扣除此项费用。</w:t>
      </w:r>
    </w:p>
    <w:p w14:paraId="74855649">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3、施工内容具体详见工程量清单及图纸，工程量以实际完成合格工程量为准（因建设单位或地方政府原因出现停工、停建、变更等情况造成承包范围增减，采购人不承担任何责任，采购人有权对成交人施工范围做出调整）。分包单位负责施工现场交通疏导、安全文明、湿法作业等施工内容。</w:t>
      </w:r>
    </w:p>
    <w:p w14:paraId="56AD23A4">
      <w:pPr>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br w:type="page"/>
      </w:r>
    </w:p>
    <w:p w14:paraId="71F0805B">
      <w:pPr>
        <w:pStyle w:val="2"/>
        <w:rPr>
          <w:rFonts w:hint="default"/>
          <w:lang w:val="en-US" w:eastAsia="zh-CN"/>
        </w:rPr>
      </w:pPr>
    </w:p>
    <w:tbl>
      <w:tblPr>
        <w:tblStyle w:val="10"/>
        <w:tblpPr w:leftFromText="180" w:rightFromText="180" w:vertAnchor="text" w:horzAnchor="page" w:tblpX="1799" w:tblpY="298"/>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97"/>
        <w:gridCol w:w="2646"/>
        <w:gridCol w:w="573"/>
        <w:gridCol w:w="983"/>
        <w:gridCol w:w="1010"/>
        <w:gridCol w:w="1163"/>
        <w:gridCol w:w="1350"/>
      </w:tblGrid>
      <w:tr w14:paraId="6D10C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trPr>
        <w:tc>
          <w:tcPr>
            <w:tcW w:w="5000" w:type="pct"/>
            <w:gridSpan w:val="7"/>
            <w:tcBorders>
              <w:tl2br w:val="nil"/>
              <w:tr2bl w:val="nil"/>
            </w:tcBorders>
            <w:shd w:val="clear" w:color="auto" w:fill="auto"/>
            <w:vAlign w:val="center"/>
          </w:tcPr>
          <w:p w14:paraId="3A165F22">
            <w:pPr>
              <w:keepNext w:val="0"/>
              <w:keepLines w:val="0"/>
              <w:widowControl/>
              <w:suppressLineNumbers w:val="0"/>
              <w:jc w:val="center"/>
              <w:textAlignment w:val="center"/>
              <w:rPr>
                <w:rFonts w:ascii="宋体" w:hAnsi="宋体" w:eastAsia="宋体" w:cs="宋体"/>
                <w:b/>
                <w:bCs/>
                <w:i w:val="0"/>
                <w:iCs w:val="0"/>
                <w:color w:val="000000"/>
                <w:sz w:val="32"/>
                <w:szCs w:val="32"/>
                <w:u w:val="none"/>
              </w:rPr>
            </w:pPr>
            <w:r>
              <w:rPr>
                <w:rFonts w:ascii="宋体" w:hAnsi="宋体" w:eastAsia="宋体" w:cs="宋体"/>
                <w:b/>
                <w:bCs/>
                <w:i w:val="0"/>
                <w:iCs w:val="0"/>
                <w:color w:val="000000"/>
                <w:kern w:val="0"/>
                <w:sz w:val="32"/>
                <w:szCs w:val="32"/>
                <w:u w:val="none"/>
                <w:lang w:val="en-US" w:eastAsia="zh-CN" w:bidi="ar"/>
              </w:rPr>
              <w:t>工程量清单</w:t>
            </w:r>
          </w:p>
        </w:tc>
      </w:tr>
      <w:tr w14:paraId="157C0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2" w:hRule="atLeast"/>
        </w:trPr>
        <w:tc>
          <w:tcPr>
            <w:tcW w:w="5000" w:type="pct"/>
            <w:gridSpan w:val="7"/>
            <w:tcBorders>
              <w:tl2br w:val="nil"/>
              <w:tr2bl w:val="nil"/>
            </w:tcBorders>
            <w:shd w:val="clear" w:color="auto" w:fill="auto"/>
            <w:vAlign w:val="top"/>
          </w:tcPr>
          <w:p w14:paraId="40568A9B">
            <w:pPr>
              <w:rPr>
                <w:rFonts w:hint="eastAsia" w:ascii="Arial" w:hAnsi="Arial" w:cs="Arial"/>
                <w:i w:val="0"/>
                <w:iCs w:val="0"/>
                <w:color w:val="000000"/>
                <w:sz w:val="22"/>
                <w:szCs w:val="22"/>
                <w:u w:val="none"/>
              </w:rPr>
            </w:pPr>
            <w:r>
              <w:rPr>
                <w:rFonts w:ascii="宋体" w:hAnsi="宋体" w:eastAsia="宋体" w:cs="宋体"/>
                <w:i w:val="0"/>
                <w:iCs w:val="0"/>
                <w:color w:val="000000"/>
                <w:kern w:val="0"/>
                <w:sz w:val="18"/>
                <w:szCs w:val="18"/>
                <w:u w:val="none"/>
                <w:lang w:val="en-US" w:eastAsia="zh-CN" w:bidi="ar"/>
              </w:rPr>
              <w:t>项目名称：</w:t>
            </w:r>
            <w:r>
              <w:rPr>
                <w:rFonts w:ascii="宋体" w:hAnsi="宋体" w:eastAsia="宋体" w:cs="宋体"/>
                <w:b/>
                <w:bCs/>
                <w:i w:val="0"/>
                <w:iCs w:val="0"/>
                <w:color w:val="000000"/>
                <w:kern w:val="0"/>
                <w:sz w:val="18"/>
                <w:szCs w:val="18"/>
                <w:u w:val="none"/>
                <w:lang w:val="en-US" w:eastAsia="zh-CN" w:bidi="ar"/>
              </w:rPr>
              <w:t>Y084</w:t>
            </w:r>
            <w:r>
              <w:rPr>
                <w:rFonts w:ascii="宋体" w:hAnsi="宋体" w:eastAsia="宋体" w:cs="宋体"/>
                <w:i w:val="0"/>
                <w:iCs w:val="0"/>
                <w:color w:val="000000"/>
                <w:kern w:val="0"/>
                <w:sz w:val="18"/>
                <w:szCs w:val="18"/>
                <w:u w:val="none"/>
                <w:lang w:val="en-US" w:eastAsia="zh-CN" w:bidi="ar"/>
              </w:rPr>
              <w:t>杜仲路延伸段升级改造工程</w:t>
            </w:r>
          </w:p>
        </w:tc>
      </w:tr>
      <w:tr w14:paraId="630CA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59" w:hRule="atLeast"/>
        </w:trPr>
        <w:tc>
          <w:tcPr>
            <w:tcW w:w="467" w:type="pct"/>
            <w:tcBorders>
              <w:tl2br w:val="nil"/>
              <w:tr2bl w:val="nil"/>
            </w:tcBorders>
            <w:shd w:val="clear" w:color="auto" w:fill="auto"/>
            <w:vAlign w:val="center"/>
          </w:tcPr>
          <w:p w14:paraId="61D36FA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  分项编号</w:t>
            </w:r>
          </w:p>
        </w:tc>
        <w:tc>
          <w:tcPr>
            <w:tcW w:w="1552" w:type="pct"/>
            <w:tcBorders>
              <w:tl2br w:val="nil"/>
              <w:tr2bl w:val="nil"/>
            </w:tcBorders>
            <w:shd w:val="clear" w:color="auto" w:fill="auto"/>
            <w:vAlign w:val="center"/>
          </w:tcPr>
          <w:p w14:paraId="548904F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工程或费用名称</w:t>
            </w:r>
          </w:p>
        </w:tc>
        <w:tc>
          <w:tcPr>
            <w:tcW w:w="336" w:type="pct"/>
            <w:tcBorders>
              <w:tl2br w:val="nil"/>
              <w:tr2bl w:val="nil"/>
            </w:tcBorders>
            <w:shd w:val="clear" w:color="auto" w:fill="auto"/>
            <w:vAlign w:val="center"/>
          </w:tcPr>
          <w:p w14:paraId="0FE9F7E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576" w:type="pct"/>
            <w:tcBorders>
              <w:tl2br w:val="nil"/>
              <w:tr2bl w:val="nil"/>
            </w:tcBorders>
            <w:shd w:val="clear" w:color="auto" w:fill="auto"/>
            <w:vAlign w:val="center"/>
          </w:tcPr>
          <w:p w14:paraId="7F35DEF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592" w:type="pct"/>
            <w:tcBorders>
              <w:tl2br w:val="nil"/>
              <w:tr2bl w:val="nil"/>
            </w:tcBorders>
            <w:shd w:val="clear" w:color="auto" w:fill="auto"/>
            <w:vAlign w:val="center"/>
          </w:tcPr>
          <w:p w14:paraId="1B26994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单价（元）</w:t>
            </w:r>
          </w:p>
        </w:tc>
        <w:tc>
          <w:tcPr>
            <w:tcW w:w="682" w:type="pct"/>
            <w:tcBorders>
              <w:tl2br w:val="nil"/>
              <w:tr2bl w:val="nil"/>
            </w:tcBorders>
            <w:shd w:val="clear" w:color="auto" w:fill="auto"/>
            <w:vAlign w:val="center"/>
          </w:tcPr>
          <w:p w14:paraId="439E18E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小计（元）</w:t>
            </w:r>
          </w:p>
        </w:tc>
        <w:tc>
          <w:tcPr>
            <w:tcW w:w="792" w:type="pct"/>
            <w:tcBorders>
              <w:tl2br w:val="nil"/>
              <w:tr2bl w:val="nil"/>
            </w:tcBorders>
            <w:shd w:val="clear" w:color="auto" w:fill="auto"/>
            <w:vAlign w:val="center"/>
          </w:tcPr>
          <w:p w14:paraId="48FB7DD1">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14:paraId="79B9C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467" w:type="pct"/>
            <w:tcBorders>
              <w:tl2br w:val="nil"/>
              <w:tr2bl w:val="nil"/>
            </w:tcBorders>
            <w:shd w:val="clear" w:color="auto" w:fill="auto"/>
            <w:vAlign w:val="center"/>
          </w:tcPr>
          <w:p w14:paraId="27A6D7D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704-1</w:t>
            </w:r>
          </w:p>
        </w:tc>
        <w:tc>
          <w:tcPr>
            <w:tcW w:w="4532" w:type="pct"/>
            <w:gridSpan w:val="6"/>
            <w:tcBorders>
              <w:tl2br w:val="nil"/>
              <w:tr2bl w:val="nil"/>
            </w:tcBorders>
            <w:shd w:val="clear" w:color="auto" w:fill="auto"/>
            <w:vAlign w:val="center"/>
          </w:tcPr>
          <w:p w14:paraId="339A7D8B">
            <w:pPr>
              <w:jc w:val="left"/>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18"/>
                <w:szCs w:val="18"/>
                <w:u w:val="none"/>
                <w:lang w:val="en-US" w:eastAsia="zh-CN" w:bidi="ar"/>
              </w:rPr>
              <w:t>种植乔木</w:t>
            </w:r>
          </w:p>
        </w:tc>
      </w:tr>
      <w:tr w14:paraId="0EF9C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467" w:type="pct"/>
            <w:tcBorders>
              <w:tl2br w:val="nil"/>
              <w:tr2bl w:val="nil"/>
            </w:tcBorders>
            <w:shd w:val="clear" w:color="auto" w:fill="auto"/>
            <w:vAlign w:val="center"/>
          </w:tcPr>
          <w:p w14:paraId="3126B77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552" w:type="pct"/>
            <w:tcBorders>
              <w:tl2br w:val="nil"/>
              <w:tr2bl w:val="nil"/>
            </w:tcBorders>
            <w:shd w:val="clear" w:color="auto" w:fill="auto"/>
            <w:vAlign w:val="center"/>
          </w:tcPr>
          <w:p w14:paraId="466ECCC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杜仲树（胸径φ15cm，冠径250-300cm，树高（修剪后）560-600cm，养护等级一级，养护期一年）</w:t>
            </w:r>
          </w:p>
        </w:tc>
        <w:tc>
          <w:tcPr>
            <w:tcW w:w="336" w:type="pct"/>
            <w:tcBorders>
              <w:tl2br w:val="nil"/>
              <w:tr2bl w:val="nil"/>
            </w:tcBorders>
            <w:shd w:val="clear" w:color="auto" w:fill="auto"/>
            <w:vAlign w:val="center"/>
          </w:tcPr>
          <w:p w14:paraId="31D28FC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棵</w:t>
            </w:r>
          </w:p>
        </w:tc>
        <w:tc>
          <w:tcPr>
            <w:tcW w:w="576" w:type="pct"/>
            <w:tcBorders>
              <w:tl2br w:val="nil"/>
              <w:tr2bl w:val="nil"/>
            </w:tcBorders>
            <w:shd w:val="clear" w:color="auto" w:fill="auto"/>
            <w:vAlign w:val="center"/>
          </w:tcPr>
          <w:p w14:paraId="3422D1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592" w:type="pct"/>
            <w:tcBorders>
              <w:tl2br w:val="nil"/>
              <w:tr2bl w:val="nil"/>
            </w:tcBorders>
            <w:shd w:val="clear" w:color="auto" w:fill="auto"/>
            <w:vAlign w:val="center"/>
          </w:tcPr>
          <w:p w14:paraId="76D59A71">
            <w:pPr>
              <w:jc w:val="center"/>
              <w:rPr>
                <w:rFonts w:hint="eastAsia" w:ascii="宋体" w:hAnsi="宋体" w:eastAsia="宋体" w:cs="宋体"/>
                <w:i w:val="0"/>
                <w:iCs w:val="0"/>
                <w:color w:val="000000"/>
                <w:sz w:val="20"/>
                <w:szCs w:val="20"/>
                <w:u w:val="none"/>
              </w:rPr>
            </w:pPr>
          </w:p>
        </w:tc>
        <w:tc>
          <w:tcPr>
            <w:tcW w:w="682" w:type="pct"/>
            <w:tcBorders>
              <w:tl2br w:val="nil"/>
              <w:tr2bl w:val="nil"/>
            </w:tcBorders>
            <w:shd w:val="clear" w:color="auto" w:fill="auto"/>
            <w:vAlign w:val="center"/>
          </w:tcPr>
          <w:p w14:paraId="33DCA395">
            <w:pPr>
              <w:jc w:val="center"/>
              <w:rPr>
                <w:rFonts w:hint="eastAsia" w:ascii="宋体" w:hAnsi="宋体" w:eastAsia="宋体" w:cs="宋体"/>
                <w:i w:val="0"/>
                <w:iCs w:val="0"/>
                <w:color w:val="000000"/>
                <w:sz w:val="20"/>
                <w:szCs w:val="20"/>
                <w:u w:val="none"/>
              </w:rPr>
            </w:pPr>
          </w:p>
        </w:tc>
        <w:tc>
          <w:tcPr>
            <w:tcW w:w="792" w:type="pct"/>
            <w:tcBorders>
              <w:tl2br w:val="nil"/>
              <w:tr2bl w:val="nil"/>
            </w:tcBorders>
            <w:shd w:val="clear" w:color="auto" w:fill="auto"/>
            <w:vAlign w:val="center"/>
          </w:tcPr>
          <w:p w14:paraId="2EAA8A11">
            <w:pPr>
              <w:jc w:val="center"/>
              <w:rPr>
                <w:rFonts w:hint="eastAsia" w:ascii="宋体" w:hAnsi="宋体" w:eastAsia="宋体" w:cs="宋体"/>
                <w:i w:val="0"/>
                <w:iCs w:val="0"/>
                <w:color w:val="000000"/>
                <w:sz w:val="20"/>
                <w:szCs w:val="20"/>
                <w:u w:val="none"/>
              </w:rPr>
            </w:pPr>
          </w:p>
        </w:tc>
      </w:tr>
      <w:tr w14:paraId="09FD9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0" w:hRule="atLeast"/>
        </w:trPr>
        <w:tc>
          <w:tcPr>
            <w:tcW w:w="467" w:type="pct"/>
            <w:tcBorders>
              <w:tl2br w:val="nil"/>
              <w:tr2bl w:val="nil"/>
            </w:tcBorders>
            <w:shd w:val="clear" w:color="auto" w:fill="auto"/>
            <w:vAlign w:val="center"/>
          </w:tcPr>
          <w:p w14:paraId="06ED7CD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552" w:type="pct"/>
            <w:tcBorders>
              <w:tl2br w:val="nil"/>
              <w:tr2bl w:val="nil"/>
            </w:tcBorders>
            <w:shd w:val="clear" w:color="auto" w:fill="auto"/>
            <w:vAlign w:val="center"/>
          </w:tcPr>
          <w:p w14:paraId="0727848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红叶石楠球（冠径60-80cm，树高（修剪后）60-80cm，养护等级一级，养护期一年）</w:t>
            </w:r>
          </w:p>
        </w:tc>
        <w:tc>
          <w:tcPr>
            <w:tcW w:w="336" w:type="pct"/>
            <w:tcBorders>
              <w:tl2br w:val="nil"/>
              <w:tr2bl w:val="nil"/>
            </w:tcBorders>
            <w:shd w:val="clear" w:color="auto" w:fill="auto"/>
            <w:vAlign w:val="center"/>
          </w:tcPr>
          <w:p w14:paraId="57D58FE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棵</w:t>
            </w:r>
          </w:p>
        </w:tc>
        <w:tc>
          <w:tcPr>
            <w:tcW w:w="576" w:type="pct"/>
            <w:tcBorders>
              <w:tl2br w:val="nil"/>
              <w:tr2bl w:val="nil"/>
            </w:tcBorders>
            <w:shd w:val="clear" w:color="auto" w:fill="auto"/>
            <w:vAlign w:val="center"/>
          </w:tcPr>
          <w:p w14:paraId="75AB6E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592" w:type="pct"/>
            <w:tcBorders>
              <w:tl2br w:val="nil"/>
              <w:tr2bl w:val="nil"/>
            </w:tcBorders>
            <w:shd w:val="clear" w:color="auto" w:fill="auto"/>
            <w:vAlign w:val="center"/>
          </w:tcPr>
          <w:p w14:paraId="21615EA1">
            <w:pPr>
              <w:jc w:val="center"/>
              <w:rPr>
                <w:rFonts w:hint="eastAsia" w:ascii="宋体" w:hAnsi="宋体" w:eastAsia="宋体" w:cs="宋体"/>
                <w:i w:val="0"/>
                <w:iCs w:val="0"/>
                <w:color w:val="000000"/>
                <w:sz w:val="20"/>
                <w:szCs w:val="20"/>
                <w:u w:val="none"/>
              </w:rPr>
            </w:pPr>
          </w:p>
        </w:tc>
        <w:tc>
          <w:tcPr>
            <w:tcW w:w="682" w:type="pct"/>
            <w:tcBorders>
              <w:tl2br w:val="nil"/>
              <w:tr2bl w:val="nil"/>
            </w:tcBorders>
            <w:shd w:val="clear" w:color="auto" w:fill="auto"/>
            <w:vAlign w:val="center"/>
          </w:tcPr>
          <w:p w14:paraId="48C80782">
            <w:pPr>
              <w:jc w:val="center"/>
              <w:rPr>
                <w:rFonts w:hint="eastAsia" w:ascii="宋体" w:hAnsi="宋体" w:eastAsia="宋体" w:cs="宋体"/>
                <w:i w:val="0"/>
                <w:iCs w:val="0"/>
                <w:color w:val="000000"/>
                <w:sz w:val="20"/>
                <w:szCs w:val="20"/>
                <w:u w:val="none"/>
              </w:rPr>
            </w:pPr>
          </w:p>
        </w:tc>
        <w:tc>
          <w:tcPr>
            <w:tcW w:w="792" w:type="pct"/>
            <w:tcBorders>
              <w:tl2br w:val="nil"/>
              <w:tr2bl w:val="nil"/>
            </w:tcBorders>
            <w:shd w:val="clear" w:color="auto" w:fill="auto"/>
            <w:vAlign w:val="center"/>
          </w:tcPr>
          <w:p w14:paraId="6CCC61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52380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467" w:type="pct"/>
            <w:tcBorders>
              <w:tl2br w:val="nil"/>
              <w:tr2bl w:val="nil"/>
            </w:tcBorders>
            <w:shd w:val="clear" w:color="auto" w:fill="auto"/>
            <w:vAlign w:val="center"/>
          </w:tcPr>
          <w:p w14:paraId="285774C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704-5</w:t>
            </w:r>
          </w:p>
        </w:tc>
        <w:tc>
          <w:tcPr>
            <w:tcW w:w="4532" w:type="pct"/>
            <w:gridSpan w:val="6"/>
            <w:tcBorders>
              <w:tl2br w:val="nil"/>
              <w:tr2bl w:val="nil"/>
            </w:tcBorders>
            <w:shd w:val="clear" w:color="auto" w:fill="auto"/>
            <w:vAlign w:val="center"/>
          </w:tcPr>
          <w:p w14:paraId="4B7EA03F">
            <w:pPr>
              <w:jc w:val="lef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灌木片植</w:t>
            </w:r>
          </w:p>
        </w:tc>
      </w:tr>
      <w:tr w14:paraId="18BE3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467" w:type="pct"/>
            <w:tcBorders>
              <w:tl2br w:val="nil"/>
              <w:tr2bl w:val="nil"/>
            </w:tcBorders>
            <w:shd w:val="clear" w:color="auto" w:fill="auto"/>
            <w:vAlign w:val="center"/>
          </w:tcPr>
          <w:p w14:paraId="21FFDB8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552" w:type="pct"/>
            <w:tcBorders>
              <w:tl2br w:val="nil"/>
              <w:tr2bl w:val="nil"/>
            </w:tcBorders>
            <w:shd w:val="clear" w:color="auto" w:fill="auto"/>
            <w:vAlign w:val="center"/>
          </w:tcPr>
          <w:p w14:paraId="7B945D0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红叶石楠（每平方18株，冠径20-30cm,高度50-60cm养护等级一级，养护期一年）</w:t>
            </w:r>
          </w:p>
        </w:tc>
        <w:tc>
          <w:tcPr>
            <w:tcW w:w="336" w:type="pct"/>
            <w:tcBorders>
              <w:tl2br w:val="nil"/>
              <w:tr2bl w:val="nil"/>
            </w:tcBorders>
            <w:shd w:val="clear" w:color="auto" w:fill="auto"/>
            <w:vAlign w:val="center"/>
          </w:tcPr>
          <w:p w14:paraId="1B5FD2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m2</w:t>
            </w:r>
          </w:p>
        </w:tc>
        <w:tc>
          <w:tcPr>
            <w:tcW w:w="576" w:type="pct"/>
            <w:tcBorders>
              <w:tl2br w:val="nil"/>
              <w:tr2bl w:val="nil"/>
            </w:tcBorders>
            <w:shd w:val="clear" w:color="auto" w:fill="auto"/>
            <w:vAlign w:val="center"/>
          </w:tcPr>
          <w:p w14:paraId="4E50DC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642</w:t>
            </w:r>
          </w:p>
        </w:tc>
        <w:tc>
          <w:tcPr>
            <w:tcW w:w="592" w:type="pct"/>
            <w:tcBorders>
              <w:tl2br w:val="nil"/>
              <w:tr2bl w:val="nil"/>
            </w:tcBorders>
            <w:shd w:val="clear" w:color="auto" w:fill="auto"/>
            <w:vAlign w:val="center"/>
          </w:tcPr>
          <w:p w14:paraId="62E03A62">
            <w:pPr>
              <w:jc w:val="center"/>
              <w:rPr>
                <w:rFonts w:hint="eastAsia" w:ascii="宋体" w:hAnsi="宋体" w:eastAsia="宋体" w:cs="宋体"/>
                <w:i w:val="0"/>
                <w:iCs w:val="0"/>
                <w:color w:val="000000"/>
                <w:sz w:val="20"/>
                <w:szCs w:val="20"/>
                <w:u w:val="none"/>
              </w:rPr>
            </w:pPr>
          </w:p>
        </w:tc>
        <w:tc>
          <w:tcPr>
            <w:tcW w:w="682" w:type="pct"/>
            <w:tcBorders>
              <w:tl2br w:val="nil"/>
              <w:tr2bl w:val="nil"/>
            </w:tcBorders>
            <w:shd w:val="clear" w:color="auto" w:fill="auto"/>
            <w:vAlign w:val="center"/>
          </w:tcPr>
          <w:p w14:paraId="66ACD82D">
            <w:pPr>
              <w:jc w:val="center"/>
              <w:rPr>
                <w:rFonts w:hint="eastAsia" w:ascii="宋体" w:hAnsi="宋体" w:eastAsia="宋体" w:cs="宋体"/>
                <w:i w:val="0"/>
                <w:iCs w:val="0"/>
                <w:color w:val="000000"/>
                <w:sz w:val="20"/>
                <w:szCs w:val="20"/>
                <w:u w:val="none"/>
              </w:rPr>
            </w:pPr>
          </w:p>
        </w:tc>
        <w:tc>
          <w:tcPr>
            <w:tcW w:w="792" w:type="pct"/>
            <w:tcBorders>
              <w:tl2br w:val="nil"/>
              <w:tr2bl w:val="nil"/>
            </w:tcBorders>
            <w:shd w:val="clear" w:color="auto" w:fill="auto"/>
            <w:vAlign w:val="center"/>
          </w:tcPr>
          <w:p w14:paraId="019D76DD">
            <w:pPr>
              <w:jc w:val="center"/>
              <w:rPr>
                <w:rFonts w:hint="eastAsia" w:ascii="宋体" w:hAnsi="宋体" w:eastAsia="宋体" w:cs="宋体"/>
                <w:i w:val="0"/>
                <w:iCs w:val="0"/>
                <w:color w:val="000000"/>
                <w:sz w:val="20"/>
                <w:szCs w:val="20"/>
                <w:u w:val="none"/>
              </w:rPr>
            </w:pPr>
          </w:p>
        </w:tc>
      </w:tr>
      <w:tr w14:paraId="56CC3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467" w:type="pct"/>
            <w:tcBorders>
              <w:tl2br w:val="nil"/>
              <w:tr2bl w:val="nil"/>
            </w:tcBorders>
            <w:shd w:val="clear" w:color="auto" w:fill="auto"/>
            <w:vAlign w:val="center"/>
          </w:tcPr>
          <w:p w14:paraId="0CED226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552" w:type="pct"/>
            <w:tcBorders>
              <w:tl2br w:val="nil"/>
              <w:tr2bl w:val="nil"/>
            </w:tcBorders>
            <w:shd w:val="clear" w:color="auto" w:fill="auto"/>
            <w:vAlign w:val="center"/>
          </w:tcPr>
          <w:p w14:paraId="1FB5202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柏树（每平方18株，冠径15-25cm,高度50-60cm,养护等级一级，养护期一年）</w:t>
            </w:r>
          </w:p>
        </w:tc>
        <w:tc>
          <w:tcPr>
            <w:tcW w:w="336" w:type="pct"/>
            <w:tcBorders>
              <w:tl2br w:val="nil"/>
              <w:tr2bl w:val="nil"/>
            </w:tcBorders>
            <w:shd w:val="clear" w:color="auto" w:fill="auto"/>
            <w:vAlign w:val="center"/>
          </w:tcPr>
          <w:p w14:paraId="4141162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m2</w:t>
            </w:r>
          </w:p>
        </w:tc>
        <w:tc>
          <w:tcPr>
            <w:tcW w:w="576" w:type="pct"/>
            <w:tcBorders>
              <w:tl2br w:val="nil"/>
              <w:tr2bl w:val="nil"/>
            </w:tcBorders>
            <w:shd w:val="clear" w:color="auto" w:fill="auto"/>
            <w:vAlign w:val="center"/>
          </w:tcPr>
          <w:p w14:paraId="2E1F3D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642</w:t>
            </w:r>
          </w:p>
        </w:tc>
        <w:tc>
          <w:tcPr>
            <w:tcW w:w="592" w:type="pct"/>
            <w:tcBorders>
              <w:tl2br w:val="nil"/>
              <w:tr2bl w:val="nil"/>
            </w:tcBorders>
            <w:shd w:val="clear" w:color="auto" w:fill="auto"/>
            <w:vAlign w:val="center"/>
          </w:tcPr>
          <w:p w14:paraId="2466CAA1">
            <w:pPr>
              <w:jc w:val="center"/>
              <w:rPr>
                <w:rFonts w:hint="eastAsia" w:ascii="宋体" w:hAnsi="宋体" w:eastAsia="宋体" w:cs="宋体"/>
                <w:i w:val="0"/>
                <w:iCs w:val="0"/>
                <w:color w:val="000000"/>
                <w:sz w:val="20"/>
                <w:szCs w:val="20"/>
                <w:u w:val="none"/>
              </w:rPr>
            </w:pPr>
          </w:p>
        </w:tc>
        <w:tc>
          <w:tcPr>
            <w:tcW w:w="682" w:type="pct"/>
            <w:tcBorders>
              <w:tl2br w:val="nil"/>
              <w:tr2bl w:val="nil"/>
            </w:tcBorders>
            <w:shd w:val="clear" w:color="auto" w:fill="auto"/>
            <w:vAlign w:val="center"/>
          </w:tcPr>
          <w:p w14:paraId="50E63861">
            <w:pPr>
              <w:jc w:val="center"/>
              <w:rPr>
                <w:rFonts w:hint="eastAsia" w:ascii="宋体" w:hAnsi="宋体" w:eastAsia="宋体" w:cs="宋体"/>
                <w:i w:val="0"/>
                <w:iCs w:val="0"/>
                <w:color w:val="000000"/>
                <w:sz w:val="20"/>
                <w:szCs w:val="20"/>
                <w:u w:val="none"/>
              </w:rPr>
            </w:pPr>
          </w:p>
        </w:tc>
        <w:tc>
          <w:tcPr>
            <w:tcW w:w="792" w:type="pct"/>
            <w:tcBorders>
              <w:tl2br w:val="nil"/>
              <w:tr2bl w:val="nil"/>
            </w:tcBorders>
            <w:shd w:val="clear" w:color="auto" w:fill="auto"/>
            <w:vAlign w:val="center"/>
          </w:tcPr>
          <w:p w14:paraId="4979A23D">
            <w:pPr>
              <w:jc w:val="center"/>
              <w:rPr>
                <w:rFonts w:hint="eastAsia" w:ascii="宋体" w:hAnsi="宋体" w:eastAsia="宋体" w:cs="宋体"/>
                <w:i w:val="0"/>
                <w:iCs w:val="0"/>
                <w:color w:val="000000"/>
                <w:sz w:val="20"/>
                <w:szCs w:val="20"/>
                <w:u w:val="none"/>
              </w:rPr>
            </w:pPr>
          </w:p>
        </w:tc>
      </w:tr>
      <w:tr w14:paraId="19CAC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3525" w:type="pct"/>
            <w:gridSpan w:val="5"/>
            <w:tcBorders>
              <w:tl2br w:val="nil"/>
              <w:tr2bl w:val="nil"/>
            </w:tcBorders>
            <w:shd w:val="clear" w:color="auto" w:fill="auto"/>
            <w:vAlign w:val="center"/>
          </w:tcPr>
          <w:p w14:paraId="3353F060">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合计</w:t>
            </w:r>
          </w:p>
        </w:tc>
        <w:tc>
          <w:tcPr>
            <w:tcW w:w="682" w:type="pct"/>
            <w:tcBorders>
              <w:tl2br w:val="nil"/>
              <w:tr2bl w:val="nil"/>
            </w:tcBorders>
            <w:shd w:val="clear" w:color="auto" w:fill="auto"/>
            <w:vAlign w:val="center"/>
          </w:tcPr>
          <w:p w14:paraId="2A78D449">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260000</w:t>
            </w:r>
          </w:p>
        </w:tc>
        <w:tc>
          <w:tcPr>
            <w:tcW w:w="792" w:type="pct"/>
            <w:tcBorders>
              <w:tl2br w:val="nil"/>
              <w:tr2bl w:val="nil"/>
            </w:tcBorders>
            <w:shd w:val="clear" w:color="auto" w:fill="auto"/>
            <w:vAlign w:val="center"/>
          </w:tcPr>
          <w:p w14:paraId="76A6B78E">
            <w:pPr>
              <w:jc w:val="center"/>
              <w:rPr>
                <w:rFonts w:hint="eastAsia" w:ascii="宋体" w:hAnsi="宋体" w:eastAsia="宋体" w:cs="宋体"/>
                <w:i w:val="0"/>
                <w:iCs w:val="0"/>
                <w:color w:val="000000"/>
                <w:sz w:val="20"/>
                <w:szCs w:val="20"/>
                <w:u w:val="none"/>
              </w:rPr>
            </w:pPr>
            <w:bookmarkStart w:id="0" w:name="_GoBack"/>
            <w:bookmarkEnd w:id="0"/>
          </w:p>
        </w:tc>
      </w:tr>
      <w:tr w14:paraId="05B99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20" w:hRule="atLeast"/>
        </w:trPr>
        <w:tc>
          <w:tcPr>
            <w:tcW w:w="5000" w:type="pct"/>
            <w:gridSpan w:val="7"/>
            <w:tcBorders>
              <w:tl2br w:val="nil"/>
              <w:tr2bl w:val="nil"/>
            </w:tcBorders>
            <w:shd w:val="clear" w:color="auto" w:fill="auto"/>
            <w:vAlign w:val="bottom"/>
          </w:tcPr>
          <w:p w14:paraId="37A8498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注：1.</w:t>
            </w:r>
            <w:r>
              <w:rPr>
                <w:rFonts w:hint="eastAsia" w:ascii="宋体" w:hAnsi="宋体" w:eastAsia="宋体" w:cs="宋体"/>
                <w:i w:val="0"/>
                <w:iCs w:val="0"/>
                <w:color w:val="000000"/>
                <w:kern w:val="0"/>
                <w:sz w:val="22"/>
                <w:szCs w:val="22"/>
                <w:u w:val="none"/>
                <w:lang w:val="en-US" w:eastAsia="zh-CN" w:bidi="ar"/>
              </w:rPr>
              <w:t>上述工程量清单内容均指满足设计图纸要求技术标准和图纸工程数量表所列所有的施工项目；2.结算时根据完成实际验收合格工作量进行结算</w:t>
            </w:r>
          </w:p>
        </w:tc>
      </w:tr>
    </w:tbl>
    <w:p w14:paraId="6A3762C8">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lYjQ0YjE2OTExYWFiNjE1ZmNiYzY0N2Y3ODIzYTc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B316DB7"/>
    <w:rsid w:val="0B4D3BF1"/>
    <w:rsid w:val="0EE32E18"/>
    <w:rsid w:val="0F4A52C7"/>
    <w:rsid w:val="118B7221"/>
    <w:rsid w:val="122B630F"/>
    <w:rsid w:val="1409144A"/>
    <w:rsid w:val="15E50ECA"/>
    <w:rsid w:val="16675465"/>
    <w:rsid w:val="1720040C"/>
    <w:rsid w:val="17602EFE"/>
    <w:rsid w:val="17B120CF"/>
    <w:rsid w:val="17B77C73"/>
    <w:rsid w:val="17D11706"/>
    <w:rsid w:val="18963AA9"/>
    <w:rsid w:val="19255C97"/>
    <w:rsid w:val="19FF0946"/>
    <w:rsid w:val="1A29745A"/>
    <w:rsid w:val="1B862808"/>
    <w:rsid w:val="1BA50EE0"/>
    <w:rsid w:val="1BBC447B"/>
    <w:rsid w:val="1C2A3722"/>
    <w:rsid w:val="1E594203"/>
    <w:rsid w:val="1EFC62AD"/>
    <w:rsid w:val="1F586514"/>
    <w:rsid w:val="1F6B2440"/>
    <w:rsid w:val="1FE17043"/>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B7D1B09"/>
    <w:rsid w:val="2C1C58E5"/>
    <w:rsid w:val="2CA862FE"/>
    <w:rsid w:val="2CBF5B79"/>
    <w:rsid w:val="2DB72D51"/>
    <w:rsid w:val="2EA72D69"/>
    <w:rsid w:val="2FA81E31"/>
    <w:rsid w:val="3025488D"/>
    <w:rsid w:val="323435E7"/>
    <w:rsid w:val="326E7E26"/>
    <w:rsid w:val="32DD707A"/>
    <w:rsid w:val="335A6BD0"/>
    <w:rsid w:val="33F74176"/>
    <w:rsid w:val="34D348B8"/>
    <w:rsid w:val="35F951F0"/>
    <w:rsid w:val="35FC6972"/>
    <w:rsid w:val="36C559EE"/>
    <w:rsid w:val="388008B3"/>
    <w:rsid w:val="39A9599C"/>
    <w:rsid w:val="39E15381"/>
    <w:rsid w:val="3A2B6F44"/>
    <w:rsid w:val="3B2A0FAA"/>
    <w:rsid w:val="3B8406BA"/>
    <w:rsid w:val="3C2F4ACA"/>
    <w:rsid w:val="3D424389"/>
    <w:rsid w:val="3DBC7F10"/>
    <w:rsid w:val="3E7F28A2"/>
    <w:rsid w:val="3ED01E68"/>
    <w:rsid w:val="3EF1417C"/>
    <w:rsid w:val="4019701E"/>
    <w:rsid w:val="407C4056"/>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502A587C"/>
    <w:rsid w:val="504D489E"/>
    <w:rsid w:val="514364CA"/>
    <w:rsid w:val="51D72884"/>
    <w:rsid w:val="53174839"/>
    <w:rsid w:val="537E791D"/>
    <w:rsid w:val="54372316"/>
    <w:rsid w:val="546122D3"/>
    <w:rsid w:val="54D02BDA"/>
    <w:rsid w:val="54FB1595"/>
    <w:rsid w:val="56026953"/>
    <w:rsid w:val="56A936C4"/>
    <w:rsid w:val="56FE3F90"/>
    <w:rsid w:val="58044C05"/>
    <w:rsid w:val="58600F69"/>
    <w:rsid w:val="591B0458"/>
    <w:rsid w:val="59590F26"/>
    <w:rsid w:val="5A1A187F"/>
    <w:rsid w:val="5BFE59D4"/>
    <w:rsid w:val="5D662547"/>
    <w:rsid w:val="5FDC6467"/>
    <w:rsid w:val="604653D4"/>
    <w:rsid w:val="60CD01D3"/>
    <w:rsid w:val="60D3511D"/>
    <w:rsid w:val="60EB2945"/>
    <w:rsid w:val="627831CA"/>
    <w:rsid w:val="642E19FC"/>
    <w:rsid w:val="65695331"/>
    <w:rsid w:val="65FE5602"/>
    <w:rsid w:val="660C2B22"/>
    <w:rsid w:val="66833198"/>
    <w:rsid w:val="66D6781F"/>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70DE056A"/>
    <w:rsid w:val="7279151A"/>
    <w:rsid w:val="72802C82"/>
    <w:rsid w:val="731E270E"/>
    <w:rsid w:val="73C61A83"/>
    <w:rsid w:val="7427420B"/>
    <w:rsid w:val="75BD0595"/>
    <w:rsid w:val="7608705F"/>
    <w:rsid w:val="76984A3E"/>
    <w:rsid w:val="77471FC0"/>
    <w:rsid w:val="777FA5D6"/>
    <w:rsid w:val="77B42785"/>
    <w:rsid w:val="787E1A12"/>
    <w:rsid w:val="78A5543C"/>
    <w:rsid w:val="78D45AD6"/>
    <w:rsid w:val="79317671"/>
    <w:rsid w:val="79D83AC2"/>
    <w:rsid w:val="7DE41F56"/>
    <w:rsid w:val="7E0856E7"/>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tabs>
        <w:tab w:val="left" w:pos="420"/>
      </w:tabs>
      <w:spacing w:before="340" w:after="330" w:line="578" w:lineRule="auto"/>
      <w:outlineLvl w:val="0"/>
    </w:pPr>
    <w:rPr>
      <w:b/>
      <w:bCs/>
      <w:kern w:val="44"/>
      <w:sz w:val="44"/>
      <w:szCs w:val="44"/>
    </w:rPr>
  </w:style>
  <w:style w:type="paragraph" w:styleId="4">
    <w:name w:val="heading 2"/>
    <w:basedOn w:val="1"/>
    <w:next w:val="1"/>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5">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tabs>
        <w:tab w:val="left" w:pos="420"/>
      </w:tabs>
      <w:ind w:firstLine="480"/>
    </w:pPr>
    <w:rPr>
      <w:rFonts w:ascii="等线" w:hAnsi="等线" w:eastAsia="等线" w:cs="等线"/>
      <w:lang w:val="zh-CN" w:bidi="zh-CN"/>
    </w:rPr>
  </w:style>
  <w:style w:type="paragraph" w:styleId="6">
    <w:name w:val="Body Text Indent"/>
    <w:basedOn w:val="1"/>
    <w:next w:val="7"/>
    <w:qFormat/>
    <w:uiPriority w:val="0"/>
    <w:pPr>
      <w:spacing w:after="120" w:afterLines="0"/>
      <w:ind w:left="420" w:leftChars="200"/>
    </w:pPr>
  </w:style>
  <w:style w:type="paragraph" w:styleId="7">
    <w:name w:val="envelope return"/>
    <w:basedOn w:val="1"/>
    <w:qFormat/>
    <w:uiPriority w:val="0"/>
    <w:pPr>
      <w:snapToGrid w:val="0"/>
    </w:pPr>
    <w:rPr>
      <w:rFonts w:ascii="Arial" w:hAnsi="Arial"/>
      <w:szCs w:val="20"/>
    </w:rPr>
  </w:style>
  <w:style w:type="paragraph" w:styleId="8">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9">
    <w:name w:val="Body Text First Indent 2"/>
    <w:basedOn w:val="6"/>
    <w:next w:val="1"/>
    <w:unhideWhenUsed/>
    <w:qFormat/>
    <w:uiPriority w:val="0"/>
    <w:pPr>
      <w:ind w:firstLine="42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Paragraph"/>
    <w:basedOn w:val="1"/>
    <w:qFormat/>
    <w:uiPriority w:val="1"/>
    <w:pPr>
      <w:autoSpaceDE w:val="0"/>
      <w:autoSpaceDN w:val="0"/>
      <w:jc w:val="left"/>
    </w:pPr>
    <w:rPr>
      <w:rFonts w:ascii="宋体" w:hAnsi="宋体" w:eastAsia="宋体" w:cs="宋体"/>
      <w:kern w:val="0"/>
      <w:sz w:val="22"/>
    </w:rPr>
  </w:style>
  <w:style w:type="table" w:customStyle="1" w:styleId="14">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290</Words>
  <Characters>301</Characters>
  <Lines>22</Lines>
  <Paragraphs>6</Paragraphs>
  <TotalTime>5</TotalTime>
  <ScaleCrop>false</ScaleCrop>
  <LinksUpToDate>false</LinksUpToDate>
  <CharactersWithSpaces>302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溺小夜</cp:lastModifiedBy>
  <cp:lastPrinted>2021-05-25T08:19:00Z</cp:lastPrinted>
  <dcterms:modified xsi:type="dcterms:W3CDTF">2024-09-25T08:34:16Z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ECC8566045A84053B9B6B5C8CA024709</vt:lpwstr>
  </property>
</Properties>
</file>