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9A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384624E9"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7D10D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防撞缓冲包：要求提供三侧防撞检测报告。</w:t>
      </w:r>
    </w:p>
    <w:p w14:paraId="1CA35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附：推荐设备参数要求</w:t>
      </w:r>
    </w:p>
    <w:p w14:paraId="58D85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尺寸、性能和配置参数表</w:t>
      </w:r>
    </w:p>
    <w:p w14:paraId="7BC3A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</w:pPr>
      <w:bookmarkStart w:id="0" w:name="_Toc373397665"/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皮卡防撞车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招标技术参数</w:t>
      </w:r>
    </w:p>
    <w:bookmarkEnd w:id="0"/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5671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DCC53F7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★车辆外形尺寸</w:t>
            </w:r>
          </w:p>
        </w:tc>
        <w:tc>
          <w:tcPr>
            <w:tcW w:w="4261" w:type="dxa"/>
          </w:tcPr>
          <w:p w14:paraId="09E354CF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5900×2000×2330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/>
              </w:rPr>
              <w:t>（提供产品公告参数证明）</w:t>
            </w:r>
          </w:p>
        </w:tc>
      </w:tr>
      <w:tr w14:paraId="14CB9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AD6768F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总质量</w:t>
            </w:r>
          </w:p>
        </w:tc>
        <w:tc>
          <w:tcPr>
            <w:tcW w:w="4261" w:type="dxa"/>
          </w:tcPr>
          <w:p w14:paraId="208DBBD7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≥3200kg</w:t>
            </w:r>
            <w:r>
              <w:rPr>
                <w:rFonts w:hint="eastAsia" w:asciiTheme="minorEastAsia" w:hAnsiTheme="minorEastAsia" w:eastAsiaTheme="minorEastAsia"/>
              </w:rPr>
              <w:t>（提供产品公告参数证明）</w:t>
            </w:r>
          </w:p>
        </w:tc>
      </w:tr>
      <w:tr w14:paraId="609EA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8161E4F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整备质量</w:t>
            </w:r>
          </w:p>
        </w:tc>
        <w:tc>
          <w:tcPr>
            <w:tcW w:w="4261" w:type="dxa"/>
          </w:tcPr>
          <w:p w14:paraId="58DFBB2C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≥2900kg</w:t>
            </w:r>
            <w:r>
              <w:rPr>
                <w:rFonts w:hint="eastAsia" w:asciiTheme="minorEastAsia" w:hAnsiTheme="minorEastAsia" w:eastAsiaTheme="minorEastAsia"/>
              </w:rPr>
              <w:t>（提供产品公告参数证明）</w:t>
            </w:r>
          </w:p>
        </w:tc>
      </w:tr>
      <w:tr w14:paraId="32392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744128C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★前悬/后悬</w:t>
            </w:r>
          </w:p>
        </w:tc>
        <w:tc>
          <w:tcPr>
            <w:tcW w:w="4261" w:type="dxa"/>
          </w:tcPr>
          <w:p w14:paraId="36C3C11B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≥940/1550mm</w:t>
            </w:r>
            <w:r>
              <w:rPr>
                <w:rFonts w:hint="eastAsia" w:asciiTheme="minorEastAsia" w:hAnsiTheme="minorEastAsia" w:eastAsiaTheme="minorEastAsia"/>
              </w:rPr>
              <w:t>（提供产品公告参数证明）</w:t>
            </w:r>
          </w:p>
        </w:tc>
      </w:tr>
      <w:tr w14:paraId="6BEE6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E615B2A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驱动方式</w:t>
            </w:r>
          </w:p>
        </w:tc>
        <w:tc>
          <w:tcPr>
            <w:tcW w:w="4261" w:type="dxa"/>
          </w:tcPr>
          <w:p w14:paraId="34FF9537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手动四驱</w:t>
            </w:r>
          </w:p>
        </w:tc>
      </w:tr>
      <w:tr w14:paraId="1B76F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6731E2C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燃油类型</w:t>
            </w:r>
          </w:p>
        </w:tc>
        <w:tc>
          <w:tcPr>
            <w:tcW w:w="4261" w:type="dxa"/>
          </w:tcPr>
          <w:p w14:paraId="7F343CE9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柴油</w:t>
            </w:r>
          </w:p>
        </w:tc>
      </w:tr>
      <w:tr w14:paraId="62011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C4737ED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发动机功率</w:t>
            </w:r>
          </w:p>
        </w:tc>
        <w:tc>
          <w:tcPr>
            <w:tcW w:w="4261" w:type="dxa"/>
          </w:tcPr>
          <w:p w14:paraId="76B6C5EC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105kw</w:t>
            </w:r>
            <w:r>
              <w:rPr>
                <w:rFonts w:hint="eastAsia" w:asciiTheme="minorEastAsia" w:hAnsiTheme="minorEastAsia" w:eastAsiaTheme="minorEastAsia"/>
              </w:rPr>
              <w:t>（提供产品公告参数证明）</w:t>
            </w:r>
          </w:p>
        </w:tc>
      </w:tr>
      <w:tr w14:paraId="4E2E0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2CDFC84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排放标准</w:t>
            </w:r>
          </w:p>
        </w:tc>
        <w:tc>
          <w:tcPr>
            <w:tcW w:w="4261" w:type="dxa"/>
          </w:tcPr>
          <w:p w14:paraId="316E72E3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国六</w:t>
            </w:r>
          </w:p>
        </w:tc>
      </w:tr>
      <w:tr w14:paraId="0796B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4B72985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驾驶要求</w:t>
            </w:r>
          </w:p>
        </w:tc>
        <w:tc>
          <w:tcPr>
            <w:tcW w:w="4261" w:type="dxa"/>
          </w:tcPr>
          <w:p w14:paraId="5A6C12B0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蓝牌，C1照可驾驶</w:t>
            </w:r>
          </w:p>
        </w:tc>
      </w:tr>
      <w:tr w14:paraId="7F2FE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430BC61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防撞缓冲包等级</w:t>
            </w:r>
          </w:p>
        </w:tc>
        <w:tc>
          <w:tcPr>
            <w:tcW w:w="4261" w:type="dxa"/>
          </w:tcPr>
          <w:p w14:paraId="21760490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70K</w:t>
            </w:r>
          </w:p>
        </w:tc>
      </w:tr>
      <w:tr w14:paraId="384C5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A4519A9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★防撞缓冲包形式</w:t>
            </w:r>
          </w:p>
        </w:tc>
        <w:tc>
          <w:tcPr>
            <w:tcW w:w="4261" w:type="dxa"/>
          </w:tcPr>
          <w:p w14:paraId="10B78A2B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双层防撞结构，配备迎撞板和4根弧形铝管，轻微撞击，仅需更换外层结构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提供结构照片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6F014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9EC778C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防撞缓冲包动作形式</w:t>
            </w:r>
          </w:p>
        </w:tc>
        <w:tc>
          <w:tcPr>
            <w:tcW w:w="4261" w:type="dxa"/>
          </w:tcPr>
          <w:p w14:paraId="07B97763">
            <w:pPr>
              <w:rPr>
                <w:rFonts w:hint="eastAsia" w:ascii="宋体" w:hAnsi="宋体" w:cs="宋体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防撞缓冲垫通过液压控制升降后，从工作状态可以180°水平翻转至货箱上部，降低高度行驶无风阻，减少车辆油耗，行驶速度快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提供工作及行驶状态照片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 w14:paraId="5D035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1A512F5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公告内附属装置1</w:t>
            </w:r>
          </w:p>
        </w:tc>
        <w:tc>
          <w:tcPr>
            <w:tcW w:w="4261" w:type="dxa"/>
          </w:tcPr>
          <w:p w14:paraId="641D1A64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可升降LED显示屏，最大升降高度≥3m，LED显示屏尺寸≥1500×500mm，</w:t>
            </w:r>
            <w:r>
              <w:rPr>
                <w:rFonts w:hint="eastAsia" w:ascii="宋体" w:hAnsi="宋体" w:cs="宋体"/>
                <w:kern w:val="0"/>
                <w:sz w:val="24"/>
              </w:rPr>
              <w:t>全彩屏幕，分辨率≥P10</w:t>
            </w:r>
          </w:p>
        </w:tc>
      </w:tr>
      <w:tr w14:paraId="0FD71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2F1FDAB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公告内附属装置2</w:t>
            </w:r>
          </w:p>
        </w:tc>
        <w:tc>
          <w:tcPr>
            <w:tcW w:w="4261" w:type="dxa"/>
          </w:tcPr>
          <w:p w14:paraId="6BEE8ED1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可升降照明灯，升降高度≥1.2米（不含底盘高度），照明灯数量≥2，功率≥100W</w:t>
            </w:r>
          </w:p>
        </w:tc>
      </w:tr>
      <w:tr w14:paraId="0273C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A61311B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公告内附属装置3</w:t>
            </w:r>
          </w:p>
        </w:tc>
        <w:tc>
          <w:tcPr>
            <w:tcW w:w="4261" w:type="dxa"/>
          </w:tcPr>
          <w:p w14:paraId="29748B45">
            <w:pPr>
              <w:spacing w:line="240" w:lineRule="auto"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监控云台</w:t>
            </w:r>
          </w:p>
          <w:p w14:paraId="1F980C51">
            <w:pPr>
              <w:spacing w:line="24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（1）旋转角度：水平：360°连续旋转；垂直：-85° ~90°（无监视盲区）。</w:t>
            </w:r>
          </w:p>
          <w:p w14:paraId="702846C1">
            <w:pPr>
              <w:spacing w:line="24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（2）传动方式：涡轮蜗杆传动。</w:t>
            </w:r>
          </w:p>
          <w:p w14:paraId="0472A668">
            <w:pPr>
              <w:spacing w:line="24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（3）有效像素≥1920×1080。</w:t>
            </w:r>
          </w:p>
          <w:p w14:paraId="7A88977B">
            <w:pPr>
              <w:spacing w:line="24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（4）旋转速度：水平手动控制 :0-60°/S ； 垂直手动控制：0°-40°/S。</w:t>
            </w:r>
          </w:p>
          <w:p w14:paraId="6BB63DE5">
            <w:pPr>
              <w:spacing w:line="24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（5）存储功能：支持 MicroSD 存储。</w:t>
            </w:r>
          </w:p>
          <w:p w14:paraId="618A19D6">
            <w:pPr>
              <w:spacing w:line="24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（6）支持协议：TCP/IP，HTTP，DHCP，DNS，DDNS，RTP，RTSP，PPPoE，SMTP，NTP，UPnP，ONVIF，市场主流协议。</w:t>
            </w:r>
          </w:p>
          <w:p w14:paraId="3742CA62">
            <w:pPr>
              <w:spacing w:line="24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（7）IP65 及以上防护等级。</w:t>
            </w:r>
          </w:p>
          <w:p w14:paraId="784FE0BE"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（8）随照明灯一起升降，升降高度≥1.2 米。</w:t>
            </w:r>
          </w:p>
        </w:tc>
      </w:tr>
      <w:tr w14:paraId="7050E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E02EA2E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公告内附属装置4</w:t>
            </w:r>
          </w:p>
        </w:tc>
        <w:tc>
          <w:tcPr>
            <w:tcW w:w="4261" w:type="dxa"/>
          </w:tcPr>
          <w:p w14:paraId="321B7618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发电机，功率≥2kw</w:t>
            </w:r>
          </w:p>
        </w:tc>
      </w:tr>
      <w:tr w14:paraId="04937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1B84248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公告内警示灯</w:t>
            </w:r>
          </w:p>
        </w:tc>
        <w:tc>
          <w:tcPr>
            <w:tcW w:w="4261" w:type="dxa"/>
          </w:tcPr>
          <w:p w14:paraId="013A083E">
            <w:pPr>
              <w:rPr>
                <w:rFonts w:hint="eastAsia" w:ascii="宋体" w:hAnsi="宋体" w:cs="宋体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车箱两侧，带有黄色频闪灯，具备夜间警示效果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提供公告照片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 w14:paraId="4BBF6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30D582B">
            <w:pPr>
              <w:spacing w:line="24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行车监控</w:t>
            </w:r>
          </w:p>
        </w:tc>
        <w:tc>
          <w:tcPr>
            <w:tcW w:w="4261" w:type="dxa"/>
          </w:tcPr>
          <w:p w14:paraId="754E80AD">
            <w:pPr>
              <w:spacing w:line="240" w:lineRule="auto"/>
              <w:jc w:val="left"/>
              <w:rPr>
                <w:rFonts w:hint="default" w:ascii="宋体" w:hAnsi="宋体" w:cs="宋体" w:eastAsiaTheme="minorEastAsia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车内具有监控显示，行车监控摄像头≥3个</w:t>
            </w:r>
          </w:p>
        </w:tc>
      </w:tr>
      <w:tr w14:paraId="50975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B0F3898">
            <w:pPr>
              <w:spacing w:line="240" w:lineRule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事故案例</w:t>
            </w:r>
          </w:p>
        </w:tc>
        <w:tc>
          <w:tcPr>
            <w:tcW w:w="4261" w:type="dxa"/>
          </w:tcPr>
          <w:p w14:paraId="57E8288E">
            <w:pPr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提供同型号防撞缓冲车在实际事故后的现场照片，以证明整车设计合理，在实际的碰撞中，仅防撞垫吸能溃缩，而车体结构不受损伤。</w:t>
            </w:r>
          </w:p>
        </w:tc>
      </w:tr>
    </w:tbl>
    <w:p w14:paraId="1691F8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F1D7FA9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autoRedefine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</Words>
  <Characters>67</Characters>
  <Lines>22</Lines>
  <Paragraphs>6</Paragraphs>
  <TotalTime>0</TotalTime>
  <ScaleCrop>false</ScaleCrop>
  <LinksUpToDate>false</LinksUpToDate>
  <CharactersWithSpaces>67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2024-09-18T07:16:34Z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ECC8566045A84053B9B6B5C8CA024709</vt:lpwstr>
  </property>
</Properties>
</file>