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8CB7C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D3020B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52"/>
          <w:szCs w:val="52"/>
          <w:highlight w:val="none"/>
          <w:u w:val="none"/>
          <w:shd w:val="clear" w:color="auto" w:fill="auto"/>
          <w:lang w:val="en-US" w:eastAsia="zh-CN"/>
        </w:rPr>
      </w:pPr>
      <w:r>
        <w:rPr>
          <w:rFonts w:hint="eastAsia" w:ascii="方正小标宋简体" w:hAnsi="方正小标宋简体" w:eastAsia="方正小标宋简体" w:cs="方正小标宋简体"/>
          <w:color w:val="000000" w:themeColor="text1"/>
          <w:kern w:val="0"/>
          <w:sz w:val="52"/>
          <w:szCs w:val="52"/>
          <w:highlight w:val="none"/>
          <w:u w:val="none"/>
          <w:shd w:val="clear" w:color="auto" w:fill="auto"/>
          <w:lang w:val="en-US" w:eastAsia="zh-CN"/>
          <w14:textFill>
            <w14:solidFill>
              <w14:schemeClr w14:val="tx1"/>
            </w14:solidFill>
          </w14:textFill>
        </w:rPr>
        <w:t>驾考中心（车管所）采购柜式七氟丙烷气体灭火剂钢瓶检测充装项目</w:t>
      </w:r>
    </w:p>
    <w:p w14:paraId="7EE97A4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FF75D9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0AC60F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78D7692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57078E8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501E2A8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641F9B7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1C5246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ACJT-2024</w:t>
      </w:r>
      <w:r>
        <w:rPr>
          <w:rFonts w:hint="default" w:ascii="Times New Roman" w:hAnsi="Times New Roman" w:eastAsia="楷体" w:cs="Times New Roman"/>
          <w:kern w:val="0"/>
          <w:sz w:val="28"/>
          <w:szCs w:val="28"/>
          <w:highlight w:val="none"/>
          <w:u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025</w:t>
      </w:r>
      <w:r>
        <w:rPr>
          <w:rFonts w:hint="default" w:ascii="Times New Roman" w:hAnsi="Times New Roman" w:eastAsia="楷体" w:cs="Times New Roman"/>
          <w:kern w:val="0"/>
          <w:sz w:val="28"/>
          <w:szCs w:val="28"/>
          <w:highlight w:val="none"/>
          <w:shd w:val="clear" w:color="auto" w:fill="auto"/>
          <w:lang w:val="en-US" w:eastAsia="zh-CN"/>
        </w:rPr>
        <w:t>号</w:t>
      </w:r>
    </w:p>
    <w:p w14:paraId="3FFE2858">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A26CA3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3B8DA3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 xml:space="preserve">安徽省安车交通运输集团有限公司 </w:t>
      </w:r>
    </w:p>
    <w:p w14:paraId="12F9CD17">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2024年9</w:t>
      </w:r>
      <w:r>
        <w:rPr>
          <w:rFonts w:hint="eastAsia" w:ascii="Times New Roman" w:hAnsi="Times New Roman" w:eastAsia="楷体" w:cs="Times New Roman"/>
          <w:kern w:val="0"/>
          <w:sz w:val="32"/>
          <w:szCs w:val="32"/>
          <w:highlight w:val="none"/>
          <w:u w:val="none"/>
          <w:shd w:val="clear" w:color="auto" w:fill="auto"/>
          <w:lang w:val="en-US" w:eastAsia="zh-CN"/>
        </w:rPr>
        <w:t>月13日</w:t>
      </w:r>
    </w:p>
    <w:p w14:paraId="2E605EB8">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536001D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3C6A6E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39EF9C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14:paraId="55C9A50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408F309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4898FB5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14:paraId="6A00B8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14:paraId="0631DAD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43</w:t>
      </w:r>
    </w:p>
    <w:p w14:paraId="61BF32A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6D9B1A9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F4C610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CDAD8D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346B2E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5A88EC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6B9A97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1BE721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65502A5">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540D88C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7CE6860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182BA4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432831A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32"/>
          <w:szCs w:val="32"/>
          <w:highlight w:val="none"/>
          <w:u w:val="none"/>
          <w:lang w:val="en-US" w:eastAsia="zh-CN"/>
        </w:rPr>
      </w:pPr>
      <w:r>
        <w:rPr>
          <w:rFonts w:hint="eastAsia" w:ascii="Times New Roman" w:hAnsi="Times New Roman" w:eastAsia="黑体" w:cs="Times New Roman"/>
          <w:sz w:val="32"/>
          <w:szCs w:val="32"/>
          <w:highlight w:val="none"/>
          <w:u w:val="none"/>
          <w:lang w:val="en-US" w:eastAsia="zh-CN"/>
        </w:rPr>
        <w:t>驾考中心（车管所）采购柜式七氟丙烷气体灭火剂钢瓶检测充装项目招标公告</w:t>
      </w:r>
    </w:p>
    <w:p w14:paraId="27E3F54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247085680"/>
      <w:bookmarkStart w:id="2" w:name="_Toc246996166"/>
      <w:bookmarkStart w:id="3" w:name="_Toc179632536"/>
      <w:bookmarkStart w:id="4" w:name="_Toc152042295"/>
      <w:bookmarkStart w:id="5" w:name="_Toc246996909"/>
      <w:bookmarkStart w:id="6" w:name="_Toc296602410"/>
      <w:bookmarkStart w:id="7" w:name="_Toc144974487"/>
    </w:p>
    <w:bookmarkEnd w:id="0"/>
    <w:bookmarkEnd w:id="1"/>
    <w:bookmarkEnd w:id="2"/>
    <w:bookmarkEnd w:id="3"/>
    <w:bookmarkEnd w:id="4"/>
    <w:bookmarkEnd w:id="5"/>
    <w:bookmarkEnd w:id="6"/>
    <w:bookmarkEnd w:id="7"/>
    <w:p w14:paraId="6C0C9A5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14:paraId="0D2946F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bookmarkStart w:id="8" w:name="_Toc246996167"/>
      <w:bookmarkStart w:id="9" w:name="_Toc296602411"/>
      <w:bookmarkStart w:id="10" w:name="_Toc152042296"/>
      <w:bookmarkStart w:id="11" w:name="_Toc246996910"/>
      <w:bookmarkStart w:id="12" w:name="_Toc152045520"/>
      <w:bookmarkStart w:id="13" w:name="_Toc247085681"/>
      <w:bookmarkStart w:id="14" w:name="_Toc144974488"/>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eastAsia" w:asciiTheme="minorEastAsia" w:hAnsiTheme="minorEastAsia" w:cstheme="minorEastAsia"/>
          <w:sz w:val="28"/>
          <w:szCs w:val="28"/>
          <w:highlight w:val="none"/>
          <w:lang w:val="en-US" w:eastAsia="zh-CN"/>
        </w:rPr>
        <w:t xml:space="preserve"> 驾考中心（车管所）采购柜式七氟丙烷气体灭火剂钢瓶检测充装项目</w:t>
      </w:r>
    </w:p>
    <w:p w14:paraId="6DB9297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ACJT-2024-025号</w:t>
      </w:r>
      <w:r>
        <w:rPr>
          <w:rFonts w:hint="eastAsia" w:asciiTheme="minorEastAsia" w:hAnsiTheme="minorEastAsia" w:eastAsiaTheme="minorEastAsia" w:cstheme="minorEastAsia"/>
          <w:sz w:val="28"/>
          <w:szCs w:val="28"/>
          <w:highlight w:val="none"/>
          <w:lang w:val="en-US" w:eastAsia="zh-CN"/>
        </w:rPr>
        <w:t xml:space="preserve"> </w:t>
      </w:r>
    </w:p>
    <w:p w14:paraId="39D03E0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r>
        <w:rPr>
          <w:rFonts w:hint="eastAsia" w:asciiTheme="minorEastAsia" w:hAnsiTheme="minorEastAsia" w:cstheme="minorEastAsia"/>
          <w:sz w:val="28"/>
          <w:szCs w:val="28"/>
          <w:highlight w:val="none"/>
          <w:lang w:val="en-US" w:eastAsia="zh-CN"/>
        </w:rPr>
        <w:t>企业自筹资金</w:t>
      </w:r>
    </w:p>
    <w:p w14:paraId="044CF2E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r>
        <w:rPr>
          <w:rFonts w:hint="eastAsia" w:asciiTheme="minorEastAsia" w:hAnsiTheme="minorEastAsia" w:cstheme="minorEastAsia"/>
          <w:sz w:val="28"/>
          <w:szCs w:val="28"/>
          <w:highlight w:val="none"/>
          <w:lang w:val="en-US" w:eastAsia="zh-CN"/>
        </w:rPr>
        <w:t>安徽省安车交通运输集团有限公司</w:t>
      </w:r>
    </w:p>
    <w:p w14:paraId="396DF38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6C6F756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04B4CAE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r>
        <w:rPr>
          <w:rFonts w:hint="eastAsia" w:asciiTheme="minorEastAsia" w:hAnsiTheme="minorEastAsia" w:cstheme="minorEastAsia"/>
          <w:sz w:val="28"/>
          <w:szCs w:val="28"/>
          <w:highlight w:val="none"/>
          <w:lang w:val="en-US" w:eastAsia="zh-CN"/>
        </w:rPr>
        <w:t>亳州市公安局交警支队车辆管理所2018年开始投入使用至今，所有配套设施设备性能完善，现对档案室和机房内柜式七氟丙烷气体灭火剂钢瓶检测充装。</w:t>
      </w:r>
      <w:r>
        <w:rPr>
          <w:rFonts w:hint="default" w:asciiTheme="minorEastAsia" w:hAnsiTheme="minorEastAsia" w:cstheme="minorEastAsia"/>
          <w:sz w:val="28"/>
          <w:szCs w:val="28"/>
          <w:highlight w:val="none"/>
          <w:lang w:val="en-US" w:eastAsia="zh-CN"/>
        </w:rPr>
        <w:t>钢瓶共20个，其中137Kg钢瓶4个、141Kg钢瓶5个、143Kg钢瓶2个、148Kg钢瓶9个，合计充装量2871kg，分别位于在二楼机房、驾驶人档案室、小车和大车档案室</w:t>
      </w:r>
      <w:r>
        <w:rPr>
          <w:rFonts w:hint="eastAsia" w:asciiTheme="minorEastAsia" w:hAnsiTheme="minorEastAsia" w:cstheme="minorEastAsia"/>
          <w:sz w:val="28"/>
          <w:szCs w:val="28"/>
          <w:highlight w:val="none"/>
          <w:lang w:val="en-US" w:eastAsia="zh-CN"/>
        </w:rPr>
        <w:t>。</w:t>
      </w:r>
    </w:p>
    <w:p w14:paraId="2907313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cstheme="minorEastAsia"/>
          <w:sz w:val="28"/>
          <w:szCs w:val="28"/>
          <w:highlight w:val="none"/>
          <w:lang w:val="en-US" w:eastAsia="zh-CN"/>
        </w:rPr>
        <w:t>20个柜式七氟丙烷气体灭火剂钢瓶检测充装，包括但不限于钢瓶检测、运输、设备安装、调试、试运行、技术支持、售后服务等全部工作内容，具体要求详见招标文件第五章发包人要求。</w:t>
      </w:r>
    </w:p>
    <w:p w14:paraId="518C044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标准：符合国家、地方、行业现行相关规范合格标准</w:t>
      </w:r>
      <w:r>
        <w:rPr>
          <w:rFonts w:hint="eastAsia" w:asciiTheme="minorEastAsia" w:hAnsiTheme="minorEastAsia" w:cstheme="minorEastAsia"/>
          <w:sz w:val="28"/>
          <w:szCs w:val="28"/>
          <w:highlight w:val="none"/>
          <w:lang w:val="en-US" w:eastAsia="zh-CN"/>
        </w:rPr>
        <w:t>，符合招标文件第五章发包人要求。</w:t>
      </w:r>
    </w:p>
    <w:p w14:paraId="3182383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自中标结果公示结束之日起30个日历天内完成发包人要求的全部工作内容。</w:t>
      </w:r>
    </w:p>
    <w:p w14:paraId="7225C0C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val="en-US" w:eastAsia="zh-CN"/>
        </w:rPr>
        <w:t>最高投标限价</w:t>
      </w:r>
      <w:r>
        <w:rPr>
          <w:rFonts w:hint="eastAsia" w:asciiTheme="minorEastAsia" w:hAnsiTheme="minorEastAsia" w:cstheme="minorEastAsia"/>
          <w:color w:val="auto"/>
          <w:sz w:val="28"/>
          <w:szCs w:val="28"/>
          <w:highlight w:val="none"/>
          <w:lang w:val="en-US" w:eastAsia="zh-CN"/>
        </w:rPr>
        <w:t>（含税6%）</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u w:val="none"/>
          <w:lang w:val="en-US" w:eastAsia="zh-CN"/>
        </w:rPr>
        <w:t>200000元，投标人</w:t>
      </w:r>
      <w:r>
        <w:rPr>
          <w:rFonts w:hint="eastAsia" w:asciiTheme="minorEastAsia" w:hAnsiTheme="minorEastAsia" w:eastAsiaTheme="minorEastAsia" w:cstheme="minorEastAsia"/>
          <w:color w:val="auto"/>
          <w:sz w:val="28"/>
          <w:szCs w:val="28"/>
          <w:highlight w:val="none"/>
          <w:u w:val="none"/>
          <w:lang w:val="en-US" w:eastAsia="zh-CN"/>
        </w:rPr>
        <w:t>按固定总价报价。投标报价超出限价或低于成本价的，按无效投标处理；投</w:t>
      </w:r>
      <w:r>
        <w:rPr>
          <w:rFonts w:hint="eastAsia" w:asciiTheme="minorEastAsia" w:hAnsiTheme="minorEastAsia" w:eastAsiaTheme="minorEastAsia" w:cstheme="minorEastAsia"/>
          <w:color w:val="auto"/>
          <w:sz w:val="28"/>
          <w:szCs w:val="28"/>
          <w:highlight w:val="none"/>
          <w:lang w:val="en-US" w:eastAsia="zh-CN"/>
        </w:rPr>
        <w:t>标报价应包括为完</w:t>
      </w:r>
      <w:r>
        <w:rPr>
          <w:rFonts w:hint="eastAsia" w:asciiTheme="minorEastAsia" w:hAnsiTheme="minorEastAsia" w:eastAsiaTheme="minorEastAsia" w:cstheme="minorEastAsia"/>
          <w:sz w:val="28"/>
          <w:szCs w:val="28"/>
          <w:highlight w:val="none"/>
          <w:lang w:val="en-US" w:eastAsia="zh-CN"/>
        </w:rPr>
        <w:t>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7E1C24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156BF62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eastAsiaTheme="minorEastAsia" w:cstheme="minorEastAsia"/>
          <w:color w:val="auto"/>
          <w:sz w:val="28"/>
          <w:szCs w:val="28"/>
          <w:highlight w:val="none"/>
          <w:lang w:val="en-US" w:eastAsia="zh-CN"/>
        </w:rPr>
        <w:t>独立法人资格</w:t>
      </w:r>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7DCBF97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p>
    <w:p w14:paraId="3D6709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b w:val="0"/>
          <w:bCs w:val="0"/>
          <w:snapToGrid w:val="0"/>
          <w:color w:val="auto"/>
          <w:sz w:val="28"/>
          <w:szCs w:val="28"/>
          <w:lang w:eastAsia="zh-CN"/>
        </w:rPr>
      </w:pPr>
      <w:r>
        <w:rPr>
          <w:rFonts w:hint="eastAsia" w:asciiTheme="minorEastAsia" w:hAnsiTheme="minorEastAsia" w:eastAsiaTheme="minorEastAsia" w:cstheme="minorEastAsia"/>
          <w:b w:val="0"/>
          <w:bCs w:val="0"/>
          <w:snapToGrid w:val="0"/>
          <w:color w:val="auto"/>
          <w:sz w:val="28"/>
          <w:szCs w:val="28"/>
          <w:lang w:val="en-US" w:eastAsia="zh-CN"/>
        </w:rPr>
        <w:t>（1）</w:t>
      </w:r>
      <w:r>
        <w:rPr>
          <w:rFonts w:hint="eastAsia" w:asciiTheme="minorEastAsia" w:hAnsiTheme="minorEastAsia" w:cstheme="minorEastAsia"/>
          <w:b w:val="0"/>
          <w:bCs w:val="0"/>
          <w:snapToGrid w:val="0"/>
          <w:color w:val="auto"/>
          <w:sz w:val="28"/>
          <w:szCs w:val="28"/>
          <w:lang w:val="en-US" w:eastAsia="zh-CN"/>
        </w:rPr>
        <w:t>投标人</w:t>
      </w:r>
      <w:r>
        <w:rPr>
          <w:rFonts w:hint="eastAsia" w:asciiTheme="minorEastAsia" w:hAnsiTheme="minorEastAsia" w:eastAsiaTheme="minorEastAsia" w:cstheme="minorEastAsia"/>
          <w:b w:val="0"/>
          <w:bCs w:val="0"/>
          <w:snapToGrid w:val="0"/>
          <w:color w:val="auto"/>
          <w:sz w:val="28"/>
          <w:szCs w:val="28"/>
          <w:lang w:val="en-US" w:eastAsia="zh-CN"/>
        </w:rPr>
        <w:t>必须具备</w:t>
      </w:r>
      <w:r>
        <w:rPr>
          <w:rFonts w:hint="eastAsia" w:asciiTheme="minorEastAsia" w:hAnsiTheme="minorEastAsia" w:cstheme="minorEastAsia"/>
          <w:b w:val="0"/>
          <w:bCs w:val="0"/>
          <w:snapToGrid w:val="0"/>
          <w:color w:val="auto"/>
          <w:sz w:val="28"/>
          <w:szCs w:val="28"/>
          <w:lang w:val="en-US" w:eastAsia="zh-CN"/>
        </w:rPr>
        <w:t>有效期内的特种设备检验检测机构核准证（气瓶检验机构）</w:t>
      </w:r>
      <w:r>
        <w:rPr>
          <w:rFonts w:hint="eastAsia" w:asciiTheme="minorEastAsia" w:hAnsiTheme="minorEastAsia" w:eastAsiaTheme="minorEastAsia" w:cstheme="minorEastAsia"/>
          <w:b w:val="0"/>
          <w:bCs w:val="0"/>
          <w:snapToGrid w:val="0"/>
          <w:color w:val="auto"/>
          <w:sz w:val="28"/>
          <w:szCs w:val="28"/>
          <w:lang w:eastAsia="zh-CN"/>
        </w:rPr>
        <w:t>；</w:t>
      </w:r>
    </w:p>
    <w:p w14:paraId="3DDAFA4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b w:val="0"/>
          <w:bCs w:val="0"/>
          <w:snapToGrid w:val="0"/>
          <w:color w:val="auto"/>
          <w:sz w:val="28"/>
          <w:szCs w:val="28"/>
          <w:lang w:val="en-US" w:eastAsia="zh-CN"/>
        </w:rPr>
      </w:pPr>
      <w:r>
        <w:rPr>
          <w:rFonts w:hint="eastAsia" w:asciiTheme="minorEastAsia" w:hAnsiTheme="minorEastAsia" w:eastAsiaTheme="minorEastAsia" w:cstheme="minorEastAsia"/>
          <w:b w:val="0"/>
          <w:bCs w:val="0"/>
          <w:snapToGrid w:val="0"/>
          <w:color w:val="auto"/>
          <w:sz w:val="28"/>
          <w:szCs w:val="28"/>
          <w:lang w:val="en-US" w:eastAsia="zh-CN"/>
        </w:rPr>
        <w:t>（2）投标人必须具备</w:t>
      </w:r>
      <w:r>
        <w:rPr>
          <w:rFonts w:hint="eastAsia" w:asciiTheme="minorEastAsia" w:hAnsiTheme="minorEastAsia" w:cstheme="minorEastAsia"/>
          <w:b w:val="0"/>
          <w:bCs w:val="0"/>
          <w:snapToGrid w:val="0"/>
          <w:color w:val="auto"/>
          <w:sz w:val="28"/>
          <w:szCs w:val="28"/>
          <w:lang w:val="en-US" w:eastAsia="zh-CN"/>
        </w:rPr>
        <w:t>有效期内的</w:t>
      </w:r>
      <w:r>
        <w:rPr>
          <w:rFonts w:hint="eastAsia" w:asciiTheme="minorEastAsia" w:hAnsiTheme="minorEastAsia" w:eastAsiaTheme="minorEastAsia" w:cstheme="minorEastAsia"/>
          <w:b w:val="0"/>
          <w:bCs w:val="0"/>
          <w:snapToGrid w:val="0"/>
          <w:color w:val="auto"/>
          <w:sz w:val="28"/>
          <w:szCs w:val="28"/>
        </w:rPr>
        <w:t>《气瓶充装许可证》</w:t>
      </w:r>
      <w:r>
        <w:rPr>
          <w:rFonts w:hint="eastAsia" w:asciiTheme="minorEastAsia" w:hAnsiTheme="minorEastAsia" w:eastAsiaTheme="minorEastAsia" w:cstheme="minorEastAsia"/>
          <w:b w:val="0"/>
          <w:bCs w:val="0"/>
          <w:snapToGrid w:val="0"/>
          <w:color w:val="auto"/>
          <w:sz w:val="28"/>
          <w:szCs w:val="28"/>
          <w:lang w:eastAsia="zh-CN"/>
        </w:rPr>
        <w:t>（</w:t>
      </w:r>
      <w:r>
        <w:rPr>
          <w:rFonts w:hint="eastAsia" w:asciiTheme="minorEastAsia" w:hAnsiTheme="minorEastAsia" w:eastAsiaTheme="minorEastAsia" w:cstheme="minorEastAsia"/>
          <w:b w:val="0"/>
          <w:bCs w:val="0"/>
          <w:snapToGrid w:val="0"/>
          <w:color w:val="auto"/>
          <w:sz w:val="28"/>
          <w:szCs w:val="28"/>
          <w:lang w:val="en-US" w:eastAsia="zh-CN"/>
        </w:rPr>
        <w:t>充装介质需含有七氟丙烷</w:t>
      </w:r>
      <w:r>
        <w:rPr>
          <w:rFonts w:hint="eastAsia" w:asciiTheme="minorEastAsia" w:hAnsiTheme="minorEastAsia" w:eastAsiaTheme="minorEastAsia" w:cstheme="minorEastAsia"/>
          <w:b w:val="0"/>
          <w:bCs w:val="0"/>
          <w:snapToGrid w:val="0"/>
          <w:color w:val="auto"/>
          <w:sz w:val="28"/>
          <w:szCs w:val="28"/>
          <w:lang w:eastAsia="zh-CN"/>
        </w:rPr>
        <w:t>）</w:t>
      </w:r>
      <w:r>
        <w:rPr>
          <w:rFonts w:hint="eastAsia" w:asciiTheme="minorEastAsia" w:hAnsiTheme="minorEastAsia" w:eastAsiaTheme="minorEastAsia" w:cstheme="minorEastAsia"/>
          <w:b w:val="0"/>
          <w:bCs w:val="0"/>
          <w:snapToGrid w:val="0"/>
          <w:color w:val="auto"/>
          <w:sz w:val="28"/>
          <w:szCs w:val="28"/>
          <w:lang w:val="en-US" w:eastAsia="zh-CN"/>
        </w:rPr>
        <w:t>；</w:t>
      </w:r>
    </w:p>
    <w:p w14:paraId="50C4B94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val="0"/>
          <w:bCs w:val="0"/>
          <w:snapToGrid w:val="0"/>
          <w:color w:val="auto"/>
          <w:sz w:val="28"/>
          <w:szCs w:val="28"/>
          <w:lang w:val="en-US" w:eastAsia="zh-CN"/>
        </w:rPr>
        <w:t>（3）</w:t>
      </w:r>
      <w:r>
        <w:rPr>
          <w:rFonts w:hint="eastAsia" w:asciiTheme="minorEastAsia" w:hAnsiTheme="minorEastAsia" w:cstheme="minorEastAsia"/>
          <w:b w:val="0"/>
          <w:bCs w:val="0"/>
          <w:snapToGrid w:val="0"/>
          <w:color w:val="auto"/>
          <w:sz w:val="28"/>
          <w:szCs w:val="28"/>
          <w:lang w:val="en-US" w:eastAsia="zh-CN"/>
        </w:rPr>
        <w:t>投标人</w:t>
      </w:r>
      <w:r>
        <w:rPr>
          <w:rFonts w:hint="eastAsia" w:asciiTheme="minorEastAsia" w:hAnsiTheme="minorEastAsia" w:eastAsiaTheme="minorEastAsia" w:cstheme="minorEastAsia"/>
          <w:b w:val="0"/>
          <w:bCs w:val="0"/>
          <w:snapToGrid w:val="0"/>
          <w:color w:val="auto"/>
          <w:sz w:val="28"/>
          <w:szCs w:val="28"/>
          <w:lang w:val="en-US" w:eastAsia="zh-CN"/>
        </w:rPr>
        <w:t>必须具备</w:t>
      </w:r>
      <w:r>
        <w:rPr>
          <w:rFonts w:hint="eastAsia" w:asciiTheme="minorEastAsia" w:hAnsiTheme="minorEastAsia" w:cstheme="minorEastAsia"/>
          <w:b w:val="0"/>
          <w:bCs w:val="0"/>
          <w:snapToGrid w:val="0"/>
          <w:color w:val="auto"/>
          <w:sz w:val="28"/>
          <w:szCs w:val="28"/>
          <w:lang w:val="en-US" w:eastAsia="zh-CN"/>
        </w:rPr>
        <w:t>有效期内的</w:t>
      </w:r>
      <w:r>
        <w:rPr>
          <w:rFonts w:hint="eastAsia" w:asciiTheme="minorEastAsia" w:hAnsiTheme="minorEastAsia" w:eastAsiaTheme="minorEastAsia" w:cstheme="minorEastAsia"/>
          <w:b w:val="0"/>
          <w:bCs w:val="0"/>
          <w:snapToGrid w:val="0"/>
          <w:color w:val="auto"/>
          <w:sz w:val="28"/>
          <w:szCs w:val="28"/>
        </w:rPr>
        <w:t>《危化品经营许可证》</w:t>
      </w:r>
      <w:r>
        <w:rPr>
          <w:rFonts w:hint="eastAsia" w:asciiTheme="minorEastAsia" w:hAnsiTheme="minorEastAsia" w:eastAsiaTheme="minorEastAsia" w:cstheme="minorEastAsia"/>
          <w:b w:val="0"/>
          <w:bCs w:val="0"/>
          <w:snapToGrid w:val="0"/>
          <w:color w:val="auto"/>
          <w:sz w:val="28"/>
          <w:szCs w:val="28"/>
          <w:lang w:val="en-US" w:eastAsia="zh-CN"/>
        </w:rPr>
        <w:t>。</w:t>
      </w:r>
    </w:p>
    <w:p w14:paraId="0992296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none"/>
          <w:lang w:val="en-US" w:eastAsia="zh-CN"/>
        </w:rPr>
        <w:t>提供</w:t>
      </w:r>
      <w:r>
        <w:rPr>
          <w:rFonts w:hint="eastAsia" w:asciiTheme="minorEastAsia" w:hAnsiTheme="minorEastAsia" w:cstheme="minorEastAsia"/>
          <w:sz w:val="28"/>
          <w:szCs w:val="28"/>
          <w:highlight w:val="none"/>
          <w:u w:val="none"/>
          <w:lang w:val="en-US" w:eastAsia="zh-CN"/>
        </w:rPr>
        <w:t>2021年1月</w:t>
      </w:r>
      <w:r>
        <w:rPr>
          <w:rFonts w:hint="eastAsia" w:asciiTheme="minorEastAsia" w:hAnsiTheme="minorEastAsia" w:eastAsiaTheme="minorEastAsia" w:cstheme="minorEastAsia"/>
          <w:sz w:val="28"/>
          <w:szCs w:val="28"/>
          <w:highlight w:val="none"/>
          <w:u w:val="none"/>
          <w:lang w:val="en-US" w:eastAsia="zh-CN"/>
        </w:rPr>
        <w:t>至今企业类似项目业绩</w:t>
      </w:r>
      <w:r>
        <w:rPr>
          <w:rFonts w:hint="eastAsia" w:asciiTheme="minorEastAsia" w:hAnsiTheme="minorEastAsia" w:cstheme="minorEastAsia"/>
          <w:sz w:val="28"/>
          <w:szCs w:val="28"/>
          <w:highlight w:val="none"/>
          <w:u w:val="none"/>
          <w:lang w:val="en-US" w:eastAsia="zh-CN"/>
        </w:rPr>
        <w:t>1</w:t>
      </w:r>
      <w:r>
        <w:rPr>
          <w:rFonts w:hint="eastAsia" w:asciiTheme="minorEastAsia" w:hAnsiTheme="minorEastAsia" w:eastAsiaTheme="minorEastAsia" w:cstheme="minorEastAsia"/>
          <w:sz w:val="28"/>
          <w:szCs w:val="28"/>
          <w:highlight w:val="none"/>
          <w:u w:val="none"/>
          <w:lang w:val="en-US" w:eastAsia="zh-CN"/>
        </w:rPr>
        <w:t>个，以</w:t>
      </w:r>
      <w:r>
        <w:rPr>
          <w:rFonts w:hint="eastAsia" w:asciiTheme="minorEastAsia" w:hAnsiTheme="minorEastAsia" w:cstheme="minorEastAsia"/>
          <w:sz w:val="28"/>
          <w:szCs w:val="28"/>
          <w:highlight w:val="none"/>
          <w:u w:val="none"/>
          <w:lang w:val="en-US" w:eastAsia="zh-CN"/>
        </w:rPr>
        <w:t>合同签订</w:t>
      </w:r>
      <w:r>
        <w:rPr>
          <w:rFonts w:hint="eastAsia" w:asciiTheme="minorEastAsia" w:hAnsiTheme="minorEastAsia" w:eastAsiaTheme="minorEastAsia" w:cstheme="minorEastAsia"/>
          <w:sz w:val="28"/>
          <w:szCs w:val="28"/>
          <w:highlight w:val="none"/>
          <w:u w:val="none"/>
          <w:lang w:val="en-US" w:eastAsia="zh-CN"/>
        </w:rPr>
        <w:t>时间为准。类似项目业绩指：</w:t>
      </w:r>
      <w:r>
        <w:rPr>
          <w:rFonts w:hint="eastAsia" w:asciiTheme="minorEastAsia" w:hAnsiTheme="minorEastAsia" w:cstheme="minorEastAsia"/>
          <w:sz w:val="28"/>
          <w:szCs w:val="28"/>
          <w:highlight w:val="none"/>
          <w:u w:val="none"/>
          <w:lang w:val="en-US" w:eastAsia="zh-CN"/>
        </w:rPr>
        <w:t>单项合同金额不低于10万元的七氟丙烷充装项目业绩</w:t>
      </w:r>
      <w:r>
        <w:rPr>
          <w:rFonts w:hint="eastAsia" w:asciiTheme="minorEastAsia" w:hAnsiTheme="minorEastAsia" w:eastAsiaTheme="minorEastAsia" w:cstheme="minorEastAsia"/>
          <w:sz w:val="28"/>
          <w:szCs w:val="28"/>
          <w:highlight w:val="none"/>
          <w:lang w:val="en-US" w:eastAsia="zh-CN"/>
        </w:rPr>
        <w:t>；</w:t>
      </w:r>
    </w:p>
    <w:p w14:paraId="1AEBB90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复印件装订入投标文件中。</w:t>
      </w:r>
    </w:p>
    <w:p w14:paraId="63637C2E">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14:paraId="06BC24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14:paraId="63D6EBC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14:paraId="672A6AA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14:paraId="27F0256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96451D6">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14:paraId="0B72D6E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）本次招标</w:t>
      </w:r>
      <w:r>
        <w:rPr>
          <w:rFonts w:hint="eastAsia" w:asciiTheme="minorEastAsia" w:hAnsiTheme="minorEastAsia" w:eastAsiaTheme="minorEastAsia" w:cstheme="minorEastAsia"/>
          <w:color w:val="auto"/>
          <w:sz w:val="28"/>
          <w:szCs w:val="28"/>
          <w:highlight w:val="none"/>
          <w:lang w:val="en-US" w:eastAsia="zh-CN"/>
        </w:rPr>
        <w:t>不接受</w:t>
      </w:r>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、不接受邮寄方式。</w:t>
      </w:r>
    </w:p>
    <w:p w14:paraId="23DA3B8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36B4E77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凡有意参加投标者，请于投标文件递交截止时间前到亳州交通投资控股集团有限公司官网（www.bzjkjt.com）自行下载电子招标文件及其他附件。</w:t>
      </w:r>
    </w:p>
    <w:p w14:paraId="533A1E1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7CAD5EB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04CE2BB2">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：亳州市高新区银杏路与宋汤河路交叉口安车集团办公楼二楼企业发展部；</w:t>
      </w:r>
    </w:p>
    <w:p w14:paraId="67AD1B3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6FCE466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r>
        <w:rPr>
          <w:rFonts w:hint="eastAsia" w:asciiTheme="minorEastAsia" w:hAnsiTheme="minorEastAsia" w:cstheme="minorEastAsia"/>
          <w:color w:val="auto"/>
          <w:sz w:val="28"/>
          <w:szCs w:val="28"/>
          <w:highlight w:val="none"/>
          <w:lang w:val="en-US" w:eastAsia="zh-CN"/>
        </w:rPr>
        <w:t>不允许</w:t>
      </w:r>
      <w:r>
        <w:rPr>
          <w:rFonts w:hint="default" w:asciiTheme="minorEastAsia" w:hAnsiTheme="minorEastAsia" w:eastAsiaTheme="minorEastAsia" w:cstheme="minorEastAsia"/>
          <w:sz w:val="28"/>
          <w:szCs w:val="28"/>
          <w:highlight w:val="none"/>
          <w:lang w:val="en-US" w:eastAsia="zh-CN"/>
        </w:rPr>
        <w:t>投标人以邮寄方式递交投标文件。</w:t>
      </w:r>
    </w:p>
    <w:p w14:paraId="4CC1043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2D4F858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r>
        <w:rPr>
          <w:rFonts w:hint="eastAsia" w:asciiTheme="minorEastAsia" w:hAnsiTheme="minorEastAsia" w:cstheme="minorEastAsia"/>
          <w:sz w:val="28"/>
          <w:szCs w:val="28"/>
          <w:highlight w:val="none"/>
          <w:u w:val="single"/>
          <w:lang w:val="en-US" w:eastAsia="zh-CN"/>
        </w:rPr>
        <w:t>4000元</w:t>
      </w:r>
      <w:r>
        <w:rPr>
          <w:rFonts w:hint="default" w:asciiTheme="minorEastAsia" w:hAnsiTheme="minorEastAsia" w:eastAsiaTheme="minorEastAsia" w:cstheme="minorEastAsia"/>
          <w:sz w:val="28"/>
          <w:szCs w:val="28"/>
          <w:highlight w:val="none"/>
          <w:lang w:val="en-US" w:eastAsia="zh-CN"/>
        </w:rPr>
        <w:t>（人民币），缴纳方式详见招标文件。</w:t>
      </w:r>
    </w:p>
    <w:p w14:paraId="013DE5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C44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安徽省安车交通运输集团有限公司</w:t>
      </w:r>
    </w:p>
    <w:p w14:paraId="279F91C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亳州市高新区银杏路与宋汤河路交叉口</w:t>
      </w:r>
    </w:p>
    <w:p w14:paraId="0C95D36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王先生</w:t>
      </w:r>
    </w:p>
    <w:p w14:paraId="498D374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18105677555</w:t>
      </w:r>
    </w:p>
    <w:p w14:paraId="401465D4">
      <w:pPr>
        <w:keepNext w:val="0"/>
        <w:keepLines w:val="0"/>
        <w:pageBreakBefore w:val="0"/>
        <w:widowControl w:val="0"/>
        <w:kinsoku/>
        <w:wordWrap w:val="0"/>
        <w:overflowPunct/>
        <w:topLinePunct w:val="0"/>
        <w:autoSpaceDE/>
        <w:autoSpaceDN/>
        <w:bidi w:val="0"/>
        <w:adjustRightInd/>
        <w:snapToGrid/>
        <w:spacing w:line="44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14:paraId="015E9E8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招标平台：安车集团招标采购管理办公室</w:t>
      </w:r>
    </w:p>
    <w:p w14:paraId="10D385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址：亳州市高新区银杏路与宋汤河路交叉口</w:t>
      </w:r>
    </w:p>
    <w:p w14:paraId="56EA70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人：方工</w:t>
      </w:r>
    </w:p>
    <w:p w14:paraId="6CCADC5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话：19956936296</w:t>
      </w:r>
    </w:p>
    <w:p w14:paraId="715E736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CEA32AD">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14:paraId="5CA7818D">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14:paraId="012906B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安徽省安车交通运输集团有限公司</w:t>
      </w:r>
    </w:p>
    <w:p w14:paraId="3CA07B93">
      <w:pPr>
        <w:keepNext w:val="0"/>
        <w:keepLines w:val="0"/>
        <w:pageBreakBefore w:val="0"/>
        <w:widowControl w:val="0"/>
        <w:kinsoku/>
        <w:wordWrap/>
        <w:overflowPunct/>
        <w:topLinePunct w:val="0"/>
        <w:autoSpaceDE/>
        <w:autoSpaceDN/>
        <w:bidi w:val="0"/>
        <w:adjustRightInd/>
        <w:snapToGrid/>
        <w:spacing w:line="440" w:lineRule="exact"/>
        <w:ind w:left="7827" w:leftChars="2394" w:hanging="2800" w:hangingChars="1000"/>
        <w:textAlignment w:val="auto"/>
        <w:rPr>
          <w:rFonts w:hint="default" w:ascii="Times New Roman" w:hAnsi="Times New Roman" w:eastAsia="仿宋_GB2312" w:cs="Times New Roman"/>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2024</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9</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13</w:t>
      </w:r>
      <w:r>
        <w:rPr>
          <w:rFonts w:hint="eastAsia" w:asciiTheme="minorEastAsia" w:hAnsiTheme="minorEastAsia" w:eastAsiaTheme="minorEastAsia" w:cstheme="minorEastAsia"/>
          <w:color w:val="auto"/>
          <w:sz w:val="28"/>
          <w:szCs w:val="28"/>
          <w:highlight w:val="none"/>
          <w:lang w:val="en-US" w:eastAsia="zh-CN"/>
        </w:rPr>
        <w:t>日</w:t>
      </w:r>
    </w:p>
    <w:p w14:paraId="60D6DE72">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color w:val="auto"/>
          <w:sz w:val="28"/>
          <w:szCs w:val="28"/>
          <w:highlight w:val="none"/>
          <w:lang w:val="en-US" w:eastAsia="zh-CN"/>
        </w:rPr>
      </w:pPr>
    </w:p>
    <w:p w14:paraId="6718C0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r>
        <w:rPr>
          <w:rFonts w:hint="default" w:ascii="Times New Roman" w:hAnsi="Times New Roman" w:eastAsia="仿宋_GB2312" w:cs="Times New Roman"/>
          <w:kern w:val="0"/>
          <w:sz w:val="32"/>
          <w:szCs w:val="32"/>
          <w:highlight w:val="none"/>
          <w:lang w:val="en-US" w:eastAsia="zh-CN"/>
        </w:rPr>
        <w:br w:type="page"/>
      </w:r>
    </w:p>
    <w:p w14:paraId="77A38DD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580C054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5871D8B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14:paraId="03A4C80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78EED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D4020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BF6953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B6E1E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B82D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C129F4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82B126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15FA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227D9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F8F74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2439B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214139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7F5F5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CC64D3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2AAA17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D91C9C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E3D3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5E1E2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AB8A0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F18EC1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DA27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34676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75F693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9EED2E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D332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D38AF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42687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E3ECBB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C3E7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77A3D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33AC9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00605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12EFC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7EA3B2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144D30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C79EDC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23F7C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D38B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AC6C9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78DE39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1DEC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752D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45EE2A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0CBE04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9AFE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16E1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522CC6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089F5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3CA20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531F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A3F7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958A23">
            <w:pPr>
              <w:autoSpaceDE w:val="0"/>
              <w:autoSpaceDN w:val="0"/>
              <w:adjustRightInd w:val="0"/>
              <w:snapToGrid w:val="0"/>
              <w:spacing w:line="440" w:lineRule="exact"/>
              <w:jc w:val="left"/>
              <w:rPr>
                <w:rFonts w:hint="eastAsia" w:ascii="宋体" w:hAnsi="宋体" w:cs="宋体"/>
                <w:color w:val="auto"/>
                <w:szCs w:val="21"/>
              </w:rPr>
            </w:pPr>
            <w:r>
              <w:rPr>
                <w:rFonts w:hint="eastAsia"/>
                <w:color w:val="auto"/>
                <w:szCs w:val="21"/>
              </w:rPr>
              <w:t>1、投标人资格要求：详见招标公告。</w:t>
            </w:r>
          </w:p>
          <w:p w14:paraId="108C37A7">
            <w:pPr>
              <w:autoSpaceDE w:val="0"/>
              <w:autoSpaceDN w:val="0"/>
              <w:adjustRightInd w:val="0"/>
              <w:snapToGrid w:val="0"/>
              <w:spacing w:line="440" w:lineRule="exact"/>
              <w:jc w:val="left"/>
              <w:rPr>
                <w:rFonts w:hint="eastAsia" w:hAnsi="宋体"/>
                <w:color w:val="auto"/>
                <w:szCs w:val="21"/>
              </w:rPr>
            </w:pPr>
            <w:r>
              <w:rPr>
                <w:rFonts w:hint="eastAsia" w:hAnsi="宋体"/>
                <w:color w:val="auto"/>
                <w:szCs w:val="21"/>
                <w:lang w:val="en-US" w:eastAsia="zh-CN"/>
              </w:rPr>
              <w:t>2</w:t>
            </w:r>
            <w:r>
              <w:rPr>
                <w:rFonts w:hint="eastAsia" w:hAnsi="宋体"/>
                <w:color w:val="auto"/>
                <w:szCs w:val="21"/>
              </w:rPr>
              <w:t>、财务要求：</w:t>
            </w:r>
          </w:p>
          <w:p w14:paraId="7BA7C91E">
            <w:pPr>
              <w:autoSpaceDE w:val="0"/>
              <w:autoSpaceDN w:val="0"/>
              <w:adjustRightInd w:val="0"/>
              <w:snapToGrid w:val="0"/>
              <w:spacing w:line="440" w:lineRule="exact"/>
              <w:ind w:firstLine="0" w:firstLineChars="0"/>
              <w:jc w:val="left"/>
              <w:rPr>
                <w:rFonts w:hint="eastAsia" w:hAnsi="宋体" w:eastAsiaTheme="minorEastAsia"/>
                <w:color w:val="auto"/>
                <w:szCs w:val="21"/>
                <w:lang w:eastAsia="zh-CN"/>
              </w:rPr>
            </w:pPr>
            <w:r>
              <w:rPr>
                <w:rFonts w:hint="eastAsia" w:hAnsi="宋体"/>
                <w:color w:val="auto"/>
                <w:szCs w:val="21"/>
              </w:rPr>
              <w:t>不需要</w:t>
            </w:r>
            <w:r>
              <w:rPr>
                <w:rFonts w:hint="eastAsia" w:hAnsi="宋体"/>
                <w:color w:val="auto"/>
                <w:szCs w:val="21"/>
                <w:lang w:eastAsia="zh-CN"/>
              </w:rPr>
              <w:t>☑</w:t>
            </w:r>
          </w:p>
          <w:p w14:paraId="7AEA3164">
            <w:pPr>
              <w:autoSpaceDE w:val="0"/>
              <w:autoSpaceDN w:val="0"/>
              <w:adjustRightInd w:val="0"/>
              <w:snapToGrid w:val="0"/>
              <w:spacing w:line="440" w:lineRule="exact"/>
              <w:jc w:val="left"/>
              <w:rPr>
                <w:rFonts w:hint="eastAsia" w:hAnsi="宋体"/>
                <w:color w:val="auto"/>
                <w:szCs w:val="21"/>
              </w:rPr>
            </w:pPr>
            <w:r>
              <w:rPr>
                <w:rFonts w:hint="eastAsia" w:hAnsi="宋体"/>
                <w:color w:val="auto"/>
                <w:szCs w:val="21"/>
              </w:rPr>
              <w:t xml:space="preserve">   需  要□，提供</w:t>
            </w:r>
            <w:r>
              <w:rPr>
                <w:rFonts w:hint="eastAsia" w:hAnsi="宋体"/>
                <w:snapToGrid w:val="0"/>
                <w:color w:val="auto"/>
                <w:spacing w:val="-4"/>
                <w:kern w:val="0"/>
                <w:sz w:val="24"/>
                <w:u w:val="single"/>
              </w:rPr>
              <w:t xml:space="preserve">   </w:t>
            </w:r>
            <w:r>
              <w:rPr>
                <w:rFonts w:hint="eastAsia" w:hAnsi="宋体"/>
                <w:color w:val="auto"/>
                <w:szCs w:val="21"/>
              </w:rPr>
              <w:t>年至</w:t>
            </w:r>
            <w:r>
              <w:rPr>
                <w:rFonts w:hint="eastAsia" w:hAnsi="宋体"/>
                <w:snapToGrid w:val="0"/>
                <w:color w:val="auto"/>
                <w:spacing w:val="-4"/>
                <w:kern w:val="0"/>
                <w:sz w:val="24"/>
                <w:u w:val="single"/>
              </w:rPr>
              <w:t xml:space="preserve">   </w:t>
            </w:r>
            <w:r>
              <w:rPr>
                <w:rFonts w:hint="eastAsia" w:hAnsi="宋体"/>
                <w:color w:val="auto"/>
                <w:szCs w:val="21"/>
              </w:rPr>
              <w:t>年经审计的财务状况表。</w:t>
            </w:r>
          </w:p>
          <w:p w14:paraId="3500AC29">
            <w:pPr>
              <w:topLinePunct/>
              <w:autoSpaceDE w:val="0"/>
              <w:autoSpaceDN w:val="0"/>
              <w:adjustRightInd w:val="0"/>
              <w:snapToGrid w:val="0"/>
              <w:spacing w:line="440" w:lineRule="exact"/>
              <w:ind w:firstLineChars="0"/>
              <w:jc w:val="left"/>
              <w:rPr>
                <w:rFonts w:hint="default" w:ascii="Times New Roman" w:hAnsi="Times New Roman" w:cs="Times New Roman"/>
                <w:color w:val="auto"/>
                <w:szCs w:val="21"/>
                <w:highlight w:val="none"/>
              </w:rPr>
            </w:pPr>
            <w:r>
              <w:rPr>
                <w:rFonts w:hint="eastAsia"/>
                <w:color w:val="auto"/>
                <w:lang w:val="en-US" w:eastAsia="zh-CN"/>
              </w:rPr>
              <w:t>3</w:t>
            </w:r>
            <w:r>
              <w:rPr>
                <w:rFonts w:hint="eastAsia"/>
                <w:color w:val="auto"/>
              </w:rPr>
              <w:t>、其他要求：</w:t>
            </w:r>
            <w:r>
              <w:rPr>
                <w:rFonts w:hint="eastAsia" w:hAnsi="宋体"/>
                <w:color w:val="auto"/>
                <w:sz w:val="21"/>
                <w:szCs w:val="21"/>
                <w:lang w:val="en-US" w:eastAsia="zh-CN"/>
              </w:rPr>
              <w:t>/</w:t>
            </w:r>
          </w:p>
        </w:tc>
      </w:tr>
      <w:tr w14:paraId="6CFA7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4D08F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FA674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CBBE0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color w:val="auto"/>
                <w:sz w:val="21"/>
                <w:szCs w:val="21"/>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 xml:space="preserve">接受    </w:t>
            </w: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接受</w:t>
            </w:r>
          </w:p>
        </w:tc>
      </w:tr>
      <w:tr w14:paraId="5D315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2C9B0E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C6DFF1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C333D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color w:val="auto"/>
                <w:sz w:val="21"/>
                <w:szCs w:val="21"/>
                <w:lang w:val="en-US" w:eastAsia="zh-CN"/>
              </w:rPr>
            </w:pPr>
            <w:r>
              <w:rPr>
                <w:rFonts w:hint="eastAsia" w:hAnsi="宋体"/>
                <w:color w:val="auto"/>
                <w:sz w:val="21"/>
                <w:szCs w:val="21"/>
                <w:lang w:val="en-US" w:eastAsia="zh-CN"/>
              </w:rPr>
              <w:t>/</w:t>
            </w:r>
          </w:p>
        </w:tc>
      </w:tr>
      <w:tr w14:paraId="1A5B9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195F6D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540969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534C2EE">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14:paraId="0485A52E">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组织</w:t>
            </w:r>
            <w:r>
              <w:rPr>
                <w:rFonts w:hint="eastAsia" w:ascii="Times New Roman" w:hAnsi="Times New Roman" w:cs="Times New Roman"/>
                <w:color w:val="auto"/>
                <w:sz w:val="21"/>
                <w:szCs w:val="21"/>
                <w:highlight w:val="none"/>
                <w:lang w:val="en-US" w:eastAsia="zh-CN"/>
              </w:rPr>
              <w:t xml:space="preserve">   </w:t>
            </w:r>
          </w:p>
        </w:tc>
      </w:tr>
      <w:tr w14:paraId="58154E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35B4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F0EFB6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047598E">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不召开</w:t>
            </w:r>
          </w:p>
          <w:p w14:paraId="4428B63E">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召</w:t>
            </w: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开</w:t>
            </w:r>
          </w:p>
        </w:tc>
      </w:tr>
      <w:tr w14:paraId="7D377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B086E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4DA017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CC8BBD3">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20E5F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E2718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BE013C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AA44BD">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1AB3B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E8FB89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5D9E21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223A9E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14:paraId="680D6C9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分包内容要求：</w:t>
            </w:r>
          </w:p>
          <w:p w14:paraId="165804CB">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分包金额要求：</w:t>
            </w:r>
          </w:p>
          <w:p w14:paraId="15E572A6">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14:paraId="32F4D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8F047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643B5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1D949C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详见第一章招标公告、第四章合同条款及格式、第五章发包人要求。</w:t>
            </w:r>
          </w:p>
        </w:tc>
      </w:tr>
      <w:tr w14:paraId="6A55D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9E484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AA23E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BDC094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61D46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14:paraId="3305619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14:paraId="36BD571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32F6A8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14:paraId="446AE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56DEE0D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71E324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619909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14:paraId="658CD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CF513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64DC31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C68E4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上进行发布。</w:t>
            </w:r>
          </w:p>
        </w:tc>
      </w:tr>
      <w:tr w14:paraId="401FC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6E613B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14:paraId="3A73F54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2521C8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上的发布时间，视为投标人确认收到招标文件澄清的时间。</w:t>
            </w:r>
          </w:p>
        </w:tc>
      </w:tr>
      <w:tr w14:paraId="06CAE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71AA003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351435C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DCBE9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15BC1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2F90F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48A6F2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6A1C6B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上进行发布。</w:t>
            </w:r>
          </w:p>
        </w:tc>
      </w:tr>
      <w:tr w14:paraId="40E84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5DA03D6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14:paraId="0D89A0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231838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6FDF9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188E9DC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2471832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8742A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1298C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96C61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447F4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C10CFF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14:paraId="41AC3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645C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6EEA8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ECE4619">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2F402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204B8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DA163C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6873C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3D1B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1B1268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10F6DB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4A4091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kern w:val="2"/>
                <w:sz w:val="21"/>
                <w:szCs w:val="21"/>
                <w:highlight w:val="none"/>
                <w:u w:val="none"/>
                <w:lang w:val="en-US" w:eastAsia="zh-CN" w:bidi="ar-SA"/>
              </w:rPr>
              <w:t>详见第一章招标公告。</w:t>
            </w:r>
          </w:p>
        </w:tc>
      </w:tr>
      <w:tr w14:paraId="472FD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B9FC4A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BEC48D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7BD3EC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79B53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DEB5D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F39AF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32541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递交投标保证金</w:t>
            </w:r>
          </w:p>
          <w:p w14:paraId="6296FA36">
            <w:pPr>
              <w:autoSpaceDE w:val="0"/>
              <w:autoSpaceDN w:val="0"/>
              <w:adjustRightInd w:val="0"/>
              <w:snapToGrid w:val="0"/>
              <w:spacing w:line="440" w:lineRule="exact"/>
              <w:ind w:firstLine="308" w:firstLineChars="147"/>
              <w:jc w:val="left"/>
              <w:rPr>
                <w:rFonts w:hint="eastAsia" w:hAnsi="宋体"/>
                <w:color w:val="auto"/>
                <w:szCs w:val="21"/>
              </w:rPr>
            </w:pPr>
            <w:r>
              <w:rPr>
                <w:rFonts w:hint="eastAsia" w:hAnsi="宋体"/>
                <w:color w:val="auto"/>
                <w:szCs w:val="21"/>
              </w:rPr>
              <w:t>不需要</w:t>
            </w:r>
            <w:r>
              <w:rPr>
                <w:rFonts w:hint="eastAsia" w:hAnsi="宋体"/>
                <w:color w:val="auto"/>
                <w:szCs w:val="21"/>
              </w:rPr>
              <w:sym w:font="Wingdings 2" w:char="00A3"/>
            </w:r>
          </w:p>
          <w:p w14:paraId="784F16A7">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auto"/>
                <w:szCs w:val="21"/>
                <w:highlight w:val="none"/>
                <w:lang w:eastAsia="zh-CN"/>
              </w:rPr>
            </w:pPr>
            <w:r>
              <w:rPr>
                <w:rFonts w:hint="eastAsia" w:hAnsi="宋体"/>
                <w:color w:val="auto"/>
                <w:szCs w:val="21"/>
              </w:rPr>
              <w:t>需</w:t>
            </w:r>
            <w:r>
              <w:rPr>
                <w:rFonts w:hint="eastAsia" w:hAnsi="宋体"/>
                <w:color w:val="auto"/>
                <w:szCs w:val="21"/>
                <w:lang w:val="en-US" w:eastAsia="zh-CN"/>
              </w:rPr>
              <w:t xml:space="preserve">  </w:t>
            </w:r>
            <w:r>
              <w:rPr>
                <w:rFonts w:hint="eastAsia" w:hAnsi="宋体"/>
                <w:color w:val="auto"/>
                <w:szCs w:val="21"/>
              </w:rPr>
              <w:t>要</w:t>
            </w:r>
            <w:r>
              <w:rPr>
                <w:rFonts w:hint="eastAsia" w:hAnsi="宋体"/>
                <w:color w:val="auto"/>
                <w:szCs w:val="21"/>
                <w:lang w:eastAsia="zh-CN"/>
              </w:rPr>
              <w:t>☑</w:t>
            </w:r>
          </w:p>
          <w:p w14:paraId="0020ECE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投标保证金的形式：银行汇款或转账</w:t>
            </w:r>
          </w:p>
          <w:p w14:paraId="52A83654">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lang w:val="en-US"/>
              </w:rPr>
            </w:pPr>
            <w:r>
              <w:rPr>
                <w:rFonts w:hint="default" w:ascii="Times New Roman" w:hAnsi="Times New Roman" w:cs="Times New Roman"/>
                <w:color w:val="auto"/>
                <w:szCs w:val="21"/>
                <w:highlight w:val="none"/>
              </w:rPr>
              <w:t>投标保证金的金额：</w:t>
            </w:r>
            <w:r>
              <w:rPr>
                <w:rFonts w:hint="eastAsia" w:ascii="Times New Roman" w:hAnsi="Times New Roman" w:cs="Times New Roman"/>
                <w:color w:val="auto"/>
                <w:szCs w:val="21"/>
                <w:highlight w:val="none"/>
                <w:u w:val="none"/>
                <w:lang w:val="en-US" w:eastAsia="zh-CN"/>
              </w:rPr>
              <w:t>4000元</w:t>
            </w:r>
          </w:p>
          <w:p w14:paraId="10F8ABD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收取投标保证金的账号信息：</w:t>
            </w:r>
          </w:p>
          <w:p w14:paraId="25FEF37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w:t>
            </w:r>
            <w:r>
              <w:rPr>
                <w:rFonts w:hint="eastAsia" w:ascii="Times New Roman" w:hAnsi="Times New Roman" w:cs="Times New Roman"/>
                <w:color w:val="auto"/>
                <w:szCs w:val="21"/>
                <w:highlight w:val="none"/>
                <w:lang w:val="en-US" w:eastAsia="zh-CN"/>
              </w:rPr>
              <w:t>安徽省安车交通运输集团</w:t>
            </w:r>
            <w:r>
              <w:rPr>
                <w:rFonts w:hint="default" w:ascii="Times New Roman" w:hAnsi="Times New Roman" w:cs="Times New Roman"/>
                <w:color w:val="auto"/>
                <w:szCs w:val="21"/>
                <w:highlight w:val="none"/>
              </w:rPr>
              <w:t>有限公司</w:t>
            </w:r>
          </w:p>
          <w:p w14:paraId="5FF6509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开户银行：中国</w:t>
            </w:r>
            <w:r>
              <w:rPr>
                <w:rFonts w:hint="eastAsia" w:ascii="Times New Roman" w:hAnsi="Times New Roman" w:cs="Times New Roman"/>
                <w:color w:val="auto"/>
                <w:szCs w:val="21"/>
                <w:highlight w:val="none"/>
                <w:lang w:val="en-US" w:eastAsia="zh-CN"/>
              </w:rPr>
              <w:t>工商银行亳州高新区支行</w:t>
            </w:r>
          </w:p>
          <w:p w14:paraId="0118347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银行账号：1</w:t>
            </w:r>
            <w:r>
              <w:rPr>
                <w:rFonts w:hint="eastAsia" w:ascii="Times New Roman" w:hAnsi="Times New Roman" w:cs="Times New Roman"/>
                <w:color w:val="auto"/>
                <w:szCs w:val="21"/>
                <w:highlight w:val="none"/>
                <w:lang w:val="en-US" w:eastAsia="zh-CN"/>
              </w:rPr>
              <w:t>318061809100024751</w:t>
            </w:r>
          </w:p>
          <w:p w14:paraId="4EEAD7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14:paraId="0EAF6BD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ACJT-2024-025号保证金”</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14:paraId="268EDDA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4E2B25A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4DB6CC6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日内直接退还至该投标人汇出帐户。</w:t>
            </w:r>
          </w:p>
          <w:p w14:paraId="2B8F7C8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在10</w:t>
            </w:r>
            <w:r>
              <w:rPr>
                <w:rFonts w:hint="default" w:ascii="Times New Roman" w:hAnsi="Times New Roman" w:cs="Times New Roman"/>
                <w:szCs w:val="21"/>
                <w:highlight w:val="none"/>
              </w:rPr>
              <w:t>日内直接退还至该投标人汇出帐户。</w:t>
            </w:r>
          </w:p>
        </w:tc>
      </w:tr>
      <w:tr w14:paraId="37AC2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B7FAB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089D1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CD73B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6B3D4C6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73AC4F0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3472B77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53EFE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351D892">
            <w:pPr>
              <w:spacing w:line="382" w:lineRule="auto"/>
              <w:jc w:val="center"/>
              <w:rPr>
                <w:rFonts w:ascii="Arial"/>
                <w:sz w:val="21"/>
              </w:rPr>
            </w:pPr>
          </w:p>
          <w:p w14:paraId="120F9E0C">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C0AC6E6">
            <w:pPr>
              <w:pStyle w:val="30"/>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74AE35FB">
            <w:pPr>
              <w:pStyle w:val="30"/>
              <w:spacing w:before="152" w:line="227" w:lineRule="auto"/>
              <w:ind w:left="129"/>
            </w:pPr>
            <w:r>
              <w:rPr>
                <w:rFonts w:hint="eastAsia" w:ascii="Times New Roman" w:hAnsi="Times New Roman" w:eastAsia="宋体" w:cs="Times New Roman"/>
                <w:spacing w:val="-9"/>
                <w:sz w:val="31"/>
                <w:szCs w:val="31"/>
                <w:lang w:eastAsia="zh-CN"/>
              </w:rPr>
              <w:t>☑</w:t>
            </w:r>
            <w:r>
              <w:rPr>
                <w:spacing w:val="-9"/>
              </w:rPr>
              <w:t>无</w:t>
            </w:r>
          </w:p>
          <w:p w14:paraId="7E013C2B">
            <w:pPr>
              <w:pStyle w:val="30"/>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
        </w:tc>
      </w:tr>
      <w:tr w14:paraId="757E8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3AE4AD0">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0F071E9">
            <w:pPr>
              <w:pStyle w:val="30"/>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0D4386C3">
            <w:pPr>
              <w:pStyle w:val="30"/>
              <w:tabs>
                <w:tab w:val="left" w:pos="663"/>
              </w:tabs>
              <w:spacing w:before="69" w:line="221" w:lineRule="auto"/>
              <w:ind w:left="0" w:leftChars="0"/>
              <w:rPr>
                <w:rFonts w:hint="eastAsia" w:ascii="Times New Roman" w:hAnsi="Times New Roman" w:cs="Times New Roman"/>
                <w:szCs w:val="21"/>
                <w:highlight w:val="none"/>
                <w:lang w:val="en-US" w:eastAsia="zh-CN"/>
              </w:rPr>
            </w:pPr>
            <w:r>
              <w:rPr>
                <w:rFonts w:hint="eastAsia"/>
                <w:u w:val="single" w:color="auto"/>
                <w:lang w:val="en-US" w:eastAsia="zh-CN"/>
              </w:rPr>
              <w:t>/</w:t>
            </w:r>
          </w:p>
        </w:tc>
      </w:tr>
      <w:tr w14:paraId="240D3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4BECBF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4E78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3F2CE5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2CF49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2EBD614">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22FB9B8">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875E8E">
            <w:pPr>
              <w:spacing w:before="60" w:line="187" w:lineRule="auto"/>
              <w:ind w:firstLine="0" w:firstLineChars="0"/>
              <w:jc w:val="left"/>
              <w:rPr>
                <w:rFonts w:hint="eastAsia" w:ascii="Times New Roman" w:hAnsi="Times New Roman" w:eastAsia="Times New Roman" w:cs="Times New Roman"/>
                <w:spacing w:val="-1"/>
                <w:sz w:val="21"/>
                <w:szCs w:val="21"/>
                <w:lang w:val="en-US" w:eastAsia="zh-CN"/>
              </w:rPr>
            </w:pPr>
            <w:r>
              <w:rPr>
                <w:rFonts w:hint="eastAsia"/>
                <w:spacing w:val="6"/>
                <w:u w:val="single" w:color="auto"/>
                <w:lang w:val="en-US" w:eastAsia="zh-CN"/>
              </w:rPr>
              <w:t>/</w:t>
            </w:r>
            <w:r>
              <w:rPr>
                <w:spacing w:val="-3"/>
              </w:rPr>
              <w:t>年至</w:t>
            </w:r>
            <w:r>
              <w:rPr>
                <w:rFonts w:hint="eastAsia"/>
                <w:spacing w:val="6"/>
                <w:u w:val="single" w:color="auto"/>
                <w:lang w:val="en-US" w:eastAsia="zh-CN"/>
              </w:rPr>
              <w:t>/</w:t>
            </w:r>
            <w:r>
              <w:rPr>
                <w:spacing w:val="-3"/>
              </w:rPr>
              <w:t>年</w:t>
            </w:r>
          </w:p>
        </w:tc>
      </w:tr>
      <w:tr w14:paraId="3A37E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16580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F322D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7F2B91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不允许</w:t>
            </w:r>
          </w:p>
          <w:p w14:paraId="7AFDA84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允  许   </w:t>
            </w:r>
          </w:p>
        </w:tc>
      </w:tr>
      <w:tr w14:paraId="6FB31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B184E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E855E4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1497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4B1FE55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（2）签字：除文件另有规定外，均应为手写签字</w:t>
            </w:r>
            <w:r>
              <w:rPr>
                <w:rFonts w:hint="eastAsia" w:ascii="Times New Roman" w:hAnsi="Times New Roman" w:cs="Times New Roman"/>
                <w:color w:val="auto"/>
                <w:szCs w:val="21"/>
                <w:highlight w:val="none"/>
                <w:lang w:val="en-US" w:eastAsia="zh-CN"/>
              </w:rPr>
              <w:t>或盖章</w:t>
            </w:r>
            <w:r>
              <w:rPr>
                <w:rFonts w:hint="default" w:ascii="Times New Roman" w:hAnsi="Times New Roman" w:cs="Times New Roman"/>
                <w:color w:val="auto"/>
                <w:szCs w:val="21"/>
                <w:highlight w:val="none"/>
              </w:rPr>
              <w:t>，否则其投标无效。</w:t>
            </w:r>
          </w:p>
        </w:tc>
      </w:tr>
      <w:tr w14:paraId="745E4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A178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18866F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E97F08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投标文件份数：正本1份、副本4份</w:t>
            </w:r>
          </w:p>
          <w:p w14:paraId="07B17BB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要求</w:t>
            </w:r>
          </w:p>
          <w:p w14:paraId="1614813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要求 </w:t>
            </w:r>
          </w:p>
          <w:p w14:paraId="1EE34A5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14:paraId="7625678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（1）所有正本与副本封装在一个密封袋中，且在投标文件封面标明“正本”或“副本”的字样；</w:t>
            </w:r>
          </w:p>
          <w:p w14:paraId="148ED32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（2）投标文件应按要求密封，密封袋封口加盖投标单位印章；</w:t>
            </w:r>
          </w:p>
          <w:p w14:paraId="389CA0A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u w:val="none"/>
                <w:lang w:val="en-US" w:eastAsia="zh-CN"/>
              </w:rPr>
              <w:t>（3）投标文件须采用胶粘方式装订，装订应牢固、不易拆散和换页，不得采用活页装订。</w:t>
            </w:r>
          </w:p>
        </w:tc>
      </w:tr>
      <w:tr w14:paraId="660BB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3ADF1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7A627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716ADE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auto"/>
                <w:szCs w:val="21"/>
                <w:highlight w:val="none"/>
                <w:u w:val="singl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不需要</w:t>
            </w:r>
          </w:p>
          <w:p w14:paraId="68D8D38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需要，分册装订要求：</w:t>
            </w:r>
          </w:p>
        </w:tc>
      </w:tr>
      <w:tr w14:paraId="1FF41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C47800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F5CCE6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06DE64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开标地址：安徽省安车交通运输集团有限公司2楼（会议室）</w:t>
            </w:r>
          </w:p>
          <w:p w14:paraId="3886AA0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招标人：安徽省安车交通运输集团有限公司</w:t>
            </w:r>
          </w:p>
          <w:p w14:paraId="3D1346B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驾考中心（车管所）采购柜式七氟丙烷气体灭火剂钢瓶检测充装项目</w:t>
            </w:r>
            <w:r>
              <w:rPr>
                <w:rFonts w:hint="eastAsia" w:ascii="Times New Roman" w:hAnsi="Times New Roman" w:cs="Times New Roman"/>
                <w:color w:val="auto"/>
                <w:szCs w:val="21"/>
                <w:highlight w:val="none"/>
                <w:lang w:val="en-US" w:eastAsia="zh-CN"/>
              </w:rPr>
              <w:t>投标文件</w:t>
            </w:r>
          </w:p>
          <w:p w14:paraId="754ECFF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项目编号：ACJT-2024-</w:t>
            </w:r>
            <w:r>
              <w:rPr>
                <w:rFonts w:hint="eastAsia" w:ascii="Times New Roman" w:hAnsi="Times New Roman" w:cs="Times New Roman"/>
                <w:color w:val="auto"/>
                <w:szCs w:val="21"/>
                <w:highlight w:val="none"/>
                <w:u w:val="none"/>
                <w:lang w:val="en-US" w:eastAsia="zh-CN"/>
              </w:rPr>
              <w:t>025号</w:t>
            </w:r>
          </w:p>
          <w:p w14:paraId="142D4EE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2024</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9</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20</w:t>
            </w:r>
            <w:r>
              <w:rPr>
                <w:rFonts w:hint="eastAsia" w:ascii="Times New Roman" w:hAnsi="Times New Roman" w:cs="Times New Roman"/>
                <w:color w:val="auto"/>
                <w:szCs w:val="21"/>
                <w:highlight w:val="none"/>
                <w:u w:val="none"/>
                <w:lang w:val="en-US" w:eastAsia="zh-CN"/>
              </w:rPr>
              <w:t>日</w:t>
            </w:r>
            <w:r>
              <w:rPr>
                <w:rFonts w:hint="eastAsia" w:ascii="Times New Roman" w:hAnsi="Times New Roman" w:cs="Times New Roman"/>
                <w:color w:val="auto"/>
                <w:szCs w:val="21"/>
                <w:highlight w:val="none"/>
                <w:u w:val="single"/>
                <w:lang w:val="en-US" w:eastAsia="zh-CN"/>
              </w:rPr>
              <w:t>9</w:t>
            </w:r>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00</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
        </w:tc>
      </w:tr>
      <w:tr w14:paraId="0E65D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8BC47BC">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B3B116F">
            <w:pPr>
              <w:pStyle w:val="30"/>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C99C14E">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7E3CF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2C0E3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095F9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917DA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19562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3921B2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5300A8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35A280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2BB6D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31D4E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0601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368C7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7004837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055CAB66">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14:paraId="1C013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00FDC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731A3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D5EAB2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14:paraId="1EA40F3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14:paraId="428F1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8590B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842ACF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BBDFB5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14:paraId="5D708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C3EFD7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1256D1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F111EF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14:paraId="7D784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41FC8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5E13B7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EC8428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等网站上发布。</w:t>
            </w:r>
          </w:p>
          <w:p w14:paraId="14E49C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14:paraId="48330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1F3C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48EBB9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240A2B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0932A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B3E6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525B1C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8B2003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14:paraId="2E9F0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0FCC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7A5FE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3CBC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14:paraId="1369E94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 xml:space="preserve">要求  </w:t>
            </w:r>
          </w:p>
          <w:p w14:paraId="6631D9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履约担保的形式：中标后，投标保证金自动转为履约保证金，履约保证金不足部分由中标人在收到中标通知书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
          <w:p w14:paraId="2173483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yellow"/>
                <w:lang w:val="en-US" w:eastAsia="zh-CN"/>
              </w:rPr>
            </w:pPr>
            <w:r>
              <w:rPr>
                <w:rFonts w:hint="default" w:ascii="Times New Roman" w:hAnsi="Times New Roman" w:cs="Times New Roman"/>
                <w:color w:val="auto"/>
                <w:szCs w:val="21"/>
                <w:highlight w:val="none"/>
              </w:rPr>
              <w:t>履约担保的金额：</w:t>
            </w:r>
            <w:r>
              <w:rPr>
                <w:rFonts w:hint="eastAsia" w:ascii="Times New Roman" w:hAnsi="Times New Roman" w:cs="Times New Roman"/>
                <w:b/>
                <w:bCs/>
                <w:color w:val="auto"/>
                <w:szCs w:val="21"/>
                <w:highlight w:val="none"/>
                <w:lang w:val="en-US" w:eastAsia="zh-CN"/>
              </w:rPr>
              <w:t>4000元</w:t>
            </w:r>
          </w:p>
          <w:p w14:paraId="7F74A50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履约保证金的退还：无违约行为发生或违约行为已处理的情况下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钢瓶检测完成，设备</w:t>
            </w:r>
            <w:r>
              <w:rPr>
                <w:rFonts w:hint="eastAsia" w:ascii="Times New Roman" w:hAnsi="Times New Roman" w:cs="Times New Roman"/>
                <w:color w:val="auto"/>
                <w:szCs w:val="21"/>
                <w:highlight w:val="none"/>
              </w:rPr>
              <w:t>安装、调试、试运行完毕，经招标人会同有关部门验收合格后</w:t>
            </w:r>
            <w:r>
              <w:rPr>
                <w:rFonts w:hint="eastAsia" w:ascii="Times New Roman" w:hAnsi="Times New Roman" w:cs="Times New Roman"/>
                <w:color w:val="auto"/>
                <w:szCs w:val="21"/>
                <w:highlight w:val="none"/>
                <w:lang w:val="en-US" w:eastAsia="zh-CN"/>
              </w:rPr>
              <w:t>退</w:t>
            </w:r>
            <w:r>
              <w:rPr>
                <w:rFonts w:hint="default" w:ascii="Times New Roman" w:hAnsi="Times New Roman" w:cs="Times New Roman"/>
                <w:color w:val="auto"/>
                <w:szCs w:val="21"/>
                <w:highlight w:val="none"/>
              </w:rPr>
              <w:t>还</w:t>
            </w:r>
            <w:r>
              <w:rPr>
                <w:rFonts w:hint="eastAsia" w:ascii="Times New Roman" w:hAnsi="Times New Roman" w:cs="Times New Roman"/>
                <w:color w:val="auto"/>
                <w:szCs w:val="21"/>
                <w:highlight w:val="none"/>
                <w:lang w:val="en-US" w:eastAsia="zh-CN"/>
              </w:rPr>
              <w:t>全部</w:t>
            </w:r>
            <w:r>
              <w:rPr>
                <w:rFonts w:hint="default" w:ascii="Times New Roman" w:hAnsi="Times New Roman" w:cs="Times New Roman"/>
                <w:color w:val="auto"/>
                <w:szCs w:val="21"/>
                <w:highlight w:val="none"/>
              </w:rPr>
              <w:t>履约保证金（本金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
        </w:tc>
      </w:tr>
      <w:tr w14:paraId="264A7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14:paraId="5020BC4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14:paraId="45199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CB3B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468F9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1E766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175472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8E10AC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A84D803">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5CEAF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9C5D74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D9C09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C2D10EC">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036F4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D0F8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96B189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5AA56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w:t>
            </w:r>
            <w:r>
              <w:rPr>
                <w:rFonts w:hint="eastAsia" w:ascii="Times New Roman" w:hAnsi="Times New Roman" w:cs="Times New Roman"/>
                <w:szCs w:val="21"/>
                <w:highlight w:val="none"/>
                <w:lang w:val="en-US" w:eastAsia="zh-CN"/>
              </w:rPr>
              <w:t>5</w:t>
            </w:r>
            <w:r>
              <w:rPr>
                <w:rFonts w:hint="default" w:ascii="Times New Roman" w:hAnsi="Times New Roman" w:cs="Times New Roman"/>
                <w:szCs w:val="21"/>
                <w:highlight w:val="none"/>
              </w:rPr>
              <w:t>年内禁止其参与亳州交控集团采购项目，并在亳州交通投资控股集团有限公司官网（www.bzjkjt.com）进行公示。</w:t>
            </w:r>
          </w:p>
          <w:p w14:paraId="1234226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48E8491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146BCF4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2F40EDC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5DF9B9E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66742BC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6A87DEE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3B28B79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1737725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210D581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5BEFE1C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（十）向工作人员及其他采购参加人行贿或者提供其他不正当利益的；</w:t>
            </w:r>
          </w:p>
          <w:p w14:paraId="67322A9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0071A26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6F8E5A3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533F9BF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67F4B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1343A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201025E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66F400">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8D3A5D8">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96602420"/>
      <w:bookmarkStart w:id="17" w:name="_Toc246996175"/>
      <w:bookmarkStart w:id="18" w:name="_Toc144974497"/>
      <w:bookmarkStart w:id="19" w:name="_Toc247085689"/>
      <w:bookmarkStart w:id="20" w:name="_Toc152042305"/>
      <w:bookmarkStart w:id="21" w:name="_Toc179632546"/>
      <w:bookmarkStart w:id="22" w:name="_Toc246996918"/>
      <w:bookmarkStart w:id="23" w:name="_Toc152045529"/>
      <w:r>
        <w:rPr>
          <w:rFonts w:hint="eastAsia"/>
        </w:rPr>
        <w:t>1. 总则</w:t>
      </w:r>
      <w:bookmarkEnd w:id="16"/>
      <w:bookmarkEnd w:id="17"/>
      <w:bookmarkEnd w:id="18"/>
      <w:bookmarkEnd w:id="19"/>
      <w:bookmarkEnd w:id="20"/>
      <w:bookmarkEnd w:id="21"/>
      <w:bookmarkEnd w:id="22"/>
      <w:bookmarkEnd w:id="23"/>
    </w:p>
    <w:p w14:paraId="2207A72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1"/>
      <w:bookmarkStart w:id="25" w:name="_Toc152045530"/>
      <w:bookmarkStart w:id="26" w:name="_Toc144974498"/>
      <w:bookmarkStart w:id="27" w:name="_Toc246996176"/>
      <w:bookmarkStart w:id="28" w:name="_Toc179632547"/>
      <w:bookmarkStart w:id="29" w:name="_Toc247085690"/>
      <w:bookmarkStart w:id="30" w:name="_Toc152042306"/>
      <w:bookmarkStart w:id="31" w:name="_Toc246996919"/>
      <w:r>
        <w:rPr>
          <w:rFonts w:hint="eastAsia"/>
        </w:rPr>
        <w:t>1.1 项目概况</w:t>
      </w:r>
      <w:bookmarkEnd w:id="24"/>
      <w:bookmarkEnd w:id="25"/>
      <w:bookmarkEnd w:id="26"/>
      <w:bookmarkEnd w:id="27"/>
      <w:bookmarkEnd w:id="28"/>
      <w:bookmarkEnd w:id="29"/>
      <w:bookmarkEnd w:id="30"/>
      <w:bookmarkEnd w:id="31"/>
    </w:p>
    <w:p w14:paraId="6D9BC3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14:paraId="5339591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14:paraId="78FC8E4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14:paraId="7E2D6B1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14:paraId="71C4970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14:paraId="3C35C8C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14:paraId="7B99BD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14:paraId="5DC92D9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2307"/>
      <w:bookmarkStart w:id="33" w:name="_Toc152045531"/>
      <w:bookmarkStart w:id="34" w:name="_Toc144974499"/>
      <w:bookmarkStart w:id="35" w:name="_Toc179632548"/>
      <w:bookmarkStart w:id="36" w:name="_Toc247085691"/>
      <w:bookmarkStart w:id="37" w:name="_Toc246996920"/>
      <w:bookmarkStart w:id="38" w:name="_Toc246996177"/>
      <w:bookmarkStart w:id="39" w:name="_Toc296602422"/>
      <w:r>
        <w:rPr>
          <w:rFonts w:hint="eastAsia"/>
        </w:rPr>
        <w:t>1.2 资金来源和落实情况</w:t>
      </w:r>
      <w:bookmarkEnd w:id="32"/>
      <w:bookmarkEnd w:id="33"/>
      <w:bookmarkEnd w:id="34"/>
      <w:bookmarkEnd w:id="35"/>
      <w:bookmarkEnd w:id="36"/>
      <w:bookmarkEnd w:id="37"/>
      <w:bookmarkEnd w:id="38"/>
      <w:bookmarkEnd w:id="39"/>
    </w:p>
    <w:p w14:paraId="7ADF5F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14:paraId="5BDFC67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14:paraId="08DF076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178"/>
      <w:bookmarkStart w:id="41" w:name="_Toc246996921"/>
      <w:bookmarkStart w:id="42" w:name="_Toc296602423"/>
      <w:bookmarkStart w:id="43" w:name="_Toc247085692"/>
      <w:bookmarkStart w:id="44" w:name="_Toc144974500"/>
      <w:bookmarkStart w:id="45" w:name="_Toc152045532"/>
      <w:bookmarkStart w:id="46" w:name="_Toc179632549"/>
      <w:bookmarkStart w:id="47" w:name="_Toc152042308"/>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14:paraId="2A9132B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14:paraId="12142F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14:paraId="5DA396D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14:paraId="6088915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5534"/>
      <w:bookmarkStart w:id="49" w:name="_Toc152042310"/>
      <w:bookmarkStart w:id="50" w:name="_Toc246996179"/>
      <w:bookmarkStart w:id="51" w:name="_Toc296602424"/>
      <w:bookmarkStart w:id="52" w:name="_Toc247085693"/>
      <w:bookmarkStart w:id="53" w:name="_Toc144974502"/>
      <w:bookmarkStart w:id="54" w:name="_Toc179632551"/>
      <w:bookmarkStart w:id="55" w:name="_Toc246996922"/>
      <w:r>
        <w:rPr>
          <w:rFonts w:hint="eastAsia"/>
        </w:rPr>
        <w:t>1.4 投标人资格要求</w:t>
      </w:r>
      <w:bookmarkEnd w:id="48"/>
      <w:bookmarkEnd w:id="49"/>
      <w:bookmarkEnd w:id="50"/>
      <w:bookmarkEnd w:id="51"/>
      <w:bookmarkEnd w:id="52"/>
      <w:bookmarkEnd w:id="53"/>
      <w:bookmarkEnd w:id="54"/>
      <w:bookmarkEnd w:id="55"/>
    </w:p>
    <w:p w14:paraId="78F08A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14:paraId="031DD2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14:paraId="0FB393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14:paraId="2B227DC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14:paraId="487E455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14:paraId="74D07C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color w:val="auto"/>
        </w:rPr>
        <w:t>（5）</w:t>
      </w:r>
      <w:r>
        <w:rPr>
          <w:rFonts w:hint="eastAsia"/>
        </w:rPr>
        <w:t>其他有关要求：见投标人须知前附表。</w:t>
      </w:r>
    </w:p>
    <w:p w14:paraId="61B0376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14:paraId="01BCBA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14:paraId="2377363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14:paraId="203A98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14:paraId="0601B68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14:paraId="18DDAC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14:paraId="71B8BD8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14:paraId="4890DD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14:paraId="748E47C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14:paraId="37A64E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14:paraId="24D898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14:paraId="46F9B8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14:paraId="5C88840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14:paraId="5ACA61E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14:paraId="26EFDC1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（10）投标时（以投标截止时间为准），无被亳州市市本级及县区各行业主管部门或公共资源交易监管部门限制投标的不良行为记录（有效期内）。</w:t>
      </w:r>
    </w:p>
    <w:p w14:paraId="213122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14:paraId="0F0EF91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79632552"/>
      <w:bookmarkStart w:id="57" w:name="_Toc246996923"/>
      <w:bookmarkStart w:id="58" w:name="_Toc246996180"/>
      <w:bookmarkStart w:id="59" w:name="_Toc144974503"/>
      <w:bookmarkStart w:id="60" w:name="_Toc296602425"/>
      <w:bookmarkStart w:id="61" w:name="_Toc247085694"/>
      <w:bookmarkStart w:id="62" w:name="_Toc152045535"/>
      <w:bookmarkStart w:id="63" w:name="_Toc152042311"/>
      <w:r>
        <w:rPr>
          <w:rFonts w:hint="eastAsia"/>
        </w:rPr>
        <w:t>1.5 费用承担</w:t>
      </w:r>
      <w:bookmarkEnd w:id="56"/>
      <w:bookmarkEnd w:id="57"/>
      <w:bookmarkEnd w:id="58"/>
      <w:bookmarkEnd w:id="59"/>
      <w:bookmarkEnd w:id="60"/>
      <w:bookmarkEnd w:id="61"/>
      <w:bookmarkEnd w:id="62"/>
      <w:bookmarkEnd w:id="63"/>
    </w:p>
    <w:p w14:paraId="77F3A05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14:paraId="7111F8E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5536"/>
      <w:bookmarkStart w:id="65" w:name="_Toc246996924"/>
      <w:bookmarkStart w:id="66" w:name="_Toc296602426"/>
      <w:bookmarkStart w:id="67" w:name="_Toc246996181"/>
      <w:bookmarkStart w:id="68" w:name="_Toc179632553"/>
      <w:bookmarkStart w:id="69" w:name="_Toc247085695"/>
      <w:bookmarkStart w:id="70" w:name="_Toc152042312"/>
      <w:bookmarkStart w:id="71" w:name="_Toc144974504"/>
      <w:r>
        <w:rPr>
          <w:rFonts w:hint="eastAsia"/>
        </w:rPr>
        <w:t>1.6 保密</w:t>
      </w:r>
      <w:bookmarkEnd w:id="64"/>
      <w:bookmarkEnd w:id="65"/>
      <w:bookmarkEnd w:id="66"/>
      <w:bookmarkEnd w:id="67"/>
      <w:bookmarkEnd w:id="68"/>
      <w:bookmarkEnd w:id="69"/>
      <w:bookmarkEnd w:id="70"/>
      <w:bookmarkEnd w:id="71"/>
    </w:p>
    <w:p w14:paraId="06C9B29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14:paraId="046B994B">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5537"/>
      <w:bookmarkStart w:id="74" w:name="_Toc296602427"/>
      <w:bookmarkStart w:id="75" w:name="_Toc179632554"/>
      <w:bookmarkStart w:id="76" w:name="_Toc152042313"/>
      <w:bookmarkStart w:id="77" w:name="_Toc246996925"/>
      <w:bookmarkStart w:id="78" w:name="_Toc246996182"/>
      <w:bookmarkStart w:id="79" w:name="_Toc247085696"/>
      <w:r>
        <w:rPr>
          <w:rFonts w:hint="eastAsia"/>
        </w:rPr>
        <w:t>1.7 语言</w:t>
      </w:r>
      <w:bookmarkEnd w:id="72"/>
      <w:r>
        <w:rPr>
          <w:rFonts w:hint="eastAsia"/>
        </w:rPr>
        <w:t>文字</w:t>
      </w:r>
      <w:bookmarkEnd w:id="73"/>
      <w:bookmarkEnd w:id="74"/>
      <w:bookmarkEnd w:id="75"/>
      <w:bookmarkEnd w:id="76"/>
      <w:bookmarkEnd w:id="77"/>
      <w:bookmarkEnd w:id="78"/>
      <w:bookmarkEnd w:id="79"/>
    </w:p>
    <w:p w14:paraId="6D8A0D7E">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926"/>
      <w:bookmarkStart w:id="81" w:name="_Toc179632555"/>
      <w:bookmarkStart w:id="82" w:name="_Toc152042314"/>
      <w:bookmarkStart w:id="83" w:name="_Toc247085697"/>
      <w:bookmarkStart w:id="84" w:name="_Toc144974506"/>
      <w:bookmarkStart w:id="85" w:name="_Toc246996183"/>
      <w:bookmarkStart w:id="86" w:name="_Toc152045538"/>
      <w:r>
        <w:rPr>
          <w:rFonts w:hint="eastAsia"/>
        </w:rPr>
        <w:t>招标投标文件使用的语言文字为中文。专用术语使用外文的，应附有中文注释。</w:t>
      </w:r>
    </w:p>
    <w:p w14:paraId="086DAD4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14:paraId="7C6754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14:paraId="7CEAD77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44974507"/>
      <w:bookmarkStart w:id="89" w:name="_Toc247527563"/>
      <w:bookmarkStart w:id="90" w:name="_Toc247513962"/>
      <w:bookmarkStart w:id="91" w:name="_Toc296602429"/>
      <w:bookmarkStart w:id="92" w:name="_Toc152042315"/>
      <w:bookmarkStart w:id="93" w:name="_Toc152045539"/>
      <w:bookmarkStart w:id="94" w:name="_Toc247592876"/>
      <w:r>
        <w:rPr>
          <w:rFonts w:hint="eastAsia"/>
        </w:rPr>
        <w:t>1.9 踏勘现场</w:t>
      </w:r>
      <w:bookmarkEnd w:id="88"/>
      <w:bookmarkEnd w:id="89"/>
      <w:bookmarkEnd w:id="90"/>
      <w:bookmarkEnd w:id="91"/>
      <w:bookmarkEnd w:id="92"/>
      <w:bookmarkEnd w:id="93"/>
      <w:bookmarkEnd w:id="94"/>
    </w:p>
    <w:p w14:paraId="00967E5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14:paraId="739A65E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14:paraId="760835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14:paraId="79177B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14:paraId="2A49379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27564"/>
      <w:bookmarkStart w:id="96" w:name="_Toc144974508"/>
      <w:bookmarkStart w:id="97" w:name="_Toc296602430"/>
      <w:bookmarkStart w:id="98" w:name="_Toc247513963"/>
      <w:bookmarkStart w:id="99" w:name="_Toc247592877"/>
      <w:bookmarkStart w:id="100" w:name="_Toc152042316"/>
      <w:bookmarkStart w:id="101" w:name="_Toc152045540"/>
      <w:r>
        <w:rPr>
          <w:rFonts w:hint="eastAsia"/>
        </w:rPr>
        <w:t>1.10 投标预备会</w:t>
      </w:r>
      <w:bookmarkEnd w:id="95"/>
      <w:bookmarkEnd w:id="96"/>
      <w:bookmarkEnd w:id="97"/>
      <w:bookmarkEnd w:id="98"/>
      <w:bookmarkEnd w:id="99"/>
      <w:bookmarkEnd w:id="100"/>
      <w:bookmarkEnd w:id="101"/>
    </w:p>
    <w:p w14:paraId="052947F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14:paraId="16474AC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14:paraId="6C6FCB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14:paraId="2D075A2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14:paraId="3E94E56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14:paraId="029C1F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14:paraId="3323168F">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14:paraId="764D5C8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14:paraId="297F17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14:paraId="6FBC9C0A">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14:paraId="65DB3A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14:paraId="448DA95E">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30"/>
      <w:bookmarkStart w:id="104" w:name="_Toc246996187"/>
      <w:bookmarkStart w:id="105" w:name="_Toc144974510"/>
      <w:bookmarkStart w:id="106" w:name="_Toc179632560"/>
      <w:bookmarkStart w:id="107" w:name="_Toc152042318"/>
      <w:bookmarkStart w:id="108" w:name="_Toc152045542"/>
      <w:bookmarkStart w:id="109" w:name="_Toc296602432"/>
      <w:bookmarkStart w:id="110" w:name="_Toc247085701"/>
      <w:r>
        <w:rPr>
          <w:rFonts w:hint="eastAsia"/>
        </w:rPr>
        <w:t>2. 招标文件</w:t>
      </w:r>
      <w:bookmarkEnd w:id="103"/>
      <w:bookmarkEnd w:id="104"/>
      <w:bookmarkEnd w:id="105"/>
      <w:bookmarkEnd w:id="106"/>
      <w:bookmarkEnd w:id="107"/>
      <w:bookmarkEnd w:id="108"/>
      <w:bookmarkEnd w:id="109"/>
      <w:bookmarkEnd w:id="110"/>
    </w:p>
    <w:p w14:paraId="5DB561E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88"/>
      <w:bookmarkStart w:id="112" w:name="_Toc247085702"/>
      <w:bookmarkStart w:id="113" w:name="_Toc296602433"/>
      <w:bookmarkStart w:id="114" w:name="_Toc179632561"/>
      <w:bookmarkStart w:id="115" w:name="_Toc152045543"/>
      <w:bookmarkStart w:id="116" w:name="_Toc144974511"/>
      <w:bookmarkStart w:id="117" w:name="_Toc152042319"/>
      <w:bookmarkStart w:id="118" w:name="_Toc246996931"/>
      <w:r>
        <w:rPr>
          <w:rFonts w:hint="eastAsia"/>
        </w:rPr>
        <w:t>2.1 招标文件的组成</w:t>
      </w:r>
      <w:bookmarkEnd w:id="111"/>
      <w:bookmarkEnd w:id="112"/>
      <w:bookmarkEnd w:id="113"/>
      <w:bookmarkEnd w:id="114"/>
      <w:bookmarkEnd w:id="115"/>
      <w:bookmarkEnd w:id="116"/>
      <w:bookmarkEnd w:id="117"/>
      <w:bookmarkEnd w:id="118"/>
    </w:p>
    <w:p w14:paraId="151693E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14:paraId="554F99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14:paraId="18169D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14:paraId="162B11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14:paraId="444D5C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14:paraId="21D884E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14:paraId="6A50151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14:paraId="687B6A0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14:paraId="4B71F31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44974512"/>
      <w:bookmarkStart w:id="120" w:name="_Toc152045544"/>
      <w:bookmarkStart w:id="121" w:name="_Toc246996189"/>
      <w:bookmarkStart w:id="122" w:name="_Toc296602434"/>
      <w:bookmarkStart w:id="123" w:name="_Toc247085703"/>
      <w:bookmarkStart w:id="124" w:name="_Toc246996932"/>
      <w:bookmarkStart w:id="125" w:name="_Toc152042320"/>
      <w:bookmarkStart w:id="126" w:name="_Toc17963256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14:paraId="49CE09A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14:paraId="207B47C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14:paraId="55EEE7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14:paraId="675039A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5545"/>
      <w:bookmarkStart w:id="128" w:name="_Toc179632563"/>
      <w:bookmarkStart w:id="129" w:name="_Toc152042321"/>
      <w:bookmarkStart w:id="130" w:name="_Toc247085704"/>
      <w:bookmarkStart w:id="131" w:name="_Toc246996190"/>
      <w:bookmarkStart w:id="132" w:name="_Toc144974513"/>
      <w:bookmarkStart w:id="133" w:name="_Toc296602435"/>
      <w:bookmarkStart w:id="134" w:name="_Toc246996933"/>
      <w:r>
        <w:rPr>
          <w:rFonts w:hint="eastAsia"/>
        </w:rPr>
        <w:t>2.3 招标文件的修改</w:t>
      </w:r>
      <w:bookmarkEnd w:id="127"/>
      <w:bookmarkEnd w:id="128"/>
      <w:bookmarkEnd w:id="129"/>
      <w:bookmarkEnd w:id="130"/>
      <w:bookmarkEnd w:id="131"/>
      <w:bookmarkEnd w:id="132"/>
      <w:bookmarkEnd w:id="133"/>
      <w:bookmarkEnd w:id="134"/>
    </w:p>
    <w:p w14:paraId="7AB121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14:paraId="0D61FA2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14:paraId="1888958E">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246996191"/>
      <w:bookmarkStart w:id="137" w:name="_Toc246996934"/>
      <w:bookmarkStart w:id="138" w:name="_Toc179632564"/>
      <w:bookmarkStart w:id="139" w:name="_Toc152045546"/>
      <w:bookmarkStart w:id="140" w:name="_Toc152042322"/>
      <w:bookmarkStart w:id="141" w:name="_Toc247085705"/>
      <w:bookmarkStart w:id="142" w:name="_Toc296602436"/>
      <w:r>
        <w:rPr>
          <w:rFonts w:hint="eastAsia"/>
        </w:rPr>
        <w:t>3. 投标文件</w:t>
      </w:r>
      <w:bookmarkEnd w:id="135"/>
      <w:bookmarkEnd w:id="136"/>
      <w:bookmarkEnd w:id="137"/>
      <w:bookmarkEnd w:id="138"/>
      <w:bookmarkEnd w:id="139"/>
      <w:bookmarkEnd w:id="140"/>
      <w:bookmarkEnd w:id="141"/>
      <w:bookmarkEnd w:id="142"/>
    </w:p>
    <w:p w14:paraId="0755B58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44974515"/>
      <w:bookmarkStart w:id="144" w:name="_Toc296602437"/>
      <w:bookmarkStart w:id="145" w:name="_Toc152042323"/>
      <w:bookmarkStart w:id="146" w:name="_Toc246996935"/>
      <w:bookmarkStart w:id="147" w:name="_Toc247085706"/>
      <w:bookmarkStart w:id="148" w:name="_Toc246996192"/>
      <w:bookmarkStart w:id="149" w:name="_Toc152045547"/>
      <w:bookmarkStart w:id="150" w:name="_Toc179632565"/>
      <w:r>
        <w:rPr>
          <w:rFonts w:hint="eastAsia"/>
        </w:rPr>
        <w:t>3.1 投标文件的组成</w:t>
      </w:r>
      <w:bookmarkEnd w:id="143"/>
      <w:bookmarkEnd w:id="144"/>
      <w:bookmarkEnd w:id="145"/>
      <w:bookmarkEnd w:id="146"/>
      <w:bookmarkEnd w:id="147"/>
      <w:bookmarkEnd w:id="148"/>
      <w:bookmarkEnd w:id="149"/>
      <w:bookmarkEnd w:id="150"/>
    </w:p>
    <w:p w14:paraId="7D9B44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14:paraId="21553E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14:paraId="3722E15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14:paraId="53F470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14:paraId="35D8B70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14:paraId="622D6CD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14:paraId="785459B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14:paraId="2ABF0E0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14:paraId="77FD04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14:paraId="5DC1D1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14:paraId="612AC9E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14:paraId="57CA4E6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14:paraId="234ABB31">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44974516"/>
      <w:bookmarkStart w:id="152" w:name="_Toc152045548"/>
      <w:bookmarkStart w:id="153" w:name="_Toc246996193"/>
      <w:bookmarkStart w:id="154" w:name="_Toc179632566"/>
      <w:bookmarkStart w:id="155" w:name="_Toc296602438"/>
      <w:bookmarkStart w:id="156" w:name="_Toc247085707"/>
      <w:bookmarkStart w:id="157" w:name="_Toc246996936"/>
      <w:bookmarkStart w:id="158" w:name="_Toc152042324"/>
      <w:r>
        <w:rPr>
          <w:rFonts w:hint="eastAsia"/>
        </w:rPr>
        <w:t>3.2 投标报价</w:t>
      </w:r>
      <w:bookmarkEnd w:id="151"/>
      <w:bookmarkEnd w:id="152"/>
      <w:bookmarkEnd w:id="153"/>
      <w:bookmarkEnd w:id="154"/>
      <w:bookmarkEnd w:id="155"/>
      <w:bookmarkEnd w:id="156"/>
      <w:bookmarkEnd w:id="157"/>
      <w:bookmarkEnd w:id="158"/>
    </w:p>
    <w:p w14:paraId="3EAFE95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79632567"/>
      <w:bookmarkStart w:id="160" w:name="_Toc144974517"/>
      <w:bookmarkStart w:id="161" w:name="_Toc152045549"/>
      <w:bookmarkStart w:id="162" w:name="_Toc152042325"/>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14:paraId="2E0D96B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14:paraId="0CBC6FD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14:paraId="3F42DC3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14:paraId="6FF2961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14:paraId="383133A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46996937"/>
      <w:bookmarkStart w:id="165" w:name="_Toc247085708"/>
      <w:bookmarkStart w:id="166" w:name="_Toc296602439"/>
      <w:r>
        <w:rPr>
          <w:rFonts w:hint="eastAsia"/>
        </w:rPr>
        <w:t>3.3 投标有效期</w:t>
      </w:r>
      <w:bookmarkEnd w:id="159"/>
      <w:bookmarkEnd w:id="160"/>
      <w:bookmarkEnd w:id="161"/>
      <w:bookmarkEnd w:id="162"/>
      <w:bookmarkEnd w:id="163"/>
      <w:bookmarkEnd w:id="164"/>
      <w:bookmarkEnd w:id="165"/>
      <w:bookmarkEnd w:id="166"/>
    </w:p>
    <w:p w14:paraId="57526C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14:paraId="48FBAD7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14:paraId="3AD5482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50AFD12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2326"/>
      <w:bookmarkStart w:id="168" w:name="_Toc247085709"/>
      <w:bookmarkStart w:id="169" w:name="_Toc144974518"/>
      <w:bookmarkStart w:id="170" w:name="_Toc246996938"/>
      <w:bookmarkStart w:id="171" w:name="_Toc246996195"/>
      <w:bookmarkStart w:id="172" w:name="_Toc296602440"/>
      <w:bookmarkStart w:id="173" w:name="_Toc179632568"/>
      <w:bookmarkStart w:id="174" w:name="_Toc152045550"/>
      <w:r>
        <w:rPr>
          <w:rFonts w:hint="eastAsia"/>
        </w:rPr>
        <w:t>3.4 投标保证金</w:t>
      </w:r>
      <w:bookmarkEnd w:id="167"/>
      <w:bookmarkEnd w:id="168"/>
      <w:bookmarkEnd w:id="169"/>
      <w:bookmarkEnd w:id="170"/>
      <w:bookmarkEnd w:id="171"/>
      <w:bookmarkEnd w:id="172"/>
      <w:bookmarkEnd w:id="173"/>
      <w:bookmarkEnd w:id="174"/>
    </w:p>
    <w:p w14:paraId="3242D38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14:paraId="00B0446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14:paraId="29879B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14:paraId="3B73146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14:paraId="3EF558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14:paraId="4BDE5A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14:paraId="521673F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14:paraId="131C49A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7085710"/>
      <w:bookmarkStart w:id="176" w:name="_Toc179632570"/>
      <w:bookmarkStart w:id="177" w:name="_Toc152042328"/>
      <w:bookmarkStart w:id="178" w:name="_Toc152045552"/>
      <w:bookmarkStart w:id="179" w:name="_Toc144974520"/>
      <w:bookmarkStart w:id="180" w:name="_Toc246996939"/>
      <w:bookmarkStart w:id="181" w:name="_Toc296602441"/>
      <w:bookmarkStart w:id="182" w:name="_Toc246996196"/>
      <w:r>
        <w:rPr>
          <w:rFonts w:hint="eastAsia"/>
        </w:rPr>
        <w:t>3.5 资格审查资料</w:t>
      </w:r>
      <w:bookmarkEnd w:id="175"/>
      <w:bookmarkEnd w:id="176"/>
      <w:bookmarkEnd w:id="177"/>
      <w:bookmarkEnd w:id="178"/>
      <w:bookmarkEnd w:id="179"/>
      <w:bookmarkEnd w:id="180"/>
      <w:bookmarkEnd w:id="181"/>
      <w:bookmarkEnd w:id="182"/>
    </w:p>
    <w:p w14:paraId="789EBF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14:paraId="7F5A065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14:paraId="27581AB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14:paraId="3956539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14:paraId="36EF2C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14:paraId="36F286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管理过的项目业绩须附合同协议书复印件；其他主要人员应附身份证、学历证、职称证、有关证书复印件。具体要求见投标人须知前附表。</w:t>
      </w:r>
    </w:p>
    <w:p w14:paraId="186276C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14:paraId="68D39D19">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14:paraId="6148CF7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14:paraId="2895310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14:paraId="368AE0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14:paraId="3E44B87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52045553"/>
      <w:bookmarkStart w:id="184" w:name="_Toc152042329"/>
      <w:bookmarkStart w:id="185" w:name="_Toc246996197"/>
      <w:bookmarkStart w:id="186" w:name="_Toc246996940"/>
      <w:bookmarkStart w:id="187" w:name="_Toc247085711"/>
      <w:bookmarkStart w:id="188" w:name="_Toc144974521"/>
      <w:bookmarkStart w:id="189" w:name="_Toc179632571"/>
      <w:bookmarkStart w:id="190" w:name="_Toc296602442"/>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79632573"/>
      <w:bookmarkStart w:id="192" w:name="_Toc246996199"/>
      <w:bookmarkStart w:id="193" w:name="_Toc144974523"/>
      <w:bookmarkStart w:id="194" w:name="_Toc246996942"/>
      <w:bookmarkStart w:id="195" w:name="_Toc247085713"/>
      <w:bookmarkStart w:id="196" w:name="_Toc152042331"/>
      <w:bookmarkStart w:id="197" w:name="_Toc152045555"/>
    </w:p>
    <w:p w14:paraId="57128F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14:paraId="5D1446D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14:paraId="5CEC1B1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14:paraId="37400D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14:paraId="4349804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14:paraId="5D93908C">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14:paraId="495E964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943"/>
      <w:bookmarkStart w:id="200" w:name="_Toc152045556"/>
      <w:bookmarkStart w:id="201" w:name="_Toc144974524"/>
      <w:bookmarkStart w:id="202" w:name="_Toc296602444"/>
      <w:bookmarkStart w:id="203" w:name="_Toc152042332"/>
      <w:bookmarkStart w:id="204" w:name="_Toc246996200"/>
      <w:bookmarkStart w:id="205" w:name="_Toc247085714"/>
      <w:bookmarkStart w:id="206" w:name="_Toc179632574"/>
      <w:r>
        <w:rPr>
          <w:rFonts w:hint="eastAsia"/>
        </w:rPr>
        <w:t>4.1 投标文件的密封和标记</w:t>
      </w:r>
      <w:bookmarkEnd w:id="199"/>
      <w:bookmarkEnd w:id="200"/>
      <w:bookmarkEnd w:id="201"/>
      <w:bookmarkEnd w:id="202"/>
      <w:bookmarkEnd w:id="203"/>
      <w:bookmarkEnd w:id="204"/>
      <w:bookmarkEnd w:id="205"/>
      <w:bookmarkEnd w:id="206"/>
    </w:p>
    <w:p w14:paraId="6F3A57C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79632575"/>
      <w:bookmarkStart w:id="208" w:name="_Toc246996201"/>
      <w:bookmarkStart w:id="209" w:name="_Toc247085715"/>
      <w:bookmarkStart w:id="210" w:name="_Toc152045557"/>
      <w:bookmarkStart w:id="211" w:name="_Toc246996944"/>
      <w:bookmarkStart w:id="212" w:name="_Toc144974525"/>
      <w:bookmarkStart w:id="213" w:name="_Toc152042333"/>
      <w:r>
        <w:rPr>
          <w:rFonts w:hint="eastAsia"/>
        </w:rPr>
        <w:t>4.1.1 投标文件应密封包装，并在封套的封口处加盖投标人单位章或由投标人的法定代表人或其授权的代理人签字。</w:t>
      </w:r>
    </w:p>
    <w:p w14:paraId="31762DE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14:paraId="5E40086A">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14:paraId="40ECF09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14:paraId="0B8CEC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14:paraId="000D6A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14:paraId="6E8976C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14:paraId="339F163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14:paraId="2262883B">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6996202"/>
      <w:bookmarkStart w:id="216" w:name="_Toc246996945"/>
      <w:bookmarkStart w:id="217" w:name="_Toc179632576"/>
      <w:bookmarkStart w:id="218" w:name="_Toc152045558"/>
      <w:bookmarkStart w:id="219" w:name="_Toc144974526"/>
      <w:bookmarkStart w:id="220" w:name="_Toc152042334"/>
      <w:bookmarkStart w:id="221" w:name="_Toc247085716"/>
      <w:bookmarkStart w:id="222" w:name="_Toc296602446"/>
      <w:r>
        <w:rPr>
          <w:rFonts w:hint="eastAsia"/>
        </w:rPr>
        <w:t>4.3 投标文件的修改与撤回</w:t>
      </w:r>
      <w:bookmarkEnd w:id="215"/>
      <w:bookmarkEnd w:id="216"/>
      <w:bookmarkEnd w:id="217"/>
      <w:bookmarkEnd w:id="218"/>
      <w:bookmarkEnd w:id="219"/>
      <w:bookmarkEnd w:id="220"/>
      <w:bookmarkEnd w:id="221"/>
      <w:bookmarkEnd w:id="222"/>
    </w:p>
    <w:p w14:paraId="273327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14:paraId="6CD597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14:paraId="00E4548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14:paraId="5C1288E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14:paraId="0D981A29">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79632577"/>
      <w:bookmarkStart w:id="224" w:name="_Toc152045559"/>
      <w:bookmarkStart w:id="225" w:name="_Toc152042335"/>
      <w:bookmarkStart w:id="226" w:name="_Toc246996203"/>
      <w:bookmarkStart w:id="227" w:name="_Toc246996946"/>
      <w:bookmarkStart w:id="228" w:name="_Toc247085717"/>
      <w:bookmarkStart w:id="229" w:name="_Toc144974527"/>
      <w:bookmarkStart w:id="230" w:name="_Toc296602447"/>
      <w:r>
        <w:rPr>
          <w:rFonts w:hint="eastAsia"/>
        </w:rPr>
        <w:t>5. 开标</w:t>
      </w:r>
      <w:bookmarkEnd w:id="223"/>
      <w:bookmarkEnd w:id="224"/>
      <w:bookmarkEnd w:id="225"/>
      <w:bookmarkEnd w:id="226"/>
      <w:bookmarkEnd w:id="227"/>
      <w:bookmarkEnd w:id="228"/>
      <w:bookmarkEnd w:id="229"/>
      <w:bookmarkEnd w:id="230"/>
    </w:p>
    <w:p w14:paraId="4F36474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947"/>
      <w:bookmarkStart w:id="232" w:name="_Toc179632578"/>
      <w:bookmarkStart w:id="233" w:name="_Toc152042336"/>
      <w:bookmarkStart w:id="234" w:name="_Toc247085718"/>
      <w:bookmarkStart w:id="235" w:name="_Toc246996204"/>
      <w:bookmarkStart w:id="236" w:name="_Toc144974528"/>
      <w:bookmarkStart w:id="237" w:name="_Toc152045560"/>
      <w:bookmarkStart w:id="238" w:name="_Toc296602448"/>
      <w:r>
        <w:rPr>
          <w:rFonts w:hint="eastAsia"/>
        </w:rPr>
        <w:t>5.1 开标时间和地点</w:t>
      </w:r>
      <w:bookmarkEnd w:id="231"/>
      <w:bookmarkEnd w:id="232"/>
      <w:bookmarkEnd w:id="233"/>
      <w:bookmarkEnd w:id="234"/>
      <w:bookmarkEnd w:id="235"/>
      <w:bookmarkEnd w:id="236"/>
      <w:bookmarkEnd w:id="237"/>
      <w:bookmarkEnd w:id="238"/>
    </w:p>
    <w:p w14:paraId="3E6A1A2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14:paraId="4EF2960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49"/>
      <w:bookmarkStart w:id="240" w:name="_Toc152045561"/>
      <w:bookmarkStart w:id="241" w:name="_Toc144974529"/>
      <w:bookmarkStart w:id="242" w:name="_Toc246996205"/>
      <w:bookmarkStart w:id="243" w:name="_Toc246996948"/>
      <w:bookmarkStart w:id="244" w:name="_Toc152042337"/>
      <w:bookmarkStart w:id="245" w:name="_Toc247085719"/>
      <w:bookmarkStart w:id="246" w:name="_Toc179632579"/>
      <w:r>
        <w:rPr>
          <w:rFonts w:hint="eastAsia"/>
        </w:rPr>
        <w:t>5.2 开标程序</w:t>
      </w:r>
      <w:bookmarkEnd w:id="239"/>
      <w:bookmarkEnd w:id="240"/>
      <w:bookmarkEnd w:id="241"/>
      <w:bookmarkEnd w:id="242"/>
      <w:bookmarkEnd w:id="243"/>
      <w:bookmarkEnd w:id="244"/>
      <w:bookmarkEnd w:id="245"/>
      <w:bookmarkEnd w:id="246"/>
    </w:p>
    <w:p w14:paraId="12ECDB4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14:paraId="77F2027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14:paraId="65861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14:paraId="4F853CE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14:paraId="02432D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14:paraId="3523778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14:paraId="54D8D34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14:paraId="353F61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14:paraId="7E6D017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14:paraId="224AD6E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14:paraId="266CEEC4">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44974530"/>
      <w:bookmarkStart w:id="249" w:name="_Toc246996206"/>
      <w:bookmarkStart w:id="250" w:name="_Toc152042338"/>
      <w:bookmarkStart w:id="251" w:name="_Toc296602451"/>
      <w:bookmarkStart w:id="252" w:name="_Toc246996949"/>
      <w:bookmarkStart w:id="253" w:name="_Toc179632580"/>
      <w:bookmarkStart w:id="254" w:name="_Toc152045562"/>
      <w:bookmarkStart w:id="255" w:name="_Toc247085720"/>
      <w:r>
        <w:rPr>
          <w:rFonts w:hint="eastAsia"/>
        </w:rPr>
        <w:t>6. 评标</w:t>
      </w:r>
      <w:bookmarkEnd w:id="248"/>
      <w:bookmarkEnd w:id="249"/>
      <w:bookmarkEnd w:id="250"/>
      <w:bookmarkEnd w:id="251"/>
      <w:bookmarkEnd w:id="252"/>
      <w:bookmarkEnd w:id="253"/>
      <w:bookmarkEnd w:id="254"/>
      <w:bookmarkEnd w:id="255"/>
    </w:p>
    <w:p w14:paraId="3F3A128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44974531"/>
      <w:bookmarkStart w:id="257" w:name="_Toc179632581"/>
      <w:bookmarkStart w:id="258" w:name="_Toc246996950"/>
      <w:bookmarkStart w:id="259" w:name="_Toc152045563"/>
      <w:bookmarkStart w:id="260" w:name="_Toc246996207"/>
      <w:bookmarkStart w:id="261" w:name="_Toc247085721"/>
      <w:bookmarkStart w:id="262" w:name="_Toc296602452"/>
      <w:bookmarkStart w:id="263" w:name="_Toc152042339"/>
      <w:r>
        <w:rPr>
          <w:rFonts w:hint="eastAsia"/>
        </w:rPr>
        <w:t>6.1 评标委员会</w:t>
      </w:r>
      <w:bookmarkEnd w:id="256"/>
      <w:bookmarkEnd w:id="257"/>
      <w:bookmarkEnd w:id="258"/>
      <w:bookmarkEnd w:id="259"/>
      <w:bookmarkEnd w:id="260"/>
      <w:bookmarkEnd w:id="261"/>
      <w:bookmarkEnd w:id="262"/>
      <w:bookmarkEnd w:id="263"/>
    </w:p>
    <w:p w14:paraId="5CED541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70260AE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14:paraId="6267442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14:paraId="04F662D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14:paraId="3858D86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14:paraId="34E48D6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14:paraId="5ABF475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14:paraId="3230BD5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79632582"/>
      <w:bookmarkStart w:id="265" w:name="_Toc246996208"/>
      <w:bookmarkStart w:id="266" w:name="_Toc152045564"/>
      <w:bookmarkStart w:id="267" w:name="_Toc247085722"/>
      <w:bookmarkStart w:id="268" w:name="_Toc152042340"/>
      <w:bookmarkStart w:id="269" w:name="_Toc246996951"/>
      <w:bookmarkStart w:id="270" w:name="_Toc296602453"/>
      <w:bookmarkStart w:id="271" w:name="_Toc144974532"/>
      <w:r>
        <w:rPr>
          <w:rFonts w:hint="eastAsia"/>
        </w:rPr>
        <w:t>6.2 评标原则</w:t>
      </w:r>
      <w:bookmarkEnd w:id="264"/>
      <w:bookmarkEnd w:id="265"/>
      <w:bookmarkEnd w:id="266"/>
      <w:bookmarkEnd w:id="267"/>
      <w:bookmarkEnd w:id="268"/>
      <w:bookmarkEnd w:id="269"/>
      <w:bookmarkEnd w:id="270"/>
      <w:bookmarkEnd w:id="271"/>
    </w:p>
    <w:p w14:paraId="3FF0D0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14:paraId="3CF9856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5565"/>
      <w:bookmarkStart w:id="273" w:name="_Toc152042341"/>
      <w:bookmarkStart w:id="274" w:name="_Toc246996952"/>
      <w:bookmarkStart w:id="275" w:name="_Toc246996209"/>
      <w:bookmarkStart w:id="276" w:name="_Toc296602454"/>
      <w:bookmarkStart w:id="277" w:name="_Toc179632583"/>
      <w:bookmarkStart w:id="278" w:name="_Toc144974533"/>
      <w:bookmarkStart w:id="279" w:name="_Toc247085723"/>
      <w:r>
        <w:rPr>
          <w:rFonts w:hint="eastAsia"/>
        </w:rPr>
        <w:t>6.3 评标</w:t>
      </w:r>
      <w:bookmarkEnd w:id="272"/>
      <w:bookmarkEnd w:id="273"/>
      <w:bookmarkEnd w:id="274"/>
      <w:bookmarkEnd w:id="275"/>
      <w:bookmarkEnd w:id="276"/>
      <w:bookmarkEnd w:id="277"/>
      <w:bookmarkEnd w:id="278"/>
      <w:bookmarkEnd w:id="279"/>
    </w:p>
    <w:p w14:paraId="02D6EEA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14:paraId="5C83331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14:paraId="6F6C0F4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14:paraId="37B462F8">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2342"/>
      <w:bookmarkStart w:id="281" w:name="_Toc246996953"/>
      <w:bookmarkStart w:id="282" w:name="_Toc247085724"/>
      <w:bookmarkStart w:id="283" w:name="_Toc296602455"/>
      <w:bookmarkStart w:id="284" w:name="_Toc152045566"/>
      <w:bookmarkStart w:id="285" w:name="_Toc179632584"/>
      <w:bookmarkStart w:id="286" w:name="_Toc246996210"/>
      <w:bookmarkStart w:id="287" w:name="_Toc144974534"/>
      <w:r>
        <w:rPr>
          <w:rFonts w:hint="eastAsia"/>
        </w:rPr>
        <w:t>7. 合同授予</w:t>
      </w:r>
      <w:bookmarkEnd w:id="280"/>
      <w:bookmarkEnd w:id="281"/>
      <w:bookmarkEnd w:id="282"/>
      <w:bookmarkEnd w:id="283"/>
      <w:bookmarkEnd w:id="284"/>
      <w:bookmarkEnd w:id="285"/>
      <w:bookmarkEnd w:id="286"/>
      <w:bookmarkEnd w:id="287"/>
    </w:p>
    <w:p w14:paraId="5F44CF24">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7085725"/>
      <w:bookmarkStart w:id="289" w:name="_Toc179632585"/>
      <w:bookmarkStart w:id="290" w:name="_Toc246996954"/>
      <w:bookmarkStart w:id="291" w:name="_Toc144974535"/>
      <w:bookmarkStart w:id="292" w:name="_Toc152042343"/>
      <w:bookmarkStart w:id="293" w:name="_Toc296602456"/>
      <w:bookmarkStart w:id="294" w:name="_Toc246996211"/>
      <w:bookmarkStart w:id="295" w:name="_Toc152045567"/>
      <w:r>
        <w:rPr>
          <w:rFonts w:hint="eastAsia"/>
        </w:rPr>
        <w:t>7.1中标候选人公示</w:t>
      </w:r>
      <w:bookmarkEnd w:id="288"/>
      <w:bookmarkEnd w:id="289"/>
      <w:bookmarkEnd w:id="290"/>
      <w:bookmarkEnd w:id="291"/>
      <w:bookmarkEnd w:id="292"/>
      <w:bookmarkEnd w:id="293"/>
      <w:bookmarkEnd w:id="294"/>
      <w:bookmarkEnd w:id="295"/>
    </w:p>
    <w:p w14:paraId="090C03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14:paraId="1EFA7514">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14:paraId="6CA0D7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14:paraId="4381298E">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14:paraId="7DBE9BF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14:paraId="2FDD3D13">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14:paraId="6266F57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14:paraId="12A950A5">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47085726"/>
      <w:bookmarkStart w:id="297" w:name="_Toc246996212"/>
      <w:bookmarkStart w:id="298" w:name="_Toc152045568"/>
      <w:bookmarkStart w:id="299" w:name="_Toc296602458"/>
      <w:bookmarkStart w:id="300" w:name="_Toc179632586"/>
      <w:bookmarkStart w:id="301" w:name="_Toc152042344"/>
      <w:bookmarkStart w:id="302" w:name="_Toc246996955"/>
      <w:bookmarkStart w:id="303" w:name="_Toc144974536"/>
      <w:r>
        <w:rPr>
          <w:rFonts w:hint="eastAsia"/>
        </w:rPr>
        <w:t>7.5 中标通知</w:t>
      </w:r>
      <w:bookmarkEnd w:id="296"/>
      <w:bookmarkEnd w:id="297"/>
      <w:bookmarkEnd w:id="298"/>
      <w:bookmarkEnd w:id="299"/>
      <w:bookmarkEnd w:id="300"/>
      <w:bookmarkEnd w:id="301"/>
      <w:bookmarkEnd w:id="302"/>
      <w:bookmarkEnd w:id="303"/>
    </w:p>
    <w:p w14:paraId="0C3FA0C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14:paraId="3F2173D2">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144974537"/>
      <w:bookmarkStart w:id="305" w:name="_Toc247085727"/>
      <w:bookmarkStart w:id="306" w:name="_Toc246996213"/>
      <w:bookmarkStart w:id="307" w:name="_Toc179632587"/>
      <w:bookmarkStart w:id="308" w:name="_Toc152045569"/>
      <w:bookmarkStart w:id="309" w:name="_Toc296602459"/>
      <w:bookmarkStart w:id="310" w:name="_Toc246996956"/>
      <w:bookmarkStart w:id="311" w:name="_Toc152042345"/>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14:paraId="351BD1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14:paraId="1FDC388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14:paraId="690D2739">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179632588"/>
      <w:bookmarkStart w:id="313" w:name="_Toc152042346"/>
      <w:bookmarkStart w:id="314" w:name="_Toc246996214"/>
      <w:bookmarkStart w:id="315" w:name="_Toc296602460"/>
      <w:bookmarkStart w:id="316" w:name="_Toc144974538"/>
      <w:bookmarkStart w:id="317" w:name="_Toc152045570"/>
      <w:bookmarkStart w:id="318" w:name="_Toc246996957"/>
      <w:bookmarkStart w:id="319" w:name="_Toc247085728"/>
      <w:r>
        <w:rPr>
          <w:rFonts w:hint="eastAsia"/>
        </w:rPr>
        <w:t>7.8 签订合同</w:t>
      </w:r>
      <w:bookmarkEnd w:id="312"/>
      <w:bookmarkEnd w:id="313"/>
      <w:bookmarkEnd w:id="314"/>
      <w:bookmarkEnd w:id="315"/>
      <w:bookmarkEnd w:id="316"/>
      <w:bookmarkEnd w:id="317"/>
      <w:bookmarkEnd w:id="318"/>
      <w:bookmarkEnd w:id="319"/>
    </w:p>
    <w:p w14:paraId="306EF2B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14:paraId="0665DDA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14:paraId="3831C00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14:paraId="36DAE32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14:paraId="7F97610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144974543"/>
      <w:bookmarkStart w:id="322" w:name="_Toc179632593"/>
      <w:bookmarkStart w:id="323" w:name="_Toc246996219"/>
      <w:bookmarkStart w:id="324" w:name="_Toc296602462"/>
      <w:bookmarkStart w:id="325" w:name="_Toc152042351"/>
      <w:bookmarkStart w:id="326" w:name="_Toc246996962"/>
      <w:bookmarkStart w:id="327" w:name="_Toc247085733"/>
      <w:bookmarkStart w:id="328" w:name="_Toc296590983"/>
      <w:bookmarkStart w:id="329" w:name="_Toc152045575"/>
      <w:r>
        <w:rPr>
          <w:rFonts w:hint="eastAsia"/>
        </w:rPr>
        <w:t>8.1 对招标人的纪律要求</w:t>
      </w:r>
      <w:bookmarkEnd w:id="321"/>
      <w:bookmarkEnd w:id="322"/>
      <w:bookmarkEnd w:id="323"/>
      <w:bookmarkEnd w:id="324"/>
      <w:bookmarkEnd w:id="325"/>
      <w:bookmarkEnd w:id="326"/>
      <w:bookmarkEnd w:id="327"/>
      <w:bookmarkEnd w:id="328"/>
      <w:bookmarkEnd w:id="329"/>
    </w:p>
    <w:p w14:paraId="7FB692A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14:paraId="698778C6">
      <w:pPr>
        <w:pStyle w:val="3"/>
        <w:bidi w:val="0"/>
        <w:rPr>
          <w:rFonts w:hint="eastAsia"/>
        </w:rPr>
      </w:pPr>
      <w:bookmarkStart w:id="330" w:name="_Toc144974544"/>
      <w:bookmarkStart w:id="331" w:name="_Toc152045576"/>
      <w:bookmarkStart w:id="332" w:name="_Toc296602463"/>
      <w:bookmarkStart w:id="333" w:name="_Toc179632594"/>
      <w:bookmarkStart w:id="334" w:name="_Toc247085734"/>
      <w:bookmarkStart w:id="335" w:name="_Toc246996220"/>
      <w:bookmarkStart w:id="336" w:name="_Toc152042352"/>
      <w:bookmarkStart w:id="337" w:name="_Toc246996963"/>
      <w:r>
        <w:rPr>
          <w:rFonts w:hint="eastAsia"/>
        </w:rPr>
        <w:t>8.2 对投标人的纪律要求</w:t>
      </w:r>
      <w:bookmarkEnd w:id="330"/>
      <w:bookmarkEnd w:id="331"/>
      <w:bookmarkEnd w:id="332"/>
      <w:bookmarkEnd w:id="333"/>
      <w:bookmarkEnd w:id="334"/>
      <w:bookmarkEnd w:id="335"/>
      <w:bookmarkEnd w:id="336"/>
      <w:bookmarkEnd w:id="337"/>
    </w:p>
    <w:p w14:paraId="4E23C28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273084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144974545"/>
      <w:bookmarkStart w:id="339" w:name="_Toc247085735"/>
      <w:bookmarkStart w:id="340" w:name="_Toc296602464"/>
      <w:bookmarkStart w:id="341" w:name="_Toc179632595"/>
      <w:bookmarkStart w:id="342" w:name="_Toc152045577"/>
      <w:bookmarkStart w:id="343" w:name="_Toc152042353"/>
      <w:bookmarkStart w:id="344" w:name="_Toc246996221"/>
      <w:bookmarkStart w:id="345" w:name="_Toc246996964"/>
      <w:r>
        <w:rPr>
          <w:rFonts w:hint="eastAsia"/>
        </w:rPr>
        <w:t>8.3 对评标委员会成员的纪律要求</w:t>
      </w:r>
      <w:bookmarkEnd w:id="338"/>
      <w:bookmarkEnd w:id="339"/>
      <w:bookmarkEnd w:id="340"/>
      <w:bookmarkEnd w:id="341"/>
      <w:bookmarkEnd w:id="342"/>
      <w:bookmarkEnd w:id="343"/>
      <w:bookmarkEnd w:id="344"/>
      <w:bookmarkEnd w:id="345"/>
    </w:p>
    <w:p w14:paraId="0E305EE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2E4C053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247085736"/>
      <w:bookmarkStart w:id="347" w:name="_Toc152045578"/>
      <w:bookmarkStart w:id="348" w:name="_Toc179632596"/>
      <w:bookmarkStart w:id="349" w:name="_Toc246996965"/>
      <w:bookmarkStart w:id="350" w:name="_Toc152042354"/>
      <w:bookmarkStart w:id="351" w:name="_Toc296602465"/>
      <w:bookmarkStart w:id="352" w:name="_Toc246996222"/>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14:paraId="553F45F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14:paraId="1FC2183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6996223"/>
      <w:bookmarkStart w:id="356" w:name="_Toc247085737"/>
      <w:bookmarkStart w:id="357" w:name="_Toc152045579"/>
      <w:bookmarkStart w:id="358" w:name="_Toc246996966"/>
      <w:bookmarkStart w:id="359" w:name="_Toc296602466"/>
      <w:bookmarkStart w:id="360" w:name="_Toc152042356"/>
      <w:bookmarkStart w:id="361" w:name="_Toc179632597"/>
      <w:r>
        <w:rPr>
          <w:rFonts w:hint="eastAsia"/>
        </w:rPr>
        <w:t>8.5 投诉</w:t>
      </w:r>
      <w:bookmarkEnd w:id="353"/>
      <w:bookmarkEnd w:id="355"/>
      <w:bookmarkEnd w:id="356"/>
      <w:bookmarkEnd w:id="357"/>
      <w:bookmarkEnd w:id="358"/>
      <w:bookmarkEnd w:id="359"/>
      <w:bookmarkEnd w:id="360"/>
      <w:bookmarkEnd w:id="361"/>
    </w:p>
    <w:p w14:paraId="01629B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14:paraId="1025E55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14:paraId="6F0B455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14:paraId="2F3282BB">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7085738"/>
      <w:bookmarkStart w:id="364" w:name="_Toc144974547"/>
      <w:bookmarkStart w:id="365" w:name="_Toc152042357"/>
      <w:bookmarkStart w:id="366" w:name="_Toc246996967"/>
      <w:bookmarkStart w:id="367" w:name="_Toc179632598"/>
      <w:bookmarkStart w:id="368" w:name="_Toc246996224"/>
      <w:bookmarkStart w:id="369" w:name="_Toc152045580"/>
      <w:bookmarkStart w:id="370" w:name="_Toc296602467"/>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14:paraId="600D92E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14:paraId="22088129">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3A9EA85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14:paraId="7B02F3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5B4B58F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28A7DD0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2154"/>
        <w:gridCol w:w="4666"/>
      </w:tblGrid>
      <w:tr w14:paraId="536C22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59182D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15B3FA9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0E61BD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6D61DB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5FDA6A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21E453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742041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41668E1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宋体" w:hAnsi="宋体"/>
                <w:b w:val="0"/>
                <w:bCs w:val="0"/>
                <w:snapToGrid w:val="0"/>
                <w:color w:val="auto"/>
                <w:sz w:val="24"/>
              </w:rPr>
              <w:t>气瓶充装许可证</w:t>
            </w:r>
            <w:r>
              <w:rPr>
                <w:rFonts w:hint="eastAsia" w:ascii="宋体" w:hAnsi="宋体"/>
                <w:b w:val="0"/>
                <w:bCs w:val="0"/>
                <w:snapToGrid w:val="0"/>
                <w:color w:val="auto"/>
                <w:sz w:val="24"/>
                <w:lang w:eastAsia="zh-CN"/>
              </w:rPr>
              <w:t>、</w:t>
            </w:r>
            <w:r>
              <w:rPr>
                <w:rFonts w:hint="eastAsia" w:ascii="宋体" w:hAnsi="宋体"/>
                <w:b w:val="0"/>
                <w:bCs w:val="0"/>
                <w:snapToGrid w:val="0"/>
                <w:color w:val="auto"/>
                <w:sz w:val="24"/>
              </w:rPr>
              <w:t>危化品经营许可证</w:t>
            </w:r>
            <w:r>
              <w:rPr>
                <w:rFonts w:hint="default" w:ascii="Times New Roman" w:hAnsi="Times New Roman" w:cs="Times New Roman" w:eastAsiaTheme="minorEastAsia"/>
                <w:kern w:val="0"/>
                <w:sz w:val="24"/>
                <w:szCs w:val="24"/>
                <w:highlight w:val="none"/>
              </w:rPr>
              <w:t>一致</w:t>
            </w:r>
          </w:p>
        </w:tc>
      </w:tr>
      <w:tr w14:paraId="48BAFF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0F4B3C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9F812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1DF7B0E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52FB945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69D50E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6698B2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1F8B99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6608CC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51B8840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38CD91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0DE984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1A7BD4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6D2DCA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6FF0D81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64FC90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61F59F6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1FA8E2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25678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3E31CC0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76A177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CA06C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1BD8C8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top"/>
          </w:tcPr>
          <w:p w14:paraId="58037D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6E7F2CA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246520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0BBC42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671D4B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top"/>
          </w:tcPr>
          <w:p w14:paraId="65B3FC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30313EE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4A736F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682AB2B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231872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top"/>
          </w:tcPr>
          <w:p w14:paraId="327748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11B6E95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469CDE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ED10E2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5BD574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top"/>
          </w:tcPr>
          <w:p w14:paraId="2F123B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13C8BA1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5CE96C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4B0C7D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797201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top"/>
          </w:tcPr>
          <w:p w14:paraId="23BF40C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6A3ABC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14:paraId="529B92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70FE3E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00CA4E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26AE58A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2EC3F76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14:paraId="561A98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3A2AAE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1453C3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top"/>
          </w:tcPr>
          <w:p w14:paraId="501E01C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73D9AB1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14:paraId="79459E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6C3DD5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18354B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top"/>
          </w:tcPr>
          <w:p w14:paraId="6D6DAD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2314D97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5587A3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59576F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42A386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68194C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3B3C9FB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14:paraId="6704E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37F57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515131A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7B1A84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184295D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14:paraId="41B046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F4609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571710D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42BCA4A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计划工期</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7304AA1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14:paraId="61B923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7AEEA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7684C2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196C388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6F4C791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14:paraId="62C32D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79D00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29A7A5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7490417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08C1CE8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14:paraId="454BFC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BB452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2251E0D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51F73BC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46C919D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14:paraId="02DB80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B8870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0F4ED9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657B813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0A81903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tr w14:paraId="12F8E7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1480B4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14:paraId="654FE1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691E2C9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4B4CA03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tr w14:paraId="53DC53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939CD9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1" w:name="_Toc152042366"/>
            <w:bookmarkStart w:id="372" w:name="_Toc179632607"/>
            <w:bookmarkStart w:id="373" w:name="_Toc247085747"/>
            <w:bookmarkStart w:id="374" w:name="_Toc144974556"/>
            <w:bookmarkStart w:id="375" w:name="_Toc296602477"/>
            <w:bookmarkStart w:id="376" w:name="_Toc246996975"/>
            <w:bookmarkStart w:id="377" w:name="_Toc152045589"/>
            <w:bookmarkStart w:id="378" w:name="_Toc246996232"/>
            <w:r>
              <w:rPr>
                <w:rFonts w:hint="default" w:ascii="Times New Roman" w:hAnsi="Times New Roman" w:cs="Times New Roman"/>
                <w:b/>
                <w:bCs/>
                <w:kern w:val="0"/>
                <w:sz w:val="24"/>
                <w:szCs w:val="24"/>
                <w:highlight w:val="none"/>
                <w:lang w:val="en-US" w:eastAsia="zh-CN"/>
              </w:rPr>
              <w:t>条款号</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17357C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17F7F48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14:paraId="2E0A12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10049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1FDF07A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14:paraId="573075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0F726B6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FF0000"/>
                <w:kern w:val="0"/>
                <w:sz w:val="24"/>
                <w:szCs w:val="24"/>
                <w:highlight w:val="none"/>
              </w:rPr>
            </w:pPr>
            <w:r>
              <w:rPr>
                <w:rFonts w:hint="eastAsia" w:ascii="Times New Roman" w:hAnsi="Times New Roman" w:cs="Times New Roman"/>
                <w:color w:val="FF0000"/>
                <w:kern w:val="0"/>
                <w:sz w:val="24"/>
                <w:szCs w:val="24"/>
                <w:highlight w:val="none"/>
                <w:lang w:val="en-US" w:eastAsia="zh-CN"/>
              </w:rPr>
              <w:t>投标报价：</w:t>
            </w:r>
            <w:r>
              <w:rPr>
                <w:rFonts w:hint="eastAsia" w:ascii="Times New Roman" w:hAnsi="Times New Roman" w:cs="Times New Roman"/>
                <w:i w:val="0"/>
                <w:iCs w:val="0"/>
                <w:color w:val="FF0000"/>
                <w:kern w:val="0"/>
                <w:sz w:val="24"/>
                <w:szCs w:val="24"/>
                <w:highlight w:val="none"/>
                <w:u w:val="single"/>
                <w:lang w:val="en-US" w:eastAsia="zh-CN"/>
              </w:rPr>
              <w:t>35</w:t>
            </w:r>
            <w:r>
              <w:rPr>
                <w:rFonts w:hint="default" w:ascii="Times New Roman" w:hAnsi="Times New Roman" w:cs="Times New Roman" w:eastAsiaTheme="minorEastAsia"/>
                <w:color w:val="FF0000"/>
                <w:kern w:val="0"/>
                <w:sz w:val="24"/>
                <w:szCs w:val="24"/>
                <w:highlight w:val="none"/>
              </w:rPr>
              <w:t>分</w:t>
            </w:r>
          </w:p>
          <w:p w14:paraId="165BBB3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服务方案部分：</w:t>
            </w:r>
            <w:r>
              <w:rPr>
                <w:rFonts w:hint="eastAsia" w:ascii="Times New Roman" w:hAnsi="Times New Roman" w:cs="Times New Roman"/>
                <w:i w:val="0"/>
                <w:iCs w:val="0"/>
                <w:color w:val="FF0000"/>
                <w:kern w:val="0"/>
                <w:sz w:val="24"/>
                <w:szCs w:val="24"/>
                <w:highlight w:val="none"/>
                <w:u w:val="single"/>
                <w:lang w:val="en-US" w:eastAsia="zh-CN"/>
              </w:rPr>
              <w:t xml:space="preserve"> 55 </w:t>
            </w:r>
            <w:r>
              <w:rPr>
                <w:rFonts w:hint="default" w:ascii="Times New Roman" w:hAnsi="Times New Roman" w:cs="Times New Roman" w:eastAsiaTheme="minorEastAsia"/>
                <w:color w:val="FF0000"/>
                <w:kern w:val="0"/>
                <w:sz w:val="24"/>
                <w:szCs w:val="24"/>
                <w:highlight w:val="none"/>
              </w:rPr>
              <w:t>分</w:t>
            </w:r>
          </w:p>
          <w:p w14:paraId="59691BD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FF0000"/>
                <w:kern w:val="0"/>
                <w:sz w:val="24"/>
                <w:szCs w:val="24"/>
                <w:highlight w:val="none"/>
                <w:lang w:val="en-US" w:eastAsia="zh-CN"/>
              </w:rPr>
              <w:t>其他评分因素：</w:t>
            </w:r>
            <w:r>
              <w:rPr>
                <w:rFonts w:hint="eastAsia" w:ascii="Times New Roman" w:hAnsi="Times New Roman" w:cs="Times New Roman"/>
                <w:i w:val="0"/>
                <w:iCs w:val="0"/>
                <w:color w:val="FF0000"/>
                <w:kern w:val="0"/>
                <w:sz w:val="24"/>
                <w:szCs w:val="24"/>
                <w:highlight w:val="none"/>
                <w:u w:val="single"/>
                <w:lang w:val="en-US" w:eastAsia="zh-CN"/>
              </w:rPr>
              <w:t xml:space="preserve"> 10 </w:t>
            </w:r>
            <w:r>
              <w:rPr>
                <w:rFonts w:hint="default" w:ascii="Times New Roman" w:hAnsi="Times New Roman" w:cs="Times New Roman" w:eastAsiaTheme="minorEastAsia"/>
                <w:color w:val="FF0000"/>
                <w:kern w:val="0"/>
                <w:sz w:val="24"/>
                <w:szCs w:val="24"/>
                <w:highlight w:val="none"/>
              </w:rPr>
              <w:t>分</w:t>
            </w:r>
          </w:p>
        </w:tc>
      </w:tr>
      <w:tr w14:paraId="408E9F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5EFB7E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71F1E1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322789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以通过初步评审的投标人的最低投标报价作为评标基准价。</w:t>
            </w:r>
          </w:p>
        </w:tc>
      </w:tr>
      <w:tr w14:paraId="25521C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67181C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57E217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1439787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w:t>
            </w:r>
          </w:p>
        </w:tc>
      </w:tr>
      <w:tr w14:paraId="0839A8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2443A1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76B0B9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16A258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7C7A98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8" w:hRule="atLeast"/>
        </w:trPr>
        <w:tc>
          <w:tcPr>
            <w:tcW w:w="1700" w:type="dxa"/>
            <w:gridSpan w:val="2"/>
            <w:tcBorders>
              <w:top w:val="single" w:color="auto" w:sz="4" w:space="0"/>
              <w:bottom w:val="single" w:color="auto" w:sz="4" w:space="0"/>
              <w:right w:val="single" w:color="auto" w:sz="4" w:space="0"/>
            </w:tcBorders>
            <w:noWrap w:val="0"/>
            <w:vAlign w:val="center"/>
          </w:tcPr>
          <w:p w14:paraId="400E34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2A3C49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p>
        </w:tc>
        <w:tc>
          <w:tcPr>
            <w:tcW w:w="4666" w:type="dxa"/>
            <w:tcBorders>
              <w:top w:val="single" w:color="auto" w:sz="4" w:space="0"/>
              <w:left w:val="single" w:color="auto" w:sz="4" w:space="0"/>
              <w:bottom w:val="single" w:color="auto" w:sz="4" w:space="0"/>
              <w:right w:val="single" w:color="auto" w:sz="4" w:space="0"/>
            </w:tcBorders>
            <w:noWrap w:val="0"/>
            <w:vAlign w:val="center"/>
          </w:tcPr>
          <w:p w14:paraId="3255FA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p>
        </w:tc>
      </w:tr>
      <w:tr w14:paraId="7250FC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80" w:hRule="atLeast"/>
        </w:trPr>
        <w:tc>
          <w:tcPr>
            <w:tcW w:w="850" w:type="dxa"/>
            <w:tcBorders>
              <w:right w:val="single" w:color="auto" w:sz="4" w:space="0"/>
            </w:tcBorders>
            <w:noWrap w:val="0"/>
            <w:vAlign w:val="center"/>
          </w:tcPr>
          <w:p w14:paraId="71568E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75539F2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right w:val="single" w:color="auto" w:sz="4" w:space="0"/>
            </w:tcBorders>
            <w:noWrap w:val="0"/>
            <w:vAlign w:val="center"/>
          </w:tcPr>
          <w:p w14:paraId="478D67A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14:paraId="01F0898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5C8293C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14:paraId="25732AB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4D715D09">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通过初步评审的投标人最低投标价为评标基准价</w:t>
            </w:r>
            <w:bookmarkStart w:id="379" w:name="OLE_LINK1"/>
            <w:r>
              <w:rPr>
                <w:rFonts w:hint="eastAsia" w:ascii="Times New Roman" w:hAnsi="Times New Roman" w:cs="Times New Roman"/>
                <w:kern w:val="0"/>
                <w:sz w:val="24"/>
                <w:szCs w:val="24"/>
                <w:highlight w:val="none"/>
                <w:lang w:val="en-US" w:eastAsia="zh-CN"/>
              </w:rPr>
              <w:t>，其价</w:t>
            </w:r>
            <w:bookmarkEnd w:id="379"/>
            <w:r>
              <w:rPr>
                <w:rFonts w:hint="eastAsia" w:ascii="Times New Roman" w:hAnsi="Times New Roman" w:cs="Times New Roman"/>
                <w:kern w:val="0"/>
                <w:sz w:val="24"/>
                <w:szCs w:val="24"/>
                <w:highlight w:val="none"/>
                <w:lang w:val="en-US" w:eastAsia="zh-CN"/>
              </w:rPr>
              <w:t>格分为满分。其他投标人价格分按以下公式计算：</w:t>
            </w:r>
          </w:p>
          <w:p w14:paraId="1D4493C8">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价格分=（评标基准价／评标价）× 35分</w:t>
            </w:r>
          </w:p>
          <w:p w14:paraId="64F29657">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注：价格分计算结果保留小数点后二位。</w:t>
            </w:r>
          </w:p>
        </w:tc>
      </w:tr>
      <w:tr w14:paraId="467CC1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14:paraId="5790FE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1DEE7F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tcBorders>
              <w:top w:val="single" w:color="auto" w:sz="4" w:space="0"/>
              <w:bottom w:val="single" w:color="auto" w:sz="4" w:space="0"/>
              <w:right w:val="single" w:color="auto" w:sz="4" w:space="0"/>
            </w:tcBorders>
            <w:noWrap w:val="0"/>
            <w:vAlign w:val="center"/>
          </w:tcPr>
          <w:p w14:paraId="5B9947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服务方案因素评分标准</w:t>
            </w:r>
          </w:p>
          <w:p w14:paraId="2F1F3E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55</w:t>
            </w:r>
            <w:r>
              <w:rPr>
                <w:rFonts w:hint="default" w:ascii="Times New Roman" w:hAnsi="Times New Roman" w:cs="Times New Roman"/>
                <w:i/>
                <w:iCs/>
                <w:color w:val="FF0000"/>
                <w:kern w:val="0"/>
                <w:sz w:val="24"/>
                <w:szCs w:val="24"/>
                <w:highlight w:val="none"/>
                <w:u w:val="single"/>
                <w:lang w:val="en-US" w:eastAsia="zh-CN"/>
              </w:rPr>
              <w:t>分）</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7F6A00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w:t>
            </w:r>
          </w:p>
          <w:p w14:paraId="684DFD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55</w:t>
            </w:r>
            <w:r>
              <w:rPr>
                <w:rFonts w:hint="default" w:ascii="Times New Roman" w:hAnsi="Times New Roman" w:cs="Times New Roman"/>
                <w:i/>
                <w:iCs/>
                <w:color w:val="FF0000"/>
                <w:kern w:val="0"/>
                <w:sz w:val="24"/>
                <w:szCs w:val="24"/>
                <w:highlight w:val="none"/>
                <w:u w:val="single"/>
                <w:lang w:val="en-US" w:eastAsia="zh-CN"/>
              </w:rPr>
              <w:t>分）</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0E3704D6">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（1）针对供应商提交的项目实施计划详尽性、进度的合理性、保障按时完工能力及措施等进行评审，优秀得15-11分，良好得10-6分，一般得5-1分，差或无此项不得分。</w:t>
            </w:r>
          </w:p>
          <w:p w14:paraId="7AA43F91">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val="zh-CN" w:eastAsia="zh-CN"/>
              </w:rPr>
              <w:t>对供应商提供的</w:t>
            </w:r>
            <w:r>
              <w:rPr>
                <w:rFonts w:hint="eastAsia" w:ascii="Times New Roman" w:hAnsi="Times New Roman" w:cs="Times New Roman"/>
                <w:color w:val="auto"/>
                <w:kern w:val="0"/>
                <w:sz w:val="24"/>
                <w:szCs w:val="24"/>
                <w:highlight w:val="none"/>
                <w:lang w:val="en-US" w:eastAsia="zh-CN"/>
              </w:rPr>
              <w:t>项目</w:t>
            </w:r>
            <w:r>
              <w:rPr>
                <w:rFonts w:hint="eastAsia" w:ascii="Times New Roman" w:hAnsi="Times New Roman" w:cs="Times New Roman"/>
                <w:color w:val="auto"/>
                <w:kern w:val="0"/>
                <w:sz w:val="24"/>
                <w:szCs w:val="24"/>
                <w:highlight w:val="none"/>
                <w:lang w:val="zh-CN" w:eastAsia="zh-CN"/>
              </w:rPr>
              <w:t>质量保证期内的措施内容及服务进行评审，</w:t>
            </w:r>
            <w:r>
              <w:rPr>
                <w:rFonts w:hint="eastAsia" w:ascii="Times New Roman" w:hAnsi="Times New Roman" w:cs="Times New Roman"/>
                <w:color w:val="auto"/>
                <w:kern w:val="0"/>
                <w:sz w:val="24"/>
                <w:szCs w:val="24"/>
                <w:highlight w:val="none"/>
                <w:lang w:val="en-US" w:eastAsia="zh-CN"/>
              </w:rPr>
              <w:t>优秀得12-9分，良好得8-5分，一般得4-1分，差或无此项不得分。</w:t>
            </w:r>
          </w:p>
          <w:p w14:paraId="6BF9AE77">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w:t>
            </w:r>
            <w:r>
              <w:rPr>
                <w:rFonts w:hint="eastAsia" w:ascii="Times New Roman" w:hAnsi="Times New Roman" w:cs="Times New Roman"/>
                <w:color w:val="auto"/>
                <w:kern w:val="0"/>
                <w:sz w:val="24"/>
                <w:szCs w:val="24"/>
                <w:highlight w:val="none"/>
                <w:lang w:val="zh-CN" w:eastAsia="zh-CN"/>
              </w:rPr>
              <w:t>评标委员会对供应商提供的</w:t>
            </w:r>
            <w:r>
              <w:rPr>
                <w:rFonts w:hint="eastAsia" w:ascii="Times New Roman" w:hAnsi="Times New Roman" w:cs="Times New Roman"/>
                <w:color w:val="auto"/>
                <w:kern w:val="0"/>
                <w:sz w:val="24"/>
                <w:szCs w:val="24"/>
                <w:highlight w:val="none"/>
                <w:lang w:val="en-US" w:eastAsia="zh-CN"/>
              </w:rPr>
              <w:t>安全生产保护保证措施、环境保护保证措施、产品质量保证措施方案进行评审，优秀得12-9分，良好得8-5分，一般得4-1分，差或无此项不得分。</w:t>
            </w:r>
          </w:p>
          <w:p w14:paraId="459D2395">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color w:val="auto"/>
                <w:kern w:val="0"/>
                <w:sz w:val="24"/>
                <w:szCs w:val="24"/>
                <w:highlight w:val="none"/>
                <w:lang w:val="zh-CN" w:eastAsia="zh-CN"/>
              </w:rPr>
            </w:pPr>
            <w:r>
              <w:rPr>
                <w:rFonts w:hint="eastAsia" w:ascii="Times New Roman" w:hAnsi="Times New Roman" w:cs="Times New Roman"/>
                <w:color w:val="auto"/>
                <w:kern w:val="0"/>
                <w:sz w:val="24"/>
                <w:szCs w:val="24"/>
                <w:highlight w:val="none"/>
                <w:lang w:val="en-US" w:eastAsia="zh-CN"/>
              </w:rPr>
              <w:t>（4）</w:t>
            </w:r>
            <w:r>
              <w:rPr>
                <w:rFonts w:hint="eastAsia" w:ascii="Times New Roman" w:hAnsi="Times New Roman" w:cs="Times New Roman"/>
                <w:color w:val="auto"/>
                <w:kern w:val="0"/>
                <w:sz w:val="24"/>
                <w:szCs w:val="24"/>
                <w:highlight w:val="none"/>
                <w:lang w:val="zh-CN" w:eastAsia="zh-CN"/>
              </w:rPr>
              <w:t>针对供应商提供的现场施工组织方案、安装调试验收计划等进行评审，优秀得</w:t>
            </w:r>
            <w:r>
              <w:rPr>
                <w:rFonts w:hint="eastAsia" w:ascii="Times New Roman" w:hAnsi="Times New Roman" w:cs="Times New Roman"/>
                <w:color w:val="auto"/>
                <w:kern w:val="0"/>
                <w:sz w:val="24"/>
                <w:szCs w:val="24"/>
                <w:highlight w:val="none"/>
                <w:lang w:val="en-US" w:eastAsia="zh-CN"/>
              </w:rPr>
              <w:t>8-6</w:t>
            </w:r>
            <w:r>
              <w:rPr>
                <w:rFonts w:hint="eastAsia" w:ascii="Times New Roman" w:hAnsi="Times New Roman" w:cs="Times New Roman"/>
                <w:color w:val="auto"/>
                <w:kern w:val="0"/>
                <w:sz w:val="24"/>
                <w:szCs w:val="24"/>
                <w:highlight w:val="none"/>
                <w:lang w:val="zh-CN" w:eastAsia="zh-CN"/>
              </w:rPr>
              <w:t>分，良好得</w:t>
            </w:r>
            <w:r>
              <w:rPr>
                <w:rFonts w:hint="eastAsia" w:ascii="Times New Roman" w:hAnsi="Times New Roman" w:cs="Times New Roman"/>
                <w:color w:val="auto"/>
                <w:kern w:val="0"/>
                <w:sz w:val="24"/>
                <w:szCs w:val="24"/>
                <w:highlight w:val="none"/>
                <w:lang w:val="en-US" w:eastAsia="zh-CN"/>
              </w:rPr>
              <w:t>6-4</w:t>
            </w:r>
            <w:r>
              <w:rPr>
                <w:rFonts w:hint="eastAsia" w:ascii="Times New Roman" w:hAnsi="Times New Roman" w:cs="Times New Roman"/>
                <w:color w:val="auto"/>
                <w:kern w:val="0"/>
                <w:sz w:val="24"/>
                <w:szCs w:val="24"/>
                <w:highlight w:val="none"/>
                <w:lang w:val="zh-CN" w:eastAsia="zh-CN"/>
              </w:rPr>
              <w:t>分，一般得</w:t>
            </w:r>
            <w:r>
              <w:rPr>
                <w:rFonts w:hint="eastAsia" w:ascii="Times New Roman" w:hAnsi="Times New Roman" w:cs="Times New Roman"/>
                <w:color w:val="auto"/>
                <w:kern w:val="0"/>
                <w:sz w:val="24"/>
                <w:szCs w:val="24"/>
                <w:highlight w:val="none"/>
                <w:lang w:val="en-US" w:eastAsia="zh-CN"/>
              </w:rPr>
              <w:t>4-1</w:t>
            </w:r>
            <w:r>
              <w:rPr>
                <w:rFonts w:hint="eastAsia" w:ascii="Times New Roman" w:hAnsi="Times New Roman" w:cs="Times New Roman"/>
                <w:color w:val="auto"/>
                <w:kern w:val="0"/>
                <w:sz w:val="24"/>
                <w:szCs w:val="24"/>
                <w:highlight w:val="none"/>
                <w:lang w:val="zh-CN" w:eastAsia="zh-CN"/>
              </w:rPr>
              <w:t>分，差或无此项不得分。</w:t>
            </w:r>
          </w:p>
          <w:p w14:paraId="4EBDE156">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r>
              <w:rPr>
                <w:rFonts w:hint="eastAsia" w:ascii="Times New Roman" w:hAnsi="Times New Roman" w:cs="Times New Roman"/>
                <w:color w:val="auto"/>
                <w:kern w:val="0"/>
                <w:sz w:val="24"/>
                <w:szCs w:val="24"/>
                <w:highlight w:val="none"/>
                <w:lang w:val="zh-CN" w:eastAsia="zh-CN"/>
              </w:rPr>
              <w:t>针对供应商制定的钢瓶气体充装及检测应急措施的科学性，可行性和保障手段等因素综合评分，优秀得</w:t>
            </w:r>
            <w:r>
              <w:rPr>
                <w:rFonts w:hint="eastAsia" w:ascii="Times New Roman" w:hAnsi="Times New Roman" w:cs="Times New Roman"/>
                <w:color w:val="auto"/>
                <w:kern w:val="0"/>
                <w:sz w:val="24"/>
                <w:szCs w:val="24"/>
                <w:highlight w:val="none"/>
                <w:lang w:val="en-US" w:eastAsia="zh-CN"/>
              </w:rPr>
              <w:t>8-6</w:t>
            </w:r>
            <w:r>
              <w:rPr>
                <w:rFonts w:hint="eastAsia" w:ascii="Times New Roman" w:hAnsi="Times New Roman" w:cs="Times New Roman"/>
                <w:color w:val="auto"/>
                <w:kern w:val="0"/>
                <w:sz w:val="24"/>
                <w:szCs w:val="24"/>
                <w:highlight w:val="none"/>
                <w:lang w:val="zh-CN" w:eastAsia="zh-CN"/>
              </w:rPr>
              <w:t>分，良好得</w:t>
            </w:r>
            <w:r>
              <w:rPr>
                <w:rFonts w:hint="eastAsia" w:ascii="Times New Roman" w:hAnsi="Times New Roman" w:cs="Times New Roman"/>
                <w:color w:val="auto"/>
                <w:kern w:val="0"/>
                <w:sz w:val="24"/>
                <w:szCs w:val="24"/>
                <w:highlight w:val="none"/>
                <w:lang w:val="en-US" w:eastAsia="zh-CN"/>
              </w:rPr>
              <w:t>6-4</w:t>
            </w:r>
            <w:r>
              <w:rPr>
                <w:rFonts w:hint="eastAsia" w:ascii="Times New Roman" w:hAnsi="Times New Roman" w:cs="Times New Roman"/>
                <w:color w:val="auto"/>
                <w:kern w:val="0"/>
                <w:sz w:val="24"/>
                <w:szCs w:val="24"/>
                <w:highlight w:val="none"/>
                <w:lang w:val="zh-CN" w:eastAsia="zh-CN"/>
              </w:rPr>
              <w:t>分，一般得</w:t>
            </w:r>
            <w:r>
              <w:rPr>
                <w:rFonts w:hint="eastAsia" w:ascii="Times New Roman" w:hAnsi="Times New Roman" w:cs="Times New Roman"/>
                <w:color w:val="auto"/>
                <w:kern w:val="0"/>
                <w:sz w:val="24"/>
                <w:szCs w:val="24"/>
                <w:highlight w:val="none"/>
                <w:lang w:val="en-US" w:eastAsia="zh-CN"/>
              </w:rPr>
              <w:t>4-1</w:t>
            </w:r>
            <w:r>
              <w:rPr>
                <w:rFonts w:hint="eastAsia" w:ascii="Times New Roman" w:hAnsi="Times New Roman" w:cs="Times New Roman"/>
                <w:color w:val="auto"/>
                <w:kern w:val="0"/>
                <w:sz w:val="24"/>
                <w:szCs w:val="24"/>
                <w:highlight w:val="none"/>
                <w:lang w:val="zh-CN" w:eastAsia="zh-CN"/>
              </w:rPr>
              <w:t>分，差或无此项不得分。</w:t>
            </w:r>
          </w:p>
        </w:tc>
      </w:tr>
      <w:tr w14:paraId="34A053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14:paraId="0028EA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213037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14:paraId="1C9578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14:paraId="75B73C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10 </w:t>
            </w:r>
            <w:r>
              <w:rPr>
                <w:rFonts w:hint="default" w:ascii="Times New Roman" w:hAnsi="Times New Roman" w:cs="Times New Roman"/>
                <w:i/>
                <w:iCs/>
                <w:color w:val="FF0000"/>
                <w:kern w:val="0"/>
                <w:sz w:val="24"/>
                <w:szCs w:val="24"/>
                <w:highlight w:val="none"/>
                <w:u w:val="single"/>
                <w:lang w:val="en-US" w:eastAsia="zh-CN"/>
              </w:rPr>
              <w:t>分）</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6789703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(售后服务指标响应情况)</w:t>
            </w:r>
          </w:p>
          <w:p w14:paraId="6A435C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u w:val="single"/>
                <w:lang w:val="en-US" w:eastAsia="zh-CN"/>
              </w:rPr>
              <w:t>（10分）</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298DA0ED">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zh-CN" w:eastAsia="zh-CN"/>
              </w:rPr>
            </w:pPr>
            <w:r>
              <w:rPr>
                <w:rFonts w:hint="eastAsia" w:ascii="Times New Roman" w:hAnsi="Times New Roman" w:cs="Times New Roman"/>
                <w:kern w:val="0"/>
                <w:sz w:val="24"/>
                <w:szCs w:val="24"/>
                <w:highlight w:val="none"/>
                <w:lang w:val="zh-CN"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zh-CN" w:eastAsia="zh-CN"/>
              </w:rPr>
              <w:t>）供应商承诺在质保基准期</w:t>
            </w:r>
            <w:r>
              <w:rPr>
                <w:rFonts w:hint="eastAsia" w:ascii="Times New Roman" w:hAnsi="Times New Roman" w:cs="Times New Roman"/>
                <w:kern w:val="0"/>
                <w:sz w:val="24"/>
                <w:szCs w:val="24"/>
                <w:highlight w:val="none"/>
                <w:lang w:val="en-US" w:eastAsia="zh-CN"/>
              </w:rPr>
              <w:t>三</w:t>
            </w:r>
            <w:r>
              <w:rPr>
                <w:rFonts w:hint="eastAsia" w:ascii="Times New Roman" w:hAnsi="Times New Roman" w:cs="Times New Roman"/>
                <w:kern w:val="0"/>
                <w:sz w:val="24"/>
                <w:szCs w:val="24"/>
                <w:highlight w:val="none"/>
                <w:lang w:val="zh-CN" w:eastAsia="zh-CN"/>
              </w:rPr>
              <w:t>年基础上，每增加一年质保服务的，加1分，最高加</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zh-CN" w:eastAsia="zh-CN"/>
              </w:rPr>
              <w:t>分，</w:t>
            </w:r>
            <w:r>
              <w:rPr>
                <w:rFonts w:hint="eastAsia" w:ascii="Times New Roman" w:hAnsi="Times New Roman" w:cs="Times New Roman"/>
                <w:kern w:val="0"/>
                <w:sz w:val="24"/>
                <w:szCs w:val="24"/>
                <w:highlight w:val="none"/>
                <w:lang w:val="en-US" w:eastAsia="zh-CN"/>
              </w:rPr>
              <w:t>不承诺增加的此项不得分</w:t>
            </w:r>
            <w:r>
              <w:rPr>
                <w:rFonts w:hint="eastAsia" w:ascii="Times New Roman" w:hAnsi="Times New Roman" w:cs="Times New Roman"/>
                <w:kern w:val="0"/>
                <w:sz w:val="24"/>
                <w:szCs w:val="24"/>
                <w:highlight w:val="none"/>
                <w:lang w:val="zh-CN" w:eastAsia="zh-CN"/>
              </w:rPr>
              <w:t>。</w:t>
            </w:r>
          </w:p>
          <w:p w14:paraId="27BADCD6">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宋体" w:hAnsi="宋体" w:eastAsia="宋体" w:cs="宋体"/>
                <w:color w:val="000000"/>
                <w:sz w:val="28"/>
                <w:szCs w:val="28"/>
                <w:highlight w:val="none"/>
                <w:lang w:val="en-US" w:eastAsia="zh-CN"/>
              </w:rPr>
            </w:pPr>
            <w:r>
              <w:rPr>
                <w:rFonts w:hint="eastAsia" w:ascii="Times New Roman" w:hAnsi="Times New Roman" w:cs="Times New Roman"/>
                <w:kern w:val="0"/>
                <w:sz w:val="24"/>
                <w:szCs w:val="24"/>
                <w:highlight w:val="none"/>
                <w:lang w:val="zh-CN" w:eastAsia="zh-CN"/>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zh-CN" w:eastAsia="zh-CN"/>
              </w:rPr>
              <w:t>）针对性</w:t>
            </w:r>
            <w:r>
              <w:rPr>
                <w:rFonts w:hint="eastAsia" w:ascii="Times New Roman" w:hAnsi="Times New Roman" w:cs="Times New Roman"/>
                <w:kern w:val="0"/>
                <w:sz w:val="24"/>
                <w:szCs w:val="24"/>
                <w:highlight w:val="none"/>
                <w:lang w:val="en-US" w:eastAsia="zh-CN"/>
              </w:rPr>
              <w:t>对供应商的售后服务措施、到达现场服务响应时间、技术支持、对</w:t>
            </w:r>
            <w:r>
              <w:rPr>
                <w:rFonts w:hint="eastAsia" w:ascii="Times New Roman" w:hAnsi="Times New Roman" w:cs="Times New Roman"/>
                <w:kern w:val="0"/>
                <w:sz w:val="24"/>
                <w:szCs w:val="24"/>
                <w:highlight w:val="none"/>
                <w:lang w:val="zh-CN" w:eastAsia="zh-CN"/>
              </w:rPr>
              <w:t>采购单位技术操作人员的培训计划</w:t>
            </w:r>
            <w:r>
              <w:rPr>
                <w:rFonts w:hint="eastAsia" w:ascii="Times New Roman" w:hAnsi="Times New Roman" w:cs="Times New Roman"/>
                <w:kern w:val="0"/>
                <w:sz w:val="24"/>
                <w:szCs w:val="24"/>
                <w:highlight w:val="none"/>
                <w:lang w:val="en-US" w:eastAsia="zh-CN"/>
              </w:rPr>
              <w:t>等进行评审，优秀得7-5分，良好得5-3分，一般得3-1分，差或无此项不得分。</w:t>
            </w:r>
          </w:p>
        </w:tc>
      </w:tr>
    </w:tbl>
    <w:p w14:paraId="21FE706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14:paraId="4B8C8736">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585105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14:paraId="39FEA2E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152042367"/>
      <w:bookmarkStart w:id="381" w:name="_Toc246996976"/>
      <w:bookmarkStart w:id="382" w:name="_Toc247085748"/>
      <w:bookmarkStart w:id="383" w:name="_Toc152045590"/>
      <w:bookmarkStart w:id="384" w:name="_Toc144974557"/>
      <w:bookmarkStart w:id="385" w:name="_Toc246996233"/>
      <w:bookmarkStart w:id="386" w:name="_Toc179632608"/>
      <w:bookmarkStart w:id="387" w:name="_Toc296602478"/>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14:paraId="0A5ACB1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152045591"/>
      <w:bookmarkStart w:id="389" w:name="_Toc296602479"/>
      <w:bookmarkStart w:id="390" w:name="_Toc247085749"/>
      <w:bookmarkStart w:id="391" w:name="_Toc144974558"/>
      <w:bookmarkStart w:id="392" w:name="_Toc246996977"/>
      <w:bookmarkStart w:id="393" w:name="_Toc246996234"/>
      <w:bookmarkStart w:id="394" w:name="_Toc152042368"/>
      <w:bookmarkStart w:id="395" w:name="_Toc17963260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14:paraId="0BEEFE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5A7EFA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2C1E17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2FA2903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247085751"/>
      <w:bookmarkStart w:id="397" w:name="_Toc144974560"/>
      <w:bookmarkStart w:id="398" w:name="_Toc246996236"/>
      <w:bookmarkStart w:id="399" w:name="_Toc296602481"/>
      <w:bookmarkStart w:id="400" w:name="_Toc179632611"/>
      <w:bookmarkStart w:id="401" w:name="_Toc152042370"/>
      <w:bookmarkStart w:id="402" w:name="_Toc152045593"/>
      <w:bookmarkStart w:id="403" w:name="_Toc246996979"/>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14:paraId="5837DE2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14:paraId="5A19E8D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color w:val="auto"/>
          <w:kern w:val="0"/>
          <w:sz w:val="24"/>
          <w:szCs w:val="24"/>
          <w:highlight w:val="none"/>
          <w:lang w:val="en-US" w:eastAsia="zh-CN"/>
        </w:rPr>
        <w:t>1</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eastAsiaTheme="minorEastAsia"/>
          <w:color w:val="auto"/>
          <w:kern w:val="0"/>
          <w:sz w:val="24"/>
          <w:szCs w:val="24"/>
          <w:highlight w:val="none"/>
          <w:lang w:val="en-US" w:eastAsia="zh-CN"/>
        </w:rPr>
        <w:t>投标报价</w:t>
      </w:r>
      <w:r>
        <w:rPr>
          <w:rFonts w:hint="default" w:ascii="Times New Roman" w:hAnsi="Times New Roman" w:cs="Times New Roman" w:eastAsiaTheme="minorEastAsia"/>
          <w:color w:val="auto"/>
          <w:kern w:val="0"/>
          <w:sz w:val="24"/>
          <w:szCs w:val="24"/>
          <w:highlight w:val="none"/>
        </w:rPr>
        <w:t>：见</w:t>
      </w:r>
      <w:r>
        <w:rPr>
          <w:rFonts w:hint="default" w:ascii="Times New Roman" w:hAnsi="Times New Roman" w:cs="Times New Roman" w:eastAsiaTheme="minorEastAsia"/>
          <w:kern w:val="0"/>
          <w:sz w:val="24"/>
          <w:szCs w:val="24"/>
          <w:highlight w:val="none"/>
        </w:rPr>
        <w:t>评标办法前附表；</w:t>
      </w:r>
    </w:p>
    <w:p w14:paraId="30B321D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2</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服务方案</w:t>
      </w:r>
      <w:r>
        <w:rPr>
          <w:rFonts w:hint="default" w:ascii="Times New Roman" w:hAnsi="Times New Roman" w:cs="Times New Roman" w:eastAsiaTheme="minorEastAsia"/>
          <w:color w:val="auto"/>
          <w:kern w:val="0"/>
          <w:sz w:val="24"/>
          <w:szCs w:val="24"/>
          <w:highlight w:val="none"/>
        </w:rPr>
        <w:t>：见评标办法前附表；</w:t>
      </w:r>
    </w:p>
    <w:p w14:paraId="5EC7BE0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color w:val="auto"/>
          <w:kern w:val="0"/>
          <w:sz w:val="24"/>
          <w:szCs w:val="24"/>
          <w:highlight w:val="yellow"/>
          <w:lang w:val="en-US" w:eastAsia="zh-CN"/>
        </w:rPr>
      </w:pPr>
      <w:r>
        <w:rPr>
          <w:rFonts w:hint="eastAsia" w:ascii="Times New Roman" w:hAnsi="Times New Roman" w:cs="Times New Roman" w:eastAsiaTheme="minorEastAsia"/>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3</w:t>
      </w:r>
      <w:r>
        <w:rPr>
          <w:rFonts w:hint="eastAsia" w:ascii="Times New Roman" w:hAnsi="Times New Roman" w:cs="Times New Roman" w:eastAsiaTheme="minorEastAsia"/>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lang w:val="en-US" w:eastAsia="zh-CN"/>
        </w:rPr>
        <w:t>其他评分因素</w:t>
      </w:r>
      <w:r>
        <w:rPr>
          <w:rFonts w:hint="default" w:ascii="Times New Roman" w:hAnsi="Times New Roman" w:cs="Times New Roman" w:eastAsiaTheme="minorEastAsia"/>
          <w:color w:val="auto"/>
          <w:kern w:val="0"/>
          <w:sz w:val="24"/>
          <w:szCs w:val="24"/>
          <w:highlight w:val="none"/>
        </w:rPr>
        <w:t>：见评标办法前附表</w:t>
      </w:r>
      <w:r>
        <w:rPr>
          <w:rFonts w:hint="eastAsia" w:ascii="Times New Roman" w:hAnsi="Times New Roman" w:cs="Times New Roman" w:eastAsiaTheme="minorEastAsia"/>
          <w:color w:val="auto"/>
          <w:kern w:val="0"/>
          <w:sz w:val="24"/>
          <w:szCs w:val="24"/>
          <w:highlight w:val="none"/>
          <w:lang w:eastAsia="zh-CN"/>
        </w:rPr>
        <w:t>。</w:t>
      </w:r>
    </w:p>
    <w:p w14:paraId="4957F7F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2.2.2 评标基准价计算</w:t>
      </w:r>
    </w:p>
    <w:p w14:paraId="4ED8137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评标基准价计算方法：见评标办法前附表。</w:t>
      </w:r>
    </w:p>
    <w:p w14:paraId="3BF2A4A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2.2.3 投标报价的偏差率计算</w:t>
      </w:r>
    </w:p>
    <w:p w14:paraId="35274057">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投标报价的偏差率计算公式：见评标办法前附表。</w:t>
      </w:r>
    </w:p>
    <w:p w14:paraId="56253F0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2.2.4 评分标准</w:t>
      </w:r>
    </w:p>
    <w:p w14:paraId="74BC500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1</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eastAsiaTheme="minorEastAsia"/>
          <w:color w:val="auto"/>
          <w:kern w:val="0"/>
          <w:sz w:val="24"/>
          <w:szCs w:val="24"/>
          <w:highlight w:val="none"/>
          <w:lang w:val="en-US" w:eastAsia="zh-CN"/>
        </w:rPr>
        <w:t>投标报价</w:t>
      </w:r>
      <w:r>
        <w:rPr>
          <w:rFonts w:hint="default" w:ascii="Times New Roman" w:hAnsi="Times New Roman" w:cs="Times New Roman" w:eastAsiaTheme="minorEastAsia"/>
          <w:color w:val="auto"/>
          <w:kern w:val="0"/>
          <w:sz w:val="24"/>
          <w:szCs w:val="24"/>
          <w:highlight w:val="none"/>
        </w:rPr>
        <w:t>：见评标办法前附表；</w:t>
      </w:r>
    </w:p>
    <w:p w14:paraId="6CCEBDC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2</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服务方案</w:t>
      </w:r>
      <w:r>
        <w:rPr>
          <w:rFonts w:hint="default" w:ascii="Times New Roman" w:hAnsi="Times New Roman" w:cs="Times New Roman" w:eastAsiaTheme="minorEastAsia"/>
          <w:color w:val="auto"/>
          <w:kern w:val="0"/>
          <w:sz w:val="24"/>
          <w:szCs w:val="24"/>
          <w:highlight w:val="none"/>
        </w:rPr>
        <w:t>：见评标办法前附表；</w:t>
      </w:r>
    </w:p>
    <w:p w14:paraId="6C8FD94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eastAsiaTheme="minorEastAsia"/>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3</w:t>
      </w:r>
      <w:r>
        <w:rPr>
          <w:rFonts w:hint="eastAsia" w:ascii="Times New Roman" w:hAnsi="Times New Roman" w:cs="Times New Roman" w:eastAsiaTheme="minorEastAsia"/>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lang w:val="en-US" w:eastAsia="zh-CN"/>
        </w:rPr>
        <w:t>其他评分因素</w:t>
      </w:r>
      <w:r>
        <w:rPr>
          <w:rFonts w:hint="default" w:ascii="Times New Roman" w:hAnsi="Times New Roman" w:cs="Times New Roman" w:eastAsiaTheme="minorEastAsia"/>
          <w:color w:val="auto"/>
          <w:kern w:val="0"/>
          <w:sz w:val="24"/>
          <w:szCs w:val="24"/>
          <w:highlight w:val="none"/>
        </w:rPr>
        <w:t>：见评标办法前附表</w:t>
      </w:r>
      <w:r>
        <w:rPr>
          <w:rFonts w:hint="eastAsia" w:ascii="Times New Roman" w:hAnsi="Times New Roman" w:cs="Times New Roman" w:eastAsiaTheme="minorEastAsia"/>
          <w:color w:val="auto"/>
          <w:kern w:val="0"/>
          <w:sz w:val="24"/>
          <w:szCs w:val="24"/>
          <w:highlight w:val="none"/>
          <w:lang w:eastAsia="zh-CN"/>
        </w:rPr>
        <w:t>。</w:t>
      </w:r>
    </w:p>
    <w:p w14:paraId="06F4272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14:paraId="422ED12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46996237"/>
      <w:bookmarkStart w:id="405" w:name="_Toc247085752"/>
      <w:bookmarkStart w:id="406" w:name="_Toc152042371"/>
      <w:bookmarkStart w:id="407" w:name="_Toc152045594"/>
      <w:bookmarkStart w:id="408" w:name="_Toc144974561"/>
      <w:bookmarkStart w:id="409" w:name="_Toc296602482"/>
      <w:bookmarkStart w:id="410" w:name="_Toc246996980"/>
      <w:bookmarkStart w:id="411" w:name="_Toc179632612"/>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14:paraId="2C36FEC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14:paraId="6AE80DD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14:paraId="3783792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1285A6A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2EDE2F1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14:paraId="4B44BA7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24F13A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0885AA4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72E0DF7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246996981"/>
      <w:bookmarkStart w:id="413" w:name="_Toc296602483"/>
      <w:bookmarkStart w:id="414" w:name="_Toc144974562"/>
      <w:bookmarkStart w:id="415" w:name="_Toc246996238"/>
      <w:bookmarkStart w:id="416" w:name="_Toc179632613"/>
      <w:bookmarkStart w:id="417" w:name="_Toc152042372"/>
      <w:bookmarkStart w:id="418" w:name="_Toc152045595"/>
      <w:bookmarkStart w:id="419" w:name="_Toc247085753"/>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14:paraId="28DEF3AD">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bookmarkStart w:id="420" w:name="_Toc144974563"/>
      <w:bookmarkStart w:id="421" w:name="_Toc152045596"/>
      <w:bookmarkStart w:id="422" w:name="_Toc179632614"/>
      <w:bookmarkStart w:id="423" w:name="_Toc246996982"/>
      <w:bookmarkStart w:id="424" w:name="_Toc246996239"/>
      <w:bookmarkStart w:id="425" w:name="_Toc152042373"/>
      <w:bookmarkStart w:id="426" w:name="_Toc296602484"/>
      <w:bookmarkStart w:id="427" w:name="_Toc24708575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14:paraId="3A5DB17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（1）按本章</w:t>
      </w:r>
      <w:r>
        <w:rPr>
          <w:rFonts w:hint="eastAsia" w:ascii="Times New Roman" w:hAnsi="Times New Roman" w:cs="Times New Roman"/>
          <w:color w:val="auto"/>
          <w:kern w:val="0"/>
          <w:sz w:val="24"/>
          <w:szCs w:val="24"/>
          <w:highlight w:val="none"/>
          <w:lang w:val="en-US" w:eastAsia="zh-CN"/>
        </w:rPr>
        <w:t>第2.2.4（1）目规定的评审因素和分值对投标报价计算出得分A；</w:t>
      </w:r>
    </w:p>
    <w:p w14:paraId="58C387C3">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2</w:t>
      </w:r>
      <w:r>
        <w:rPr>
          <w:rFonts w:hint="default" w:ascii="Times New Roman" w:hAnsi="Times New Roman" w:cs="Times New Roman"/>
          <w:color w:val="auto"/>
          <w:kern w:val="0"/>
          <w:sz w:val="24"/>
          <w:szCs w:val="24"/>
          <w:highlight w:val="none"/>
          <w:lang w:val="en-US" w:eastAsia="zh-CN"/>
        </w:rPr>
        <w:t>）按本章</w:t>
      </w:r>
      <w:r>
        <w:rPr>
          <w:rFonts w:hint="eastAsia" w:ascii="Times New Roman" w:hAnsi="Times New Roman" w:cs="Times New Roman"/>
          <w:color w:val="auto"/>
          <w:kern w:val="0"/>
          <w:sz w:val="24"/>
          <w:szCs w:val="24"/>
          <w:highlight w:val="none"/>
          <w:lang w:val="en-US" w:eastAsia="zh-CN"/>
        </w:rPr>
        <w:t>第2.2.4（2）目规定的评审因素和分值对服务方案计算出得分B；</w:t>
      </w:r>
    </w:p>
    <w:p w14:paraId="284B7E5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color w:val="auto"/>
          <w:kern w:val="0"/>
          <w:sz w:val="24"/>
          <w:szCs w:val="24"/>
          <w:highlight w:val="none"/>
          <w:lang w:val="en-US" w:eastAsia="zh-CN"/>
        </w:rPr>
        <w:t>）按本章</w:t>
      </w:r>
      <w:r>
        <w:rPr>
          <w:rFonts w:hint="eastAsia" w:ascii="Times New Roman" w:hAnsi="Times New Roman" w:cs="Times New Roman"/>
          <w:color w:val="auto"/>
          <w:kern w:val="0"/>
          <w:sz w:val="24"/>
          <w:szCs w:val="24"/>
          <w:highlight w:val="none"/>
          <w:lang w:val="en-US" w:eastAsia="zh-CN"/>
        </w:rPr>
        <w:t>第2.2.4（3）目规定的评审因素和分值对其他部分计算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出得分C；</w:t>
      </w:r>
    </w:p>
    <w:p w14:paraId="4655C06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14:paraId="1C149C6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14:paraId="6972372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14:paraId="6C4D181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14:paraId="37B9D9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14:paraId="48E2F3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3C2B19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1EDDF40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2AE7E2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2161C07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14:paraId="008402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14:paraId="1926B2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14:paraId="25E077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14:paraId="7682ADA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14:paraId="2517AFB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477D1DD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332649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3534411A">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630446F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27962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651268E">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11A3F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D9B3A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EF6CD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6B699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56284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17EF1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F7B16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8CDCF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
        </w:tc>
      </w:tr>
      <w:tr w14:paraId="0E4EB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DF76D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148ABB3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6805220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auto"/>
                <w:kern w:val="0"/>
                <w:sz w:val="24"/>
                <w:szCs w:val="24"/>
                <w:highlight w:val="none"/>
                <w:u w:val="none"/>
                <w:shd w:val="clear" w:color="auto" w:fill="auto"/>
                <w:vertAlign w:val="baseline"/>
                <w:lang w:val="en-US" w:eastAsia="zh-CN"/>
              </w:rPr>
            </w:pP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项目竣工验收合格，退还全部履约保证金，投标人向招标人提供全额增值税专用发票后支付至合同金额的97%，余款3%作为质保金，质保期满且无质量问题后无息支付。</w:t>
            </w:r>
          </w:p>
          <w:p w14:paraId="6772D5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42B78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494D82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79FE5CD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360FF0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FF0000"/>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自招标人会同有关部门验收合格之日起3年，质保内容包括本项目所有清单内设备设施及气体附属产品（质保期计算方式为质保期内出现质保问题，质保期将重新计算）。</w:t>
            </w:r>
          </w:p>
        </w:tc>
      </w:tr>
      <w:tr w14:paraId="7A8A3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603443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59606E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6D88611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质保期内成交人应对所供设备运营状况出具相关报告，出现故障时中标单位应派遣其单位正式员工专业技术人员24小时内到达现场进行排除。</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
        </w:tc>
      </w:tr>
    </w:tbl>
    <w:p w14:paraId="303F50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36DD52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14:paraId="06F38129">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73C3CA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14:paraId="345622C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5434C2EA">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heme="minorEastAsia" w:hAnsiTheme="minorEastAsia" w:cstheme="minorEastAsia"/>
          <w:sz w:val="28"/>
          <w:szCs w:val="28"/>
          <w:highlight w:val="none"/>
          <w:lang w:val="en-US" w:eastAsia="zh-CN"/>
        </w:rPr>
        <w:t>建设背景</w:t>
      </w:r>
    </w:p>
    <w:p w14:paraId="56B0CE91">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heme="minorEastAsia" w:hAnsiTheme="minorEastAsia" w:cstheme="minorEastAsia"/>
          <w:sz w:val="28"/>
          <w:szCs w:val="28"/>
          <w:highlight w:val="none"/>
          <w:lang w:val="en-US" w:eastAsia="zh-CN"/>
        </w:rPr>
        <w:t>亳州市公安局交警支队车辆管理所2018年开始投入使用至今，所有配套设施设备性能完善，为规范对驾考中心（车管所）柜式七氟丙烷气体灭火，现对档案室和机房内柜式七氟丙烷气体灭火剂钢瓶进行检测充装及相关要求。</w:t>
      </w:r>
    </w:p>
    <w:p w14:paraId="2D3A9973">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建设要求</w:t>
      </w:r>
    </w:p>
    <w:p w14:paraId="667E8A2E">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本次工程包含气体喷放试验、钢瓶拆装、瓶头阀检验、瓶体检验、气体充装、系统调试、来回运输等工作但不仅限于此。气体灭火系统储气钢瓶分两套系统，可分两批返厂检验，也可一批全部返厂，但必须由投标人提供合格的备用钢瓶（含气体），代替检验钢瓶接入至气体灭火系统，待钢瓶检验完毕回厂后，再进行替换，租赁费用由投标人承担，此项内容含在总价中。</w:t>
      </w:r>
    </w:p>
    <w:p w14:paraId="64295A80">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2.1试验部分</w:t>
      </w:r>
    </w:p>
    <w:p w14:paraId="721AE7C7">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firstLine="280" w:firstLineChars="1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喷放试验：</w:t>
      </w:r>
    </w:p>
    <w:p w14:paraId="5C1CD932">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制定气体喷放试验方案，对所有气体保护区域进行气体喷放测试（不符合喷放条件的区域进行模拟喷放）；</w:t>
      </w:r>
    </w:p>
    <w:p w14:paraId="7F5FE4E6">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所有保护区域的选择阀启闭试验；</w:t>
      </w:r>
    </w:p>
    <w:p w14:paraId="101B4F4C">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所有气体释放管道的单向阀启闭试验；</w:t>
      </w:r>
    </w:p>
    <w:p w14:paraId="3D0EEF17">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所有气瓶的高压软管气密性试验；</w:t>
      </w:r>
    </w:p>
    <w:p w14:paraId="05F94D40">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所有气瓶和高压软管的密封件及易损件更换；</w:t>
      </w:r>
    </w:p>
    <w:p w14:paraId="47B88809">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所有气瓶设备、管道及附属件文明卫生。</w:t>
      </w:r>
    </w:p>
    <w:p w14:paraId="13F45F59">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 xml:space="preserve">2.2钢瓶拆卸 </w:t>
      </w:r>
    </w:p>
    <w:p w14:paraId="6B7B6292">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钢瓶从气体灭火系统中拆下，拆卸过程中应采取保证安全的措施。拆卸过程中密封件的更换，和拆卸过程中造成的连接件等其他零配件损坏由投标人自行解决。</w:t>
      </w:r>
    </w:p>
    <w:p w14:paraId="3C3EE13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2.3钢瓶运输</w:t>
      </w:r>
    </w:p>
    <w:p w14:paraId="6851871B">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钢瓶运输包括厂内运输及厂外运输，厂内运输指钢瓶拆下至运输车辆上，厂外运输指从田集电厂至检验单位及气体充装厂家，运输应遵守国家特种设备运输相关规定，委托具备相应运输资质的企业负责运输，确保钢瓶安全。</w:t>
      </w:r>
    </w:p>
    <w:p w14:paraId="39A5F972">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2.4瓶头阀检验</w:t>
      </w:r>
    </w:p>
    <w:p w14:paraId="336DEFC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zh-CN" w:eastAsia="zh-CN"/>
        </w:rPr>
      </w:pPr>
      <w:r>
        <w:rPr>
          <w:rFonts w:hint="eastAsia" w:asciiTheme="minorEastAsia" w:hAnsiTheme="minorEastAsia" w:cstheme="minorEastAsia"/>
          <w:sz w:val="28"/>
          <w:szCs w:val="28"/>
          <w:highlight w:val="none"/>
          <w:lang w:val="en-US" w:eastAsia="zh-CN"/>
        </w:rPr>
        <w:t>根据《气瓶安全技术规程》的相关要求，对所有钢瓶的</w:t>
      </w:r>
      <w:r>
        <w:rPr>
          <w:rFonts w:hint="eastAsia" w:asciiTheme="minorEastAsia" w:hAnsiTheme="minorEastAsia" w:cstheme="minorEastAsia"/>
          <w:sz w:val="28"/>
          <w:szCs w:val="28"/>
          <w:highlight w:val="none"/>
          <w:lang w:val="zh-CN" w:eastAsia="zh-CN"/>
        </w:rPr>
        <w:t>瓶头阀内部拆卸清洗，更换易损零部件后回装瓶头阀。瓶头阀应装配牢固并应保证其与瓶口连接的有效螺纹牙数和密封性能，其外露螺纹数不得少于1-2牙。</w:t>
      </w:r>
    </w:p>
    <w:p w14:paraId="38EE32B5">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对检验不合格的瓶头阀，更换为原厂一致规格的瓶头阀，更换的瓶头阀、高压释放软管等所需设备、材料及施工费用均由投标人承担（此项费用含在总价中）。</w:t>
      </w:r>
    </w:p>
    <w:p w14:paraId="00BA4D62">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2.5瓶体检验</w:t>
      </w:r>
    </w:p>
    <w:p w14:paraId="5E59E6C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zh-CN" w:eastAsia="zh-CN"/>
        </w:rPr>
      </w:pPr>
      <w:r>
        <w:rPr>
          <w:rFonts w:hint="eastAsia" w:asciiTheme="minorEastAsia" w:hAnsiTheme="minorEastAsia" w:cstheme="minorEastAsia"/>
          <w:sz w:val="28"/>
          <w:szCs w:val="28"/>
          <w:highlight w:val="none"/>
          <w:lang w:val="en-US" w:eastAsia="zh-CN"/>
        </w:rPr>
        <w:t>钢瓶运至检验机构进行瓶体检验，检验机构应按照《特种设备检验检验机构核准规则》（TSGZ7001）规定，取得气瓶定期检验核准证。按照《气瓶安全技术规程》（TSG23-2021）和《气瓶安全监察规程》的规定对气瓶逐具进行检验，及时、真实的填写检验记录，出具定期检验报告。检验过程中发现有因质量问题不能再继续使用的钢瓶进行报废处理，由检验厂家出具不合格报告，及时告知业主方，由业主方另行购买，报废的气瓶进行消除使用功能的破坏性处理。</w:t>
      </w:r>
      <w:r>
        <w:rPr>
          <w:rFonts w:hint="eastAsia" w:asciiTheme="minorEastAsia" w:hAnsiTheme="minorEastAsia" w:cstheme="minorEastAsia"/>
          <w:sz w:val="28"/>
          <w:szCs w:val="28"/>
          <w:highlight w:val="none"/>
          <w:lang w:val="zh-CN" w:eastAsia="zh-CN"/>
        </w:rPr>
        <w:t>对钢瓶压力表计进行更换，并贴定期检验合格标签。检验合格的气瓶必须按GB 7144的规定重新喷涂气瓶颜色标记，在钢瓶瓶体上的明显部位贴上合格证。</w:t>
      </w:r>
    </w:p>
    <w:p w14:paraId="43FBBD3D">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2.6充装气体</w:t>
      </w:r>
    </w:p>
    <w:p w14:paraId="11593BF0">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检验合格后，至气体生产厂家进行气体充装，充装压力至合格范围内。若气体充装厂家具有气瓶检验资质。</w:t>
      </w:r>
    </w:p>
    <w:p w14:paraId="551777C3">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2.7运回安装</w:t>
      </w:r>
    </w:p>
    <w:p w14:paraId="42101FB8">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将充满气体的钢瓶原样安装至气体灭火系统并对管道重新加固、刷漆。</w:t>
      </w:r>
    </w:p>
    <w:p w14:paraId="28BDF8FE">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2.8系统调试</w:t>
      </w:r>
    </w:p>
    <w:p w14:paraId="63DCF768">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按照《气体灭火系统验收规范》进行系统验收、调试，确保恢复后的气体灭火系统正常使用。</w:t>
      </w:r>
    </w:p>
    <w:p w14:paraId="35E98BAB">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p>
    <w:p w14:paraId="2891FFF6">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jc w:val="both"/>
        <w:textAlignment w:val="auto"/>
        <w:outlineLvl w:val="9"/>
        <w:rPr>
          <w:rFonts w:hint="default" w:asciiTheme="minorEastAsia" w:hAnsiTheme="minorEastAsia" w:cstheme="minorEastAsia"/>
          <w:sz w:val="28"/>
          <w:szCs w:val="28"/>
          <w:highlight w:val="none"/>
          <w:lang w:val="en-US" w:eastAsia="zh-CN"/>
        </w:rPr>
      </w:pPr>
    </w:p>
    <w:p w14:paraId="0D745395">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三、符合相关国标技术规程及要求</w:t>
      </w:r>
    </w:p>
    <w:p w14:paraId="260203A3">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3.1为保留气体灭火系统灭火能力，乙方在钢瓶检测、充装期间提供已充装并检验合格临时替代气瓶。乙方应保证现场消防系统备用良好，临时气瓶的安全性能不低于原装气瓶。一次完成检测、充装，工期控制在30天内。临时替代气瓶的所有费用（包含折旧、租赁、运输、拆卸、安装、调试等）均含在本次钢瓶检测、充装报价内。</w:t>
      </w:r>
    </w:p>
    <w:p w14:paraId="4DDDA91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3.2气瓶充装检测必须按照TSG 23-2021《气瓶安全技术规程》、GB13004-1999《钢质无缝气瓶定期检验与评定》标准执行。钢质有缝气瓶定期检验项目包括：外观检查、音响检查、瓶口螺纹检查、内部检查、重量与容积测定、水压试验、瓶阀检验、气密性试验。气瓶定期检验机构应认真填写检验记录，检验结束后应当对检验合格或者报废的气瓶及时出具气瓶检验报告。检验记录和检验报告应当真实、准确。</w:t>
      </w:r>
    </w:p>
    <w:p w14:paraId="6513817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3.3气瓶的定期检测必须符合《GB/T 13004-2016》协议，检验合格的气瓶，应按TSGR0006《气瓶安全技术监察规程》的规定打印或压印检验标志、喷涂检验色标。检验合格的气瓶应重新进行涂敷。涂敷前应清除表面油污、锈蚀等杂物，且在干燥的条件下方可涂敷。气瓶表面漆色、字样、字色应符合GB 7144-2016的规定。</w:t>
      </w:r>
    </w:p>
    <w:p w14:paraId="547797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3.4气瓶充装必须符合《GB/T 14193-2009》协议。气瓶充装前进行检查、检测并确定气瓶合格，气体充装量必须精确计量，并按规定逐只检查核定。充装单位应专人负责填写气瓶充装记录。记录内容至少包括：充气日期、瓶号、室温、气瓶标记容积、质量、充气后总质量、有无发现异常情况、充装者和检验者代号。充装单位应负责妥善保管气瓶充装记录，保存时间不少于三年。</w:t>
      </w:r>
    </w:p>
    <w:p w14:paraId="39E7E08B">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cstheme="minorEastAsia"/>
          <w:sz w:val="28"/>
          <w:szCs w:val="28"/>
          <w:highlight w:val="none"/>
          <w:lang w:val="en-US" w:eastAsia="zh-CN"/>
        </w:rPr>
      </w:pPr>
      <w:bookmarkStart w:id="428" w:name="_Toc194231891"/>
      <w:bookmarkStart w:id="429" w:name="_Toc194212559"/>
      <w:bookmarkStart w:id="430" w:name="_Toc336264004"/>
      <w:bookmarkStart w:id="431" w:name="_Toc194298254"/>
      <w:bookmarkStart w:id="432" w:name="_Toc336251584"/>
      <w:bookmarkStart w:id="433" w:name="_Toc194231502"/>
      <w:bookmarkStart w:id="434" w:name="_Toc507431112"/>
      <w:bookmarkStart w:id="435" w:name="_Toc358889960"/>
      <w:bookmarkStart w:id="436" w:name="_Toc507431235"/>
      <w:bookmarkStart w:id="437" w:name="_Toc358889820"/>
      <w:r>
        <w:rPr>
          <w:rFonts w:hint="eastAsia" w:asciiTheme="minorEastAsia" w:hAnsiTheme="minorEastAsia" w:cstheme="minorEastAsia"/>
          <w:sz w:val="28"/>
          <w:szCs w:val="28"/>
          <w:highlight w:val="none"/>
          <w:lang w:val="en-US" w:eastAsia="zh-CN"/>
        </w:rPr>
        <w:t>四、相关规范</w:t>
      </w:r>
    </w:p>
    <w:p w14:paraId="0234E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乙方所采用的带有有效日期的标准、规程、规定的交付时间应满足协议书附件的要求。</w:t>
      </w:r>
      <w:bookmarkEnd w:id="428"/>
      <w:bookmarkEnd w:id="429"/>
      <w:bookmarkEnd w:id="430"/>
      <w:bookmarkEnd w:id="431"/>
      <w:bookmarkEnd w:id="432"/>
      <w:bookmarkEnd w:id="433"/>
      <w:r>
        <w:rPr>
          <w:rFonts w:hint="eastAsia" w:asciiTheme="minorEastAsia" w:hAnsiTheme="minorEastAsia" w:cstheme="minorEastAsia"/>
          <w:sz w:val="28"/>
          <w:szCs w:val="28"/>
          <w:highlight w:val="none"/>
          <w:lang w:val="en-US" w:eastAsia="zh-CN"/>
        </w:rPr>
        <w:t>其设计、制造、喷涂、检验、试验和包装应符合下列（但不限于下列）最新版本的国家标准：</w:t>
      </w:r>
      <w:bookmarkEnd w:id="434"/>
      <w:bookmarkEnd w:id="435"/>
      <w:bookmarkEnd w:id="436"/>
      <w:bookmarkEnd w:id="437"/>
    </w:p>
    <w:tbl>
      <w:tblPr>
        <w:tblStyle w:val="17"/>
        <w:tblW w:w="9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327"/>
        <w:gridCol w:w="5764"/>
      </w:tblGrid>
      <w:tr w14:paraId="572FB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3327" w:type="dxa"/>
            <w:noWrap w:val="0"/>
            <w:vAlign w:val="center"/>
          </w:tcPr>
          <w:p w14:paraId="277EF3F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sq-AL" w:eastAsia="zh-CN"/>
              </w:rPr>
            </w:pPr>
            <w:r>
              <w:rPr>
                <w:rFonts w:hint="eastAsia" w:ascii="Times New Roman" w:hAnsi="Times New Roman" w:cs="Times New Roman"/>
                <w:kern w:val="0"/>
                <w:sz w:val="24"/>
                <w:szCs w:val="24"/>
                <w:highlight w:val="none"/>
                <w:shd w:val="clear" w:color="auto" w:fill="auto"/>
                <w:vertAlign w:val="baseline"/>
                <w:lang w:val="sq-AL" w:eastAsia="zh-CN"/>
              </w:rPr>
              <w:t>标准代号</w:t>
            </w:r>
          </w:p>
        </w:tc>
        <w:tc>
          <w:tcPr>
            <w:tcW w:w="5764" w:type="dxa"/>
            <w:noWrap w:val="0"/>
            <w:vAlign w:val="center"/>
          </w:tcPr>
          <w:p w14:paraId="133375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sq-AL" w:eastAsia="zh-CN"/>
              </w:rPr>
            </w:pPr>
            <w:r>
              <w:rPr>
                <w:rFonts w:hint="eastAsia" w:ascii="Times New Roman" w:hAnsi="Times New Roman" w:cs="Times New Roman"/>
                <w:kern w:val="0"/>
                <w:sz w:val="24"/>
                <w:szCs w:val="24"/>
                <w:highlight w:val="none"/>
                <w:shd w:val="clear" w:color="auto" w:fill="auto"/>
                <w:vertAlign w:val="baseline"/>
                <w:lang w:val="sq-AL" w:eastAsia="zh-CN"/>
              </w:rPr>
              <w:t>名      称</w:t>
            </w:r>
          </w:p>
        </w:tc>
      </w:tr>
      <w:tr w14:paraId="0A60F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3327" w:type="dxa"/>
            <w:noWrap w:val="0"/>
            <w:vAlign w:val="center"/>
          </w:tcPr>
          <w:p w14:paraId="70A272B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sq-AL" w:eastAsia="zh-CN"/>
              </w:rPr>
              <w:t>GB 50370-2005</w:t>
            </w:r>
          </w:p>
        </w:tc>
        <w:tc>
          <w:tcPr>
            <w:tcW w:w="5764" w:type="dxa"/>
            <w:noWrap w:val="0"/>
            <w:vAlign w:val="center"/>
          </w:tcPr>
          <w:p w14:paraId="3453AE8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sq-AL" w:eastAsia="zh-CN"/>
              </w:rPr>
              <w:t>气体灭火系统设计协议</w:t>
            </w:r>
          </w:p>
        </w:tc>
      </w:tr>
      <w:tr w14:paraId="1FBEB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3327" w:type="dxa"/>
            <w:noWrap w:val="0"/>
            <w:vAlign w:val="center"/>
          </w:tcPr>
          <w:p w14:paraId="52824CF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GB25201-2010</w:t>
            </w:r>
          </w:p>
        </w:tc>
        <w:tc>
          <w:tcPr>
            <w:tcW w:w="5764" w:type="dxa"/>
            <w:noWrap w:val="0"/>
            <w:vAlign w:val="center"/>
          </w:tcPr>
          <w:p w14:paraId="5E6743A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建筑消防设施的维护管理</w:t>
            </w:r>
          </w:p>
        </w:tc>
      </w:tr>
      <w:tr w14:paraId="2359C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3327" w:type="dxa"/>
            <w:noWrap w:val="0"/>
            <w:vAlign w:val="center"/>
          </w:tcPr>
          <w:p w14:paraId="3C7E21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sq-AL" w:eastAsia="zh-CN"/>
              </w:rPr>
              <w:t>GA 400-2002</w:t>
            </w:r>
          </w:p>
        </w:tc>
        <w:tc>
          <w:tcPr>
            <w:tcW w:w="5764" w:type="dxa"/>
            <w:noWrap w:val="0"/>
            <w:vAlign w:val="center"/>
          </w:tcPr>
          <w:p w14:paraId="54A84F2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气体灭火系统及零部件性能要求和试验方法</w:t>
            </w:r>
          </w:p>
        </w:tc>
      </w:tr>
      <w:tr w14:paraId="60B17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3327" w:type="dxa"/>
            <w:noWrap w:val="0"/>
            <w:vAlign w:val="top"/>
          </w:tcPr>
          <w:p w14:paraId="3B07CD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sq-AL" w:eastAsia="zh-CN"/>
              </w:rPr>
            </w:pPr>
            <w:r>
              <w:rPr>
                <w:rFonts w:hint="eastAsia" w:ascii="Times New Roman" w:hAnsi="Times New Roman" w:cs="Times New Roman"/>
                <w:kern w:val="0"/>
                <w:sz w:val="24"/>
                <w:szCs w:val="24"/>
                <w:highlight w:val="none"/>
                <w:shd w:val="clear" w:color="auto" w:fill="auto"/>
                <w:vertAlign w:val="baseline"/>
                <w:lang w:val="en-US" w:eastAsia="zh-CN"/>
              </w:rPr>
              <w:fldChar w:fldCharType="begin"/>
            </w:r>
            <w:r>
              <w:rPr>
                <w:rFonts w:hint="eastAsia" w:ascii="Times New Roman" w:hAnsi="Times New Roman" w:cs="Times New Roman"/>
                <w:kern w:val="0"/>
                <w:sz w:val="24"/>
                <w:szCs w:val="24"/>
                <w:highlight w:val="none"/>
                <w:shd w:val="clear" w:color="auto" w:fill="auto"/>
                <w:vertAlign w:val="baseline"/>
                <w:lang w:val="en-US" w:eastAsia="zh-CN"/>
              </w:rPr>
              <w:instrText xml:space="preserve"> HYPERLINK "http://www.baidu.com/link?url=UU7wK2HDJZqStyZCXF4SfFlY29lgQ3KTreUj4ZokRaPczBNCKkaMzbgotXaJojF_Ni2AoVpyCOGJICIurOp0-_" \t "_blank" </w:instrText>
            </w:r>
            <w:r>
              <w:rPr>
                <w:rFonts w:hint="eastAsia" w:ascii="Times New Roman" w:hAnsi="Times New Roman" w:cs="Times New Roman"/>
                <w:kern w:val="0"/>
                <w:sz w:val="24"/>
                <w:szCs w:val="24"/>
                <w:highlight w:val="none"/>
                <w:shd w:val="clear" w:color="auto" w:fill="auto"/>
                <w:vertAlign w:val="baseline"/>
                <w:lang w:val="en-US" w:eastAsia="zh-CN"/>
              </w:rPr>
              <w:fldChar w:fldCharType="separate"/>
            </w:r>
            <w:r>
              <w:rPr>
                <w:rFonts w:hint="eastAsia" w:ascii="Times New Roman" w:hAnsi="Times New Roman" w:cs="Times New Roman"/>
                <w:kern w:val="0"/>
                <w:sz w:val="24"/>
                <w:szCs w:val="24"/>
                <w:highlight w:val="none"/>
                <w:shd w:val="clear" w:color="auto" w:fill="auto"/>
                <w:vertAlign w:val="baseline"/>
                <w:lang w:val="en-US" w:eastAsia="zh-CN"/>
              </w:rPr>
              <w:t>GB 5099-</w:t>
            </w:r>
            <w:r>
              <w:rPr>
                <w:rFonts w:hint="eastAsia" w:ascii="Times New Roman" w:hAnsi="Times New Roman" w:cs="Times New Roman"/>
                <w:kern w:val="0"/>
                <w:sz w:val="24"/>
                <w:szCs w:val="24"/>
                <w:highlight w:val="none"/>
                <w:shd w:val="clear" w:color="auto" w:fill="auto"/>
                <w:vertAlign w:val="baseline"/>
                <w:lang w:val="en-US" w:eastAsia="zh-CN"/>
              </w:rPr>
              <w:fldChar w:fldCharType="end"/>
            </w:r>
            <w:r>
              <w:rPr>
                <w:rFonts w:hint="eastAsia" w:ascii="Times New Roman" w:hAnsi="Times New Roman" w:cs="Times New Roman"/>
                <w:kern w:val="0"/>
                <w:sz w:val="24"/>
                <w:szCs w:val="24"/>
                <w:highlight w:val="none"/>
                <w:shd w:val="clear" w:color="auto" w:fill="auto"/>
                <w:vertAlign w:val="baseline"/>
                <w:lang w:val="en-US" w:eastAsia="zh-CN"/>
              </w:rPr>
              <w:t>1994</w:t>
            </w:r>
          </w:p>
        </w:tc>
        <w:tc>
          <w:tcPr>
            <w:tcW w:w="5764" w:type="dxa"/>
            <w:noWrap w:val="0"/>
            <w:vAlign w:val="top"/>
          </w:tcPr>
          <w:p w14:paraId="108D7C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钢质无缝气瓶</w:t>
            </w:r>
          </w:p>
        </w:tc>
      </w:tr>
      <w:tr w14:paraId="029A3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3327" w:type="dxa"/>
            <w:noWrap w:val="0"/>
            <w:vAlign w:val="center"/>
          </w:tcPr>
          <w:p w14:paraId="0D9120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TSG 23-2021</w:t>
            </w:r>
          </w:p>
        </w:tc>
        <w:tc>
          <w:tcPr>
            <w:tcW w:w="5764" w:type="dxa"/>
            <w:noWrap w:val="0"/>
            <w:vAlign w:val="center"/>
          </w:tcPr>
          <w:p w14:paraId="6037659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气瓶安全技术规程</w:t>
            </w:r>
          </w:p>
        </w:tc>
      </w:tr>
      <w:tr w14:paraId="3FD0E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3327" w:type="dxa"/>
            <w:noWrap w:val="0"/>
            <w:vAlign w:val="center"/>
          </w:tcPr>
          <w:p w14:paraId="177F34B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TSG RF001-2009</w:t>
            </w:r>
          </w:p>
        </w:tc>
        <w:tc>
          <w:tcPr>
            <w:tcW w:w="5764" w:type="dxa"/>
            <w:noWrap w:val="0"/>
            <w:vAlign w:val="center"/>
          </w:tcPr>
          <w:p w14:paraId="495D634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气瓶附件安全技术监察规程</w:t>
            </w:r>
          </w:p>
        </w:tc>
      </w:tr>
      <w:tr w14:paraId="68831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3327" w:type="dxa"/>
            <w:noWrap w:val="0"/>
            <w:vAlign w:val="center"/>
          </w:tcPr>
          <w:p w14:paraId="6CC12F8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GB 7144-2016</w:t>
            </w:r>
          </w:p>
        </w:tc>
        <w:tc>
          <w:tcPr>
            <w:tcW w:w="5764" w:type="dxa"/>
            <w:noWrap w:val="0"/>
            <w:vAlign w:val="center"/>
          </w:tcPr>
          <w:p w14:paraId="132F91D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fldChar w:fldCharType="begin"/>
            </w:r>
            <w:r>
              <w:rPr>
                <w:rFonts w:hint="eastAsia" w:ascii="Times New Roman" w:hAnsi="Times New Roman" w:cs="Times New Roman"/>
                <w:kern w:val="0"/>
                <w:sz w:val="24"/>
                <w:szCs w:val="24"/>
                <w:highlight w:val="none"/>
                <w:shd w:val="clear" w:color="auto" w:fill="auto"/>
                <w:vertAlign w:val="baseline"/>
                <w:lang w:val="en-US" w:eastAsia="zh-CN"/>
              </w:rPr>
              <w:instrText xml:space="preserve"> HYPERLINK "http://www.so.com/link?m=aKjiboQboY2%2FpwKs3WMCH6ZNrDhooLSpqQZUotgy9M0XjA4M1VP9p1wWLkV%2FdiG817cAxXopV2jjWB1n3XP4vEjhjiecn0IXsZiVsI8%2Bq6tUmQ1%2BBr7c6Q5R7NnOOCuZ2RhaACA%3D%3D" \t "_blank" </w:instrText>
            </w:r>
            <w:r>
              <w:rPr>
                <w:rFonts w:hint="eastAsia" w:ascii="Times New Roman" w:hAnsi="Times New Roman" w:cs="Times New Roman"/>
                <w:kern w:val="0"/>
                <w:sz w:val="24"/>
                <w:szCs w:val="24"/>
                <w:highlight w:val="none"/>
                <w:shd w:val="clear" w:color="auto" w:fill="auto"/>
                <w:vertAlign w:val="baseline"/>
                <w:lang w:val="en-US" w:eastAsia="zh-CN"/>
              </w:rPr>
              <w:fldChar w:fldCharType="separate"/>
            </w:r>
            <w:r>
              <w:rPr>
                <w:rFonts w:hint="eastAsia" w:ascii="Times New Roman" w:hAnsi="Times New Roman" w:cs="Times New Roman"/>
                <w:kern w:val="0"/>
                <w:sz w:val="24"/>
                <w:szCs w:val="24"/>
                <w:highlight w:val="none"/>
                <w:shd w:val="clear" w:color="auto" w:fill="auto"/>
                <w:vertAlign w:val="baseline"/>
                <w:lang w:val="en-US" w:eastAsia="zh-CN"/>
              </w:rPr>
              <w:t>气瓶颜色标志</w:t>
            </w:r>
            <w:r>
              <w:rPr>
                <w:rFonts w:hint="eastAsia" w:ascii="Times New Roman" w:hAnsi="Times New Roman" w:cs="Times New Roman"/>
                <w:kern w:val="0"/>
                <w:sz w:val="24"/>
                <w:szCs w:val="24"/>
                <w:highlight w:val="none"/>
                <w:shd w:val="clear" w:color="auto" w:fill="auto"/>
                <w:vertAlign w:val="baseline"/>
                <w:lang w:val="en-US" w:eastAsia="zh-CN"/>
              </w:rPr>
              <w:fldChar w:fldCharType="end"/>
            </w:r>
          </w:p>
        </w:tc>
      </w:tr>
      <w:tr w14:paraId="4899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3327" w:type="dxa"/>
            <w:noWrap w:val="0"/>
            <w:vAlign w:val="center"/>
          </w:tcPr>
          <w:p w14:paraId="2A12DD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GB13004-2016</w:t>
            </w:r>
          </w:p>
        </w:tc>
        <w:tc>
          <w:tcPr>
            <w:tcW w:w="5764" w:type="dxa"/>
            <w:noWrap w:val="0"/>
            <w:vAlign w:val="center"/>
          </w:tcPr>
          <w:p w14:paraId="7779BDE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钢质无缝气瓶定期检验与评定</w:t>
            </w:r>
          </w:p>
        </w:tc>
      </w:tr>
    </w:tbl>
    <w:p w14:paraId="106203A0">
      <w:pPr>
        <w:pStyle w:val="31"/>
        <w:spacing w:line="360" w:lineRule="auto"/>
        <w:ind w:firstLine="600" w:firstLineChars="200"/>
        <w:rPr>
          <w:rFonts w:hint="eastAsia" w:ascii="宋体" w:hAnsi="宋体" w:cs="宋体"/>
          <w:sz w:val="30"/>
          <w:szCs w:val="30"/>
        </w:rPr>
      </w:pPr>
    </w:p>
    <w:p w14:paraId="51DE0F62">
      <w:pPr>
        <w:pStyle w:val="31"/>
        <w:spacing w:line="360" w:lineRule="auto"/>
        <w:rPr>
          <w:rFonts w:hint="eastAsia" w:ascii="宋体" w:hAnsi="宋体" w:cs="宋体"/>
          <w:sz w:val="30"/>
          <w:szCs w:val="30"/>
        </w:rPr>
      </w:pPr>
    </w:p>
    <w:p w14:paraId="2A597BF4">
      <w:pPr>
        <w:pStyle w:val="31"/>
        <w:spacing w:line="360" w:lineRule="auto"/>
        <w:rPr>
          <w:rFonts w:hint="eastAsia" w:ascii="宋体" w:hAnsi="宋体" w:cs="宋体"/>
          <w:sz w:val="30"/>
          <w:szCs w:val="30"/>
        </w:rPr>
      </w:pPr>
    </w:p>
    <w:p w14:paraId="2E04E2D7">
      <w:pPr>
        <w:pStyle w:val="31"/>
        <w:spacing w:line="360" w:lineRule="auto"/>
        <w:rPr>
          <w:rFonts w:hint="eastAsia" w:ascii="宋体" w:hAnsi="宋体" w:cs="宋体"/>
          <w:sz w:val="30"/>
          <w:szCs w:val="30"/>
        </w:rPr>
      </w:pPr>
    </w:p>
    <w:p w14:paraId="311450F8">
      <w:pPr>
        <w:pStyle w:val="31"/>
        <w:spacing w:line="360" w:lineRule="auto"/>
        <w:rPr>
          <w:rFonts w:hint="eastAsia" w:ascii="宋体" w:hAnsi="宋体" w:cs="宋体"/>
          <w:sz w:val="30"/>
          <w:szCs w:val="30"/>
        </w:rPr>
      </w:pPr>
    </w:p>
    <w:p w14:paraId="2CA19B46">
      <w:pPr>
        <w:pStyle w:val="31"/>
        <w:spacing w:line="360" w:lineRule="auto"/>
        <w:rPr>
          <w:rFonts w:hint="eastAsia" w:ascii="宋体" w:hAnsi="宋体" w:cs="宋体"/>
          <w:sz w:val="30"/>
          <w:szCs w:val="30"/>
        </w:rPr>
      </w:pPr>
    </w:p>
    <w:p w14:paraId="29952A49">
      <w:pPr>
        <w:pStyle w:val="31"/>
        <w:spacing w:line="360" w:lineRule="auto"/>
        <w:rPr>
          <w:rFonts w:hint="eastAsia" w:ascii="宋体" w:hAnsi="宋体" w:cs="宋体"/>
          <w:sz w:val="30"/>
          <w:szCs w:val="30"/>
        </w:rPr>
      </w:pPr>
    </w:p>
    <w:p w14:paraId="7A360B93">
      <w:pPr>
        <w:pStyle w:val="31"/>
        <w:spacing w:line="360" w:lineRule="auto"/>
        <w:rPr>
          <w:rFonts w:hint="eastAsia" w:ascii="宋体" w:hAnsi="宋体" w:cs="宋体"/>
          <w:sz w:val="30"/>
          <w:szCs w:val="30"/>
        </w:rPr>
      </w:pPr>
    </w:p>
    <w:p w14:paraId="7033AD2A">
      <w:pPr>
        <w:pStyle w:val="31"/>
        <w:spacing w:line="360" w:lineRule="auto"/>
        <w:rPr>
          <w:rFonts w:hint="eastAsia" w:ascii="宋体" w:hAnsi="宋体" w:cs="宋体"/>
          <w:sz w:val="30"/>
          <w:szCs w:val="30"/>
        </w:rPr>
      </w:pPr>
    </w:p>
    <w:p w14:paraId="0007DF0E">
      <w:pPr>
        <w:pStyle w:val="31"/>
        <w:spacing w:line="360" w:lineRule="auto"/>
        <w:rPr>
          <w:rFonts w:hint="eastAsia" w:ascii="宋体" w:hAnsi="宋体" w:cs="宋体"/>
          <w:sz w:val="30"/>
          <w:szCs w:val="30"/>
        </w:rPr>
      </w:pPr>
    </w:p>
    <w:p w14:paraId="1077E3AB">
      <w:pPr>
        <w:pStyle w:val="31"/>
        <w:spacing w:line="360" w:lineRule="auto"/>
        <w:rPr>
          <w:rFonts w:hint="eastAsia" w:ascii="宋体" w:hAnsi="宋体" w:cs="宋体"/>
          <w:sz w:val="30"/>
          <w:szCs w:val="30"/>
        </w:rPr>
      </w:pPr>
    </w:p>
    <w:p w14:paraId="7A4D0048">
      <w:pPr>
        <w:pStyle w:val="31"/>
        <w:spacing w:line="360" w:lineRule="auto"/>
        <w:rPr>
          <w:rFonts w:hint="eastAsia" w:ascii="宋体" w:hAnsi="宋体" w:cs="宋体"/>
          <w:sz w:val="30"/>
          <w:szCs w:val="30"/>
        </w:rPr>
      </w:pPr>
    </w:p>
    <w:p w14:paraId="4FB3C842">
      <w:pPr>
        <w:pStyle w:val="31"/>
        <w:spacing w:line="360" w:lineRule="auto"/>
        <w:rPr>
          <w:rFonts w:hint="eastAsia" w:ascii="宋体" w:hAnsi="宋体" w:cs="宋体"/>
          <w:sz w:val="30"/>
          <w:szCs w:val="30"/>
        </w:rPr>
      </w:pPr>
    </w:p>
    <w:p w14:paraId="3EAE76CE">
      <w:pPr>
        <w:pStyle w:val="31"/>
        <w:spacing w:line="360" w:lineRule="auto"/>
        <w:rPr>
          <w:rFonts w:hint="eastAsia" w:ascii="宋体" w:hAnsi="宋体" w:cs="宋体"/>
          <w:sz w:val="30"/>
          <w:szCs w:val="30"/>
        </w:rPr>
      </w:pPr>
    </w:p>
    <w:p w14:paraId="0661B32F">
      <w:pPr>
        <w:pStyle w:val="31"/>
        <w:spacing w:line="360" w:lineRule="auto"/>
        <w:rPr>
          <w:rFonts w:hint="eastAsia" w:ascii="宋体" w:hAnsi="宋体" w:cs="宋体"/>
          <w:sz w:val="30"/>
          <w:szCs w:val="30"/>
        </w:rPr>
      </w:pPr>
    </w:p>
    <w:p w14:paraId="6FBC9544">
      <w:pPr>
        <w:pStyle w:val="31"/>
        <w:spacing w:line="360" w:lineRule="auto"/>
        <w:rPr>
          <w:rFonts w:hint="eastAsia" w:ascii="宋体" w:hAnsi="宋体" w:cs="宋体"/>
          <w:sz w:val="30"/>
          <w:szCs w:val="30"/>
        </w:rPr>
      </w:pPr>
    </w:p>
    <w:p w14:paraId="412B60AE">
      <w:pPr>
        <w:pStyle w:val="31"/>
        <w:spacing w:line="360" w:lineRule="auto"/>
        <w:rPr>
          <w:rFonts w:hint="eastAsia" w:ascii="宋体" w:hAnsi="宋体" w:cs="宋体"/>
          <w:sz w:val="30"/>
          <w:szCs w:val="30"/>
        </w:rPr>
      </w:pPr>
    </w:p>
    <w:p w14:paraId="7F515CCB">
      <w:pPr>
        <w:pStyle w:val="31"/>
        <w:spacing w:line="360" w:lineRule="auto"/>
        <w:rPr>
          <w:rFonts w:hint="eastAsia" w:ascii="宋体" w:hAnsi="宋体" w:cs="宋体"/>
          <w:sz w:val="30"/>
          <w:szCs w:val="30"/>
        </w:rPr>
      </w:pPr>
    </w:p>
    <w:p w14:paraId="371CB9AF">
      <w:pPr>
        <w:jc w:val="center"/>
        <w:rPr>
          <w:rFonts w:hint="eastAsia" w:ascii="方正小标宋简体" w:hAnsi="方正小标宋简体" w:eastAsia="方正小标宋简体" w:cs="方正小标宋简体"/>
          <w:b w:val="0"/>
          <w:bCs w:val="0"/>
          <w:sz w:val="44"/>
          <w:szCs w:val="44"/>
          <w:shd w:val="clear" w:color="FFFFFF" w:fill="D9D9D9"/>
        </w:rPr>
      </w:pPr>
      <w:r>
        <w:rPr>
          <w:rFonts w:hint="eastAsia" w:ascii="方正小标宋简体" w:hAnsi="方正小标宋简体" w:eastAsia="方正小标宋简体" w:cs="方正小标宋简体"/>
          <w:b w:val="0"/>
          <w:bCs w:val="0"/>
          <w:sz w:val="44"/>
          <w:szCs w:val="44"/>
          <w:shd w:val="clear" w:color="FFFFFF" w:fill="D9D9D9"/>
          <w:lang w:val="en-US" w:eastAsia="zh-CN"/>
        </w:rPr>
        <w:t>采购柜式七氟丙烷气体灭火剂钢瓶检测充装项目采购</w:t>
      </w:r>
      <w:r>
        <w:rPr>
          <w:rFonts w:hint="eastAsia" w:ascii="方正小标宋简体" w:hAnsi="方正小标宋简体" w:eastAsia="方正小标宋简体" w:cs="方正小标宋简体"/>
          <w:b w:val="0"/>
          <w:bCs w:val="0"/>
          <w:sz w:val="44"/>
          <w:szCs w:val="44"/>
          <w:shd w:val="clear" w:color="FFFFFF" w:fill="D9D9D9"/>
        </w:rPr>
        <w:t>清单</w:t>
      </w:r>
    </w:p>
    <w:p w14:paraId="22E799D5">
      <w:pPr>
        <w:ind w:firstLine="480" w:firstLineChars="200"/>
        <w:jc w:val="left"/>
        <w:rPr>
          <w:rFonts w:hint="eastAsia" w:ascii="宋体" w:hAnsi="宋体" w:eastAsia="宋体" w:cs="宋体"/>
          <w:b w:val="0"/>
          <w:bCs w:val="0"/>
          <w:sz w:val="24"/>
          <w:szCs w:val="24"/>
          <w:shd w:val="clear" w:color="FFFFFF" w:fill="D9D9D9"/>
          <w:lang w:val="en-US" w:eastAsia="zh-CN"/>
        </w:rPr>
      </w:pPr>
      <w:r>
        <w:rPr>
          <w:rFonts w:hint="eastAsia" w:ascii="宋体" w:hAnsi="宋体" w:eastAsia="宋体" w:cs="宋体"/>
          <w:b w:val="0"/>
          <w:bCs w:val="0"/>
          <w:sz w:val="24"/>
          <w:szCs w:val="24"/>
          <w:shd w:val="clear" w:color="FFFFFF" w:fill="D9D9D9"/>
          <w:lang w:val="en-US" w:eastAsia="zh-CN"/>
        </w:rPr>
        <w:t>驾考中心（车管所）七氟丙烷灭火器重新充装及钢瓶检测采购项目成交供应商应对车管所全所20个钢瓶罐体检测、七氟丙烷药剂充装（损耗最终以实际充重量为准）、外观补漆、来回运输、人工拆装搬运、包装。</w:t>
      </w:r>
    </w:p>
    <w:tbl>
      <w:tblPr>
        <w:tblStyle w:val="17"/>
        <w:tblW w:w="942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5"/>
        <w:gridCol w:w="2169"/>
        <w:gridCol w:w="1187"/>
        <w:gridCol w:w="909"/>
        <w:gridCol w:w="910"/>
        <w:gridCol w:w="1056"/>
        <w:gridCol w:w="984"/>
        <w:gridCol w:w="1450"/>
      </w:tblGrid>
      <w:tr w14:paraId="781E6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4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6819722">
            <w:pPr>
              <w:keepNext w:val="0"/>
              <w:keepLines w:val="0"/>
              <w:widowControl/>
              <w:suppressLineNumbers w:val="0"/>
              <w:jc w:val="center"/>
              <w:textAlignment w:val="center"/>
              <w:rPr>
                <w:rFonts w:ascii="黑体" w:hAnsi="宋体" w:eastAsia="黑体" w:cs="黑体"/>
                <w:b/>
                <w:bCs/>
                <w:i w:val="0"/>
                <w:iCs w:val="0"/>
                <w:color w:val="000000"/>
                <w:sz w:val="32"/>
                <w:szCs w:val="32"/>
                <w:u w:val="none"/>
              </w:rPr>
            </w:pPr>
            <w:r>
              <w:rPr>
                <w:rFonts w:hint="eastAsia" w:ascii="黑体" w:hAnsi="宋体" w:eastAsia="黑体" w:cs="黑体"/>
                <w:b w:val="0"/>
                <w:bCs w:val="0"/>
                <w:i w:val="0"/>
                <w:iCs w:val="0"/>
                <w:color w:val="000000"/>
                <w:kern w:val="0"/>
                <w:sz w:val="32"/>
                <w:szCs w:val="32"/>
                <w:u w:val="none"/>
                <w:lang w:val="en-US" w:eastAsia="zh-CN" w:bidi="ar"/>
              </w:rPr>
              <w:t>气体灭火装置项目更新清单</w:t>
            </w:r>
          </w:p>
        </w:tc>
      </w:tr>
      <w:tr w14:paraId="6C8B4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755" w:type="dxa"/>
            <w:tcBorders>
              <w:top w:val="single" w:color="000000" w:sz="4" w:space="0"/>
              <w:left w:val="single" w:color="000000" w:sz="4" w:space="0"/>
              <w:bottom w:val="single" w:color="000000" w:sz="4" w:space="0"/>
              <w:right w:val="single" w:color="000000" w:sz="4" w:space="0"/>
            </w:tcBorders>
            <w:shd w:val="clear" w:color="FFFFFF" w:fill="D0CECE"/>
            <w:vAlign w:val="center"/>
          </w:tcPr>
          <w:p w14:paraId="17B6B54A">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2169" w:type="dxa"/>
            <w:tcBorders>
              <w:top w:val="single" w:color="000000" w:sz="4" w:space="0"/>
              <w:left w:val="single" w:color="000000" w:sz="4" w:space="0"/>
              <w:bottom w:val="single" w:color="000000" w:sz="4" w:space="0"/>
              <w:right w:val="single" w:color="000000" w:sz="4" w:space="0"/>
            </w:tcBorders>
            <w:shd w:val="clear" w:color="FFFFFF" w:fill="D0CECE"/>
            <w:vAlign w:val="center"/>
          </w:tcPr>
          <w:p w14:paraId="70949814">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名称</w:t>
            </w:r>
          </w:p>
        </w:tc>
        <w:tc>
          <w:tcPr>
            <w:tcW w:w="1187" w:type="dxa"/>
            <w:tcBorders>
              <w:top w:val="single" w:color="000000" w:sz="4" w:space="0"/>
              <w:left w:val="single" w:color="000000" w:sz="4" w:space="0"/>
              <w:bottom w:val="single" w:color="000000" w:sz="4" w:space="0"/>
              <w:right w:val="single" w:color="000000" w:sz="4" w:space="0"/>
            </w:tcBorders>
            <w:shd w:val="clear" w:color="FFFFFF" w:fill="D0CECE"/>
            <w:vAlign w:val="center"/>
          </w:tcPr>
          <w:p w14:paraId="0C8D88CD">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规格型号/要求</w:t>
            </w:r>
          </w:p>
        </w:tc>
        <w:tc>
          <w:tcPr>
            <w:tcW w:w="909" w:type="dxa"/>
            <w:tcBorders>
              <w:top w:val="single" w:color="000000" w:sz="4" w:space="0"/>
              <w:left w:val="single" w:color="000000" w:sz="4" w:space="0"/>
              <w:bottom w:val="single" w:color="000000" w:sz="4" w:space="0"/>
              <w:right w:val="single" w:color="000000" w:sz="4" w:space="0"/>
            </w:tcBorders>
            <w:shd w:val="clear" w:color="FFFFFF" w:fill="D0CECE"/>
            <w:vAlign w:val="center"/>
          </w:tcPr>
          <w:p w14:paraId="0B8DE4D0">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910" w:type="dxa"/>
            <w:tcBorders>
              <w:top w:val="single" w:color="000000" w:sz="4" w:space="0"/>
              <w:left w:val="single" w:color="000000" w:sz="4" w:space="0"/>
              <w:bottom w:val="single" w:color="000000" w:sz="4" w:space="0"/>
              <w:right w:val="single" w:color="000000" w:sz="4" w:space="0"/>
            </w:tcBorders>
            <w:shd w:val="clear" w:color="FFFFFF" w:fill="D0CECE"/>
            <w:vAlign w:val="center"/>
          </w:tcPr>
          <w:p w14:paraId="5FAB6ABC">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w:t>
            </w:r>
          </w:p>
        </w:tc>
        <w:tc>
          <w:tcPr>
            <w:tcW w:w="1056" w:type="dxa"/>
            <w:tcBorders>
              <w:top w:val="single" w:color="000000" w:sz="4" w:space="0"/>
              <w:left w:val="single" w:color="000000" w:sz="4" w:space="0"/>
              <w:bottom w:val="single" w:color="000000" w:sz="4" w:space="0"/>
              <w:right w:val="single" w:color="000000" w:sz="4" w:space="0"/>
            </w:tcBorders>
            <w:shd w:val="clear" w:color="FFFFFF" w:fill="D0CECE"/>
            <w:vAlign w:val="center"/>
          </w:tcPr>
          <w:p w14:paraId="61F96C1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单价（元）</w:t>
            </w:r>
          </w:p>
        </w:tc>
        <w:tc>
          <w:tcPr>
            <w:tcW w:w="984" w:type="dxa"/>
            <w:tcBorders>
              <w:top w:val="single" w:color="000000" w:sz="4" w:space="0"/>
              <w:left w:val="single" w:color="000000" w:sz="4" w:space="0"/>
              <w:bottom w:val="single" w:color="000000" w:sz="4" w:space="0"/>
              <w:right w:val="single" w:color="000000" w:sz="4" w:space="0"/>
            </w:tcBorders>
            <w:shd w:val="clear" w:color="FFFFFF" w:fill="D0CECE"/>
            <w:vAlign w:val="center"/>
          </w:tcPr>
          <w:p w14:paraId="21413170">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总价（元）</w:t>
            </w:r>
          </w:p>
        </w:tc>
        <w:tc>
          <w:tcPr>
            <w:tcW w:w="1450" w:type="dxa"/>
            <w:tcBorders>
              <w:top w:val="single" w:color="000000" w:sz="4" w:space="0"/>
              <w:left w:val="single" w:color="000000" w:sz="4" w:space="0"/>
              <w:bottom w:val="single" w:color="000000" w:sz="4" w:space="0"/>
              <w:right w:val="single" w:color="000000" w:sz="4" w:space="0"/>
            </w:tcBorders>
            <w:shd w:val="clear" w:color="FFFFFF" w:fill="D0CECE"/>
            <w:vAlign w:val="center"/>
          </w:tcPr>
          <w:p w14:paraId="150C1B21">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14:paraId="57FB7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2BB0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16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F080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七氟丙烷药剂</w:t>
            </w: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2F1E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9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B979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w:t>
            </w:r>
          </w:p>
        </w:tc>
        <w:tc>
          <w:tcPr>
            <w:tcW w:w="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F4FA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2871</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FACE73">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1A7AB9">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00570D">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据实际充装量结算</w:t>
            </w:r>
          </w:p>
        </w:tc>
      </w:tr>
      <w:tr w14:paraId="241EE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AD5B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16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2FC7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人工拆装费</w:t>
            </w: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48B0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050B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ACE4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1D8943">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BAD909">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5BAD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所产生的全部费用</w:t>
            </w:r>
          </w:p>
        </w:tc>
      </w:tr>
      <w:tr w14:paraId="7E6A5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935A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16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4558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危化品车辆运输费</w:t>
            </w: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E69E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8E35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DB28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425A3E">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6CDE93">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538B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所产生的全部费用</w:t>
            </w:r>
          </w:p>
        </w:tc>
      </w:tr>
      <w:tr w14:paraId="736E0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EFE0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16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5C18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气体喷放及报警调试</w:t>
            </w: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E39F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6714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6E13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D6278F">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3E663E">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5168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所产生的全部费用</w:t>
            </w:r>
          </w:p>
        </w:tc>
      </w:tr>
      <w:tr w14:paraId="084FB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48F9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16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E234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高压软管检测</w:t>
            </w: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F6E4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E1D1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CB38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572147">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1A452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AAE39DF">
            <w:pPr>
              <w:rPr>
                <w:rFonts w:hint="eastAsia" w:ascii="Arial" w:hAnsi="Arial" w:cs="Arial"/>
                <w:i w:val="0"/>
                <w:iCs w:val="0"/>
                <w:color w:val="000000"/>
                <w:sz w:val="20"/>
                <w:szCs w:val="20"/>
                <w:u w:val="none"/>
              </w:rPr>
            </w:pPr>
          </w:p>
        </w:tc>
      </w:tr>
      <w:tr w14:paraId="1D6FB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3A4F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16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BC13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电磁阀检测</w:t>
            </w: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697D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89B7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01E2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C8BEA2">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A9686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967D066">
            <w:pPr>
              <w:rPr>
                <w:rFonts w:hint="default" w:ascii="Arial" w:hAnsi="Arial" w:cs="Arial"/>
                <w:i w:val="0"/>
                <w:iCs w:val="0"/>
                <w:color w:val="000000"/>
                <w:sz w:val="20"/>
                <w:szCs w:val="20"/>
                <w:u w:val="none"/>
              </w:rPr>
            </w:pPr>
          </w:p>
        </w:tc>
      </w:tr>
      <w:tr w14:paraId="47259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32AB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16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D729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阀门易损件和膜片更换</w:t>
            </w: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EA7C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C9F0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5406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F7BCC0">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5B08A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C9769C">
            <w:pPr>
              <w:rPr>
                <w:rFonts w:hint="default" w:ascii="Arial" w:hAnsi="Arial" w:cs="Arial"/>
                <w:i w:val="0"/>
                <w:iCs w:val="0"/>
                <w:color w:val="000000"/>
                <w:sz w:val="20"/>
                <w:szCs w:val="20"/>
                <w:u w:val="none"/>
              </w:rPr>
            </w:pPr>
          </w:p>
        </w:tc>
      </w:tr>
      <w:tr w14:paraId="6A249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5D24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16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4F5D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表面防腐处理</w:t>
            </w: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EB22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9E1B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632F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AE2E2F">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7E20D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C3B2B1">
            <w:pPr>
              <w:rPr>
                <w:rFonts w:hint="default" w:ascii="Arial" w:hAnsi="Arial" w:cs="Arial"/>
                <w:i w:val="0"/>
                <w:iCs w:val="0"/>
                <w:color w:val="000000"/>
                <w:sz w:val="20"/>
                <w:szCs w:val="20"/>
                <w:u w:val="none"/>
              </w:rPr>
            </w:pPr>
          </w:p>
        </w:tc>
      </w:tr>
      <w:tr w14:paraId="3A65D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2651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16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215C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钢瓶检测</w:t>
            </w: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643B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DD3C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9C98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F06BEC">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DA96AF">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9916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检测并且加盖检测钢印</w:t>
            </w:r>
          </w:p>
        </w:tc>
      </w:tr>
      <w:tr w14:paraId="2D2A3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857A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16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899A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备用钢瓶租赁</w:t>
            </w: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803E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FB6C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0A80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385C68">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503C4E">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1020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备用钢瓶需在检测期内并且加盖检测钢印</w:t>
            </w:r>
          </w:p>
        </w:tc>
      </w:tr>
      <w:tr w14:paraId="2B5D2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3E3E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16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6F49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安装调试及辅材费</w:t>
            </w: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A436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EE43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78BF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8C4A2F">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674AD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9627BC">
            <w:pPr>
              <w:rPr>
                <w:rFonts w:hint="default" w:ascii="Arial" w:hAnsi="Arial" w:cs="Arial"/>
                <w:i w:val="0"/>
                <w:iCs w:val="0"/>
                <w:color w:val="000000"/>
                <w:sz w:val="20"/>
                <w:szCs w:val="20"/>
                <w:u w:val="none"/>
              </w:rPr>
            </w:pPr>
          </w:p>
        </w:tc>
      </w:tr>
      <w:tr w14:paraId="5B1C4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698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6584CF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合计（含税）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B799C3">
            <w:pPr>
              <w:jc w:val="center"/>
              <w:rPr>
                <w:rFonts w:hint="default" w:ascii="Arial" w:hAnsi="Arial"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0CE69B">
            <w:pPr>
              <w:rPr>
                <w:rFonts w:hint="default" w:ascii="Arial" w:hAnsi="Arial" w:cs="Arial"/>
                <w:i w:val="0"/>
                <w:iCs w:val="0"/>
                <w:color w:val="000000"/>
                <w:sz w:val="20"/>
                <w:szCs w:val="20"/>
                <w:u w:val="none"/>
              </w:rPr>
            </w:pPr>
          </w:p>
        </w:tc>
      </w:tr>
    </w:tbl>
    <w:p w14:paraId="7E82CBB6">
      <w:pPr>
        <w:spacing w:line="360" w:lineRule="auto"/>
        <w:rPr>
          <w:rFonts w:ascii="仿宋" w:hAnsi="仿宋" w:eastAsia="仿宋" w:cs="仿宋"/>
          <w:sz w:val="28"/>
          <w:szCs w:val="28"/>
        </w:rPr>
      </w:pPr>
    </w:p>
    <w:p w14:paraId="580703D2">
      <w:pPr>
        <w:rPr>
          <w:rFonts w:hint="eastAsia" w:ascii="Times New Roman" w:hAnsi="Times New Roman" w:cs="Times New Roman"/>
          <w:kern w:val="0"/>
          <w:sz w:val="24"/>
          <w:szCs w:val="24"/>
          <w:highlight w:val="none"/>
          <w:lang w:val="en-US" w:eastAsia="zh-CN"/>
        </w:rPr>
      </w:pPr>
    </w:p>
    <w:p w14:paraId="552E4E8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249831D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26F95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7FDE4D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7902E8C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FA7D03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1D926F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3488B3E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D224F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55AAEC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0DFD6BC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74EA15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1B83877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691358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0EDF122">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380A888D">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55ACFAD9">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0C2CD6D9">
      <w:pPr>
        <w:pStyle w:val="3"/>
        <w:jc w:val="center"/>
        <w:rPr>
          <w:rFonts w:hint="default" w:ascii="Times New Roman" w:hAnsi="Times New Roman" w:cs="Times New Roman"/>
        </w:rPr>
      </w:pPr>
      <w:r>
        <w:rPr>
          <w:rFonts w:hint="default" w:ascii="Times New Roman" w:hAnsi="Times New Roman" w:cs="Times New Roman"/>
        </w:rPr>
        <w:t>目    录</w:t>
      </w:r>
    </w:p>
    <w:p w14:paraId="69DA9344">
      <w:pPr>
        <w:spacing w:line="540" w:lineRule="exact"/>
        <w:rPr>
          <w:rFonts w:hint="default" w:ascii="Times New Roman" w:hAnsi="Times New Roman" w:cs="Times New Roman"/>
        </w:rPr>
      </w:pPr>
    </w:p>
    <w:p w14:paraId="5498B674">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14:paraId="7D855484">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14:paraId="76E1FDB1">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14:paraId="148CB051">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14:paraId="3CADAA00">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14:paraId="21CB85D1">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14:paraId="7EC82F18">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14:paraId="42C19593">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14:paraId="621EB86C">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14:paraId="25463263">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14:paraId="18AD3443">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14:paraId="39CEB1FA">
      <w:pPr>
        <w:spacing w:line="540" w:lineRule="exact"/>
        <w:rPr>
          <w:rFonts w:hint="default" w:ascii="Times New Roman" w:hAnsi="Times New Roman" w:cs="Times New Roman"/>
          <w:highlight w:val="none"/>
          <w:lang w:val="en-US" w:eastAsia="zh-CN"/>
        </w:rPr>
      </w:pPr>
    </w:p>
    <w:p w14:paraId="52BCF86E">
      <w:pPr>
        <w:spacing w:line="540" w:lineRule="exact"/>
        <w:rPr>
          <w:rFonts w:hint="default" w:ascii="Times New Roman" w:hAnsi="Times New Roman" w:cs="Times New Roman"/>
        </w:rPr>
      </w:pPr>
      <w:r>
        <w:rPr>
          <w:rFonts w:hint="default" w:ascii="Times New Roman" w:hAnsi="Times New Roman" w:cs="Times New Roman"/>
        </w:rPr>
        <w:t xml:space="preserve"> </w:t>
      </w:r>
    </w:p>
    <w:p w14:paraId="68E91393">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4D2722C9">
      <w:pPr>
        <w:pStyle w:val="3"/>
        <w:jc w:val="center"/>
        <w:rPr>
          <w:rFonts w:hint="default" w:ascii="Times New Roman" w:hAnsi="Times New Roman" w:cs="Times New Roman"/>
        </w:rPr>
      </w:pPr>
      <w:r>
        <w:rPr>
          <w:rFonts w:hint="default" w:ascii="Times New Roman" w:hAnsi="Times New Roman" w:cs="Times New Roman"/>
        </w:rPr>
        <w:t>一、投标函</w:t>
      </w:r>
    </w:p>
    <w:p w14:paraId="35893F6B">
      <w:pPr>
        <w:spacing w:line="440" w:lineRule="exact"/>
        <w:rPr>
          <w:rFonts w:hint="default" w:ascii="Times New Roman" w:hAnsi="Times New Roman" w:cs="Times New Roman"/>
          <w:sz w:val="20"/>
          <w:szCs w:val="20"/>
        </w:rPr>
      </w:pPr>
    </w:p>
    <w:p w14:paraId="61797833">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6153BE3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）提供完成本项目全部工作内容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14:paraId="321C61C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0DE4A387">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w:t>
      </w:r>
    </w:p>
    <w:p w14:paraId="3BA4B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0E972CA9">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14:paraId="17B947E9">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14:paraId="307A151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14:paraId="2B9FA272">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487D9406">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49ECA308">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46F7343C">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5A5E4427">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612308B8">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4A664D16">
      <w:pPr>
        <w:spacing w:line="440" w:lineRule="exact"/>
        <w:ind w:firstLine="2310" w:firstLineChars="1100"/>
        <w:rPr>
          <w:rFonts w:hint="default" w:ascii="Times New Roman" w:hAnsi="Times New Roman" w:cs="Times New Roman"/>
          <w:szCs w:val="21"/>
        </w:rPr>
      </w:pPr>
    </w:p>
    <w:p w14:paraId="281D2BC8">
      <w:pPr>
        <w:spacing w:line="440" w:lineRule="exact"/>
        <w:ind w:firstLine="2310" w:firstLineChars="1100"/>
        <w:rPr>
          <w:rFonts w:hint="default" w:ascii="Times New Roman" w:hAnsi="Times New Roman" w:cs="Times New Roman"/>
          <w:szCs w:val="21"/>
        </w:rPr>
      </w:pPr>
    </w:p>
    <w:p w14:paraId="6B04C9E4">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9154ADB">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08D82E09">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627D0FC">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2D88A9E">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9E1408D">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4DD88F0">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D781F8D">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B8971BD">
      <w:pPr>
        <w:rPr>
          <w:rFonts w:hint="default" w:ascii="Times New Roman" w:hAnsi="Times New Roman" w:cs="Times New Roman"/>
        </w:rPr>
      </w:pPr>
      <w:r>
        <w:rPr>
          <w:rFonts w:hint="default" w:ascii="Times New Roman" w:hAnsi="Times New Roman" w:cs="Times New Roman"/>
        </w:rPr>
        <w:br w:type="page"/>
      </w:r>
    </w:p>
    <w:p w14:paraId="11402F3D">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p>
    <w:p w14:paraId="149426D5">
      <w:pPr>
        <w:spacing w:line="440" w:lineRule="exact"/>
        <w:rPr>
          <w:rFonts w:hint="default" w:ascii="Times New Roman" w:hAnsi="Times New Roman" w:cs="Times New Roman"/>
          <w:sz w:val="20"/>
          <w:szCs w:val="20"/>
        </w:rPr>
      </w:pPr>
    </w:p>
    <w:p w14:paraId="43774997">
      <w:pPr>
        <w:spacing w:line="440" w:lineRule="exact"/>
        <w:rPr>
          <w:rFonts w:hint="default" w:ascii="Times New Roman" w:hAnsi="Times New Roman" w:cs="Times New Roman"/>
          <w:szCs w:val="21"/>
        </w:rPr>
      </w:pPr>
    </w:p>
    <w:p w14:paraId="628842C6">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232B65F8">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73347073">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0A8D9C28">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2DC043DB">
      <w:pPr>
        <w:spacing w:line="440" w:lineRule="exact"/>
        <w:rPr>
          <w:rFonts w:hint="default" w:ascii="Times New Roman" w:hAnsi="Times New Roman" w:cs="Times New Roman"/>
          <w:szCs w:val="21"/>
        </w:rPr>
      </w:pPr>
    </w:p>
    <w:p w14:paraId="2DE38B34">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2C7058FB">
      <w:pPr>
        <w:spacing w:line="440" w:lineRule="exact"/>
        <w:rPr>
          <w:rFonts w:hint="default" w:ascii="Times New Roman" w:hAnsi="Times New Roman" w:cs="Times New Roman"/>
          <w:szCs w:val="21"/>
        </w:rPr>
      </w:pPr>
    </w:p>
    <w:p w14:paraId="1598565C">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60ABE861">
      <w:pPr>
        <w:spacing w:line="440" w:lineRule="exact"/>
        <w:rPr>
          <w:rFonts w:hint="eastAsia" w:ascii="Times New Roman" w:hAnsi="Times New Roman" w:cs="Times New Roman"/>
          <w:szCs w:val="21"/>
          <w:lang w:val="en-US" w:eastAsia="zh-CN"/>
        </w:rPr>
      </w:pPr>
    </w:p>
    <w:p w14:paraId="62CB727C">
      <w:pPr>
        <w:spacing w:line="440" w:lineRule="exact"/>
        <w:rPr>
          <w:rFonts w:hint="default" w:ascii="Times New Roman" w:hAnsi="Times New Roman" w:cs="Times New Roman"/>
          <w:szCs w:val="21"/>
          <w:lang w:val="en-US" w:eastAsia="zh-CN"/>
        </w:rPr>
      </w:pPr>
    </w:p>
    <w:p w14:paraId="62466716">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9E79AC9">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0BC5DC11">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782E51AA">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78450AB4">
      <w:pPr>
        <w:pStyle w:val="3"/>
        <w:jc w:val="center"/>
        <w:rPr>
          <w:rFonts w:hint="default" w:ascii="Times New Roman" w:hAnsi="Times New Roman" w:cs="Times New Roman"/>
        </w:rPr>
      </w:pPr>
      <w:r>
        <w:rPr>
          <w:rFonts w:hint="default" w:ascii="Times New Roman" w:hAnsi="Times New Roman" w:cs="Times New Roman"/>
        </w:rPr>
        <w:t>二、授权委托书</w:t>
      </w:r>
    </w:p>
    <w:p w14:paraId="64F2EBC1">
      <w:pPr>
        <w:spacing w:line="440" w:lineRule="exact"/>
        <w:rPr>
          <w:rFonts w:hint="default" w:ascii="Times New Roman" w:hAnsi="Times New Roman" w:eastAsia="黑体" w:cs="Times New Roman"/>
          <w:szCs w:val="21"/>
        </w:rPr>
      </w:pPr>
    </w:p>
    <w:p w14:paraId="00AD3558">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14:paraId="43E2F890">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5619480E">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75ED1BF2">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14:paraId="32622358">
      <w:pPr>
        <w:spacing w:line="440" w:lineRule="exact"/>
        <w:ind w:firstLine="420" w:firstLineChars="200"/>
        <w:rPr>
          <w:rFonts w:hint="eastAsia" w:ascii="Times New Roman" w:hAnsi="Times New Roman" w:cs="Times New Roman"/>
          <w:szCs w:val="21"/>
          <w:lang w:val="en-US" w:eastAsia="zh-CN"/>
        </w:rPr>
      </w:pPr>
    </w:p>
    <w:p w14:paraId="773ABC4F">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14:paraId="45F280E1">
      <w:pPr>
        <w:spacing w:line="440" w:lineRule="exact"/>
        <w:rPr>
          <w:rFonts w:hint="default" w:ascii="Times New Roman" w:hAnsi="Times New Roman" w:cs="Times New Roman"/>
          <w:szCs w:val="21"/>
        </w:rPr>
      </w:pPr>
    </w:p>
    <w:p w14:paraId="26B6AF30">
      <w:pPr>
        <w:spacing w:line="440" w:lineRule="exact"/>
        <w:rPr>
          <w:rFonts w:hint="default" w:ascii="Times New Roman" w:hAnsi="Times New Roman" w:cs="Times New Roman"/>
          <w:szCs w:val="21"/>
        </w:rPr>
      </w:pPr>
    </w:p>
    <w:p w14:paraId="7303806A">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491F969">
      <w:pPr>
        <w:spacing w:line="440" w:lineRule="exact"/>
        <w:rPr>
          <w:rFonts w:hint="default" w:ascii="Times New Roman" w:hAnsi="Times New Roman" w:cs="Times New Roman"/>
          <w:szCs w:val="21"/>
        </w:rPr>
      </w:pPr>
    </w:p>
    <w:p w14:paraId="5C0FAF3D">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30635688">
      <w:pPr>
        <w:spacing w:line="440" w:lineRule="exact"/>
        <w:rPr>
          <w:rFonts w:hint="default" w:ascii="Times New Roman" w:hAnsi="Times New Roman" w:cs="Times New Roman"/>
          <w:szCs w:val="21"/>
        </w:rPr>
      </w:pPr>
    </w:p>
    <w:p w14:paraId="35885F03">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8069A46">
      <w:pPr>
        <w:spacing w:line="440" w:lineRule="exact"/>
        <w:rPr>
          <w:rFonts w:hint="default" w:ascii="Times New Roman" w:hAnsi="Times New Roman" w:cs="Times New Roman"/>
          <w:szCs w:val="21"/>
        </w:rPr>
      </w:pPr>
    </w:p>
    <w:p w14:paraId="3980943F">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22422586">
      <w:pPr>
        <w:spacing w:line="440" w:lineRule="exact"/>
        <w:rPr>
          <w:rFonts w:hint="default" w:ascii="Times New Roman" w:hAnsi="Times New Roman" w:cs="Times New Roman"/>
          <w:szCs w:val="21"/>
        </w:rPr>
      </w:pPr>
    </w:p>
    <w:p w14:paraId="23774833">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2529C82B">
      <w:pPr>
        <w:spacing w:line="440" w:lineRule="exact"/>
        <w:rPr>
          <w:rFonts w:hint="default" w:ascii="Times New Roman" w:hAnsi="Times New Roman" w:cs="Times New Roman"/>
          <w:szCs w:val="21"/>
        </w:rPr>
      </w:pPr>
    </w:p>
    <w:p w14:paraId="0CE1AC21">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0658EED8">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0A769522">
      <w:pPr>
        <w:pStyle w:val="3"/>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p>
    <w:p w14:paraId="31AA2A9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4F2C608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55370F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538FDF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842675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972A5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5463409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E6FD77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350FF6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44A617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2304F9D">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4595887E">
      <w:pPr>
        <w:spacing w:line="440" w:lineRule="exact"/>
        <w:rPr>
          <w:rFonts w:hint="default" w:ascii="Times New Roman" w:hAnsi="Times New Roman" w:cs="Times New Roman"/>
          <w:b/>
          <w:bCs/>
        </w:rPr>
      </w:pPr>
    </w:p>
    <w:p w14:paraId="6D87E8AD">
      <w:pPr>
        <w:rPr>
          <w:rFonts w:hint="default" w:ascii="Times New Roman" w:hAnsi="Times New Roman" w:cs="Times New Roman"/>
        </w:rPr>
      </w:pPr>
      <w:r>
        <w:rPr>
          <w:rFonts w:hint="default" w:ascii="Times New Roman" w:hAnsi="Times New Roman" w:cs="Times New Roman"/>
        </w:rPr>
        <w:br w:type="page"/>
      </w:r>
    </w:p>
    <w:p w14:paraId="57B81950">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14:paraId="3D596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1B6F28E">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14:paraId="04E2D090">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14:paraId="4D70C13B">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14:paraId="3ED988BF">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14:paraId="234A2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9EBCB7F">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14:paraId="0FF48290">
            <w:pPr>
              <w:jc w:val="center"/>
              <w:rPr>
                <w:rFonts w:hint="default" w:ascii="Times New Roman" w:hAnsi="Times New Roman" w:cs="Times New Roman"/>
                <w:vertAlign w:val="baseline"/>
              </w:rPr>
            </w:pPr>
          </w:p>
        </w:tc>
        <w:tc>
          <w:tcPr>
            <w:tcW w:w="2835" w:type="dxa"/>
            <w:vAlign w:val="center"/>
          </w:tcPr>
          <w:p w14:paraId="63115C15">
            <w:pPr>
              <w:jc w:val="center"/>
              <w:rPr>
                <w:rFonts w:hint="default" w:ascii="Times New Roman" w:hAnsi="Times New Roman" w:cs="Times New Roman"/>
                <w:vertAlign w:val="baseline"/>
              </w:rPr>
            </w:pPr>
          </w:p>
        </w:tc>
        <w:tc>
          <w:tcPr>
            <w:tcW w:w="2001" w:type="dxa"/>
            <w:vAlign w:val="center"/>
          </w:tcPr>
          <w:p w14:paraId="7F937E09">
            <w:pPr>
              <w:jc w:val="center"/>
              <w:rPr>
                <w:rFonts w:hint="default" w:ascii="Times New Roman" w:hAnsi="Times New Roman" w:cs="Times New Roman"/>
                <w:vertAlign w:val="baseline"/>
              </w:rPr>
            </w:pPr>
          </w:p>
        </w:tc>
      </w:tr>
      <w:tr w14:paraId="20EB4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3BD4285">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14:paraId="4E1598E6">
            <w:pPr>
              <w:jc w:val="center"/>
              <w:rPr>
                <w:rFonts w:hint="default" w:ascii="Times New Roman" w:hAnsi="Times New Roman" w:cs="Times New Roman"/>
                <w:vertAlign w:val="baseline"/>
              </w:rPr>
            </w:pPr>
          </w:p>
        </w:tc>
        <w:tc>
          <w:tcPr>
            <w:tcW w:w="2835" w:type="dxa"/>
            <w:vAlign w:val="center"/>
          </w:tcPr>
          <w:p w14:paraId="47EDD689">
            <w:pPr>
              <w:jc w:val="center"/>
              <w:rPr>
                <w:rFonts w:hint="default" w:ascii="Times New Roman" w:hAnsi="Times New Roman" w:cs="Times New Roman"/>
                <w:vertAlign w:val="baseline"/>
              </w:rPr>
            </w:pPr>
          </w:p>
        </w:tc>
        <w:tc>
          <w:tcPr>
            <w:tcW w:w="2001" w:type="dxa"/>
            <w:vAlign w:val="center"/>
          </w:tcPr>
          <w:p w14:paraId="7DC1A7D8">
            <w:pPr>
              <w:jc w:val="center"/>
              <w:rPr>
                <w:rFonts w:hint="default" w:ascii="Times New Roman" w:hAnsi="Times New Roman" w:cs="Times New Roman"/>
                <w:vertAlign w:val="baseline"/>
              </w:rPr>
            </w:pPr>
          </w:p>
        </w:tc>
      </w:tr>
      <w:tr w14:paraId="72ACA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4373CA9D">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14:paraId="093794F4">
            <w:pPr>
              <w:jc w:val="center"/>
              <w:rPr>
                <w:rFonts w:hint="default" w:ascii="Times New Roman" w:hAnsi="Times New Roman" w:cs="Times New Roman"/>
                <w:vertAlign w:val="baseline"/>
              </w:rPr>
            </w:pPr>
          </w:p>
        </w:tc>
        <w:tc>
          <w:tcPr>
            <w:tcW w:w="2835" w:type="dxa"/>
            <w:vAlign w:val="center"/>
          </w:tcPr>
          <w:p w14:paraId="7556AAF9">
            <w:pPr>
              <w:jc w:val="center"/>
              <w:rPr>
                <w:rFonts w:hint="default" w:ascii="Times New Roman" w:hAnsi="Times New Roman" w:cs="Times New Roman"/>
                <w:vertAlign w:val="baseline"/>
              </w:rPr>
            </w:pPr>
          </w:p>
        </w:tc>
        <w:tc>
          <w:tcPr>
            <w:tcW w:w="2001" w:type="dxa"/>
            <w:vAlign w:val="center"/>
          </w:tcPr>
          <w:p w14:paraId="4ECAE060">
            <w:pPr>
              <w:jc w:val="center"/>
              <w:rPr>
                <w:rFonts w:hint="default" w:ascii="Times New Roman" w:hAnsi="Times New Roman" w:cs="Times New Roman"/>
                <w:vertAlign w:val="baseline"/>
              </w:rPr>
            </w:pPr>
          </w:p>
        </w:tc>
      </w:tr>
      <w:tr w14:paraId="77A28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06EE558">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14:paraId="05AFFDB6">
            <w:pPr>
              <w:jc w:val="center"/>
              <w:rPr>
                <w:rFonts w:hint="default" w:ascii="Times New Roman" w:hAnsi="Times New Roman" w:cs="Times New Roman"/>
                <w:vertAlign w:val="baseline"/>
              </w:rPr>
            </w:pPr>
          </w:p>
        </w:tc>
        <w:tc>
          <w:tcPr>
            <w:tcW w:w="2835" w:type="dxa"/>
            <w:vAlign w:val="center"/>
          </w:tcPr>
          <w:p w14:paraId="510AC4B3">
            <w:pPr>
              <w:jc w:val="center"/>
              <w:rPr>
                <w:rFonts w:hint="default" w:ascii="Times New Roman" w:hAnsi="Times New Roman" w:cs="Times New Roman"/>
                <w:vertAlign w:val="baseline"/>
              </w:rPr>
            </w:pPr>
          </w:p>
        </w:tc>
        <w:tc>
          <w:tcPr>
            <w:tcW w:w="2001" w:type="dxa"/>
            <w:vAlign w:val="center"/>
          </w:tcPr>
          <w:p w14:paraId="735CA8E7">
            <w:pPr>
              <w:jc w:val="center"/>
              <w:rPr>
                <w:rFonts w:hint="default" w:ascii="Times New Roman" w:hAnsi="Times New Roman" w:cs="Times New Roman"/>
                <w:vertAlign w:val="baseline"/>
              </w:rPr>
            </w:pPr>
          </w:p>
        </w:tc>
      </w:tr>
      <w:tr w14:paraId="0F040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593E31DB">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14:paraId="0EB45CC7">
            <w:pPr>
              <w:jc w:val="center"/>
              <w:rPr>
                <w:rFonts w:hint="default" w:ascii="Times New Roman" w:hAnsi="Times New Roman" w:cs="Times New Roman"/>
                <w:vertAlign w:val="baseline"/>
              </w:rPr>
            </w:pPr>
          </w:p>
        </w:tc>
        <w:tc>
          <w:tcPr>
            <w:tcW w:w="2835" w:type="dxa"/>
            <w:vAlign w:val="center"/>
          </w:tcPr>
          <w:p w14:paraId="3BEE2047">
            <w:pPr>
              <w:jc w:val="center"/>
              <w:rPr>
                <w:rFonts w:hint="default" w:ascii="Times New Roman" w:hAnsi="Times New Roman" w:cs="Times New Roman"/>
                <w:vertAlign w:val="baseline"/>
              </w:rPr>
            </w:pPr>
          </w:p>
        </w:tc>
        <w:tc>
          <w:tcPr>
            <w:tcW w:w="2001" w:type="dxa"/>
            <w:vAlign w:val="center"/>
          </w:tcPr>
          <w:p w14:paraId="79CB23D3">
            <w:pPr>
              <w:jc w:val="center"/>
              <w:rPr>
                <w:rFonts w:hint="default" w:ascii="Times New Roman" w:hAnsi="Times New Roman" w:cs="Times New Roman"/>
                <w:vertAlign w:val="baseline"/>
              </w:rPr>
            </w:pPr>
          </w:p>
        </w:tc>
      </w:tr>
      <w:tr w14:paraId="5E207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FFBDC79">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14:paraId="5210B3FE">
            <w:pPr>
              <w:jc w:val="center"/>
              <w:rPr>
                <w:rFonts w:hint="default" w:ascii="Times New Roman" w:hAnsi="Times New Roman" w:cs="Times New Roman"/>
                <w:vertAlign w:val="baseline"/>
              </w:rPr>
            </w:pPr>
          </w:p>
        </w:tc>
        <w:tc>
          <w:tcPr>
            <w:tcW w:w="2835" w:type="dxa"/>
            <w:vAlign w:val="center"/>
          </w:tcPr>
          <w:p w14:paraId="4EC84989">
            <w:pPr>
              <w:jc w:val="center"/>
              <w:rPr>
                <w:rFonts w:hint="default" w:ascii="Times New Roman" w:hAnsi="Times New Roman" w:cs="Times New Roman"/>
                <w:vertAlign w:val="baseline"/>
              </w:rPr>
            </w:pPr>
          </w:p>
        </w:tc>
        <w:tc>
          <w:tcPr>
            <w:tcW w:w="2001" w:type="dxa"/>
            <w:vAlign w:val="center"/>
          </w:tcPr>
          <w:p w14:paraId="777B3DDE">
            <w:pPr>
              <w:jc w:val="center"/>
              <w:rPr>
                <w:rFonts w:hint="default" w:ascii="Times New Roman" w:hAnsi="Times New Roman" w:cs="Times New Roman"/>
                <w:vertAlign w:val="baseline"/>
              </w:rPr>
            </w:pPr>
          </w:p>
        </w:tc>
      </w:tr>
    </w:tbl>
    <w:p w14:paraId="417A1572">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14:paraId="3982DF4B">
      <w:pPr>
        <w:rPr>
          <w:rFonts w:hint="default" w:ascii="Times New Roman" w:hAnsi="Times New Roman" w:cs="Times New Roman"/>
        </w:rPr>
      </w:pPr>
    </w:p>
    <w:p w14:paraId="07F1D97F">
      <w:pPr>
        <w:rPr>
          <w:rFonts w:hint="default" w:ascii="Times New Roman" w:hAnsi="Times New Roman" w:cs="Times New Roman"/>
        </w:rPr>
      </w:pPr>
    </w:p>
    <w:p w14:paraId="0E7C8726">
      <w:pPr>
        <w:rPr>
          <w:rFonts w:hint="default" w:ascii="Times New Roman" w:hAnsi="Times New Roman" w:cs="Times New Roman"/>
        </w:rPr>
      </w:pPr>
    </w:p>
    <w:p w14:paraId="38B8B38C">
      <w:pPr>
        <w:rPr>
          <w:rFonts w:hint="default" w:ascii="Times New Roman" w:hAnsi="Times New Roman" w:cs="Times New Roman"/>
        </w:rPr>
      </w:pPr>
      <w:r>
        <w:rPr>
          <w:rFonts w:hint="default" w:ascii="Times New Roman" w:hAnsi="Times New Roman" w:cs="Times New Roman"/>
        </w:rPr>
        <w:br w:type="page"/>
      </w:r>
    </w:p>
    <w:p w14:paraId="057DF274">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分项报价表</w:t>
      </w:r>
    </w:p>
    <w:p w14:paraId="439BA58F">
      <w:pPr>
        <w:spacing w:line="440" w:lineRule="exact"/>
        <w:rPr>
          <w:rFonts w:hint="default" w:ascii="Times New Roman" w:hAnsi="Times New Roman" w:eastAsia="黑体" w:cs="Times New Roman"/>
          <w:szCs w:val="21"/>
          <w:highlight w:val="green"/>
        </w:rPr>
      </w:pPr>
    </w:p>
    <w:p w14:paraId="2C09B833">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38" w:name="_Toc300835223"/>
      <w:r>
        <w:rPr>
          <w:rFonts w:hint="eastAsia" w:ascii="Times New Roman" w:hAnsi="Times New Roman" w:cs="Times New Roman"/>
          <w:szCs w:val="21"/>
          <w:lang w:val="en-US" w:eastAsia="zh-CN"/>
        </w:rPr>
        <w:t>1. 分项报价表说明</w:t>
      </w:r>
    </w:p>
    <w:p w14:paraId="65494D3A">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14:paraId="7E66EE55">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14:paraId="4B96B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F439264">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14:paraId="788253C4">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14:paraId="581B30B5">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14:paraId="2D20A9C8">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14:paraId="12BE5FE7">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14:paraId="1E9298D3">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14:paraId="437F1A47">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14:paraId="2EC69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940F38A">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14:paraId="12737D60">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58EA285C">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1B7E10B4">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3BAF4803">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33A5DB2">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7959F927">
            <w:pPr>
              <w:tabs>
                <w:tab w:val="left" w:pos="720"/>
              </w:tabs>
              <w:spacing w:line="440" w:lineRule="exact"/>
              <w:jc w:val="center"/>
              <w:rPr>
                <w:rFonts w:hint="eastAsia" w:ascii="Times New Roman" w:hAnsi="Times New Roman" w:cs="Times New Roman"/>
                <w:szCs w:val="21"/>
                <w:vertAlign w:val="baseline"/>
                <w:lang w:val="en-US" w:eastAsia="zh-CN"/>
              </w:rPr>
            </w:pPr>
          </w:p>
        </w:tc>
      </w:tr>
      <w:tr w14:paraId="40504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14:paraId="0711A46B">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14:paraId="074712EA">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EA0783A">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133AA2B3">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60D1DF41">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46B52641">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69E8C829">
            <w:pPr>
              <w:tabs>
                <w:tab w:val="left" w:pos="720"/>
              </w:tabs>
              <w:spacing w:line="440" w:lineRule="exact"/>
              <w:jc w:val="center"/>
              <w:rPr>
                <w:rFonts w:hint="eastAsia" w:ascii="Times New Roman" w:hAnsi="Times New Roman" w:cs="Times New Roman"/>
                <w:szCs w:val="21"/>
                <w:vertAlign w:val="baseline"/>
                <w:lang w:val="en-US" w:eastAsia="zh-CN"/>
              </w:rPr>
            </w:pPr>
          </w:p>
        </w:tc>
      </w:tr>
      <w:tr w14:paraId="08B31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554E753">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14:paraId="141B0C26">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0C8E5497">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0D366044">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7730FAB9">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770DA3BC">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72B2FC87">
            <w:pPr>
              <w:tabs>
                <w:tab w:val="left" w:pos="720"/>
              </w:tabs>
              <w:spacing w:line="440" w:lineRule="exact"/>
              <w:jc w:val="center"/>
              <w:rPr>
                <w:rFonts w:hint="eastAsia" w:ascii="Times New Roman" w:hAnsi="Times New Roman" w:cs="Times New Roman"/>
                <w:szCs w:val="21"/>
                <w:vertAlign w:val="baseline"/>
                <w:lang w:val="en-US" w:eastAsia="zh-CN"/>
              </w:rPr>
            </w:pPr>
          </w:p>
        </w:tc>
      </w:tr>
      <w:tr w14:paraId="0FDA0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33611683">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14:paraId="7D46D329">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253AF74">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76D8AA57">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79971025">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286829BB">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2C04109A">
            <w:pPr>
              <w:tabs>
                <w:tab w:val="left" w:pos="720"/>
              </w:tabs>
              <w:spacing w:line="440" w:lineRule="exact"/>
              <w:jc w:val="center"/>
              <w:rPr>
                <w:rFonts w:hint="eastAsia" w:ascii="Times New Roman" w:hAnsi="Times New Roman" w:cs="Times New Roman"/>
                <w:szCs w:val="21"/>
                <w:vertAlign w:val="baseline"/>
                <w:lang w:val="en-US" w:eastAsia="zh-CN"/>
              </w:rPr>
            </w:pPr>
          </w:p>
        </w:tc>
      </w:tr>
      <w:tr w14:paraId="45099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6CA97E9">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14:paraId="7A45AEEC">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EE891A5">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0D73E4E0">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32DFED44">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16ADAA5">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7C62369C">
            <w:pPr>
              <w:tabs>
                <w:tab w:val="left" w:pos="720"/>
              </w:tabs>
              <w:spacing w:line="440" w:lineRule="exact"/>
              <w:jc w:val="center"/>
              <w:rPr>
                <w:rFonts w:hint="eastAsia" w:ascii="Times New Roman" w:hAnsi="Times New Roman" w:cs="Times New Roman"/>
                <w:szCs w:val="21"/>
                <w:vertAlign w:val="baseline"/>
                <w:lang w:val="en-US" w:eastAsia="zh-CN"/>
              </w:rPr>
            </w:pPr>
          </w:p>
        </w:tc>
      </w:tr>
      <w:tr w14:paraId="2D6F5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14:paraId="24EB8600">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14:paraId="5AF9FA09">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14:paraId="66B6C86F">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4C6D3B9F">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3A748AB">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26A7C0C1">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60878F93">
            <w:pPr>
              <w:tabs>
                <w:tab w:val="left" w:pos="720"/>
              </w:tabs>
              <w:spacing w:line="440" w:lineRule="exact"/>
              <w:jc w:val="center"/>
              <w:rPr>
                <w:rFonts w:hint="eastAsia" w:ascii="Times New Roman" w:hAnsi="Times New Roman" w:cs="Times New Roman"/>
                <w:szCs w:val="21"/>
                <w:vertAlign w:val="baseline"/>
                <w:lang w:val="en-US" w:eastAsia="zh-CN"/>
              </w:rPr>
            </w:pPr>
          </w:p>
        </w:tc>
      </w:tr>
      <w:tr w14:paraId="056FA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14:paraId="28685298">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14:paraId="3D3DD726">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3D28647A">
            <w:pPr>
              <w:tabs>
                <w:tab w:val="left" w:pos="720"/>
              </w:tabs>
              <w:spacing w:line="440" w:lineRule="exact"/>
              <w:jc w:val="center"/>
              <w:rPr>
                <w:rFonts w:hint="eastAsia" w:ascii="Times New Roman" w:hAnsi="Times New Roman" w:cs="Times New Roman"/>
                <w:szCs w:val="21"/>
                <w:vertAlign w:val="baseline"/>
                <w:lang w:val="en-US" w:eastAsia="zh-CN"/>
              </w:rPr>
            </w:pPr>
          </w:p>
        </w:tc>
      </w:tr>
    </w:tbl>
    <w:p w14:paraId="57DC2BFE">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14:paraId="7C31EAB3">
      <w:pPr>
        <w:tabs>
          <w:tab w:val="left" w:pos="720"/>
        </w:tabs>
        <w:spacing w:line="440" w:lineRule="exact"/>
        <w:rPr>
          <w:rFonts w:hint="eastAsia" w:ascii="Times New Roman" w:hAnsi="Times New Roman" w:cs="Times New Roman"/>
          <w:szCs w:val="21"/>
          <w:lang w:val="en-US" w:eastAsia="zh-CN"/>
        </w:rPr>
      </w:pPr>
    </w:p>
    <w:p w14:paraId="46E8BE94">
      <w:pPr>
        <w:tabs>
          <w:tab w:val="left" w:pos="720"/>
        </w:tabs>
        <w:spacing w:line="440" w:lineRule="exact"/>
        <w:rPr>
          <w:rFonts w:hint="eastAsia" w:ascii="Times New Roman" w:hAnsi="Times New Roman" w:cs="Times New Roman"/>
          <w:szCs w:val="21"/>
          <w:lang w:val="en-US" w:eastAsia="zh-CN"/>
        </w:rPr>
      </w:pPr>
    </w:p>
    <w:p w14:paraId="0D93645B">
      <w:pPr>
        <w:tabs>
          <w:tab w:val="left" w:pos="720"/>
        </w:tabs>
        <w:spacing w:line="440" w:lineRule="exact"/>
        <w:rPr>
          <w:rFonts w:hint="default" w:ascii="Times New Roman" w:hAnsi="Times New Roman" w:cs="Times New Roman"/>
          <w:szCs w:val="21"/>
          <w:lang w:val="en-US" w:eastAsia="zh-CN"/>
        </w:rPr>
      </w:pPr>
    </w:p>
    <w:p w14:paraId="3FB89CF8">
      <w:pPr>
        <w:rPr>
          <w:rFonts w:hint="default" w:ascii="Times New Roman" w:hAnsi="Times New Roman" w:cs="Times New Roman"/>
          <w:szCs w:val="21"/>
        </w:rPr>
      </w:pPr>
      <w:r>
        <w:rPr>
          <w:sz w:val="20"/>
        </w:rPr>
        <w:br w:type="page"/>
      </w:r>
    </w:p>
    <w:bookmarkEnd w:id="438"/>
    <w:p w14:paraId="212B02C1">
      <w:pPr>
        <w:pStyle w:val="3"/>
        <w:jc w:val="center"/>
        <w:rPr>
          <w:rFonts w:hint="eastAsia"/>
          <w:highlight w:val="none"/>
        </w:rPr>
      </w:pPr>
      <w:r>
        <w:rPr>
          <w:rFonts w:hint="eastAsia"/>
          <w:highlight w:val="none"/>
          <w:lang w:val="en-US" w:eastAsia="zh-CN"/>
        </w:rPr>
        <w:t>六</w:t>
      </w:r>
      <w:r>
        <w:rPr>
          <w:highlight w:val="none"/>
        </w:rPr>
        <w:t>、资格审查资料</w:t>
      </w:r>
    </w:p>
    <w:p w14:paraId="3F7EC8AB">
      <w:pPr>
        <w:pStyle w:val="4"/>
        <w:jc w:val="both"/>
        <w:rPr>
          <w:rFonts w:hint="eastAsia"/>
        </w:rPr>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14:paraId="08EB46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6CEA8E36">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084B0DC4">
            <w:pPr>
              <w:topLinePunct/>
              <w:spacing w:line="440" w:lineRule="exact"/>
              <w:jc w:val="center"/>
              <w:rPr>
                <w:szCs w:val="21"/>
              </w:rPr>
            </w:pPr>
          </w:p>
        </w:tc>
      </w:tr>
      <w:tr w14:paraId="4E9780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8B23DD8">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14:paraId="1C2A2672">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E29BC74">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697A5009">
            <w:pPr>
              <w:topLinePunct/>
              <w:spacing w:line="440" w:lineRule="exact"/>
              <w:jc w:val="center"/>
              <w:rPr>
                <w:rFonts w:hint="eastAsia"/>
                <w:szCs w:val="21"/>
                <w:lang w:val="en-US" w:eastAsia="zh-CN"/>
              </w:rPr>
            </w:pPr>
          </w:p>
        </w:tc>
      </w:tr>
      <w:tr w14:paraId="1C5787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48AD55C0">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0E8651EE">
            <w:pPr>
              <w:topLinePunct/>
              <w:spacing w:line="440" w:lineRule="exact"/>
              <w:jc w:val="center"/>
              <w:rPr>
                <w:rFonts w:hint="eastAsia"/>
                <w:szCs w:val="21"/>
                <w:lang w:val="en-US" w:eastAsia="zh-CN"/>
              </w:rPr>
            </w:pPr>
          </w:p>
        </w:tc>
      </w:tr>
      <w:tr w14:paraId="227883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46D92BA6">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14:paraId="3C6B9ACC">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4C367F5">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00B5987A">
            <w:pPr>
              <w:topLinePunct/>
              <w:spacing w:line="440" w:lineRule="exact"/>
              <w:jc w:val="center"/>
              <w:rPr>
                <w:rFonts w:hint="eastAsia"/>
                <w:szCs w:val="21"/>
                <w:lang w:val="en-US" w:eastAsia="zh-CN"/>
              </w:rPr>
            </w:pPr>
          </w:p>
        </w:tc>
      </w:tr>
      <w:tr w14:paraId="6D6BBB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14:paraId="3286807B">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5052228">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6126A19A">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500E17F">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75AC5467">
            <w:pPr>
              <w:topLinePunct/>
              <w:spacing w:line="440" w:lineRule="exact"/>
              <w:jc w:val="center"/>
              <w:rPr>
                <w:szCs w:val="21"/>
              </w:rPr>
            </w:pPr>
          </w:p>
        </w:tc>
      </w:tr>
      <w:tr w14:paraId="4A6D64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14:paraId="11FCEE79">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0E21D9E">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08786AE4">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8ABB806">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3E27EAAC">
            <w:pPr>
              <w:topLinePunct/>
              <w:spacing w:line="440" w:lineRule="exact"/>
              <w:jc w:val="center"/>
              <w:rPr>
                <w:szCs w:val="21"/>
              </w:rPr>
            </w:pPr>
          </w:p>
        </w:tc>
      </w:tr>
      <w:tr w14:paraId="67DA66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54C8B058">
            <w:pPr>
              <w:topLinePunct/>
              <w:spacing w:line="440" w:lineRule="exact"/>
              <w:jc w:val="center"/>
              <w:rPr>
                <w:rFonts w:hint="eastAsia"/>
                <w:szCs w:val="21"/>
                <w:lang w:val="en-US" w:eastAsia="zh-CN"/>
              </w:rPr>
            </w:pPr>
            <w:r>
              <w:rPr>
                <w:rFonts w:hint="eastAsia"/>
                <w:szCs w:val="21"/>
                <w:lang w:val="en-US" w:eastAsia="zh-CN"/>
              </w:rPr>
              <w:t>法定代表人</w:t>
            </w:r>
          </w:p>
          <w:p w14:paraId="7873FAA3">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B35F4F2">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22FA49F2">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420DDD7">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461D69F9">
            <w:pPr>
              <w:topLinePunct/>
              <w:spacing w:line="440" w:lineRule="exact"/>
              <w:jc w:val="center"/>
              <w:rPr>
                <w:rFonts w:hint="eastAsia"/>
                <w:szCs w:val="21"/>
                <w:lang w:val="en-US" w:eastAsia="zh-CN"/>
              </w:rPr>
            </w:pPr>
          </w:p>
        </w:tc>
      </w:tr>
      <w:tr w14:paraId="3793D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6FC142D0">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4168FA8F">
            <w:pPr>
              <w:topLinePunct/>
              <w:spacing w:line="440" w:lineRule="exact"/>
              <w:jc w:val="left"/>
              <w:rPr>
                <w:rFonts w:hint="default"/>
                <w:szCs w:val="21"/>
                <w:lang w:val="en-US" w:eastAsia="zh-CN"/>
              </w:rPr>
            </w:pPr>
            <w:r>
              <w:rPr>
                <w:rFonts w:hint="eastAsia"/>
                <w:szCs w:val="21"/>
                <w:lang w:val="en-US" w:eastAsia="zh-CN"/>
              </w:rPr>
              <w:t>类型：            等级：            证书号：</w:t>
            </w:r>
          </w:p>
        </w:tc>
      </w:tr>
      <w:tr w14:paraId="3C9450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67D1B6C8">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58E48F17">
            <w:pPr>
              <w:topLinePunct/>
              <w:spacing w:line="440" w:lineRule="exact"/>
              <w:jc w:val="center"/>
              <w:rPr>
                <w:rFonts w:hint="eastAsia"/>
                <w:szCs w:val="21"/>
                <w:lang w:val="en-US" w:eastAsia="zh-CN"/>
              </w:rPr>
            </w:pPr>
          </w:p>
        </w:tc>
      </w:tr>
      <w:tr w14:paraId="16210E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73585316">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684688EB">
            <w:pPr>
              <w:topLinePunct/>
              <w:spacing w:line="440" w:lineRule="exact"/>
              <w:jc w:val="center"/>
              <w:rPr>
                <w:rFonts w:hint="eastAsia"/>
                <w:szCs w:val="21"/>
                <w:lang w:val="en-US" w:eastAsia="zh-CN"/>
              </w:rPr>
            </w:pPr>
          </w:p>
        </w:tc>
      </w:tr>
      <w:tr w14:paraId="043843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18A01A72">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1E986C4B">
            <w:pPr>
              <w:topLinePunct/>
              <w:spacing w:line="440" w:lineRule="exact"/>
              <w:jc w:val="center"/>
              <w:rPr>
                <w:rFonts w:hint="eastAsia"/>
                <w:szCs w:val="21"/>
                <w:lang w:val="en-US" w:eastAsia="zh-CN"/>
              </w:rPr>
            </w:pPr>
          </w:p>
        </w:tc>
      </w:tr>
      <w:tr w14:paraId="1CF2BD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14:paraId="15081B08">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14:paraId="116E525F">
            <w:pPr>
              <w:topLinePunct/>
              <w:spacing w:line="440" w:lineRule="exact"/>
              <w:ind w:firstLine="210" w:firstLineChars="100"/>
              <w:jc w:val="center"/>
              <w:rPr>
                <w:rFonts w:hint="eastAsia"/>
                <w:szCs w:val="21"/>
                <w:lang w:val="en-US" w:eastAsia="zh-CN"/>
              </w:rPr>
            </w:pPr>
          </w:p>
        </w:tc>
      </w:tr>
      <w:tr w14:paraId="675009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553CF7BB">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46B66EBF">
            <w:pPr>
              <w:topLinePunct/>
              <w:spacing w:line="440" w:lineRule="exact"/>
              <w:jc w:val="center"/>
              <w:rPr>
                <w:rFonts w:hint="eastAsia"/>
                <w:szCs w:val="21"/>
                <w:highlight w:val="red"/>
                <w:lang w:val="en-US" w:eastAsia="zh-CN"/>
              </w:rPr>
            </w:pPr>
          </w:p>
        </w:tc>
      </w:tr>
      <w:tr w14:paraId="42AEC4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5A977EAB">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3CF70416">
            <w:pPr>
              <w:topLinePunct/>
              <w:spacing w:line="440" w:lineRule="exact"/>
              <w:jc w:val="center"/>
              <w:rPr>
                <w:rFonts w:hint="eastAsia"/>
                <w:szCs w:val="21"/>
                <w:highlight w:val="red"/>
                <w:lang w:val="en-US" w:eastAsia="zh-CN"/>
              </w:rPr>
            </w:pPr>
          </w:p>
        </w:tc>
      </w:tr>
      <w:tr w14:paraId="6DB90D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59C3272F">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09A83C25">
            <w:pPr>
              <w:topLinePunct/>
              <w:spacing w:line="440" w:lineRule="exact"/>
              <w:jc w:val="center"/>
              <w:rPr>
                <w:szCs w:val="21"/>
              </w:rPr>
            </w:pPr>
          </w:p>
        </w:tc>
      </w:tr>
    </w:tbl>
    <w:p w14:paraId="0A430C8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14:paraId="7C8965E8">
      <w:pPr>
        <w:rPr>
          <w:rFonts w:hint="default" w:ascii="Times New Roman" w:hAnsi="Times New Roman" w:cs="Times New Roman"/>
          <w:lang w:val="en-US" w:eastAsia="zh-CN"/>
        </w:rPr>
      </w:pPr>
    </w:p>
    <w:p w14:paraId="4BB65380">
      <w:pPr>
        <w:rPr>
          <w:rFonts w:hint="eastAsia"/>
        </w:rPr>
      </w:pPr>
      <w:r>
        <w:rPr>
          <w:rFonts w:hint="eastAsia"/>
        </w:rPr>
        <w:br w:type="page"/>
      </w:r>
    </w:p>
    <w:p w14:paraId="46637C44">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2B35F5C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14:paraId="269947B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3C37635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14:paraId="58D1D579">
      <w:pPr>
        <w:rPr>
          <w:rFonts w:hint="default" w:ascii="Times New Roman" w:hAnsi="Times New Roman" w:cs="Times New Roman"/>
        </w:rPr>
      </w:pPr>
    </w:p>
    <w:p w14:paraId="1D47B978">
      <w:pPr>
        <w:rPr>
          <w:rFonts w:hint="eastAsia"/>
        </w:rPr>
      </w:pPr>
      <w:r>
        <w:rPr>
          <w:rFonts w:hint="eastAsia"/>
        </w:rPr>
        <w:br w:type="page"/>
      </w:r>
    </w:p>
    <w:p w14:paraId="312FEF03">
      <w:pPr>
        <w:pStyle w:val="4"/>
        <w:rPr>
          <w:rFonts w:hint="default" w:ascii="Times New Roman" w:hAnsi="Times New Roman" w:cs="Times New Roman"/>
        </w:rPr>
      </w:pPr>
      <w:r>
        <w:rPr>
          <w:rFonts w:hint="default" w:ascii="Times New Roman" w:hAnsi="Times New Roman" w:cs="Times New Roman"/>
        </w:rPr>
        <w:t>（三）近年完成的类似项目情况表</w:t>
      </w:r>
    </w:p>
    <w:p w14:paraId="0231A9AB">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49A1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3E0CDF65">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14:paraId="50AE2153">
            <w:pPr>
              <w:topLinePunct/>
              <w:spacing w:line="440" w:lineRule="exact"/>
              <w:rPr>
                <w:rFonts w:hint="default" w:ascii="Times New Roman" w:hAnsi="Times New Roman" w:cs="Times New Roman"/>
                <w:szCs w:val="21"/>
                <w:highlight w:val="black"/>
              </w:rPr>
            </w:pPr>
          </w:p>
        </w:tc>
      </w:tr>
      <w:tr w14:paraId="3F6BD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6E21F4C4">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14:paraId="5F10D032">
            <w:pPr>
              <w:topLinePunct/>
              <w:spacing w:line="440" w:lineRule="exact"/>
              <w:rPr>
                <w:rFonts w:hint="default" w:ascii="Times New Roman" w:hAnsi="Times New Roman" w:cs="Times New Roman"/>
                <w:szCs w:val="21"/>
              </w:rPr>
            </w:pPr>
          </w:p>
        </w:tc>
      </w:tr>
      <w:tr w14:paraId="71419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0C4E0A7E">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68410A40">
            <w:pPr>
              <w:topLinePunct/>
              <w:spacing w:line="440" w:lineRule="exact"/>
              <w:rPr>
                <w:rFonts w:hint="default" w:ascii="Times New Roman" w:hAnsi="Times New Roman" w:cs="Times New Roman"/>
                <w:szCs w:val="21"/>
              </w:rPr>
            </w:pPr>
          </w:p>
        </w:tc>
      </w:tr>
      <w:tr w14:paraId="7D775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03E8F325">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14:paraId="243347BC">
            <w:pPr>
              <w:topLinePunct/>
              <w:spacing w:line="440" w:lineRule="exact"/>
              <w:rPr>
                <w:rFonts w:hint="default" w:ascii="Times New Roman" w:hAnsi="Times New Roman" w:cs="Times New Roman"/>
                <w:szCs w:val="21"/>
              </w:rPr>
            </w:pPr>
          </w:p>
        </w:tc>
      </w:tr>
      <w:tr w14:paraId="1FE0C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3C504E68">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14:paraId="07855343">
            <w:pPr>
              <w:topLinePunct/>
              <w:spacing w:line="440" w:lineRule="exact"/>
              <w:rPr>
                <w:rFonts w:hint="default" w:ascii="Times New Roman" w:hAnsi="Times New Roman" w:cs="Times New Roman"/>
                <w:szCs w:val="21"/>
              </w:rPr>
            </w:pPr>
          </w:p>
        </w:tc>
      </w:tr>
      <w:tr w14:paraId="3E4CF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0559156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61CE9D3A">
            <w:pPr>
              <w:topLinePunct/>
              <w:spacing w:line="440" w:lineRule="exact"/>
              <w:rPr>
                <w:rFonts w:hint="default" w:ascii="Times New Roman" w:hAnsi="Times New Roman" w:cs="Times New Roman"/>
                <w:szCs w:val="21"/>
              </w:rPr>
            </w:pPr>
          </w:p>
        </w:tc>
      </w:tr>
      <w:tr w14:paraId="63927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10A929FB">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14:paraId="4F1E60EC">
            <w:pPr>
              <w:topLinePunct/>
              <w:spacing w:line="440" w:lineRule="exact"/>
              <w:rPr>
                <w:rFonts w:hint="default" w:ascii="Times New Roman" w:hAnsi="Times New Roman" w:cs="Times New Roman"/>
                <w:szCs w:val="21"/>
              </w:rPr>
            </w:pPr>
          </w:p>
          <w:p w14:paraId="5FEF16F2">
            <w:pPr>
              <w:topLinePunct/>
              <w:spacing w:line="440" w:lineRule="exact"/>
              <w:rPr>
                <w:rFonts w:hint="default" w:ascii="Times New Roman" w:hAnsi="Times New Roman" w:cs="Times New Roman"/>
                <w:szCs w:val="21"/>
              </w:rPr>
            </w:pPr>
          </w:p>
          <w:p w14:paraId="2A299B38">
            <w:pPr>
              <w:topLinePunct/>
              <w:spacing w:line="440" w:lineRule="exact"/>
              <w:rPr>
                <w:rFonts w:hint="default" w:ascii="Times New Roman" w:hAnsi="Times New Roman" w:cs="Times New Roman"/>
                <w:szCs w:val="21"/>
              </w:rPr>
            </w:pPr>
          </w:p>
          <w:p w14:paraId="7BC1B04E">
            <w:pPr>
              <w:topLinePunct/>
              <w:spacing w:line="440" w:lineRule="exact"/>
              <w:rPr>
                <w:rFonts w:hint="default" w:ascii="Times New Roman" w:hAnsi="Times New Roman" w:cs="Times New Roman"/>
                <w:szCs w:val="21"/>
              </w:rPr>
            </w:pPr>
          </w:p>
          <w:p w14:paraId="055A233F">
            <w:pPr>
              <w:topLinePunct/>
              <w:spacing w:line="440" w:lineRule="exact"/>
              <w:rPr>
                <w:rFonts w:hint="default" w:ascii="Times New Roman" w:hAnsi="Times New Roman" w:cs="Times New Roman"/>
                <w:szCs w:val="21"/>
              </w:rPr>
            </w:pPr>
          </w:p>
          <w:p w14:paraId="3EDC28B4">
            <w:pPr>
              <w:topLinePunct/>
              <w:spacing w:line="440" w:lineRule="exact"/>
              <w:rPr>
                <w:rFonts w:hint="default" w:ascii="Times New Roman" w:hAnsi="Times New Roman" w:cs="Times New Roman"/>
                <w:szCs w:val="21"/>
              </w:rPr>
            </w:pPr>
          </w:p>
          <w:p w14:paraId="690B71C4">
            <w:pPr>
              <w:topLinePunct/>
              <w:spacing w:line="440" w:lineRule="exact"/>
              <w:rPr>
                <w:rFonts w:hint="default" w:ascii="Times New Roman" w:hAnsi="Times New Roman" w:cs="Times New Roman"/>
                <w:szCs w:val="21"/>
              </w:rPr>
            </w:pPr>
          </w:p>
        </w:tc>
      </w:tr>
      <w:tr w14:paraId="4C2D2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0D64F5F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3C0086F6">
            <w:pPr>
              <w:topLinePunct/>
              <w:spacing w:line="440" w:lineRule="exact"/>
              <w:rPr>
                <w:rFonts w:hint="default" w:ascii="Times New Roman" w:hAnsi="Times New Roman" w:cs="Times New Roman"/>
                <w:szCs w:val="21"/>
              </w:rPr>
            </w:pPr>
          </w:p>
        </w:tc>
      </w:tr>
    </w:tbl>
    <w:p w14:paraId="40242CDD">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14:paraId="099C160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14:paraId="5EB004C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 w14:paraId="6DAA7DB2">
      <w:pPr>
        <w:rPr>
          <w:rFonts w:hint="eastAsia"/>
        </w:rPr>
      </w:pPr>
      <w:r>
        <w:rPr>
          <w:rFonts w:hint="eastAsia"/>
        </w:rPr>
        <w:br w:type="page"/>
      </w:r>
    </w:p>
    <w:p w14:paraId="7E92B0FC">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（四）制造商授权书（如要求）</w:t>
      </w:r>
    </w:p>
    <w:p w14:paraId="14CA47B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制造商授权书</w:t>
      </w:r>
    </w:p>
    <w:p w14:paraId="0F96217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6A700531">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（招标人）</w:t>
      </w:r>
    </w:p>
    <w:p w14:paraId="58E2C651">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我单位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（制造商名称）是按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（国家/地区名称）法律成立的一家制造商，主要营业地点设在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（制造商地址）。兹授权按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（国家/地区名称）的法律正式成立的，主要营业地点设在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（投标人的单位地址）的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（投标人名称）以我单位制造的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（产品名称）进行</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（项目名称）投标活动。我单位同意按照中标合同供货，并对产品质量承担责任。</w:t>
      </w:r>
    </w:p>
    <w:p w14:paraId="1E0C8AE3">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授权期限：</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w:t>
      </w:r>
    </w:p>
    <w:p w14:paraId="6347DAD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14:paraId="2D70973F">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14:paraId="74ADADA3">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投标人名称：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          制造商名称：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w:t>
      </w:r>
    </w:p>
    <w:p w14:paraId="5DD9B8AA">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26D23F09">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4057ADD0">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2E50FF5D">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14:paraId="61066F99">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223332C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01A8B90B">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0CBD434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14:paraId="4E60A76E">
      <w:pPr>
        <w:rPr>
          <w:rFonts w:hint="eastAsia"/>
        </w:rPr>
      </w:pPr>
      <w:r>
        <w:rPr>
          <w:rFonts w:hint="eastAsia"/>
        </w:rPr>
        <w:br w:type="page"/>
      </w:r>
    </w:p>
    <w:p w14:paraId="50BD4525">
      <w:pPr>
        <w:pStyle w:val="3"/>
        <w:numPr>
          <w:ilvl w:val="0"/>
          <w:numId w:val="2"/>
        </w:numPr>
        <w:jc w:val="center"/>
        <w:rPr>
          <w:rFonts w:hint="eastAsia"/>
          <w:lang w:val="en-US" w:eastAsia="zh-CN"/>
        </w:rPr>
      </w:pPr>
      <w:r>
        <w:rPr>
          <w:rFonts w:hint="eastAsia"/>
          <w:lang w:val="en-US" w:eastAsia="zh-CN"/>
        </w:rPr>
        <w:t>投标产品性能指标的详细描述</w:t>
      </w:r>
    </w:p>
    <w:p w14:paraId="5B1E4CAB">
      <w:pPr>
        <w:numPr>
          <w:ilvl w:val="0"/>
          <w:numId w:val="0"/>
        </w:numPr>
        <w:rPr>
          <w:rFonts w:hint="default"/>
          <w:lang w:val="en-US" w:eastAsia="zh-CN"/>
        </w:rPr>
      </w:pPr>
    </w:p>
    <w:p w14:paraId="7E1CB2A9">
      <w:pPr>
        <w:numPr>
          <w:ilvl w:val="0"/>
          <w:numId w:val="0"/>
        </w:numPr>
        <w:rPr>
          <w:rFonts w:hint="default"/>
          <w:lang w:val="en-US" w:eastAsia="zh-CN"/>
        </w:rPr>
      </w:pPr>
    </w:p>
    <w:p w14:paraId="3A9C8F43">
      <w:pPr>
        <w:pStyle w:val="3"/>
        <w:numPr>
          <w:ilvl w:val="0"/>
          <w:numId w:val="2"/>
        </w:numPr>
        <w:ind w:left="0" w:leftChars="0" w:firstLine="0" w:firstLineChars="0"/>
        <w:jc w:val="center"/>
        <w:rPr>
          <w:rFonts w:hint="eastAsia"/>
          <w:lang w:val="en-US" w:eastAsia="zh-CN"/>
        </w:rPr>
      </w:pPr>
      <w:r>
        <w:rPr>
          <w:rFonts w:hint="eastAsia"/>
          <w:lang w:val="en-US" w:eastAsia="zh-CN"/>
        </w:rPr>
        <w:t>技术支持资料</w:t>
      </w:r>
    </w:p>
    <w:p w14:paraId="68481146">
      <w:pPr>
        <w:numPr>
          <w:ilvl w:val="0"/>
          <w:numId w:val="0"/>
        </w:numPr>
        <w:ind w:leftChars="0"/>
        <w:rPr>
          <w:rFonts w:hint="default"/>
          <w:lang w:val="en-US" w:eastAsia="zh-CN"/>
        </w:rPr>
      </w:pPr>
    </w:p>
    <w:p w14:paraId="20E0CAB9">
      <w:pPr>
        <w:numPr>
          <w:ilvl w:val="0"/>
          <w:numId w:val="0"/>
        </w:numPr>
        <w:ind w:leftChars="0"/>
        <w:rPr>
          <w:rFonts w:hint="default"/>
          <w:lang w:val="en-US" w:eastAsia="zh-CN"/>
        </w:rPr>
      </w:pPr>
    </w:p>
    <w:p w14:paraId="0F1CC49B">
      <w:pPr>
        <w:pStyle w:val="3"/>
        <w:jc w:val="center"/>
        <w:rPr>
          <w:rFonts w:hint="default"/>
          <w:lang w:val="en-US" w:eastAsia="zh-CN"/>
        </w:rPr>
      </w:pPr>
      <w:r>
        <w:rPr>
          <w:rFonts w:hint="eastAsia"/>
          <w:lang w:val="en-US" w:eastAsia="zh-CN"/>
        </w:rPr>
        <w:t>九、相关服务计划</w:t>
      </w:r>
    </w:p>
    <w:p w14:paraId="2FFA291C">
      <w:pPr>
        <w:spacing w:line="440" w:lineRule="exact"/>
        <w:rPr>
          <w:rFonts w:hint="default" w:ascii="Times New Roman" w:hAnsi="Times New Roman" w:cs="Times New Roman"/>
        </w:rPr>
      </w:pPr>
      <w:bookmarkStart w:id="439" w:name="_Toc247514305"/>
      <w:bookmarkStart w:id="440" w:name="_Toc152042602"/>
      <w:bookmarkStart w:id="441" w:name="_Toc144974881"/>
      <w:bookmarkStart w:id="442" w:name="_Toc247527853"/>
      <w:bookmarkStart w:id="443" w:name="_Toc247530162"/>
      <w:bookmarkStart w:id="444" w:name="_Toc152045813"/>
    </w:p>
    <w:p w14:paraId="1FC7C68E">
      <w:pPr>
        <w:spacing w:line="440" w:lineRule="exact"/>
        <w:rPr>
          <w:rFonts w:hint="default" w:ascii="Times New Roman" w:hAnsi="Times New Roman" w:cs="Times New Roman"/>
        </w:rPr>
      </w:pPr>
    </w:p>
    <w:bookmarkEnd w:id="439"/>
    <w:bookmarkEnd w:id="440"/>
    <w:bookmarkEnd w:id="441"/>
    <w:bookmarkEnd w:id="442"/>
    <w:bookmarkEnd w:id="443"/>
    <w:bookmarkEnd w:id="444"/>
    <w:p w14:paraId="1DBAEB0D">
      <w:pPr>
        <w:pStyle w:val="3"/>
        <w:jc w:val="center"/>
        <w:rPr>
          <w:rFonts w:hint="default" w:ascii="Times New Roman" w:hAnsi="Times New Roman" w:cs="Times New Roman"/>
        </w:rPr>
      </w:pPr>
      <w:r>
        <w:rPr>
          <w:rFonts w:hint="eastAsia" w:ascii="Times New Roman" w:hAnsi="Times New Roman" w:cs="Times New Roman"/>
          <w:lang w:val="en-US" w:eastAsia="zh-CN"/>
        </w:rPr>
        <w:t>十</w:t>
      </w:r>
      <w:r>
        <w:rPr>
          <w:rFonts w:hint="default" w:ascii="Times New Roman" w:hAnsi="Times New Roman" w:cs="Times New Roman"/>
        </w:rPr>
        <w:t>、其他资料</w:t>
      </w:r>
    </w:p>
    <w:p w14:paraId="72E89635">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411C1D37">
      <w:pPr>
        <w:spacing w:line="400" w:lineRule="exact"/>
        <w:rPr>
          <w:rFonts w:hint="default" w:ascii="Times New Roman" w:hAnsi="Times New Roman" w:cs="Times New Roman"/>
        </w:rPr>
      </w:pPr>
    </w:p>
    <w:p w14:paraId="43C3EECF">
      <w:pPr>
        <w:rPr>
          <w:rFonts w:hint="default" w:ascii="Times New Roman" w:hAnsi="Times New Roman" w:eastAsia="宋体" w:cs="Times New Roman"/>
          <w:b w:val="0"/>
          <w:bCs w:val="0"/>
          <w:kern w:val="0"/>
          <w:sz w:val="24"/>
          <w:szCs w:val="24"/>
          <w:highlight w:val="none"/>
          <w:lang w:val="en-US" w:eastAsia="zh-CN" w:bidi="ar-SA"/>
        </w:rPr>
      </w:pPr>
    </w:p>
    <w:p w14:paraId="3D44D94D">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4F160B">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9CACB">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038B76">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- 37 -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1038B76">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- 37 -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C06998">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4BB0BC"/>
    <w:multiLevelType w:val="singleLevel"/>
    <w:tmpl w:val="0D4BB0BC"/>
    <w:lvl w:ilvl="0" w:tentative="0">
      <w:start w:val="1"/>
      <w:numFmt w:val="chineseCounting"/>
      <w:suff w:val="nothing"/>
      <w:lvlText w:val="%1、"/>
      <w:lvlJc w:val="left"/>
      <w:rPr>
        <w:rFonts w:hint="eastAsia"/>
      </w:rPr>
    </w:lvl>
  </w:abstractNum>
  <w:abstractNum w:abstractNumId="1">
    <w:nsid w:val="505D7FB9"/>
    <w:multiLevelType w:val="singleLevel"/>
    <w:tmpl w:val="505D7FB9"/>
    <w:lvl w:ilvl="0" w:tentative="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SystemFonts/>
  <w:bordersDoNotSurroundHeader w:val="0"/>
  <w:bordersDoNotSurroundFooter w:val="0"/>
  <w:documentProtection w:edit="trackedChange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wMDkzZjRiNzBlNDRhNGUxZjc1Njc5NTRjNDdlY2M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8C519F"/>
    <w:rsid w:val="019846E3"/>
    <w:rsid w:val="01CB0CDF"/>
    <w:rsid w:val="01CD2334"/>
    <w:rsid w:val="01E140D3"/>
    <w:rsid w:val="01EE4D0C"/>
    <w:rsid w:val="01F16263"/>
    <w:rsid w:val="02016132"/>
    <w:rsid w:val="020F2931"/>
    <w:rsid w:val="0212370C"/>
    <w:rsid w:val="021D348F"/>
    <w:rsid w:val="025D08EA"/>
    <w:rsid w:val="026E5FAB"/>
    <w:rsid w:val="02983D41"/>
    <w:rsid w:val="029F2BC9"/>
    <w:rsid w:val="02A31129"/>
    <w:rsid w:val="02A46690"/>
    <w:rsid w:val="02AC508C"/>
    <w:rsid w:val="02BE075F"/>
    <w:rsid w:val="02F4317E"/>
    <w:rsid w:val="0324584F"/>
    <w:rsid w:val="032652C7"/>
    <w:rsid w:val="032D4760"/>
    <w:rsid w:val="033964DC"/>
    <w:rsid w:val="034877EC"/>
    <w:rsid w:val="035021B2"/>
    <w:rsid w:val="03633AA8"/>
    <w:rsid w:val="03696450"/>
    <w:rsid w:val="038E65F9"/>
    <w:rsid w:val="03C10800"/>
    <w:rsid w:val="03C96DCC"/>
    <w:rsid w:val="03E933DF"/>
    <w:rsid w:val="03FB71CD"/>
    <w:rsid w:val="04127BBC"/>
    <w:rsid w:val="041515CF"/>
    <w:rsid w:val="04210376"/>
    <w:rsid w:val="04212D24"/>
    <w:rsid w:val="042C575E"/>
    <w:rsid w:val="04382327"/>
    <w:rsid w:val="043A6EF6"/>
    <w:rsid w:val="043F5557"/>
    <w:rsid w:val="044363A4"/>
    <w:rsid w:val="04762137"/>
    <w:rsid w:val="04885B47"/>
    <w:rsid w:val="04A52387"/>
    <w:rsid w:val="04B54547"/>
    <w:rsid w:val="04CB4231"/>
    <w:rsid w:val="04CD15E8"/>
    <w:rsid w:val="04CF4810"/>
    <w:rsid w:val="04D63FDF"/>
    <w:rsid w:val="04EB08D2"/>
    <w:rsid w:val="04EC7DA2"/>
    <w:rsid w:val="050252F6"/>
    <w:rsid w:val="0541752E"/>
    <w:rsid w:val="055625ED"/>
    <w:rsid w:val="0572490A"/>
    <w:rsid w:val="057E3D65"/>
    <w:rsid w:val="058253F2"/>
    <w:rsid w:val="05872EB9"/>
    <w:rsid w:val="05933026"/>
    <w:rsid w:val="05BA17C0"/>
    <w:rsid w:val="05D9116E"/>
    <w:rsid w:val="061F0438"/>
    <w:rsid w:val="06254749"/>
    <w:rsid w:val="06292F58"/>
    <w:rsid w:val="063F4D83"/>
    <w:rsid w:val="06473D8B"/>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177C01"/>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13E13"/>
    <w:rsid w:val="08E41D65"/>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B428E"/>
    <w:rsid w:val="0A3B332D"/>
    <w:rsid w:val="0A466107"/>
    <w:rsid w:val="0A500304"/>
    <w:rsid w:val="0A5234C1"/>
    <w:rsid w:val="0A704DEE"/>
    <w:rsid w:val="0A8B5261"/>
    <w:rsid w:val="0A8E5075"/>
    <w:rsid w:val="0AA913FB"/>
    <w:rsid w:val="0AAE6B76"/>
    <w:rsid w:val="0AB37F43"/>
    <w:rsid w:val="0AB930A2"/>
    <w:rsid w:val="0ADD0DF0"/>
    <w:rsid w:val="0AEB40E8"/>
    <w:rsid w:val="0AFA123A"/>
    <w:rsid w:val="0B0E131B"/>
    <w:rsid w:val="0B416906"/>
    <w:rsid w:val="0B5D1C2A"/>
    <w:rsid w:val="0B685C3C"/>
    <w:rsid w:val="0B7202E7"/>
    <w:rsid w:val="0B84338B"/>
    <w:rsid w:val="0B991D46"/>
    <w:rsid w:val="0B9F686D"/>
    <w:rsid w:val="0BDE31B0"/>
    <w:rsid w:val="0BE34556"/>
    <w:rsid w:val="0C110CA2"/>
    <w:rsid w:val="0C773477"/>
    <w:rsid w:val="0C9F113B"/>
    <w:rsid w:val="0CC51EAD"/>
    <w:rsid w:val="0CD3448B"/>
    <w:rsid w:val="0CF072F3"/>
    <w:rsid w:val="0D2466BD"/>
    <w:rsid w:val="0D3A1668"/>
    <w:rsid w:val="0D5C2246"/>
    <w:rsid w:val="0D6A3C45"/>
    <w:rsid w:val="0D7C75DF"/>
    <w:rsid w:val="0D7F3B4D"/>
    <w:rsid w:val="0D84383E"/>
    <w:rsid w:val="0DA13B17"/>
    <w:rsid w:val="0DA277FF"/>
    <w:rsid w:val="0DB22432"/>
    <w:rsid w:val="0DB8057F"/>
    <w:rsid w:val="0DC57869"/>
    <w:rsid w:val="0DD331D8"/>
    <w:rsid w:val="0DDB677F"/>
    <w:rsid w:val="0E093A81"/>
    <w:rsid w:val="0E1201C4"/>
    <w:rsid w:val="0E35096D"/>
    <w:rsid w:val="0E3C08A3"/>
    <w:rsid w:val="0E6059EA"/>
    <w:rsid w:val="0E626142"/>
    <w:rsid w:val="0E6D3EE4"/>
    <w:rsid w:val="0E8168AC"/>
    <w:rsid w:val="0E9601D9"/>
    <w:rsid w:val="0EDF4D5E"/>
    <w:rsid w:val="0EF860F0"/>
    <w:rsid w:val="0F024085"/>
    <w:rsid w:val="0F1438EF"/>
    <w:rsid w:val="0F463825"/>
    <w:rsid w:val="0F4B0F6A"/>
    <w:rsid w:val="0F575798"/>
    <w:rsid w:val="0F5F5CB1"/>
    <w:rsid w:val="0F6D192D"/>
    <w:rsid w:val="0F6E4AA0"/>
    <w:rsid w:val="0F72555F"/>
    <w:rsid w:val="0F886069"/>
    <w:rsid w:val="0F917E25"/>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0E05471"/>
    <w:rsid w:val="11114551"/>
    <w:rsid w:val="111E1B8C"/>
    <w:rsid w:val="112269D1"/>
    <w:rsid w:val="11356135"/>
    <w:rsid w:val="11800917"/>
    <w:rsid w:val="118955AD"/>
    <w:rsid w:val="11970BCB"/>
    <w:rsid w:val="1197226B"/>
    <w:rsid w:val="11AA0839"/>
    <w:rsid w:val="11C42470"/>
    <w:rsid w:val="11C71895"/>
    <w:rsid w:val="11CD444A"/>
    <w:rsid w:val="11E2334D"/>
    <w:rsid w:val="11F058CE"/>
    <w:rsid w:val="11FC3F3B"/>
    <w:rsid w:val="12445622"/>
    <w:rsid w:val="124D3BAD"/>
    <w:rsid w:val="125A52C4"/>
    <w:rsid w:val="12655D96"/>
    <w:rsid w:val="128E3C38"/>
    <w:rsid w:val="12BF2922"/>
    <w:rsid w:val="12C942C8"/>
    <w:rsid w:val="12DC5F5E"/>
    <w:rsid w:val="12DC7F8C"/>
    <w:rsid w:val="12E666D9"/>
    <w:rsid w:val="12E82A0B"/>
    <w:rsid w:val="131873D2"/>
    <w:rsid w:val="13274F9C"/>
    <w:rsid w:val="13417410"/>
    <w:rsid w:val="134A448A"/>
    <w:rsid w:val="134F7EA7"/>
    <w:rsid w:val="135107A8"/>
    <w:rsid w:val="136066CF"/>
    <w:rsid w:val="13657E31"/>
    <w:rsid w:val="136C3340"/>
    <w:rsid w:val="137168DF"/>
    <w:rsid w:val="1387094F"/>
    <w:rsid w:val="139C08EB"/>
    <w:rsid w:val="13C51B57"/>
    <w:rsid w:val="13D35238"/>
    <w:rsid w:val="13D81B1F"/>
    <w:rsid w:val="14061B66"/>
    <w:rsid w:val="142B5FE2"/>
    <w:rsid w:val="142C636E"/>
    <w:rsid w:val="14542872"/>
    <w:rsid w:val="147E2423"/>
    <w:rsid w:val="1487273A"/>
    <w:rsid w:val="148C28CB"/>
    <w:rsid w:val="14944440"/>
    <w:rsid w:val="14A059A0"/>
    <w:rsid w:val="14B05FD5"/>
    <w:rsid w:val="14B97B05"/>
    <w:rsid w:val="14CD31B9"/>
    <w:rsid w:val="14DA6BBE"/>
    <w:rsid w:val="14E67563"/>
    <w:rsid w:val="14F926F4"/>
    <w:rsid w:val="15021B62"/>
    <w:rsid w:val="150A21BA"/>
    <w:rsid w:val="151779D1"/>
    <w:rsid w:val="1522437E"/>
    <w:rsid w:val="15283931"/>
    <w:rsid w:val="15382F40"/>
    <w:rsid w:val="158374C1"/>
    <w:rsid w:val="159F1A72"/>
    <w:rsid w:val="15A62ECC"/>
    <w:rsid w:val="15B14179"/>
    <w:rsid w:val="15C516BD"/>
    <w:rsid w:val="15FF0520"/>
    <w:rsid w:val="160475A2"/>
    <w:rsid w:val="166266B1"/>
    <w:rsid w:val="16692480"/>
    <w:rsid w:val="169528F0"/>
    <w:rsid w:val="16C724D4"/>
    <w:rsid w:val="16D411E7"/>
    <w:rsid w:val="16ED0036"/>
    <w:rsid w:val="170756D4"/>
    <w:rsid w:val="170F4587"/>
    <w:rsid w:val="175400B6"/>
    <w:rsid w:val="176115DC"/>
    <w:rsid w:val="176D7525"/>
    <w:rsid w:val="17824660"/>
    <w:rsid w:val="178F2FF8"/>
    <w:rsid w:val="179121FE"/>
    <w:rsid w:val="17915931"/>
    <w:rsid w:val="17C41ABF"/>
    <w:rsid w:val="18175D56"/>
    <w:rsid w:val="18276B10"/>
    <w:rsid w:val="182C1032"/>
    <w:rsid w:val="18930C59"/>
    <w:rsid w:val="189B5F22"/>
    <w:rsid w:val="18A70256"/>
    <w:rsid w:val="18A944F8"/>
    <w:rsid w:val="18B73074"/>
    <w:rsid w:val="18DA76F1"/>
    <w:rsid w:val="19034C2D"/>
    <w:rsid w:val="1916127C"/>
    <w:rsid w:val="193D465D"/>
    <w:rsid w:val="193D4E12"/>
    <w:rsid w:val="194C3497"/>
    <w:rsid w:val="19562572"/>
    <w:rsid w:val="196C6238"/>
    <w:rsid w:val="19726F19"/>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2F6938"/>
    <w:rsid w:val="1C3774BA"/>
    <w:rsid w:val="1C4E114E"/>
    <w:rsid w:val="1C5D5F8B"/>
    <w:rsid w:val="1C6E241C"/>
    <w:rsid w:val="1C8472AC"/>
    <w:rsid w:val="1CA01FA8"/>
    <w:rsid w:val="1CB07DF9"/>
    <w:rsid w:val="1CC3681B"/>
    <w:rsid w:val="1CF251D3"/>
    <w:rsid w:val="1CFF3217"/>
    <w:rsid w:val="1D0C3E62"/>
    <w:rsid w:val="1D1D0D81"/>
    <w:rsid w:val="1D3369BF"/>
    <w:rsid w:val="1D5835F0"/>
    <w:rsid w:val="1D594678"/>
    <w:rsid w:val="1D864D41"/>
    <w:rsid w:val="1D8C5045"/>
    <w:rsid w:val="1D9244F8"/>
    <w:rsid w:val="1D931CEA"/>
    <w:rsid w:val="1D954F84"/>
    <w:rsid w:val="1DC177D9"/>
    <w:rsid w:val="1E1A236E"/>
    <w:rsid w:val="1E225BB3"/>
    <w:rsid w:val="1E2A6113"/>
    <w:rsid w:val="1E2D212B"/>
    <w:rsid w:val="1E2E6E13"/>
    <w:rsid w:val="1E32182A"/>
    <w:rsid w:val="1E5A61EE"/>
    <w:rsid w:val="1E713E2F"/>
    <w:rsid w:val="1E831280"/>
    <w:rsid w:val="1E980FE4"/>
    <w:rsid w:val="1EA573D8"/>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71677"/>
    <w:rsid w:val="1F722047"/>
    <w:rsid w:val="1F904945"/>
    <w:rsid w:val="1FA7625B"/>
    <w:rsid w:val="1FAA6A2E"/>
    <w:rsid w:val="1FBA0A04"/>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61686"/>
    <w:rsid w:val="21C13A32"/>
    <w:rsid w:val="21D70261"/>
    <w:rsid w:val="22116B50"/>
    <w:rsid w:val="221F2A73"/>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8417CA"/>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2C6959"/>
    <w:rsid w:val="27301EDB"/>
    <w:rsid w:val="27453115"/>
    <w:rsid w:val="276C029F"/>
    <w:rsid w:val="27867E0A"/>
    <w:rsid w:val="27982DD4"/>
    <w:rsid w:val="27C70430"/>
    <w:rsid w:val="27DD09CE"/>
    <w:rsid w:val="27EC553C"/>
    <w:rsid w:val="280C4BFC"/>
    <w:rsid w:val="2813394B"/>
    <w:rsid w:val="281C1F63"/>
    <w:rsid w:val="281C54D8"/>
    <w:rsid w:val="283610D5"/>
    <w:rsid w:val="285F5293"/>
    <w:rsid w:val="28622D71"/>
    <w:rsid w:val="286E69FD"/>
    <w:rsid w:val="28A10C81"/>
    <w:rsid w:val="28C56178"/>
    <w:rsid w:val="28FA546B"/>
    <w:rsid w:val="28FE025E"/>
    <w:rsid w:val="290D6316"/>
    <w:rsid w:val="29245F1A"/>
    <w:rsid w:val="29366359"/>
    <w:rsid w:val="29586D7A"/>
    <w:rsid w:val="29772B51"/>
    <w:rsid w:val="29791894"/>
    <w:rsid w:val="2984235F"/>
    <w:rsid w:val="29967FD2"/>
    <w:rsid w:val="29A52D8F"/>
    <w:rsid w:val="29C56C3A"/>
    <w:rsid w:val="29D057AF"/>
    <w:rsid w:val="29D85278"/>
    <w:rsid w:val="29E1380C"/>
    <w:rsid w:val="29E85046"/>
    <w:rsid w:val="2A017BFD"/>
    <w:rsid w:val="2A0A71F8"/>
    <w:rsid w:val="2A4913A2"/>
    <w:rsid w:val="2A4B17EC"/>
    <w:rsid w:val="2A9154D8"/>
    <w:rsid w:val="2AA04C57"/>
    <w:rsid w:val="2AAF1D7B"/>
    <w:rsid w:val="2AD750C3"/>
    <w:rsid w:val="2AE77D08"/>
    <w:rsid w:val="2AE85C6E"/>
    <w:rsid w:val="2AEA3011"/>
    <w:rsid w:val="2AFA0B1C"/>
    <w:rsid w:val="2B036A4B"/>
    <w:rsid w:val="2B252D72"/>
    <w:rsid w:val="2B3E0375"/>
    <w:rsid w:val="2B492499"/>
    <w:rsid w:val="2B652A8D"/>
    <w:rsid w:val="2B6C55DB"/>
    <w:rsid w:val="2B8D5640"/>
    <w:rsid w:val="2BF4029C"/>
    <w:rsid w:val="2C1C6937"/>
    <w:rsid w:val="2C202757"/>
    <w:rsid w:val="2C270D43"/>
    <w:rsid w:val="2C560919"/>
    <w:rsid w:val="2C6436A6"/>
    <w:rsid w:val="2C7A2A8F"/>
    <w:rsid w:val="2C81744F"/>
    <w:rsid w:val="2C9023A5"/>
    <w:rsid w:val="2C937549"/>
    <w:rsid w:val="2C9D6A04"/>
    <w:rsid w:val="2CB62598"/>
    <w:rsid w:val="2CBC136A"/>
    <w:rsid w:val="2CD47877"/>
    <w:rsid w:val="2CFE607B"/>
    <w:rsid w:val="2D095409"/>
    <w:rsid w:val="2D2D51D9"/>
    <w:rsid w:val="2D391E90"/>
    <w:rsid w:val="2D3A3199"/>
    <w:rsid w:val="2D452523"/>
    <w:rsid w:val="2D4B38E7"/>
    <w:rsid w:val="2D5470D9"/>
    <w:rsid w:val="2D551303"/>
    <w:rsid w:val="2D6A1F89"/>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25085E"/>
    <w:rsid w:val="2F436846"/>
    <w:rsid w:val="2F4556CE"/>
    <w:rsid w:val="2F6F3C93"/>
    <w:rsid w:val="2F754A27"/>
    <w:rsid w:val="2FB1448A"/>
    <w:rsid w:val="2FC802AE"/>
    <w:rsid w:val="2FFB3907"/>
    <w:rsid w:val="301C41BF"/>
    <w:rsid w:val="302369A0"/>
    <w:rsid w:val="303474C0"/>
    <w:rsid w:val="305C41A9"/>
    <w:rsid w:val="307C26FF"/>
    <w:rsid w:val="30820205"/>
    <w:rsid w:val="308E41B5"/>
    <w:rsid w:val="30952C59"/>
    <w:rsid w:val="30C714A1"/>
    <w:rsid w:val="30FF4D69"/>
    <w:rsid w:val="310E5321"/>
    <w:rsid w:val="3113559B"/>
    <w:rsid w:val="311978DB"/>
    <w:rsid w:val="312421F6"/>
    <w:rsid w:val="3127420C"/>
    <w:rsid w:val="312A215B"/>
    <w:rsid w:val="312B48D6"/>
    <w:rsid w:val="313A6116"/>
    <w:rsid w:val="31477BEB"/>
    <w:rsid w:val="315523B1"/>
    <w:rsid w:val="3198056E"/>
    <w:rsid w:val="31CD31BF"/>
    <w:rsid w:val="31D72AD0"/>
    <w:rsid w:val="31E10F55"/>
    <w:rsid w:val="31F664E1"/>
    <w:rsid w:val="320B7F80"/>
    <w:rsid w:val="3219008D"/>
    <w:rsid w:val="32215B79"/>
    <w:rsid w:val="322241F2"/>
    <w:rsid w:val="3229379D"/>
    <w:rsid w:val="32294133"/>
    <w:rsid w:val="322D5AFA"/>
    <w:rsid w:val="32514C44"/>
    <w:rsid w:val="328916BE"/>
    <w:rsid w:val="32974C7A"/>
    <w:rsid w:val="32BB4ABE"/>
    <w:rsid w:val="32BD491D"/>
    <w:rsid w:val="32C8549C"/>
    <w:rsid w:val="32CA16D9"/>
    <w:rsid w:val="32E83928"/>
    <w:rsid w:val="32F45590"/>
    <w:rsid w:val="331C19F3"/>
    <w:rsid w:val="33380434"/>
    <w:rsid w:val="33577373"/>
    <w:rsid w:val="336A419B"/>
    <w:rsid w:val="336A59CC"/>
    <w:rsid w:val="33773188"/>
    <w:rsid w:val="337E77C9"/>
    <w:rsid w:val="338F53C2"/>
    <w:rsid w:val="33925662"/>
    <w:rsid w:val="339B7AA1"/>
    <w:rsid w:val="33B7637D"/>
    <w:rsid w:val="33C85C5B"/>
    <w:rsid w:val="33D4661F"/>
    <w:rsid w:val="33ED39C2"/>
    <w:rsid w:val="340A0022"/>
    <w:rsid w:val="340F56DE"/>
    <w:rsid w:val="3425597D"/>
    <w:rsid w:val="342A5DF5"/>
    <w:rsid w:val="344851FD"/>
    <w:rsid w:val="349B5E0E"/>
    <w:rsid w:val="34A432B6"/>
    <w:rsid w:val="34AA020B"/>
    <w:rsid w:val="34BC17DA"/>
    <w:rsid w:val="34D015E3"/>
    <w:rsid w:val="34F85DA8"/>
    <w:rsid w:val="35004F81"/>
    <w:rsid w:val="3509398E"/>
    <w:rsid w:val="3547266B"/>
    <w:rsid w:val="354B26A0"/>
    <w:rsid w:val="3554479E"/>
    <w:rsid w:val="357D63E5"/>
    <w:rsid w:val="357F00D0"/>
    <w:rsid w:val="358934E3"/>
    <w:rsid w:val="35894506"/>
    <w:rsid w:val="35A377DB"/>
    <w:rsid w:val="35D501BC"/>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AE58D5"/>
    <w:rsid w:val="37C93D50"/>
    <w:rsid w:val="37ED6D6E"/>
    <w:rsid w:val="380C3B20"/>
    <w:rsid w:val="381039F4"/>
    <w:rsid w:val="381B27FE"/>
    <w:rsid w:val="38241AB4"/>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76C6D"/>
    <w:rsid w:val="3ACD43C9"/>
    <w:rsid w:val="3AE315CD"/>
    <w:rsid w:val="3AFF2C64"/>
    <w:rsid w:val="3B135A0E"/>
    <w:rsid w:val="3B2F69DB"/>
    <w:rsid w:val="3B667011"/>
    <w:rsid w:val="3B79226F"/>
    <w:rsid w:val="3B8F1138"/>
    <w:rsid w:val="3B904834"/>
    <w:rsid w:val="3B932344"/>
    <w:rsid w:val="3B9D20F5"/>
    <w:rsid w:val="3BB15227"/>
    <w:rsid w:val="3BB33F88"/>
    <w:rsid w:val="3BC15D34"/>
    <w:rsid w:val="3BD93153"/>
    <w:rsid w:val="3BDA6996"/>
    <w:rsid w:val="3C0A3047"/>
    <w:rsid w:val="3C2E50FB"/>
    <w:rsid w:val="3C37637A"/>
    <w:rsid w:val="3C4A12AD"/>
    <w:rsid w:val="3C5125FC"/>
    <w:rsid w:val="3C690ECB"/>
    <w:rsid w:val="3C860AC6"/>
    <w:rsid w:val="3C8967A4"/>
    <w:rsid w:val="3C960BC8"/>
    <w:rsid w:val="3C9848A1"/>
    <w:rsid w:val="3CA07897"/>
    <w:rsid w:val="3CA509B7"/>
    <w:rsid w:val="3CA509D1"/>
    <w:rsid w:val="3CD537E6"/>
    <w:rsid w:val="3CD93879"/>
    <w:rsid w:val="3D2571D3"/>
    <w:rsid w:val="3D7A2818"/>
    <w:rsid w:val="3D8106EA"/>
    <w:rsid w:val="3D834DF8"/>
    <w:rsid w:val="3DA352B1"/>
    <w:rsid w:val="3DBA61E7"/>
    <w:rsid w:val="3DC14624"/>
    <w:rsid w:val="3DD55956"/>
    <w:rsid w:val="3DE9090D"/>
    <w:rsid w:val="3E100FFC"/>
    <w:rsid w:val="3E201534"/>
    <w:rsid w:val="3E651EE9"/>
    <w:rsid w:val="3E784A78"/>
    <w:rsid w:val="3E8554F5"/>
    <w:rsid w:val="3EB65E71"/>
    <w:rsid w:val="3EC33032"/>
    <w:rsid w:val="3EC61DB3"/>
    <w:rsid w:val="3EF62661"/>
    <w:rsid w:val="3F131AFC"/>
    <w:rsid w:val="3F3C595E"/>
    <w:rsid w:val="3F59346C"/>
    <w:rsid w:val="3F657308"/>
    <w:rsid w:val="3F7856B5"/>
    <w:rsid w:val="3F7970EE"/>
    <w:rsid w:val="3F8003ED"/>
    <w:rsid w:val="3F8B5F41"/>
    <w:rsid w:val="3FB5491E"/>
    <w:rsid w:val="3FC519F7"/>
    <w:rsid w:val="3FD0326B"/>
    <w:rsid w:val="3FD34D1A"/>
    <w:rsid w:val="3FED63B1"/>
    <w:rsid w:val="40031733"/>
    <w:rsid w:val="40076D3D"/>
    <w:rsid w:val="401F65F0"/>
    <w:rsid w:val="404470DB"/>
    <w:rsid w:val="404C2292"/>
    <w:rsid w:val="405D572D"/>
    <w:rsid w:val="406712EA"/>
    <w:rsid w:val="408D1EA0"/>
    <w:rsid w:val="408E2DBF"/>
    <w:rsid w:val="409D2A1A"/>
    <w:rsid w:val="40A3502A"/>
    <w:rsid w:val="40A752D1"/>
    <w:rsid w:val="40B21FB5"/>
    <w:rsid w:val="40B95E2E"/>
    <w:rsid w:val="40C17F9E"/>
    <w:rsid w:val="40C43B66"/>
    <w:rsid w:val="40E247F7"/>
    <w:rsid w:val="40E67469"/>
    <w:rsid w:val="40EE5966"/>
    <w:rsid w:val="410F1967"/>
    <w:rsid w:val="41182A7C"/>
    <w:rsid w:val="41335FC7"/>
    <w:rsid w:val="415978C8"/>
    <w:rsid w:val="415C1B4D"/>
    <w:rsid w:val="417843F2"/>
    <w:rsid w:val="41807B75"/>
    <w:rsid w:val="418A1799"/>
    <w:rsid w:val="41A61C3F"/>
    <w:rsid w:val="41B17185"/>
    <w:rsid w:val="41BB6E00"/>
    <w:rsid w:val="41F05895"/>
    <w:rsid w:val="41F320F5"/>
    <w:rsid w:val="420C70DA"/>
    <w:rsid w:val="4226611D"/>
    <w:rsid w:val="425402BB"/>
    <w:rsid w:val="42564ADA"/>
    <w:rsid w:val="426B6130"/>
    <w:rsid w:val="42747A95"/>
    <w:rsid w:val="427E52C8"/>
    <w:rsid w:val="429D02B3"/>
    <w:rsid w:val="42FA6BD0"/>
    <w:rsid w:val="42FB4E01"/>
    <w:rsid w:val="4301585B"/>
    <w:rsid w:val="431B31A4"/>
    <w:rsid w:val="43325808"/>
    <w:rsid w:val="433E1CAF"/>
    <w:rsid w:val="43412297"/>
    <w:rsid w:val="43413ED4"/>
    <w:rsid w:val="43594499"/>
    <w:rsid w:val="43636C3F"/>
    <w:rsid w:val="436E5353"/>
    <w:rsid w:val="437C436D"/>
    <w:rsid w:val="438073DF"/>
    <w:rsid w:val="439D6340"/>
    <w:rsid w:val="43B458B4"/>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BB106F"/>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5753D9"/>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C6673"/>
    <w:rsid w:val="481C77EC"/>
    <w:rsid w:val="481D4366"/>
    <w:rsid w:val="485803F1"/>
    <w:rsid w:val="485E2C28"/>
    <w:rsid w:val="4865215C"/>
    <w:rsid w:val="486942C4"/>
    <w:rsid w:val="486C0E54"/>
    <w:rsid w:val="486F26F2"/>
    <w:rsid w:val="487B552A"/>
    <w:rsid w:val="48842F37"/>
    <w:rsid w:val="48A34F21"/>
    <w:rsid w:val="48A83599"/>
    <w:rsid w:val="48B05292"/>
    <w:rsid w:val="48B971DC"/>
    <w:rsid w:val="48F556EA"/>
    <w:rsid w:val="491946D3"/>
    <w:rsid w:val="4924047E"/>
    <w:rsid w:val="49276380"/>
    <w:rsid w:val="49441489"/>
    <w:rsid w:val="4948117F"/>
    <w:rsid w:val="494B0B0D"/>
    <w:rsid w:val="497E20AD"/>
    <w:rsid w:val="49820EB7"/>
    <w:rsid w:val="49931525"/>
    <w:rsid w:val="499416E9"/>
    <w:rsid w:val="49A63EAD"/>
    <w:rsid w:val="49B4166E"/>
    <w:rsid w:val="49BA2C9E"/>
    <w:rsid w:val="49BC3715"/>
    <w:rsid w:val="49C56A6D"/>
    <w:rsid w:val="49D26E8C"/>
    <w:rsid w:val="49F72310"/>
    <w:rsid w:val="49FD2EE4"/>
    <w:rsid w:val="4A0B4FDE"/>
    <w:rsid w:val="4A343D11"/>
    <w:rsid w:val="4A497D35"/>
    <w:rsid w:val="4A8A37D8"/>
    <w:rsid w:val="4A8B4AB2"/>
    <w:rsid w:val="4AD9595B"/>
    <w:rsid w:val="4AF93EAE"/>
    <w:rsid w:val="4AFC3A3A"/>
    <w:rsid w:val="4B0C4228"/>
    <w:rsid w:val="4B311212"/>
    <w:rsid w:val="4B3E6720"/>
    <w:rsid w:val="4B4340EE"/>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CF5766A"/>
    <w:rsid w:val="4D004DF6"/>
    <w:rsid w:val="4D1C2C8C"/>
    <w:rsid w:val="4D1E77BE"/>
    <w:rsid w:val="4D245FC5"/>
    <w:rsid w:val="4D2B3B2C"/>
    <w:rsid w:val="4DA943B0"/>
    <w:rsid w:val="4DC515BB"/>
    <w:rsid w:val="4DCB5984"/>
    <w:rsid w:val="4DD64458"/>
    <w:rsid w:val="4DDD4E1A"/>
    <w:rsid w:val="4DE00A28"/>
    <w:rsid w:val="4DEC61B5"/>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ED0FB9"/>
    <w:rsid w:val="50561719"/>
    <w:rsid w:val="507410D2"/>
    <w:rsid w:val="50A4392E"/>
    <w:rsid w:val="50A97681"/>
    <w:rsid w:val="50AE3B94"/>
    <w:rsid w:val="50AF7418"/>
    <w:rsid w:val="50E93575"/>
    <w:rsid w:val="50EE4AFC"/>
    <w:rsid w:val="50F04D4E"/>
    <w:rsid w:val="50F57385"/>
    <w:rsid w:val="50F6016F"/>
    <w:rsid w:val="50F60AF6"/>
    <w:rsid w:val="50FB1FB9"/>
    <w:rsid w:val="51132FF4"/>
    <w:rsid w:val="51151213"/>
    <w:rsid w:val="513225F9"/>
    <w:rsid w:val="513F5114"/>
    <w:rsid w:val="51440384"/>
    <w:rsid w:val="51532BB1"/>
    <w:rsid w:val="515E6A1B"/>
    <w:rsid w:val="516B705C"/>
    <w:rsid w:val="516C77CE"/>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2F766E2"/>
    <w:rsid w:val="52FD688D"/>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D20ACC"/>
    <w:rsid w:val="53DA3115"/>
    <w:rsid w:val="53E6120C"/>
    <w:rsid w:val="540540F5"/>
    <w:rsid w:val="54231D7C"/>
    <w:rsid w:val="542913B3"/>
    <w:rsid w:val="543A39C2"/>
    <w:rsid w:val="543F18BA"/>
    <w:rsid w:val="54883400"/>
    <w:rsid w:val="54901A26"/>
    <w:rsid w:val="54932F58"/>
    <w:rsid w:val="54A81CB5"/>
    <w:rsid w:val="54C41B11"/>
    <w:rsid w:val="550E49C6"/>
    <w:rsid w:val="55124B31"/>
    <w:rsid w:val="55A47D96"/>
    <w:rsid w:val="55C94049"/>
    <w:rsid w:val="55DA287E"/>
    <w:rsid w:val="55DD1819"/>
    <w:rsid w:val="55EE6DAD"/>
    <w:rsid w:val="56073162"/>
    <w:rsid w:val="5609127C"/>
    <w:rsid w:val="56243B92"/>
    <w:rsid w:val="563D619D"/>
    <w:rsid w:val="56413F2B"/>
    <w:rsid w:val="56537C47"/>
    <w:rsid w:val="5688013C"/>
    <w:rsid w:val="56A010C0"/>
    <w:rsid w:val="56AB6FEB"/>
    <w:rsid w:val="56B96B8E"/>
    <w:rsid w:val="56C747B5"/>
    <w:rsid w:val="56D025AE"/>
    <w:rsid w:val="56D42684"/>
    <w:rsid w:val="56DD2471"/>
    <w:rsid w:val="571974A0"/>
    <w:rsid w:val="57210A6D"/>
    <w:rsid w:val="5744214A"/>
    <w:rsid w:val="574B480A"/>
    <w:rsid w:val="57543081"/>
    <w:rsid w:val="5789649C"/>
    <w:rsid w:val="57A373F0"/>
    <w:rsid w:val="57C83C57"/>
    <w:rsid w:val="57F16C7F"/>
    <w:rsid w:val="57FB2FB4"/>
    <w:rsid w:val="58095591"/>
    <w:rsid w:val="580C5867"/>
    <w:rsid w:val="582028C2"/>
    <w:rsid w:val="582908A2"/>
    <w:rsid w:val="583D07DD"/>
    <w:rsid w:val="585F1862"/>
    <w:rsid w:val="58620D26"/>
    <w:rsid w:val="58706FB1"/>
    <w:rsid w:val="587C5983"/>
    <w:rsid w:val="58B31F2B"/>
    <w:rsid w:val="58CA7BFC"/>
    <w:rsid w:val="58E8415E"/>
    <w:rsid w:val="58ED1995"/>
    <w:rsid w:val="58FF1A45"/>
    <w:rsid w:val="590D78BF"/>
    <w:rsid w:val="591578E8"/>
    <w:rsid w:val="591C580B"/>
    <w:rsid w:val="5926497A"/>
    <w:rsid w:val="592A1893"/>
    <w:rsid w:val="592C3B4B"/>
    <w:rsid w:val="595B711C"/>
    <w:rsid w:val="595D3E12"/>
    <w:rsid w:val="598B6A07"/>
    <w:rsid w:val="59961EFB"/>
    <w:rsid w:val="59A11353"/>
    <w:rsid w:val="59B40569"/>
    <w:rsid w:val="5A0336C4"/>
    <w:rsid w:val="5A1D0D82"/>
    <w:rsid w:val="5A20315B"/>
    <w:rsid w:val="5A272E2C"/>
    <w:rsid w:val="5A4C2893"/>
    <w:rsid w:val="5A5827FE"/>
    <w:rsid w:val="5A70211C"/>
    <w:rsid w:val="5AAB2A29"/>
    <w:rsid w:val="5AAB3211"/>
    <w:rsid w:val="5AAC7307"/>
    <w:rsid w:val="5AB86388"/>
    <w:rsid w:val="5ABF41C0"/>
    <w:rsid w:val="5ACA577B"/>
    <w:rsid w:val="5AD07CB2"/>
    <w:rsid w:val="5AE37CAA"/>
    <w:rsid w:val="5AEF1DC1"/>
    <w:rsid w:val="5B2555BE"/>
    <w:rsid w:val="5B353486"/>
    <w:rsid w:val="5B3A7E78"/>
    <w:rsid w:val="5B3D442E"/>
    <w:rsid w:val="5B412C22"/>
    <w:rsid w:val="5B4B2EB1"/>
    <w:rsid w:val="5B510D60"/>
    <w:rsid w:val="5B570332"/>
    <w:rsid w:val="5B590DC3"/>
    <w:rsid w:val="5B5F0395"/>
    <w:rsid w:val="5B6300A3"/>
    <w:rsid w:val="5B6C0ED6"/>
    <w:rsid w:val="5B790B4E"/>
    <w:rsid w:val="5B7A2400"/>
    <w:rsid w:val="5B9B626D"/>
    <w:rsid w:val="5BA762EC"/>
    <w:rsid w:val="5BD32897"/>
    <w:rsid w:val="5BF50A44"/>
    <w:rsid w:val="5C295CCC"/>
    <w:rsid w:val="5C381A3A"/>
    <w:rsid w:val="5C5C135C"/>
    <w:rsid w:val="5C7C3148"/>
    <w:rsid w:val="5C872DAA"/>
    <w:rsid w:val="5C974816"/>
    <w:rsid w:val="5CA97228"/>
    <w:rsid w:val="5CB214C2"/>
    <w:rsid w:val="5CBA57BD"/>
    <w:rsid w:val="5CC5471C"/>
    <w:rsid w:val="5CDC5386"/>
    <w:rsid w:val="5CEE7B85"/>
    <w:rsid w:val="5CF07506"/>
    <w:rsid w:val="5CF73D69"/>
    <w:rsid w:val="5D0138F8"/>
    <w:rsid w:val="5D202057"/>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9F11E3"/>
    <w:rsid w:val="5EC073AC"/>
    <w:rsid w:val="5EF83794"/>
    <w:rsid w:val="5F0173CC"/>
    <w:rsid w:val="5F1A1A93"/>
    <w:rsid w:val="5F287F7E"/>
    <w:rsid w:val="5F475677"/>
    <w:rsid w:val="5F484198"/>
    <w:rsid w:val="5F567498"/>
    <w:rsid w:val="5F7A57AC"/>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8E553F"/>
    <w:rsid w:val="61963F6D"/>
    <w:rsid w:val="61BD1F9D"/>
    <w:rsid w:val="61EA093B"/>
    <w:rsid w:val="62024DB4"/>
    <w:rsid w:val="62111C10"/>
    <w:rsid w:val="62117D72"/>
    <w:rsid w:val="62140656"/>
    <w:rsid w:val="62210A89"/>
    <w:rsid w:val="62285DB7"/>
    <w:rsid w:val="62320D98"/>
    <w:rsid w:val="626857C6"/>
    <w:rsid w:val="626C17E1"/>
    <w:rsid w:val="62923991"/>
    <w:rsid w:val="62966DA1"/>
    <w:rsid w:val="62F20D03"/>
    <w:rsid w:val="62F26EC0"/>
    <w:rsid w:val="62F75B83"/>
    <w:rsid w:val="63095375"/>
    <w:rsid w:val="6312135F"/>
    <w:rsid w:val="632A3D0D"/>
    <w:rsid w:val="633443AB"/>
    <w:rsid w:val="63381C06"/>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B75FE3"/>
    <w:rsid w:val="64D14920"/>
    <w:rsid w:val="64DC3A26"/>
    <w:rsid w:val="64EA382F"/>
    <w:rsid w:val="64ED3306"/>
    <w:rsid w:val="64FF4CA8"/>
    <w:rsid w:val="65112EA3"/>
    <w:rsid w:val="6511603A"/>
    <w:rsid w:val="652763A9"/>
    <w:rsid w:val="653B0F51"/>
    <w:rsid w:val="65434194"/>
    <w:rsid w:val="65477730"/>
    <w:rsid w:val="654912E0"/>
    <w:rsid w:val="656A4332"/>
    <w:rsid w:val="65733372"/>
    <w:rsid w:val="65744876"/>
    <w:rsid w:val="657845AE"/>
    <w:rsid w:val="65815AE7"/>
    <w:rsid w:val="65991D3E"/>
    <w:rsid w:val="659E280B"/>
    <w:rsid w:val="65B74A52"/>
    <w:rsid w:val="65BD55BD"/>
    <w:rsid w:val="65C53449"/>
    <w:rsid w:val="65F132DA"/>
    <w:rsid w:val="65F27286"/>
    <w:rsid w:val="6602655A"/>
    <w:rsid w:val="66037BA1"/>
    <w:rsid w:val="660D45C7"/>
    <w:rsid w:val="66140709"/>
    <w:rsid w:val="66280ABB"/>
    <w:rsid w:val="666717B3"/>
    <w:rsid w:val="6668032B"/>
    <w:rsid w:val="667C4290"/>
    <w:rsid w:val="66AB481F"/>
    <w:rsid w:val="66C95898"/>
    <w:rsid w:val="66F8201A"/>
    <w:rsid w:val="671C5A04"/>
    <w:rsid w:val="6739092B"/>
    <w:rsid w:val="673F01D2"/>
    <w:rsid w:val="676777C3"/>
    <w:rsid w:val="67753429"/>
    <w:rsid w:val="677D4B8A"/>
    <w:rsid w:val="67802ACE"/>
    <w:rsid w:val="67804B33"/>
    <w:rsid w:val="67C40A09"/>
    <w:rsid w:val="67D020A7"/>
    <w:rsid w:val="67D600B8"/>
    <w:rsid w:val="67E4087E"/>
    <w:rsid w:val="67EC2FBF"/>
    <w:rsid w:val="6821192D"/>
    <w:rsid w:val="68337E89"/>
    <w:rsid w:val="68337EE8"/>
    <w:rsid w:val="683A6C76"/>
    <w:rsid w:val="685C5B46"/>
    <w:rsid w:val="686F1486"/>
    <w:rsid w:val="687A3822"/>
    <w:rsid w:val="688C0656"/>
    <w:rsid w:val="688D6550"/>
    <w:rsid w:val="68AE1735"/>
    <w:rsid w:val="68B72950"/>
    <w:rsid w:val="68D6063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9C2A7B"/>
    <w:rsid w:val="6AB558AA"/>
    <w:rsid w:val="6ABC3292"/>
    <w:rsid w:val="6AC04F0B"/>
    <w:rsid w:val="6AD34458"/>
    <w:rsid w:val="6ADC4801"/>
    <w:rsid w:val="6ADF25FC"/>
    <w:rsid w:val="6B020CD0"/>
    <w:rsid w:val="6B1148AC"/>
    <w:rsid w:val="6B3C600C"/>
    <w:rsid w:val="6B3E0351"/>
    <w:rsid w:val="6B42449D"/>
    <w:rsid w:val="6B4A5562"/>
    <w:rsid w:val="6B565807"/>
    <w:rsid w:val="6B7174EC"/>
    <w:rsid w:val="6B7A369F"/>
    <w:rsid w:val="6BA9331E"/>
    <w:rsid w:val="6BAC2823"/>
    <w:rsid w:val="6BBD5024"/>
    <w:rsid w:val="6BF37DF1"/>
    <w:rsid w:val="6C164AAF"/>
    <w:rsid w:val="6C3A254B"/>
    <w:rsid w:val="6C630CE9"/>
    <w:rsid w:val="6C914CAA"/>
    <w:rsid w:val="6CB57E24"/>
    <w:rsid w:val="6CCC3665"/>
    <w:rsid w:val="6CDC7D5F"/>
    <w:rsid w:val="6CEC0F34"/>
    <w:rsid w:val="6CF73CA4"/>
    <w:rsid w:val="6CFC3CA5"/>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CF163D"/>
    <w:rsid w:val="6ED26905"/>
    <w:rsid w:val="6ED924EF"/>
    <w:rsid w:val="6EE20566"/>
    <w:rsid w:val="6EEB6DD8"/>
    <w:rsid w:val="6EF513F6"/>
    <w:rsid w:val="6F1F0771"/>
    <w:rsid w:val="6F3669E2"/>
    <w:rsid w:val="6F3A0437"/>
    <w:rsid w:val="6F452492"/>
    <w:rsid w:val="6F4E1ABB"/>
    <w:rsid w:val="6F4F74E8"/>
    <w:rsid w:val="6F5C03A9"/>
    <w:rsid w:val="6F65489B"/>
    <w:rsid w:val="6F86274A"/>
    <w:rsid w:val="6F8A6B50"/>
    <w:rsid w:val="6F9E4E98"/>
    <w:rsid w:val="6FB536E7"/>
    <w:rsid w:val="6FC169C6"/>
    <w:rsid w:val="6FD20CED"/>
    <w:rsid w:val="700148B1"/>
    <w:rsid w:val="700708F2"/>
    <w:rsid w:val="70262445"/>
    <w:rsid w:val="70514307"/>
    <w:rsid w:val="70796EB7"/>
    <w:rsid w:val="70846EFD"/>
    <w:rsid w:val="70891E2B"/>
    <w:rsid w:val="709304FC"/>
    <w:rsid w:val="70B21D55"/>
    <w:rsid w:val="70BA4068"/>
    <w:rsid w:val="70F06D61"/>
    <w:rsid w:val="70F36F46"/>
    <w:rsid w:val="70FA6D60"/>
    <w:rsid w:val="71231B23"/>
    <w:rsid w:val="713B214A"/>
    <w:rsid w:val="714633CE"/>
    <w:rsid w:val="714A76D4"/>
    <w:rsid w:val="715C3ADF"/>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97A49"/>
    <w:rsid w:val="726C47BC"/>
    <w:rsid w:val="726C5429"/>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9E5641"/>
    <w:rsid w:val="74A9156A"/>
    <w:rsid w:val="74D94903"/>
    <w:rsid w:val="74DC7834"/>
    <w:rsid w:val="74E271F1"/>
    <w:rsid w:val="75326EC3"/>
    <w:rsid w:val="75474A77"/>
    <w:rsid w:val="7551327B"/>
    <w:rsid w:val="755F3E02"/>
    <w:rsid w:val="755F782E"/>
    <w:rsid w:val="757975DE"/>
    <w:rsid w:val="75A16A9F"/>
    <w:rsid w:val="75B72E5F"/>
    <w:rsid w:val="75BC6CCF"/>
    <w:rsid w:val="75E27D49"/>
    <w:rsid w:val="761867BE"/>
    <w:rsid w:val="76197891"/>
    <w:rsid w:val="76365AD0"/>
    <w:rsid w:val="765D57EA"/>
    <w:rsid w:val="7688585F"/>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2F8F"/>
    <w:rsid w:val="784117AB"/>
    <w:rsid w:val="78510397"/>
    <w:rsid w:val="78552936"/>
    <w:rsid w:val="78731F0E"/>
    <w:rsid w:val="78754CBA"/>
    <w:rsid w:val="78931A17"/>
    <w:rsid w:val="78962FA5"/>
    <w:rsid w:val="78C148AC"/>
    <w:rsid w:val="78CA1FEE"/>
    <w:rsid w:val="78CB3FEB"/>
    <w:rsid w:val="79050385"/>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D82A70"/>
    <w:rsid w:val="7AF84FA0"/>
    <w:rsid w:val="7AF909C6"/>
    <w:rsid w:val="7B1623D5"/>
    <w:rsid w:val="7B4231CA"/>
    <w:rsid w:val="7B42766E"/>
    <w:rsid w:val="7B6273C9"/>
    <w:rsid w:val="7B6F1BD0"/>
    <w:rsid w:val="7B732126"/>
    <w:rsid w:val="7B755C15"/>
    <w:rsid w:val="7B7B20CE"/>
    <w:rsid w:val="7B7D4202"/>
    <w:rsid w:val="7B8E1216"/>
    <w:rsid w:val="7B9A1345"/>
    <w:rsid w:val="7BCA6C86"/>
    <w:rsid w:val="7C003703"/>
    <w:rsid w:val="7C044DA1"/>
    <w:rsid w:val="7C365DE1"/>
    <w:rsid w:val="7CA33449"/>
    <w:rsid w:val="7CC876FF"/>
    <w:rsid w:val="7CCE4D69"/>
    <w:rsid w:val="7D0A0BA4"/>
    <w:rsid w:val="7D107AF3"/>
    <w:rsid w:val="7D4253C7"/>
    <w:rsid w:val="7D4C5341"/>
    <w:rsid w:val="7D4E5EE6"/>
    <w:rsid w:val="7D8901AD"/>
    <w:rsid w:val="7D8E577D"/>
    <w:rsid w:val="7D9A426A"/>
    <w:rsid w:val="7E006F08"/>
    <w:rsid w:val="7E01736D"/>
    <w:rsid w:val="7E333E03"/>
    <w:rsid w:val="7E391FE6"/>
    <w:rsid w:val="7E795155"/>
    <w:rsid w:val="7E916762"/>
    <w:rsid w:val="7EA916FD"/>
    <w:rsid w:val="7EAB552B"/>
    <w:rsid w:val="7EE53C64"/>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autoRedefine/>
    <w:qFormat/>
    <w:uiPriority w:val="0"/>
    <w:pPr>
      <w:adjustRightInd w:val="0"/>
      <w:snapToGrid w:val="0"/>
      <w:spacing w:line="360" w:lineRule="auto"/>
      <w:ind w:right="28" w:firstLine="778" w:firstLineChars="324"/>
      <w:textAlignment w:val="baseline"/>
    </w:pPr>
    <w:rPr>
      <w:rFonts w:ascii="宋体" w:hAnsi="宋体"/>
      <w:color w:val="FF0000"/>
      <w:sz w:val="24"/>
      <w:szCs w:val="20"/>
    </w:rPr>
  </w:style>
  <w:style w:type="paragraph" w:styleId="6">
    <w:name w:val="annotation text"/>
    <w:basedOn w:val="1"/>
    <w:autoRedefine/>
    <w:qFormat/>
    <w:uiPriority w:val="0"/>
    <w:pPr>
      <w:jc w:val="left"/>
    </w:pPr>
    <w:rPr>
      <w:rFonts w:eastAsia="宋体"/>
      <w:kern w:val="2"/>
      <w:sz w:val="21"/>
      <w:szCs w:val="24"/>
      <w:lang w:val="en-US" w:eastAsia="zh-CN" w:bidi="ar-SA"/>
    </w:rPr>
  </w:style>
  <w:style w:type="paragraph" w:styleId="7">
    <w:name w:val="Body Text 3"/>
    <w:basedOn w:val="1"/>
    <w:autoRedefine/>
    <w:qFormat/>
    <w:uiPriority w:val="0"/>
    <w:rPr>
      <w:rFonts w:ascii="宋体"/>
      <w:sz w:val="24"/>
      <w:szCs w:val="20"/>
    </w:rPr>
  </w:style>
  <w:style w:type="paragraph" w:styleId="8">
    <w:name w:val="Body Text"/>
    <w:basedOn w:val="1"/>
    <w:autoRedefine/>
    <w:qFormat/>
    <w:uiPriority w:val="0"/>
    <w:pPr>
      <w:spacing w:after="120"/>
    </w:pPr>
  </w:style>
  <w:style w:type="paragraph" w:styleId="9">
    <w:name w:val="Body Text Indent"/>
    <w:basedOn w:val="1"/>
    <w:autoRedefine/>
    <w:qFormat/>
    <w:uiPriority w:val="0"/>
    <w:pPr>
      <w:spacing w:after="120" w:afterLines="0"/>
      <w:ind w:left="420" w:leftChars="200"/>
    </w:p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autoRedefine/>
    <w:qFormat/>
    <w:uiPriority w:val="0"/>
    <w:pPr>
      <w:ind w:firstLine="420" w:firstLineChars="100"/>
    </w:pPr>
  </w:style>
  <w:style w:type="paragraph" w:styleId="16">
    <w:name w:val="Body Text First Indent 2"/>
    <w:basedOn w:val="9"/>
    <w:next w:val="15"/>
    <w:autoRedefine/>
    <w:qFormat/>
    <w:uiPriority w:val="0"/>
    <w:pPr>
      <w:ind w:left="0" w:leftChars="0" w:firstLine="210"/>
    </w:pPr>
    <w:rPr>
      <w:rFonts w:ascii="Calibri" w:hAnsi="Calibri" w:eastAsia="宋体"/>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 w:type="paragraph" w:customStyle="1" w:styleId="30">
    <w:name w:val="Table Text"/>
    <w:basedOn w:val="1"/>
    <w:autoRedefine/>
    <w:semiHidden/>
    <w:qFormat/>
    <w:uiPriority w:val="0"/>
    <w:rPr>
      <w:rFonts w:ascii="宋体" w:hAnsi="宋体" w:eastAsia="宋体" w:cs="宋体"/>
      <w:sz w:val="21"/>
      <w:szCs w:val="21"/>
      <w:lang w:val="en-US" w:eastAsia="en-US" w:bidi="ar-SA"/>
    </w:rPr>
  </w:style>
  <w:style w:type="paragraph" w:customStyle="1" w:styleId="31">
    <w:name w:val="正文_0_0"/>
    <w:autoRedefine/>
    <w:qFormat/>
    <w:uiPriority w:val="0"/>
    <w:pPr>
      <w:widowControl w:val="0"/>
      <w:jc w:val="both"/>
    </w:pPr>
    <w:rPr>
      <w:rFonts w:ascii="Calibri" w:hAnsi="Calibri" w:eastAsia="宋体" w:cs="Times New Roman"/>
      <w:kern w:val="2"/>
      <w:sz w:val="21"/>
      <w:lang w:val="en-US" w:eastAsia="zh-CN" w:bidi="ar-SA"/>
    </w:rPr>
  </w:style>
  <w:style w:type="paragraph" w:styleId="32">
    <w:name w:val="List Paragraph"/>
    <w:basedOn w:val="1"/>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20492</Words>
  <Characters>22433</Characters>
  <Lines>0</Lines>
  <Paragraphs>0</Paragraphs>
  <TotalTime>7</TotalTime>
  <ScaleCrop>false</ScaleCrop>
  <LinksUpToDate>false</LinksUpToDate>
  <CharactersWithSpaces>24030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A0我在这。</cp:lastModifiedBy>
  <cp:lastPrinted>2024-09-14T02:13:23Z</cp:lastPrinted>
  <dcterms:modified xsi:type="dcterms:W3CDTF">2024-09-14T02:15:11Z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80D5629BC7D74C6B91F7C6AA4B58BDF3_13</vt:lpwstr>
  </property>
</Properties>
</file>