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53B12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bookmarkStart w:id="566" w:name="_GoBack"/>
      <w:bookmarkEnd w:id="566"/>
    </w:p>
    <w:p w14:paraId="29677A5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default" w:ascii="Times New Roman" w:hAnsi="Times New Roman" w:cs="Times New Roman"/>
          <w:sz w:val="32"/>
          <w:szCs w:val="32"/>
          <w:lang w:val="en-US" w:eastAsia="zh-CN"/>
        </w:rPr>
        <w:t>智慧能源管理平台租赁项目</w:t>
      </w:r>
      <w:permEnd w:id="0"/>
    </w:p>
    <w:p w14:paraId="1B9A424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593E03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529CB0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790F9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18036FA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3413C82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4E1A9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558A1F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D7DAC3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061</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433E8AD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91C05D9">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FDF00EA">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D01AD28">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亳州新能源发展有限公司</w:t>
      </w:r>
    </w:p>
    <w:p w14:paraId="60EC2A8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2024年8月30日</w:t>
      </w:r>
    </w:p>
    <w:p w14:paraId="0664F03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E6CFCC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09710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C7C268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2" w:edGrp="everyone"/>
      <w:r>
        <w:rPr>
          <w:rFonts w:hint="default" w:ascii="Times New Roman" w:hAnsi="Times New Roman" w:eastAsia="黑体" w:cs="Times New Roman"/>
          <w:kern w:val="0"/>
          <w:sz w:val="32"/>
          <w:szCs w:val="32"/>
          <w:highlight w:val="none"/>
          <w:lang w:val="en-US" w:eastAsia="zh-CN"/>
        </w:rPr>
        <w:t>第一章 招标公告.......................................................................1</w:t>
      </w:r>
    </w:p>
    <w:p w14:paraId="27305AF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4A34C60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61F8A4D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68B7FE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 w14:paraId="6A3C0D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45</w:t>
      </w:r>
    </w:p>
    <w:permEnd w:id="2"/>
    <w:p w14:paraId="46C7E3C8">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5F2198E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3E9C6B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B9EDA4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D2CAB4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92396E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D5C332A">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8743AD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98562B1">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36E2935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B136B37">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612ACD2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18C8CE2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default" w:ascii="Times New Roman" w:hAnsi="Times New Roman" w:eastAsia="黑体" w:cs="Times New Roman"/>
          <w:sz w:val="28"/>
          <w:szCs w:val="28"/>
          <w:highlight w:val="none"/>
          <w:lang w:val="en-US" w:eastAsia="zh-CN"/>
        </w:rPr>
        <w:t>智慧能源管理平台租赁项目</w:t>
      </w:r>
      <w:r>
        <w:rPr>
          <w:rFonts w:hint="eastAsia" w:ascii="Times New Roman" w:hAnsi="Times New Roman" w:eastAsia="黑体" w:cs="Times New Roman"/>
          <w:sz w:val="28"/>
          <w:szCs w:val="28"/>
          <w:highlight w:val="none"/>
          <w:lang w:val="en-US" w:eastAsia="zh-CN"/>
        </w:rPr>
        <w:t>招标公告</w:t>
      </w:r>
    </w:p>
    <w:p w14:paraId="19CAE7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52045519"/>
      <w:bookmarkStart w:id="1" w:name="_Toc179632536"/>
      <w:bookmarkStart w:id="2" w:name="_Toc247085680"/>
      <w:bookmarkStart w:id="3" w:name="_Toc152042295"/>
      <w:bookmarkStart w:id="4" w:name="_Toc246996909"/>
      <w:bookmarkStart w:id="5" w:name="_Toc296602410"/>
      <w:bookmarkStart w:id="6" w:name="_Toc246996166"/>
      <w:bookmarkStart w:id="7" w:name="_Toc144974487"/>
    </w:p>
    <w:bookmarkEnd w:id="0"/>
    <w:bookmarkEnd w:id="1"/>
    <w:bookmarkEnd w:id="2"/>
    <w:bookmarkEnd w:id="3"/>
    <w:bookmarkEnd w:id="4"/>
    <w:bookmarkEnd w:id="5"/>
    <w:bookmarkEnd w:id="6"/>
    <w:bookmarkEnd w:id="7"/>
    <w:p w14:paraId="154C99B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r>
        <w:rPr>
          <w:rFonts w:hint="default" w:ascii="Times New Roman" w:hAnsi="Times New Roman" w:eastAsia="仿宋_GB2312" w:cs="Times New Roman"/>
          <w:sz w:val="28"/>
          <w:szCs w:val="28"/>
          <w:highlight w:val="none"/>
          <w:lang w:val="en-US" w:eastAsia="zh-CN"/>
        </w:rPr>
        <w:tab/>
      </w:r>
    </w:p>
    <w:p w14:paraId="2B431A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zh-CN"/>
        </w:rPr>
      </w:pPr>
      <w:bookmarkStart w:id="8" w:name="_Toc152045520"/>
      <w:bookmarkStart w:id="9" w:name="_Toc152042296"/>
      <w:bookmarkStart w:id="10" w:name="_Toc247085681"/>
      <w:bookmarkStart w:id="11" w:name="_Toc179632537"/>
      <w:bookmarkStart w:id="12" w:name="_Toc246996910"/>
      <w:bookmarkStart w:id="13" w:name="_Toc296602411"/>
      <w:bookmarkStart w:id="14" w:name="_Toc144974488"/>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3" w:edGrp="everyone"/>
      <w:r>
        <w:rPr>
          <w:rFonts w:hint="default" w:ascii="Times New Roman" w:hAnsi="Times New Roman" w:cs="Times New Roman"/>
          <w:sz w:val="32"/>
          <w:szCs w:val="32"/>
          <w:lang w:val="en-US" w:eastAsia="zh-CN"/>
        </w:rPr>
        <w:t>智慧能源管理平台租赁项目</w:t>
      </w:r>
    </w:p>
    <w:permEnd w:id="3"/>
    <w:p w14:paraId="754B13F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4" w:edGrp="everyone"/>
      <w:r>
        <w:rPr>
          <w:rFonts w:ascii="Times New Roman" w:hAnsi="Times New Roman" w:eastAsia="楷体" w:cs="Times New Roman"/>
          <w:kern w:val="0"/>
          <w:sz w:val="28"/>
          <w:szCs w:val="28"/>
        </w:rPr>
        <w:t>BZJK-20</w:t>
      </w:r>
      <w:r>
        <w:rPr>
          <w:rFonts w:hint="eastAsia" w:ascii="Times New Roman" w:hAnsi="Times New Roman" w:eastAsia="楷体" w:cs="Times New Roman"/>
          <w:kern w:val="0"/>
          <w:sz w:val="28"/>
          <w:szCs w:val="28"/>
        </w:rPr>
        <w:t>2</w:t>
      </w:r>
      <w:r>
        <w:rPr>
          <w:rFonts w:hint="eastAsia" w:ascii="Times New Roman" w:hAnsi="Times New Roman" w:eastAsia="楷体" w:cs="Times New Roman"/>
          <w:kern w:val="0"/>
          <w:sz w:val="28"/>
          <w:szCs w:val="28"/>
          <w:lang w:val="en-US" w:eastAsia="zh-CN"/>
        </w:rPr>
        <w:t>4</w:t>
      </w:r>
      <w:r>
        <w:rPr>
          <w:rFonts w:ascii="Times New Roman" w:hAnsi="Times New Roman" w:eastAsia="楷体" w:cs="Times New Roman"/>
          <w:kern w:val="0"/>
          <w:sz w:val="28"/>
          <w:szCs w:val="28"/>
        </w:rPr>
        <w:t>-</w:t>
      </w:r>
      <w:r>
        <w:rPr>
          <w:rFonts w:hint="eastAsia" w:ascii="Times New Roman" w:hAnsi="Times New Roman" w:eastAsia="楷体" w:cs="Times New Roman"/>
          <w:kern w:val="0"/>
          <w:sz w:val="28"/>
          <w:szCs w:val="28"/>
          <w:u w:val="single"/>
          <w:lang w:val="en-US" w:eastAsia="zh-CN"/>
        </w:rPr>
        <w:t>061</w:t>
      </w:r>
      <w:r>
        <w:rPr>
          <w:rFonts w:ascii="Times New Roman" w:hAnsi="Times New Roman" w:eastAsia="楷体" w:cs="Times New Roman"/>
          <w:kern w:val="0"/>
          <w:sz w:val="28"/>
          <w:szCs w:val="28"/>
        </w:rPr>
        <w:t>号</w:t>
      </w:r>
      <w:permEnd w:id="4"/>
    </w:p>
    <w:p w14:paraId="66C5DC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5" w:edGrp="everyone"/>
      <w:r>
        <w:rPr>
          <w:rFonts w:hint="eastAsia" w:asciiTheme="minorEastAsia" w:hAnsiTheme="minorEastAsia" w:cstheme="minorEastAsia"/>
          <w:sz w:val="28"/>
          <w:szCs w:val="28"/>
          <w:lang w:val="en-US" w:eastAsia="zh-CN"/>
        </w:rPr>
        <w:t>自筹资金</w:t>
      </w:r>
    </w:p>
    <w:permEnd w:id="5"/>
    <w:p w14:paraId="0D70E85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lang w:val="en-US" w:eastAsia="zh-CN"/>
        </w:rPr>
      </w:pPr>
      <w:r>
        <w:rPr>
          <w:rFonts w:hint="eastAsia" w:asciiTheme="minorEastAsia" w:hAnsiTheme="minorEastAsia" w:cstheme="minorEastAsia"/>
          <w:sz w:val="28"/>
          <w:szCs w:val="28"/>
          <w:highlight w:val="none"/>
          <w:lang w:val="en-US" w:eastAsia="zh-CN"/>
        </w:rPr>
        <w:t>（四）招标人</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lang w:val="en-US" w:eastAsia="zh-CN"/>
        </w:rPr>
        <w:t>亳州新能源发展有限公司</w:t>
      </w:r>
    </w:p>
    <w:permEnd w:id="6"/>
    <w:p w14:paraId="05A7E3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14:paraId="27614B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7A84B7F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7" w:edGrp="everyone"/>
      <w:r>
        <w:rPr>
          <w:rFonts w:hint="eastAsia" w:asciiTheme="minorEastAsia" w:hAnsiTheme="minorEastAsia" w:cstheme="minorEastAsia"/>
          <w:sz w:val="28"/>
          <w:szCs w:val="28"/>
          <w:lang w:val="en-US" w:eastAsia="zh-CN"/>
        </w:rPr>
        <w:t>招标人</w:t>
      </w:r>
      <w:r>
        <w:rPr>
          <w:rFonts w:hint="eastAsia" w:asciiTheme="minorEastAsia" w:hAnsiTheme="minorEastAsia" w:cstheme="minorEastAsia"/>
          <w:sz w:val="28"/>
          <w:szCs w:val="28"/>
          <w:lang w:val="zh-CN" w:eastAsia="zh-CN"/>
        </w:rPr>
        <w:t>现已建成11.5兆瓦分布式电站，后续新增分布式光伏项目正在筹备建设中，预计总装机容量约180兆瓦。需要租赁光伏智慧能源管理平台，以提高招标人管理效率</w:t>
      </w:r>
      <w:r>
        <w:rPr>
          <w:rFonts w:hint="eastAsia" w:asciiTheme="minorEastAsia" w:hAnsiTheme="minorEastAsia" w:cstheme="minorEastAsia"/>
          <w:sz w:val="28"/>
          <w:szCs w:val="28"/>
          <w:lang w:val="en-US" w:eastAsia="zh-CN"/>
        </w:rPr>
        <w:t>。</w:t>
      </w:r>
      <w:permEnd w:id="7"/>
    </w:p>
    <w:p w14:paraId="3F905C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8" w:edGrp="everyone"/>
      <w:r>
        <w:rPr>
          <w:rFonts w:hint="eastAsia" w:asciiTheme="minorEastAsia" w:hAnsiTheme="minorEastAsia" w:cstheme="minorEastAsia"/>
          <w:sz w:val="28"/>
          <w:szCs w:val="28"/>
          <w:lang w:val="en-US" w:eastAsia="zh-CN"/>
        </w:rPr>
        <w:t>为招标人提供光伏智慧能源管理平台租赁服务，接入分布式光伏电站数据，并具备资产管理大屏、光伏发电、储能、充电桩设备运行信息与状态检测、智能运维管理、电费结算服务、用户管理与系统配置、配套移动APP、微信小程序等功能。具体要求详见招标文件第五章发包人要求。</w:t>
      </w:r>
      <w:permEnd w:id="8"/>
    </w:p>
    <w:p w14:paraId="52CCED2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服务</w:t>
      </w:r>
      <w:r>
        <w:rPr>
          <w:rFonts w:hint="eastAsia" w:asciiTheme="minorEastAsia" w:hAnsiTheme="minorEastAsia" w:eastAsiaTheme="minorEastAsia" w:cstheme="minorEastAsia"/>
          <w:sz w:val="28"/>
          <w:szCs w:val="28"/>
          <w:highlight w:val="none"/>
          <w:lang w:val="en-US" w:eastAsia="zh-CN"/>
        </w:rPr>
        <w:t>标准：</w:t>
      </w:r>
      <w:permStart w:id="9"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9"/>
    </w:p>
    <w:p w14:paraId="67E5845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cstheme="minorEastAsia"/>
          <w:sz w:val="28"/>
          <w:szCs w:val="28"/>
          <w:highlight w:val="none"/>
          <w:u w:val="none"/>
          <w:lang w:val="en-US" w:eastAsia="zh-CN"/>
        </w:rPr>
        <w:t>自合同签订之日起1年，不足1年按实际服务日历天计算</w:t>
      </w:r>
      <w:r>
        <w:rPr>
          <w:rFonts w:hint="eastAsia" w:asciiTheme="minorEastAsia" w:hAnsiTheme="minorEastAsia" w:eastAsiaTheme="minorEastAsia" w:cstheme="minorEastAsia"/>
          <w:sz w:val="28"/>
          <w:szCs w:val="28"/>
          <w:highlight w:val="none"/>
          <w:u w:val="none"/>
          <w:lang w:val="en-US" w:eastAsia="zh-CN"/>
        </w:rPr>
        <w:t>。</w:t>
      </w:r>
      <w:permEnd w:id="10"/>
    </w:p>
    <w:p w14:paraId="6EA4A2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1" w:edGrp="everyone"/>
      <w:r>
        <w:rPr>
          <w:rFonts w:hint="eastAsia" w:asciiTheme="minorEastAsia" w:hAnsiTheme="minorEastAsia" w:cstheme="minorEastAsia"/>
          <w:color w:val="FF0000"/>
          <w:sz w:val="28"/>
          <w:szCs w:val="28"/>
          <w:highlight w:val="none"/>
          <w:lang w:val="en-US" w:eastAsia="zh-CN"/>
        </w:rPr>
        <w:t>（含税：13 %）</w:t>
      </w:r>
      <w:permEnd w:id="11"/>
      <w:r>
        <w:rPr>
          <w:rFonts w:hint="eastAsia" w:asciiTheme="minorEastAsia" w:hAnsiTheme="minorEastAsia" w:eastAsiaTheme="minorEastAsia" w:cstheme="minorEastAsia"/>
          <w:sz w:val="28"/>
          <w:szCs w:val="28"/>
          <w:highlight w:val="none"/>
          <w:lang w:val="en-US" w:eastAsia="zh-CN"/>
        </w:rPr>
        <w:t>：</w:t>
      </w:r>
      <w:permStart w:id="12" w:edGrp="everyone"/>
      <w:r>
        <w:rPr>
          <w:rFonts w:hint="eastAsia" w:asciiTheme="minorEastAsia" w:hAnsiTheme="minorEastAsia" w:cstheme="minorEastAsia"/>
          <w:sz w:val="28"/>
          <w:szCs w:val="28"/>
          <w:lang w:val="zh-CN" w:eastAsia="zh-CN"/>
        </w:rPr>
        <w:t>平台服务费不高于0.0055元/W/年，最终按照实际接入容量进行付费</w:t>
      </w:r>
      <w:permEnd w:id="12"/>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3" w:edGrp="everyone"/>
      <w:r>
        <w:rPr>
          <w:rFonts w:hint="eastAsia" w:asciiTheme="minorEastAsia" w:hAnsiTheme="minorEastAsia" w:cstheme="minorEastAsia"/>
          <w:color w:val="FF0000"/>
          <w:sz w:val="28"/>
          <w:szCs w:val="28"/>
          <w:highlight w:val="none"/>
          <w:u w:val="single"/>
          <w:lang w:val="en-US" w:eastAsia="zh-CN"/>
        </w:rPr>
        <w:t>固定单价</w:t>
      </w:r>
      <w:permEnd w:id="13"/>
      <w:r>
        <w:rPr>
          <w:rFonts w:hint="eastAsia" w:asciiTheme="minorEastAsia" w:hAnsiTheme="minorEastAsia" w:cstheme="minorEastAsia"/>
          <w:sz w:val="28"/>
          <w:szCs w:val="28"/>
          <w:highlight w:val="none"/>
          <w:lang w:val="en-US" w:eastAsia="zh-CN"/>
        </w:rPr>
        <w:t>投标报</w:t>
      </w:r>
      <w:r>
        <w:rPr>
          <w:rFonts w:hint="eastAsia" w:asciiTheme="minorEastAsia" w:hAnsiTheme="minorEastAsia" w:eastAsiaTheme="minorEastAsia" w:cstheme="minorEastAsia"/>
          <w:sz w:val="28"/>
          <w:szCs w:val="28"/>
          <w:highlight w:val="none"/>
          <w:lang w:val="en-US" w:eastAsia="zh-CN"/>
        </w:rPr>
        <w:t>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14:paraId="2FB943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FB07D7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269662B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）投标人须提供至少1项</w:t>
      </w:r>
      <w:bookmarkStart w:id="16" w:name="OLE_LINK3"/>
      <w:r>
        <w:rPr>
          <w:rFonts w:hint="eastAsia" w:asciiTheme="minorEastAsia" w:hAnsiTheme="minorEastAsia" w:eastAsiaTheme="minorEastAsia" w:cstheme="minorEastAsia"/>
          <w:sz w:val="28"/>
          <w:szCs w:val="28"/>
          <w:highlight w:val="none"/>
          <w:lang w:val="en-US" w:eastAsia="zh-CN"/>
        </w:rPr>
        <w:t>2021年至今智慧能源管理平台出租业绩（涵盖分布式光伏或分布式微电网）</w:t>
      </w:r>
      <w:bookmarkEnd w:id="16"/>
      <w:r>
        <w:rPr>
          <w:rFonts w:hint="eastAsia" w:asciiTheme="minorEastAsia" w:hAnsiTheme="minorEastAsia" w:eastAsiaTheme="minorEastAsia" w:cstheme="minorEastAsia"/>
          <w:sz w:val="28"/>
          <w:szCs w:val="28"/>
          <w:highlight w:val="none"/>
          <w:lang w:val="en-US" w:eastAsia="zh-CN"/>
        </w:rPr>
        <w:t>。</w:t>
      </w:r>
    </w:p>
    <w:p w14:paraId="046CC040">
      <w:pPr>
        <w:wordWrap w:val="0"/>
        <w:spacing w:line="480" w:lineRule="exact"/>
        <w:ind w:firstLine="560" w:firstLineChars="200"/>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注：业绩时间以合同签订时间为准，须提供合同复印件装入投标文件中。</w:t>
      </w:r>
    </w:p>
    <w:p w14:paraId="770E4A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14:paraId="22768FC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14:paraId="2010ED8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14:paraId="47BD3D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14:paraId="7E5D4D2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注：以上情形以“信用中国”（www.creditchina.gov.cn）和“中国政府采购”网站（www.ccgp.gov.cn）发布的为准，有限制期限的按规定期限执行（以现场查询为准）。</w:t>
      </w:r>
    </w:p>
    <w:p w14:paraId="0C05943F">
      <w:pPr>
        <w:keepNext w:val="0"/>
        <w:keepLines w:val="0"/>
        <w:pageBreakBefore w:val="0"/>
        <w:widowControl w:val="0"/>
        <w:numPr>
          <w:ilvl w:val="-1"/>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）投标人如在以往承接交控集团及下属企业项目过程中被记入“黑名单”，不得参加本次招标投标活动。</w:t>
      </w:r>
    </w:p>
    <w:p w14:paraId="2AC0EC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15" w:edGrp="everyone"/>
      <w:r>
        <w:rPr>
          <w:rFonts w:hint="eastAsia" w:asciiTheme="minorEastAsia" w:hAnsiTheme="minorEastAsia" w:eastAsiaTheme="minorEastAsia" w:cstheme="minorEastAsia"/>
          <w:color w:val="FF0000"/>
          <w:sz w:val="28"/>
          <w:szCs w:val="28"/>
          <w:highlight w:val="none"/>
          <w:lang w:val="en-US" w:eastAsia="zh-CN"/>
        </w:rPr>
        <w:t>不接受</w:t>
      </w:r>
      <w:permEnd w:id="1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7644CCD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1</w:t>
      </w:r>
      <w:r>
        <w:rPr>
          <w:rFonts w:hint="eastAsia" w:asciiTheme="minorEastAsia" w:hAnsiTheme="minorEastAsia" w:eastAsiaTheme="minorEastAsia" w:cstheme="minorEastAsia"/>
          <w:color w:val="FF0000"/>
          <w:sz w:val="28"/>
          <w:szCs w:val="28"/>
          <w:highlight w:val="none"/>
          <w:lang w:val="en-US" w:eastAsia="zh-CN"/>
        </w:rPr>
        <w:t>月</w:t>
      </w:r>
      <w:permEnd w:id="16"/>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连续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3个月及以上养老保险证明，否则按无效投标处理。</w:t>
      </w:r>
    </w:p>
    <w:p w14:paraId="315005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543F94A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14:paraId="0AF4127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6B7E2931">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eastAsiaTheme="minorEastAsia" w:cstheme="minorEastAsia"/>
          <w:b/>
          <w:bCs/>
          <w:sz w:val="28"/>
          <w:szCs w:val="28"/>
          <w:highlight w:val="none"/>
          <w:u w:val="single"/>
          <w:lang w:val="en-US" w:eastAsia="zh-CN"/>
        </w:rPr>
        <w:t>2024</w:t>
      </w:r>
      <w:r>
        <w:rPr>
          <w:rFonts w:hint="eastAsia" w:asciiTheme="minorEastAsia" w:hAnsiTheme="minorEastAsia" w:eastAsiaTheme="minorEastAsia" w:cstheme="minorEastAsia"/>
          <w:b/>
          <w:bCs/>
          <w:sz w:val="28"/>
          <w:szCs w:val="28"/>
          <w:highlight w:val="none"/>
          <w:lang w:val="en-US" w:eastAsia="zh-CN"/>
        </w:rPr>
        <w:t>年</w:t>
      </w:r>
      <w:r>
        <w:rPr>
          <w:rFonts w:hint="eastAsia" w:asciiTheme="minorEastAsia" w:hAnsiTheme="minorEastAsia" w:cstheme="minorEastAsia"/>
          <w:b/>
          <w:bCs/>
          <w:sz w:val="28"/>
          <w:szCs w:val="28"/>
          <w:highlight w:val="none"/>
          <w:u w:val="single"/>
          <w:lang w:val="en-US" w:eastAsia="zh-CN"/>
        </w:rPr>
        <w:t>9</w:t>
      </w:r>
      <w:r>
        <w:rPr>
          <w:rFonts w:hint="eastAsia" w:asciiTheme="minorEastAsia" w:hAnsiTheme="minorEastAsia" w:eastAsiaTheme="minorEastAsia" w:cstheme="minorEastAsia"/>
          <w:b/>
          <w:bCs/>
          <w:sz w:val="28"/>
          <w:szCs w:val="28"/>
          <w:highlight w:val="none"/>
          <w:lang w:val="en-US" w:eastAsia="zh-CN"/>
        </w:rPr>
        <w:t>月</w:t>
      </w:r>
      <w:r>
        <w:rPr>
          <w:rFonts w:hint="eastAsia" w:asciiTheme="minorEastAsia" w:hAnsiTheme="minorEastAsia" w:cstheme="minorEastAsia"/>
          <w:b/>
          <w:bCs/>
          <w:sz w:val="28"/>
          <w:szCs w:val="28"/>
          <w:highlight w:val="none"/>
          <w:u w:val="single"/>
          <w:lang w:val="en-US" w:eastAsia="zh-CN"/>
        </w:rPr>
        <w:t>10</w:t>
      </w:r>
      <w:r>
        <w:rPr>
          <w:rFonts w:hint="eastAsia" w:asciiTheme="minorEastAsia" w:hAnsiTheme="minorEastAsia" w:eastAsiaTheme="minorEastAsia" w:cstheme="minorEastAsia"/>
          <w:b/>
          <w:bCs/>
          <w:sz w:val="28"/>
          <w:szCs w:val="28"/>
          <w:highlight w:val="none"/>
          <w:lang w:val="en-US" w:eastAsia="zh-CN"/>
        </w:rPr>
        <w:t>日</w:t>
      </w:r>
      <w:r>
        <w:rPr>
          <w:rFonts w:hint="eastAsia" w:asciiTheme="minorEastAsia" w:hAnsiTheme="minorEastAsia" w:eastAsiaTheme="minorEastAsia" w:cstheme="minorEastAsia"/>
          <w:b/>
          <w:bCs/>
          <w:sz w:val="28"/>
          <w:szCs w:val="28"/>
          <w:highlight w:val="none"/>
          <w:u w:val="single"/>
          <w:lang w:val="en-US" w:eastAsia="zh-CN"/>
        </w:rPr>
        <w:t>9</w:t>
      </w:r>
      <w:r>
        <w:rPr>
          <w:rFonts w:hint="eastAsia" w:asciiTheme="minorEastAsia" w:hAnsiTheme="minorEastAsia" w:eastAsiaTheme="minorEastAsia" w:cstheme="minorEastAsia"/>
          <w:b/>
          <w:bCs/>
          <w:sz w:val="28"/>
          <w:szCs w:val="28"/>
          <w:highlight w:val="none"/>
          <w:lang w:val="en-US" w:eastAsia="zh-CN"/>
        </w:rPr>
        <w:t>时</w:t>
      </w:r>
      <w:r>
        <w:rPr>
          <w:rFonts w:hint="eastAsia" w:asciiTheme="minorEastAsia" w:hAnsiTheme="minorEastAsia" w:eastAsiaTheme="minorEastAsia" w:cstheme="minorEastAsia"/>
          <w:b/>
          <w:bCs/>
          <w:sz w:val="28"/>
          <w:szCs w:val="28"/>
          <w:highlight w:val="none"/>
          <w:u w:val="single"/>
          <w:lang w:val="en-US" w:eastAsia="zh-CN"/>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17"/>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1B08755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14:paraId="3839543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将予以拒收</w:t>
      </w:r>
      <w:r>
        <w:rPr>
          <w:rFonts w:hint="eastAsia" w:asciiTheme="minorEastAsia" w:hAnsiTheme="minorEastAsia" w:cstheme="minorEastAsia"/>
          <w:sz w:val="28"/>
          <w:szCs w:val="28"/>
          <w:highlight w:val="none"/>
          <w:lang w:val="en-US" w:eastAsia="zh-CN"/>
        </w:rPr>
        <w:t>；</w:t>
      </w:r>
    </w:p>
    <w:p w14:paraId="7417912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8" w:edGrp="everyone"/>
      <w:r>
        <w:rPr>
          <w:rFonts w:hint="eastAsia" w:asciiTheme="minorEastAsia" w:hAnsiTheme="minorEastAsia" w:cstheme="minorEastAsia"/>
          <w:color w:val="FF0000"/>
          <w:sz w:val="28"/>
          <w:szCs w:val="28"/>
          <w:highlight w:val="none"/>
          <w:lang w:val="en-US" w:eastAsia="zh-CN"/>
        </w:rPr>
        <w:t>不允许</w:t>
      </w:r>
      <w:permEnd w:id="18"/>
      <w:r>
        <w:rPr>
          <w:rFonts w:hint="default" w:asciiTheme="minorEastAsia" w:hAnsiTheme="minorEastAsia" w:eastAsiaTheme="minorEastAsia" w:cstheme="minorEastAsia"/>
          <w:sz w:val="28"/>
          <w:szCs w:val="28"/>
          <w:highlight w:val="none"/>
          <w:lang w:val="en-US" w:eastAsia="zh-CN"/>
        </w:rPr>
        <w:t>投标人以邮寄方式递交投标文件。</w:t>
      </w:r>
    </w:p>
    <w:p w14:paraId="415026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C1DAE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19" w:edGrp="everyone"/>
      <w:r>
        <w:rPr>
          <w:rFonts w:hint="default"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0元</w:t>
      </w:r>
      <w:r>
        <w:rPr>
          <w:rFonts w:hint="default" w:asciiTheme="minorEastAsia" w:hAnsiTheme="minorEastAsia" w:eastAsiaTheme="minorEastAsia" w:cstheme="minorEastAsia"/>
          <w:sz w:val="28"/>
          <w:szCs w:val="28"/>
          <w:highlight w:val="none"/>
          <w:u w:val="single"/>
          <w:lang w:val="en-US" w:eastAsia="zh-CN"/>
        </w:rPr>
        <w:t xml:space="preserve"> </w:t>
      </w:r>
      <w:r>
        <w:rPr>
          <w:rFonts w:hint="default" w:asciiTheme="minorEastAsia" w:hAnsiTheme="minorEastAsia" w:eastAsiaTheme="minorEastAsia" w:cstheme="minorEastAsia"/>
          <w:sz w:val="28"/>
          <w:szCs w:val="28"/>
          <w:highlight w:val="none"/>
          <w:lang w:val="en-US" w:eastAsia="zh-CN"/>
        </w:rPr>
        <w:t>（人民币）</w:t>
      </w:r>
      <w:permEnd w:id="19"/>
      <w:r>
        <w:rPr>
          <w:rFonts w:hint="default" w:asciiTheme="minorEastAsia" w:hAnsiTheme="minorEastAsia" w:eastAsiaTheme="minorEastAsia" w:cstheme="minorEastAsia"/>
          <w:sz w:val="28"/>
          <w:szCs w:val="28"/>
          <w:highlight w:val="none"/>
          <w:lang w:val="en-US" w:eastAsia="zh-CN"/>
        </w:rPr>
        <w:t>，缴纳方式详见招标文件。</w:t>
      </w:r>
    </w:p>
    <w:p w14:paraId="46FEB8B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43B1DBC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0" w:edGrp="everyone"/>
      <w:r>
        <w:rPr>
          <w:rFonts w:hint="eastAsia" w:asciiTheme="minorEastAsia" w:hAnsiTheme="minorEastAsia" w:cstheme="minorEastAsia"/>
          <w:sz w:val="28"/>
          <w:szCs w:val="28"/>
          <w:lang w:val="en-US" w:eastAsia="zh-CN"/>
        </w:rPr>
        <w:t>亳州新能源发展有限公司</w:t>
      </w:r>
    </w:p>
    <w:permEnd w:id="20"/>
    <w:p w14:paraId="00E7AC7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1" w:edGrp="everyone"/>
      <w:r>
        <w:rPr>
          <w:rFonts w:hint="eastAsia" w:asciiTheme="minorEastAsia" w:hAnsiTheme="minorEastAsia" w:cstheme="minorEastAsia"/>
          <w:sz w:val="28"/>
          <w:szCs w:val="28"/>
          <w:lang w:val="en-US" w:eastAsia="zh-CN"/>
        </w:rPr>
        <w:t>亳州市谯城区药都路1289号15楼新能源公司</w:t>
      </w:r>
      <w:r>
        <w:rPr>
          <w:rFonts w:hint="eastAsia" w:asciiTheme="minorEastAsia" w:hAnsiTheme="minorEastAsia" w:cstheme="minorEastAsia"/>
          <w:sz w:val="28"/>
          <w:szCs w:val="28"/>
          <w:highlight w:val="none"/>
          <w:lang w:val="en-US" w:eastAsia="zh-CN"/>
        </w:rPr>
        <w:t xml:space="preserve"> </w:t>
      </w:r>
      <w:permEnd w:id="21"/>
    </w:p>
    <w:p w14:paraId="45536B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cstheme="minorEastAsia"/>
          <w:sz w:val="28"/>
          <w:szCs w:val="28"/>
          <w:highlight w:val="none"/>
          <w:lang w:val="en-US" w:eastAsia="zh-CN"/>
        </w:rPr>
        <w:t xml:space="preserve">左小龙 </w:t>
      </w:r>
      <w:permEnd w:id="22"/>
    </w:p>
    <w:p w14:paraId="12DC361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3" w:edGrp="everyone"/>
      <w:r>
        <w:rPr>
          <w:rFonts w:hint="eastAsia" w:asciiTheme="minorEastAsia" w:hAnsiTheme="minorEastAsia" w:cstheme="minorEastAsia"/>
          <w:sz w:val="28"/>
          <w:szCs w:val="28"/>
          <w:highlight w:val="none"/>
          <w:lang w:val="en-US" w:eastAsia="zh-CN"/>
        </w:rPr>
        <w:t xml:space="preserve">0558-5551797 </w:t>
      </w:r>
      <w:permEnd w:id="23"/>
    </w:p>
    <w:p w14:paraId="29C9457B">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7E5D13F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D5EDCD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0B77D4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52B8267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2E97F392">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04EF61E3">
      <w:pPr>
        <w:wordWrap w:val="0"/>
        <w:spacing w:line="480" w:lineRule="exact"/>
        <w:ind w:firstLine="560" w:firstLineChars="200"/>
        <w:jc w:val="right"/>
        <w:rPr>
          <w:rFonts w:asciiTheme="minorEastAsia" w:hAnsiTheme="minorEastAsia" w:cstheme="minorEastAsia"/>
          <w:color w:val="FF0000"/>
          <w:sz w:val="28"/>
          <w:szCs w:val="28"/>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4"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lang w:val="en-US" w:eastAsia="zh-CN"/>
        </w:rPr>
        <w:t>亳州新能源发展有限公司</w:t>
      </w:r>
    </w:p>
    <w:p w14:paraId="640109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lang w:val="en-US" w:eastAsia="zh-CN"/>
        </w:rPr>
        <w:t xml:space="preserve">                                </w:t>
      </w:r>
      <w:r>
        <w:rPr>
          <w:rFonts w:hint="eastAsia" w:asciiTheme="minorEastAsia" w:hAnsiTheme="minorEastAsia" w:cstheme="minorEastAsia"/>
          <w:color w:val="auto"/>
          <w:sz w:val="28"/>
          <w:szCs w:val="28"/>
        </w:rPr>
        <w:t>202</w:t>
      </w:r>
      <w:r>
        <w:rPr>
          <w:rFonts w:hint="eastAsia" w:asciiTheme="minorEastAsia" w:hAnsiTheme="minorEastAsia" w:cstheme="minorEastAsia"/>
          <w:color w:val="auto"/>
          <w:sz w:val="28"/>
          <w:szCs w:val="28"/>
          <w:lang w:val="en-US" w:eastAsia="zh-CN"/>
        </w:rPr>
        <w:t>4</w:t>
      </w:r>
      <w:r>
        <w:rPr>
          <w:rFonts w:hint="eastAsia" w:asciiTheme="minorEastAsia" w:hAnsiTheme="minorEastAsia" w:cstheme="minorEastAsia"/>
          <w:color w:val="auto"/>
          <w:sz w:val="28"/>
          <w:szCs w:val="28"/>
        </w:rPr>
        <w:t>年</w:t>
      </w:r>
      <w:r>
        <w:rPr>
          <w:rFonts w:hint="eastAsia" w:asciiTheme="minorEastAsia" w:hAnsiTheme="minorEastAsia" w:cstheme="minorEastAsia"/>
          <w:color w:val="auto"/>
          <w:sz w:val="28"/>
          <w:szCs w:val="28"/>
          <w:lang w:val="en-US" w:eastAsia="zh-CN"/>
        </w:rPr>
        <w:t>8</w:t>
      </w:r>
      <w:r>
        <w:rPr>
          <w:rFonts w:hint="eastAsia" w:asciiTheme="minorEastAsia" w:hAnsiTheme="minorEastAsia" w:cstheme="minorEastAsia"/>
          <w:color w:val="auto"/>
          <w:sz w:val="28"/>
          <w:szCs w:val="28"/>
        </w:rPr>
        <w:t>月</w:t>
      </w:r>
      <w:r>
        <w:rPr>
          <w:rFonts w:hint="eastAsia" w:asciiTheme="minorEastAsia" w:hAnsiTheme="minorEastAsia" w:cstheme="minorEastAsia"/>
          <w:color w:val="auto"/>
          <w:sz w:val="28"/>
          <w:szCs w:val="28"/>
          <w:lang w:val="en-US" w:eastAsia="zh-CN"/>
        </w:rPr>
        <w:t>30</w:t>
      </w:r>
      <w:r>
        <w:rPr>
          <w:rFonts w:hint="eastAsia" w:asciiTheme="minorEastAsia" w:hAnsiTheme="minorEastAsia" w:cstheme="minorEastAsia"/>
          <w:color w:val="auto"/>
          <w:sz w:val="28"/>
          <w:szCs w:val="28"/>
        </w:rPr>
        <w:t>日</w:t>
      </w:r>
      <w:permEnd w:id="24"/>
      <w:r>
        <w:rPr>
          <w:rFonts w:hint="default" w:ascii="Times New Roman" w:hAnsi="Times New Roman" w:eastAsia="仿宋_GB2312" w:cs="Times New Roman"/>
          <w:kern w:val="0"/>
          <w:sz w:val="32"/>
          <w:szCs w:val="32"/>
          <w:highlight w:val="none"/>
          <w:lang w:val="en-US" w:eastAsia="zh-CN"/>
        </w:rPr>
        <w:br w:type="page"/>
      </w:r>
    </w:p>
    <w:p w14:paraId="354B538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819F3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40AFD68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14:paraId="66622E4A">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62785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200B2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A5447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7C05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6250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17AD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E2314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eastAsia="zh-CN"/>
              </w:rPr>
              <w:t>招标人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9EBA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5402E5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BCA85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45DFE5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B1724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56054A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1BAF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B73D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A09DB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8ACA3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21B4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3C4B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AFE45E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0ABEB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5F06A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3BF5C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项目建设规模</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5410E8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2840DE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0BAF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9E6E47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项目投资估算</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D52FD9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721A25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80825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53DAB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6CB3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14:paraId="758660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23C05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E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785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5B32E9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4BC7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814039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5E90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21F99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C65E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68274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服务期限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D1B7D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464E48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F85B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BF55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标准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F0EB63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CC96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05460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43A98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62F74BD">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14:paraId="23107C5D">
            <w:pPr>
              <w:autoSpaceDE w:val="0"/>
              <w:autoSpaceDN w:val="0"/>
              <w:adjustRightInd w:val="0"/>
              <w:snapToGrid w:val="0"/>
              <w:spacing w:line="440" w:lineRule="exact"/>
              <w:jc w:val="left"/>
              <w:rPr>
                <w:rFonts w:hint="eastAsia" w:hAnsi="宋体"/>
                <w:color w:val="FF0000"/>
                <w:szCs w:val="21"/>
              </w:rPr>
            </w:pPr>
            <w:permStart w:id="25" w:edGrp="everyone"/>
            <w:r>
              <w:rPr>
                <w:rFonts w:hint="eastAsia" w:hAnsi="宋体"/>
                <w:color w:val="FF0000"/>
                <w:szCs w:val="21"/>
                <w:lang w:val="en-US" w:eastAsia="zh-CN"/>
              </w:rPr>
              <w:t>2</w:t>
            </w:r>
            <w:r>
              <w:rPr>
                <w:rFonts w:hint="eastAsia" w:hAnsi="宋体"/>
                <w:color w:val="FF0000"/>
                <w:szCs w:val="21"/>
              </w:rPr>
              <w:t>、财务要求：</w:t>
            </w:r>
          </w:p>
          <w:p w14:paraId="7DE23372">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14:paraId="1E769A39">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5"/>
          <w:p w14:paraId="2AFEA93B">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12136E63">
            <w:pPr>
              <w:pStyle w:val="10"/>
              <w:topLinePunct/>
              <w:spacing w:line="440" w:lineRule="exact"/>
              <w:rPr>
                <w:rFonts w:hint="default" w:ascii="Times New Roman" w:hAnsi="Times New Roman" w:cs="Times New Roman"/>
                <w:szCs w:val="21"/>
                <w:highlight w:val="none"/>
              </w:rPr>
            </w:pPr>
            <w:permStart w:id="26" w:edGrp="everyone"/>
            <w:r>
              <w:rPr>
                <w:rFonts w:hint="eastAsia" w:hAnsi="宋体"/>
                <w:sz w:val="21"/>
                <w:szCs w:val="21"/>
                <w:lang w:val="en-US" w:eastAsia="zh-CN"/>
              </w:rPr>
              <w:t>/</w:t>
            </w:r>
            <w:permEnd w:id="26"/>
          </w:p>
        </w:tc>
      </w:tr>
      <w:tr w14:paraId="419EF5E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8F59C0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1.4.2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0976C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是否接受联合体投标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43E0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hAnsi="宋体"/>
                <w:sz w:val="21"/>
                <w:szCs w:val="21"/>
                <w:lang w:val="en-US" w:eastAsia="zh-CN"/>
              </w:rPr>
            </w:pPr>
            <w:permStart w:id="27"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27"/>
          </w:p>
        </w:tc>
      </w:tr>
      <w:tr w14:paraId="0C4474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C5C6E2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1816C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3069B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hAnsi="宋体"/>
                <w:sz w:val="21"/>
                <w:szCs w:val="21"/>
                <w:lang w:val="en-US" w:eastAsia="zh-CN"/>
              </w:rPr>
            </w:pPr>
            <w:permStart w:id="28" w:edGrp="everyone"/>
            <w:r>
              <w:rPr>
                <w:rFonts w:hint="eastAsia" w:hAnsi="宋体"/>
                <w:sz w:val="21"/>
                <w:szCs w:val="21"/>
                <w:lang w:val="en-US" w:eastAsia="zh-CN"/>
              </w:rPr>
              <w:t>/</w:t>
            </w:r>
            <w:permEnd w:id="28"/>
          </w:p>
        </w:tc>
      </w:tr>
      <w:tr w14:paraId="52BAE6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2327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29" w:edGrp="everyone" w:colFirst="2" w:colLast="2"/>
            <w:r>
              <w:rPr>
                <w:rFonts w:hint="default" w:ascii="Times New Roman" w:hAnsi="Times New Roman" w:cs="Times New Roman"/>
                <w:szCs w:val="21"/>
                <w:highlight w:val="none"/>
              </w:rPr>
              <w:t>1.9.1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4CB751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01D0AC">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4CEE2938">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9"/>
      <w:tr w14:paraId="52811E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92A56C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permStart w:id="30" w:edGrp="everyone" w:colFirst="2" w:colLast="2"/>
            <w:r>
              <w:rPr>
                <w:rFonts w:hint="default" w:ascii="Times New Roman" w:hAnsi="Times New Roman" w:cs="Times New Roman"/>
                <w:szCs w:val="21"/>
                <w:highlight w:val="none"/>
              </w:rPr>
              <w:t>1.10.1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F213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62675A">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
        </w:tc>
      </w:tr>
      <w:permEnd w:id="30"/>
      <w:tr w14:paraId="4E815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7DD6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973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F16E919">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73980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5F6A4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7986D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F35CD4">
            <w:pPr>
              <w:pStyle w:val="10"/>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14:paraId="081F9F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E299E4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1710B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37028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3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0B58865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14:paraId="3877A89C">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14:paraId="5031C936">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31"/>
          </w:p>
        </w:tc>
      </w:tr>
      <w:tr w14:paraId="1B1993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5A3A1C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1.12.1</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4153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实质性要求和条件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0CBB8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2"/>
                <w:sz w:val="21"/>
                <w:szCs w:val="21"/>
                <w:highlight w:val="none"/>
                <w:lang w:val="en-US" w:eastAsia="zh-CN" w:bidi="ar-SA"/>
              </w:rPr>
            </w:pPr>
            <w:permStart w:id="32" w:edGrp="everyone"/>
            <w:r>
              <w:rPr>
                <w:rFonts w:hint="eastAsia" w:ascii="Times New Roman" w:hAnsi="Times New Roman" w:cs="Times New Roman"/>
                <w:color w:val="FF0000"/>
                <w:szCs w:val="21"/>
                <w:highlight w:val="none"/>
              </w:rPr>
              <w:t>详见第一章招标公告、第四章合同条款及格式、第五章</w:t>
            </w:r>
            <w:r>
              <w:rPr>
                <w:rFonts w:hint="eastAsia" w:ascii="Times New Roman" w:hAnsi="Times New Roman" w:cs="Times New Roman"/>
                <w:color w:val="FF0000"/>
                <w:szCs w:val="21"/>
                <w:highlight w:val="none"/>
                <w:lang w:val="en-US" w:eastAsia="zh-CN"/>
              </w:rPr>
              <w:t>发包人</w:t>
            </w:r>
            <w:r>
              <w:rPr>
                <w:rFonts w:hint="eastAsia" w:ascii="Times New Roman" w:hAnsi="Times New Roman" w:cs="Times New Roman"/>
                <w:color w:val="FF0000"/>
                <w:szCs w:val="21"/>
                <w:highlight w:val="none"/>
              </w:rPr>
              <w:t>要求。</w:t>
            </w:r>
            <w:r>
              <w:rPr>
                <w:rFonts w:hint="eastAsia" w:ascii="Times New Roman" w:hAnsi="Times New Roman" w:cs="Times New Roman"/>
                <w:color w:val="FF0000"/>
                <w:sz w:val="21"/>
                <w:szCs w:val="21"/>
                <w:highlight w:val="none"/>
                <w:lang w:val="en-US" w:eastAsia="zh-CN"/>
              </w:rPr>
              <w:t xml:space="preserve"> </w:t>
            </w:r>
            <w:permEnd w:id="32"/>
          </w:p>
        </w:tc>
      </w:tr>
      <w:tr w14:paraId="6E40B0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B5BD55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6A39C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BD3539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招标人</w:t>
            </w:r>
            <w:r>
              <w:rPr>
                <w:rFonts w:hint="default" w:ascii="Times New Roman" w:hAnsi="Times New Roman" w:cs="Times New Roman"/>
                <w:szCs w:val="21"/>
                <w:highlight w:val="none"/>
              </w:rPr>
              <w:t>发出的澄清、修改及补充文件等。</w:t>
            </w:r>
          </w:p>
        </w:tc>
      </w:tr>
      <w:tr w14:paraId="099A35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85" w:hRule="atLeast"/>
        </w:trPr>
        <w:tc>
          <w:tcPr>
            <w:tcW w:w="1008" w:type="dxa"/>
            <w:vMerge w:val="restart"/>
            <w:tcBorders>
              <w:top w:val="single" w:color="auto" w:sz="4" w:space="0"/>
              <w:left w:val="single" w:color="auto" w:sz="4" w:space="0"/>
              <w:right w:val="single" w:color="auto" w:sz="4" w:space="0"/>
            </w:tcBorders>
            <w:noWrap w:val="0"/>
            <w:vAlign w:val="center"/>
          </w:tcPr>
          <w:p w14:paraId="1F023A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53" w:type="dxa"/>
            <w:vMerge w:val="restart"/>
            <w:tcBorders>
              <w:top w:val="single" w:color="auto" w:sz="4" w:space="0"/>
              <w:left w:val="single" w:color="auto" w:sz="4" w:space="0"/>
              <w:right w:val="single" w:color="auto" w:sz="4" w:space="0"/>
            </w:tcBorders>
            <w:noWrap w:val="0"/>
            <w:vAlign w:val="center"/>
          </w:tcPr>
          <w:p w14:paraId="4C5AC6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81CA4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14:paraId="67BADD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6902976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30C497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DA9754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形式：投标人如对招标文件有任何疑问，应及时与招标人联系，递交纸质材料，要求招标人对招标文件予以澄清。否则，投标人无权再因招标文件等与投标有关的资料而质疑、投诉。</w:t>
            </w:r>
          </w:p>
        </w:tc>
      </w:tr>
      <w:tr w14:paraId="69C7BA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3B194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5C80A2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7D77EF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5DA470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2AA5F3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53" w:type="dxa"/>
            <w:vMerge w:val="restart"/>
            <w:tcBorders>
              <w:top w:val="single" w:color="auto" w:sz="4" w:space="0"/>
              <w:left w:val="single" w:color="auto" w:sz="4" w:space="0"/>
              <w:right w:val="single" w:color="auto" w:sz="4" w:space="0"/>
            </w:tcBorders>
            <w:noWrap w:val="0"/>
            <w:vAlign w:val="center"/>
          </w:tcPr>
          <w:p w14:paraId="685C54A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695C45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14:paraId="79FDB9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15F52C4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008D9B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9D1D9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w:t>
            </w:r>
            <w:r>
              <w:rPr>
                <w:rFonts w:hint="eastAsia" w:ascii="Times New Roman" w:hAnsi="Times New Roman" w:cs="Times New Roman"/>
                <w:szCs w:val="21"/>
                <w:highlight w:val="none"/>
                <w:u w:val="none"/>
                <w:lang w:val="en-US" w:eastAsia="zh-CN"/>
              </w:rPr>
              <w:t>招标人</w:t>
            </w:r>
            <w:r>
              <w:rPr>
                <w:rFonts w:hint="default" w:ascii="Times New Roman" w:hAnsi="Times New Roman" w:cs="Times New Roman"/>
                <w:szCs w:val="21"/>
                <w:highlight w:val="none"/>
                <w:u w:val="none"/>
                <w:lang w:val="en-US" w:eastAsia="zh-CN"/>
              </w:rPr>
              <w:t>联系。否则，造成的一切后果由投标人自行承担。</w:t>
            </w:r>
          </w:p>
        </w:tc>
      </w:tr>
      <w:tr w14:paraId="4E4250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9D8CA9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425AB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37C26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14:paraId="26936F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restart"/>
            <w:tcBorders>
              <w:top w:val="single" w:color="auto" w:sz="4" w:space="0"/>
              <w:left w:val="single" w:color="auto" w:sz="4" w:space="0"/>
              <w:right w:val="single" w:color="auto" w:sz="4" w:space="0"/>
            </w:tcBorders>
            <w:noWrap w:val="0"/>
            <w:vAlign w:val="center"/>
          </w:tcPr>
          <w:p w14:paraId="3F93D1F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753" w:type="dxa"/>
            <w:vMerge w:val="restart"/>
            <w:tcBorders>
              <w:top w:val="single" w:color="auto" w:sz="4" w:space="0"/>
              <w:left w:val="single" w:color="auto" w:sz="4" w:space="0"/>
              <w:right w:val="single" w:color="auto" w:sz="4" w:space="0"/>
            </w:tcBorders>
            <w:noWrap w:val="0"/>
            <w:vAlign w:val="center"/>
          </w:tcPr>
          <w:p w14:paraId="63BFCDE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41C9C9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14:paraId="34F78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vMerge w:val="continue"/>
            <w:tcBorders>
              <w:left w:val="single" w:color="auto" w:sz="4" w:space="0"/>
              <w:bottom w:val="single" w:color="auto" w:sz="4" w:space="0"/>
              <w:right w:val="single" w:color="auto" w:sz="4" w:space="0"/>
            </w:tcBorders>
            <w:noWrap w:val="0"/>
            <w:vAlign w:val="center"/>
          </w:tcPr>
          <w:p w14:paraId="09358A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2753" w:type="dxa"/>
            <w:vMerge w:val="continue"/>
            <w:tcBorders>
              <w:left w:val="single" w:color="auto" w:sz="4" w:space="0"/>
              <w:bottom w:val="single" w:color="auto" w:sz="4" w:space="0"/>
              <w:right w:val="single" w:color="auto" w:sz="4" w:space="0"/>
            </w:tcBorders>
            <w:noWrap w:val="0"/>
            <w:vAlign w:val="center"/>
          </w:tcPr>
          <w:p w14:paraId="524E011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pP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43021F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w:t>
            </w:r>
            <w:r>
              <w:rPr>
                <w:rFonts w:hint="eastAsia" w:ascii="Times New Roman" w:hAnsi="Times New Roman" w:cs="Times New Roman"/>
                <w:szCs w:val="21"/>
                <w:highlight w:val="none"/>
                <w:u w:val="none"/>
                <w:lang w:val="en-US" w:eastAsia="zh-CN"/>
              </w:rPr>
              <w:t>招标人</w:t>
            </w:r>
            <w:r>
              <w:rPr>
                <w:rFonts w:hint="default" w:ascii="Times New Roman" w:hAnsi="Times New Roman" w:cs="Times New Roman"/>
                <w:szCs w:val="21"/>
                <w:highlight w:val="none"/>
                <w:u w:val="none"/>
                <w:lang w:val="en-US" w:eastAsia="zh-CN"/>
              </w:rPr>
              <w:t>联系。否则，造成的一切后果由投标人自行承担。</w:t>
            </w:r>
          </w:p>
        </w:tc>
      </w:tr>
      <w:tr w14:paraId="4C48F9F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7830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909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BF117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14:paraId="7A6062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E5A4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3.2.1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8337E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38432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14:paraId="39F03A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8A31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9C8AF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9AC74F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14:paraId="3BEBA8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E85E7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3.2.5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BDB8D8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投标报价的其他要求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30742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permStart w:id="33" w:edGrp="everyone"/>
            <w:r>
              <w:rPr>
                <w:rFonts w:hint="eastAsia" w:ascii="Times New Roman" w:hAnsi="Times New Roman" w:cs="Times New Roman"/>
                <w:szCs w:val="21"/>
                <w:highlight w:val="none"/>
                <w:u w:val="single"/>
              </w:rPr>
              <w:t>详见第一章招标公告。</w:t>
            </w:r>
            <w:permEnd w:id="33"/>
          </w:p>
        </w:tc>
      </w:tr>
      <w:tr w14:paraId="70050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F838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DD4BE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33E0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27140E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07F2C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54FB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2AD0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2C1E78C">
            <w:pPr>
              <w:autoSpaceDE w:val="0"/>
              <w:autoSpaceDN w:val="0"/>
              <w:adjustRightInd w:val="0"/>
              <w:snapToGrid w:val="0"/>
              <w:spacing w:line="440" w:lineRule="exact"/>
              <w:ind w:firstLine="308" w:firstLineChars="147"/>
              <w:jc w:val="left"/>
              <w:rPr>
                <w:rFonts w:hint="eastAsia" w:hAnsi="宋体"/>
                <w:color w:val="FF0000"/>
                <w:szCs w:val="21"/>
                <w:lang w:val="en-US" w:eastAsia="zh-CN"/>
              </w:rPr>
            </w:pPr>
            <w:permStart w:id="34" w:edGrp="everyone"/>
            <w:r>
              <w:rPr>
                <w:rFonts w:hint="eastAsia" w:hAnsi="宋体"/>
                <w:color w:val="FF0000"/>
                <w:szCs w:val="21"/>
              </w:rPr>
              <w:t>不需要</w:t>
            </w:r>
            <w:r>
              <w:rPr>
                <w:rFonts w:hint="eastAsia" w:hAnsi="宋体"/>
                <w:color w:val="FF0000"/>
                <w:szCs w:val="21"/>
              </w:rPr>
              <w:sym w:font="Wingdings 2" w:char="0052"/>
            </w:r>
          </w:p>
          <w:p w14:paraId="09DAB46E">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r>
              <w:rPr>
                <w:rFonts w:hint="eastAsia" w:hAnsi="宋体"/>
                <w:color w:val="FF0000"/>
                <w:szCs w:val="21"/>
              </w:rPr>
              <w:t xml:space="preserve">需 </w:t>
            </w:r>
            <w:r>
              <w:rPr>
                <w:rFonts w:hint="eastAsia" w:hAnsi="宋体"/>
                <w:color w:val="FF0000"/>
                <w:szCs w:val="21"/>
                <w:lang w:val="en-US" w:eastAsia="zh-CN"/>
              </w:rPr>
              <w:t xml:space="preserve"> </w:t>
            </w:r>
            <w:r>
              <w:rPr>
                <w:rFonts w:hint="eastAsia" w:hAnsi="宋体"/>
                <w:color w:val="FF0000"/>
                <w:szCs w:val="21"/>
              </w:rPr>
              <w:t>要</w:t>
            </w:r>
            <w:r>
              <w:rPr>
                <w:rFonts w:hint="eastAsia" w:hAnsi="宋体"/>
                <w:color w:val="FF0000"/>
                <w:szCs w:val="21"/>
                <w:lang w:eastAsia="zh-CN"/>
              </w:rPr>
              <w:t>□</w:t>
            </w:r>
          </w:p>
          <w:permEnd w:id="34"/>
          <w:p w14:paraId="6349DBD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w:t>
            </w:r>
            <w:permStart w:id="35" w:edGrp="everyone"/>
            <w:r>
              <w:rPr>
                <w:rFonts w:hint="default" w:ascii="Times New Roman" w:hAnsi="Times New Roman" w:cs="Times New Roman"/>
                <w:color w:val="FF0000"/>
                <w:szCs w:val="21"/>
                <w:highlight w:val="none"/>
              </w:rPr>
              <w:t>银行汇款或转账</w:t>
            </w:r>
            <w:permEnd w:id="35"/>
          </w:p>
          <w:p w14:paraId="35E52D0B">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6" w:edGrp="everyone"/>
            <w:r>
              <w:rPr>
                <w:rFonts w:hint="eastAsia" w:ascii="Times New Roman" w:hAnsi="Times New Roman" w:cs="Times New Roman"/>
                <w:color w:val="auto"/>
                <w:szCs w:val="21"/>
                <w:highlight w:val="none"/>
                <w:u w:val="single"/>
                <w:lang w:val="en-US" w:eastAsia="zh-CN"/>
              </w:rPr>
              <w:t>0元</w:t>
            </w:r>
            <w:permEnd w:id="36"/>
          </w:p>
          <w:p w14:paraId="5D48E1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095DE1B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42FA1AE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386FE6C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7F0AECE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1928A63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7" w:edGrp="everyone"/>
            <w:r>
              <w:rPr>
                <w:rFonts w:hint="eastAsia" w:ascii="Times New Roman" w:hAnsi="Times New Roman" w:cs="Times New Roman"/>
                <w:color w:val="FF0000"/>
                <w:szCs w:val="21"/>
                <w:highlight w:val="none"/>
                <w:lang w:val="en-US" w:eastAsia="zh-CN"/>
              </w:rPr>
              <w:t>BZJK-2024-061号保证金</w:t>
            </w:r>
            <w:permEnd w:id="37"/>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42A3A8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14:paraId="4C173AA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4B41F4E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4877D4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w:t>
            </w:r>
            <w:r>
              <w:rPr>
                <w:rFonts w:hint="eastAsia" w:ascii="Times New Roman" w:hAnsi="Times New Roman" w:cs="Times New Roman"/>
                <w:szCs w:val="21"/>
                <w:highlight w:val="none"/>
                <w:lang w:eastAsia="zh-CN"/>
              </w:rPr>
              <w:t>候选人</w:t>
            </w:r>
            <w:r>
              <w:rPr>
                <w:rFonts w:hint="default" w:ascii="Times New Roman" w:hAnsi="Times New Roman" w:cs="Times New Roman"/>
                <w:szCs w:val="21"/>
                <w:highlight w:val="none"/>
              </w:rPr>
              <w:t>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3C80C4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2A18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21BEA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B5315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6ABF69A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0A844E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8427F7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14:paraId="603B93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5C2810">
            <w:pPr>
              <w:spacing w:line="382" w:lineRule="auto"/>
              <w:jc w:val="center"/>
              <w:rPr>
                <w:rFonts w:ascii="Arial"/>
                <w:sz w:val="21"/>
              </w:rPr>
            </w:pPr>
          </w:p>
          <w:p w14:paraId="2FA7AFC0">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21"/>
                <w:szCs w:val="21"/>
              </w:rPr>
              <w:t>3.5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8E3BA9">
            <w:pPr>
              <w:pStyle w:val="31"/>
              <w:spacing w:before="68" w:line="221" w:lineRule="auto"/>
              <w:jc w:val="center"/>
              <w:rPr>
                <w:rFonts w:hint="eastAsia" w:ascii="Times New Roman" w:hAnsi="Times New Roman" w:cs="Times New Roman"/>
                <w:szCs w:val="21"/>
                <w:highlight w:val="none"/>
                <w:lang w:val="en-US" w:eastAsia="zh-CN"/>
              </w:rPr>
            </w:pPr>
            <w:r>
              <w:rPr>
                <w:spacing w:val="-2"/>
              </w:rPr>
              <w:t>资格审查资料的特殊要求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531F4E68">
            <w:pPr>
              <w:pStyle w:val="31"/>
              <w:spacing w:before="152" w:line="227" w:lineRule="auto"/>
              <w:ind w:left="129"/>
            </w:pPr>
            <w:permStart w:id="38" w:edGrp="everyone"/>
            <w:r>
              <w:rPr>
                <w:rFonts w:hint="eastAsia" w:ascii="Times New Roman" w:hAnsi="Times New Roman" w:eastAsia="宋体" w:cs="Times New Roman"/>
                <w:spacing w:val="-2"/>
                <w:sz w:val="21"/>
                <w:szCs w:val="21"/>
                <w:lang w:eastAsia="zh-CN"/>
              </w:rPr>
              <w:t>☑</w:t>
            </w:r>
            <w:r>
              <w:rPr>
                <w:spacing w:val="-9"/>
              </w:rPr>
              <w:t>无</w:t>
            </w:r>
          </w:p>
          <w:p w14:paraId="66DD9B79">
            <w:pPr>
              <w:pStyle w:val="31"/>
              <w:spacing w:before="64" w:line="227" w:lineRule="auto"/>
              <w:ind w:left="129" w:leftChars="0"/>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2"/>
                <w:sz w:val="31"/>
                <w:szCs w:val="31"/>
              </w:rPr>
              <w:t>□</w:t>
            </w:r>
            <w:r>
              <w:rPr>
                <w:spacing w:val="-2"/>
              </w:rPr>
              <w:t>有，具体要求：</w:t>
            </w:r>
            <w:permEnd w:id="38"/>
          </w:p>
        </w:tc>
      </w:tr>
      <w:tr w14:paraId="10B2D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314553">
            <w:pPr>
              <w:spacing w:before="60" w:line="187" w:lineRule="auto"/>
              <w:jc w:val="center"/>
              <w:rPr>
                <w:rFonts w:hint="eastAsia" w:ascii="Times New Roman" w:hAnsi="Times New Roman" w:cs="Times New Roman"/>
                <w:szCs w:val="21"/>
                <w:highlight w:val="none"/>
                <w:lang w:val="en-US" w:eastAsia="zh-CN"/>
              </w:rPr>
            </w:pPr>
            <w:r>
              <w:rPr>
                <w:rFonts w:ascii="Times New Roman" w:hAnsi="Times New Roman" w:eastAsia="Times New Roman" w:cs="Times New Roman"/>
                <w:spacing w:val="-1"/>
                <w:sz w:val="21"/>
                <w:szCs w:val="21"/>
              </w:rPr>
              <w:t>3.5.2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B2F5D78">
            <w:pPr>
              <w:pStyle w:val="31"/>
              <w:spacing w:before="69" w:line="221" w:lineRule="auto"/>
              <w:jc w:val="center"/>
              <w:rPr>
                <w:rFonts w:hint="eastAsia" w:ascii="Times New Roman" w:hAnsi="Times New Roman" w:cs="Times New Roman"/>
                <w:szCs w:val="21"/>
                <w:highlight w:val="none"/>
                <w:lang w:val="en-US" w:eastAsia="zh-CN"/>
              </w:rPr>
            </w:pPr>
            <w:r>
              <w:rPr>
                <w:spacing w:val="-1"/>
              </w:rPr>
              <w:t>近年财务状况的年份要求</w:t>
            </w:r>
          </w:p>
        </w:tc>
        <w:tc>
          <w:tcPr>
            <w:tcW w:w="4761" w:type="dxa"/>
            <w:tcBorders>
              <w:top w:val="single" w:color="auto" w:sz="4" w:space="0"/>
              <w:left w:val="single" w:color="auto" w:sz="4" w:space="0"/>
              <w:bottom w:val="single" w:color="auto" w:sz="4" w:space="0"/>
              <w:right w:val="single" w:color="auto" w:sz="4" w:space="0"/>
            </w:tcBorders>
            <w:noWrap w:val="0"/>
            <w:vAlign w:val="top"/>
          </w:tcPr>
          <w:p w14:paraId="2528558F">
            <w:pPr>
              <w:pStyle w:val="31"/>
              <w:tabs>
                <w:tab w:val="left" w:pos="663"/>
              </w:tabs>
              <w:spacing w:before="69" w:line="221" w:lineRule="auto"/>
              <w:ind w:left="0" w:leftChars="0"/>
              <w:rPr>
                <w:rFonts w:hint="eastAsia" w:ascii="Times New Roman" w:hAnsi="Times New Roman" w:cs="Times New Roman"/>
                <w:szCs w:val="21"/>
                <w:highlight w:val="none"/>
                <w:lang w:val="en-US" w:eastAsia="zh-CN"/>
              </w:rPr>
            </w:pPr>
            <w:permStart w:id="39" w:edGrp="everyone"/>
            <w:r>
              <w:rPr>
                <w:rFonts w:hint="eastAsia"/>
                <w:u w:val="single" w:color="auto"/>
                <w:lang w:val="en-US" w:eastAsia="zh-CN"/>
              </w:rPr>
              <w:t>/</w:t>
            </w:r>
            <w:r>
              <w:rPr>
                <w:spacing w:val="-3"/>
              </w:rPr>
              <w:t>年至</w:t>
            </w:r>
            <w:r>
              <w:rPr>
                <w:spacing w:val="6"/>
                <w:u w:val="single" w:color="auto"/>
              </w:rPr>
              <w:t xml:space="preserve"> </w:t>
            </w:r>
            <w:r>
              <w:rPr>
                <w:rFonts w:hint="eastAsia"/>
                <w:spacing w:val="6"/>
                <w:u w:val="single" w:color="auto"/>
                <w:lang w:val="en-US" w:eastAsia="zh-CN"/>
              </w:rPr>
              <w:t>/</w:t>
            </w:r>
            <w:r>
              <w:rPr>
                <w:spacing w:val="-92"/>
              </w:rPr>
              <w:t xml:space="preserve"> </w:t>
            </w:r>
            <w:r>
              <w:rPr>
                <w:spacing w:val="-3"/>
              </w:rPr>
              <w:t>年</w:t>
            </w:r>
            <w:permEnd w:id="39"/>
          </w:p>
        </w:tc>
      </w:tr>
      <w:tr w14:paraId="401FB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1BBD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83E45D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6A490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91930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E1DEBE5">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3.5.5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40660C">
            <w:pPr>
              <w:spacing w:before="60" w:line="187" w:lineRule="auto"/>
              <w:jc w:val="center"/>
              <w:rPr>
                <w:rFonts w:hint="eastAsia" w:ascii="Times New Roman" w:hAnsi="Times New Roman" w:eastAsia="Times New Roman" w:cs="Times New Roman"/>
                <w:spacing w:val="-1"/>
                <w:sz w:val="21"/>
                <w:szCs w:val="21"/>
                <w:lang w:val="en-US" w:eastAsia="zh-CN"/>
              </w:rPr>
            </w:pPr>
            <w:r>
              <w:rPr>
                <w:rFonts w:ascii="Times New Roman" w:hAnsi="Times New Roman" w:eastAsia="Times New Roman" w:cs="Times New Roman"/>
                <w:spacing w:val="-1"/>
                <w:sz w:val="21"/>
                <w:szCs w:val="21"/>
              </w:rPr>
              <w:t>近年发生的诉讼及仲裁情况的时间要求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900D1D2">
            <w:pPr>
              <w:spacing w:before="60" w:line="187" w:lineRule="auto"/>
              <w:ind w:firstLine="0" w:firstLineChars="0"/>
              <w:jc w:val="left"/>
              <w:rPr>
                <w:rFonts w:hint="eastAsia" w:ascii="Times New Roman" w:hAnsi="Times New Roman" w:eastAsia="Times New Roman" w:cs="Times New Roman"/>
                <w:spacing w:val="-1"/>
                <w:sz w:val="21"/>
                <w:szCs w:val="21"/>
                <w:lang w:val="en-US" w:eastAsia="zh-CN"/>
              </w:rPr>
            </w:pPr>
            <w:permStart w:id="40" w:edGrp="everyone"/>
            <w:r>
              <w:rPr>
                <w:rFonts w:hint="eastAsia"/>
                <w:spacing w:val="6"/>
                <w:u w:val="single" w:color="auto"/>
                <w:lang w:val="en-US" w:eastAsia="zh-CN"/>
              </w:rPr>
              <w:t>/</w:t>
            </w:r>
            <w:r>
              <w:rPr>
                <w:spacing w:val="-92"/>
              </w:rPr>
              <w:t xml:space="preserve"> </w:t>
            </w:r>
            <w:r>
              <w:rPr>
                <w:spacing w:val="-3"/>
              </w:rPr>
              <w:t>年至</w:t>
            </w:r>
            <w:r>
              <w:rPr>
                <w:rFonts w:hint="eastAsia"/>
                <w:spacing w:val="6"/>
                <w:u w:val="single" w:color="auto"/>
                <w:lang w:val="en-US" w:eastAsia="zh-CN"/>
              </w:rPr>
              <w:t>/</w:t>
            </w:r>
            <w:r>
              <w:rPr>
                <w:spacing w:val="-92"/>
              </w:rPr>
              <w:t xml:space="preserve"> </w:t>
            </w:r>
            <w:r>
              <w:rPr>
                <w:spacing w:val="-3"/>
              </w:rPr>
              <w:t>年</w:t>
            </w:r>
            <w:permEnd w:id="40"/>
          </w:p>
        </w:tc>
      </w:tr>
      <w:tr w14:paraId="640118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0A8A4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A6718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是否允许递交备选投标方案</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AD339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FF0000"/>
                <w:szCs w:val="21"/>
                <w:highlight w:val="none"/>
                <w:lang w:val="en-US" w:eastAsia="zh-CN"/>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14:paraId="572852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允  许</w:t>
            </w:r>
            <w:permEnd w:id="41"/>
          </w:p>
        </w:tc>
      </w:tr>
      <w:tr w14:paraId="6DE363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FCE3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68B2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0A1C8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w:t>
            </w:r>
            <w:r>
              <w:rPr>
                <w:rFonts w:hint="eastAsia" w:ascii="Times New Roman" w:hAnsi="Times New Roman" w:cs="Times New Roman"/>
                <w:szCs w:val="21"/>
                <w:highlight w:val="none"/>
                <w:lang w:eastAsia="zh-CN"/>
              </w:rPr>
              <w:t>使用其他</w:t>
            </w:r>
            <w:r>
              <w:rPr>
                <w:rFonts w:hint="default" w:ascii="Times New Roman" w:hAnsi="Times New Roman" w:cs="Times New Roman"/>
                <w:szCs w:val="21"/>
                <w:highlight w:val="none"/>
              </w:rPr>
              <w:t>如带有“专用章”、“合同章”、“财务章”、“业务章”、下属单位或分支机构印章代替，否则其投标无效；</w:t>
            </w:r>
          </w:p>
          <w:p w14:paraId="7CE254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14:paraId="7233E2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9A5A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1D90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C77B0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14:paraId="5A41B0A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42" w:edGrp="everyone"/>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6C1D440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要求 </w:t>
            </w:r>
            <w:permEnd w:id="42"/>
          </w:p>
          <w:p w14:paraId="4E63021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075767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14:paraId="2F1C5C0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14:paraId="5AD11C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14:paraId="16CBEA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5D4582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3.7.3A（3）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046A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投标文件是否需分册装订</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FF005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14:paraId="7899ECC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color w:val="FF0000"/>
                <w:sz w:val="24"/>
                <w:szCs w:val="24"/>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43"/>
          </w:p>
        </w:tc>
      </w:tr>
      <w:tr w14:paraId="15EEED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BE6A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EFCFB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E0C20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44" w:edGrp="everyone"/>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14:paraId="5574B5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招标人：亳州新能源发展有限公司</w:t>
            </w:r>
          </w:p>
          <w:p w14:paraId="01BF3BC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智慧能源管理平台租赁项目</w:t>
            </w:r>
            <w:r>
              <w:rPr>
                <w:rFonts w:hint="eastAsia" w:ascii="Times New Roman" w:hAnsi="Times New Roman" w:cs="Times New Roman"/>
                <w:color w:val="FF0000"/>
                <w:szCs w:val="21"/>
                <w:highlight w:val="none"/>
                <w:lang w:val="en-US" w:eastAsia="zh-CN"/>
              </w:rPr>
              <w:t>投标文件</w:t>
            </w:r>
          </w:p>
          <w:p w14:paraId="3B81493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061</w:t>
            </w:r>
            <w:r>
              <w:rPr>
                <w:rFonts w:hint="eastAsia" w:ascii="Times New Roman" w:hAnsi="Times New Roman" w:cs="Times New Roman"/>
                <w:color w:val="FF0000"/>
                <w:szCs w:val="21"/>
                <w:highlight w:val="none"/>
                <w:u w:val="none"/>
                <w:lang w:val="en-US" w:eastAsia="zh-CN"/>
              </w:rPr>
              <w:t>号</w:t>
            </w:r>
          </w:p>
          <w:p w14:paraId="7FCA726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44"/>
          </w:p>
        </w:tc>
      </w:tr>
      <w:tr w14:paraId="3BF04C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5913535">
            <w:pPr>
              <w:spacing w:before="212" w:line="187" w:lineRule="auto"/>
              <w:jc w:val="center"/>
              <w:rPr>
                <w:rFonts w:hint="eastAsia" w:ascii="Times New Roman" w:hAnsi="Times New Roman" w:eastAsia="Times New Roman" w:cs="Times New Roman"/>
                <w:kern w:val="2"/>
                <w:sz w:val="21"/>
                <w:szCs w:val="21"/>
                <w:lang w:val="en-US" w:eastAsia="zh-CN" w:bidi="ar-SA"/>
              </w:rPr>
            </w:pPr>
            <w:r>
              <w:rPr>
                <w:rFonts w:ascii="Times New Roman" w:hAnsi="Times New Roman" w:eastAsia="Times New Roman" w:cs="Times New Roman"/>
                <w:spacing w:val="-1"/>
                <w:sz w:val="21"/>
                <w:szCs w:val="21"/>
              </w:rPr>
              <w:t>4.2.1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CA84188">
            <w:pPr>
              <w:pStyle w:val="31"/>
              <w:spacing w:before="174" w:line="221" w:lineRule="auto"/>
              <w:jc w:val="center"/>
              <w:rPr>
                <w:rFonts w:hint="eastAsia" w:ascii="宋体" w:hAnsi="宋体" w:eastAsia="宋体" w:cs="宋体"/>
                <w:kern w:val="2"/>
                <w:sz w:val="21"/>
                <w:szCs w:val="21"/>
                <w:lang w:val="en-US" w:eastAsia="zh-CN" w:bidi="ar-SA"/>
              </w:rPr>
            </w:pPr>
            <w:r>
              <w:rPr>
                <w:spacing w:val="-2"/>
              </w:rPr>
              <w:t>投标截止时间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94D6C7">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46BC0C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9DC4F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BA13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155A3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0CAE79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860C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46F2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DB3D9A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4903E2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2BA48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B99C3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9C2E1C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0CF1AB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1258087">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14:paraId="1F7533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2D314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42C803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525F0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14:paraId="14AFF0B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14:paraId="67FB11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A4E6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A05E71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EBB8B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14:paraId="662E32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6CD71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6.3.2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6482B5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评标委员会推荐中标候选人的人数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0C98A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1-3人</w:t>
            </w:r>
          </w:p>
        </w:tc>
      </w:tr>
      <w:tr w14:paraId="549FD5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B2784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53099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D9EF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14:paraId="15C735A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D0950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85671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szCs w:val="21"/>
                <w:highlight w:val="none"/>
                <w:lang w:val="en-US" w:eastAsia="zh-CN"/>
              </w:rPr>
              <w:t>7.4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A1E6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auto"/>
                <w:szCs w:val="21"/>
                <w:highlight w:val="none"/>
              </w:rPr>
            </w:pPr>
            <w:r>
              <w:rPr>
                <w:rFonts w:hint="eastAsia" w:ascii="Times New Roman" w:hAnsi="Times New Roman" w:cs="Times New Roman"/>
                <w:szCs w:val="21"/>
                <w:highlight w:val="none"/>
                <w:lang w:val="en-US" w:eastAsia="zh-CN"/>
              </w:rPr>
              <w:t>是否授权评标委员会确定中标人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E72FC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14:paraId="09B45D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F9F7375">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7.6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4A9DC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技术成果经济补偿</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D12CA9C">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详见第一章招标公告。</w:t>
            </w:r>
          </w:p>
        </w:tc>
      </w:tr>
      <w:tr w14:paraId="1DF59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051B9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3ECF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21A153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01DFD55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4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14:paraId="1810FFB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45"/>
          <w:p w14:paraId="2C04523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46" w:edGrp="everyone"/>
            <w:r>
              <w:rPr>
                <w:rFonts w:hint="default" w:ascii="Times New Roman" w:hAnsi="Times New Roman" w:cs="Times New Roman"/>
                <w:szCs w:val="21"/>
                <w:highlight w:val="none"/>
              </w:rPr>
              <w:t>中标人在收到中标通知书后10日内从其基本账户开户行银行汇款缴纳履约保证金或出具银行保函。（如出具银行保函，需满足以下条件：1.开具的银行保函有效期不少于项目规定计划工期（或服务期限）；2.招标人负责查验确认银行保函的真实性、合法性和有效性，并由招标人负责保管原件；3.各类机构出具的银行保函</w:t>
            </w:r>
            <w:r>
              <w:rPr>
                <w:rFonts w:hint="eastAsia" w:ascii="Times New Roman" w:hAnsi="Times New Roman" w:cs="Times New Roman"/>
                <w:szCs w:val="21"/>
                <w:highlight w:val="none"/>
                <w:lang w:eastAsia="zh-CN"/>
              </w:rPr>
              <w:t>均须满足不可撤销的无条件见索即付条件。以上1、2、3均需满足，否则，视为中标人放弃中标资格，招标人有权不予退还其投标保证金。</w:t>
            </w:r>
            <w:permEnd w:id="46"/>
          </w:p>
          <w:p w14:paraId="46F59D7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7" w:edGrp="everyone"/>
            <w:r>
              <w:rPr>
                <w:rFonts w:hint="eastAsia" w:ascii="Times New Roman" w:hAnsi="Times New Roman" w:cs="Times New Roman"/>
                <w:b/>
                <w:bCs/>
                <w:color w:val="FF0000"/>
                <w:szCs w:val="21"/>
                <w:highlight w:val="none"/>
                <w:lang w:val="en-US" w:eastAsia="zh-CN"/>
              </w:rPr>
              <w:t>50000元</w:t>
            </w:r>
            <w:permEnd w:id="47"/>
          </w:p>
          <w:p w14:paraId="4DDFBAD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服务期满</w:t>
            </w:r>
            <w:r>
              <w:rPr>
                <w:rFonts w:hint="default" w:ascii="Times New Roman" w:hAnsi="Times New Roman" w:cs="Times New Roman"/>
                <w:color w:val="FF0000"/>
                <w:szCs w:val="21"/>
                <w:highlight w:val="none"/>
              </w:rPr>
              <w:t>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8"/>
          </w:p>
        </w:tc>
      </w:tr>
      <w:tr w14:paraId="2DF666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14:paraId="2904DD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14:paraId="156891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131E4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3C2232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480572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09E26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21B7C9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F66435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58984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6AC1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94B6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C3E09BC">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招标人</w:t>
            </w:r>
            <w:r>
              <w:rPr>
                <w:rFonts w:hint="default" w:ascii="Times New Roman" w:hAnsi="Times New Roman" w:cs="Times New Roman"/>
                <w:szCs w:val="21"/>
                <w:highlight w:val="none"/>
              </w:rPr>
              <w:t>负责解释。</w:t>
            </w:r>
          </w:p>
        </w:tc>
      </w:tr>
      <w:tr w14:paraId="24E265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8C37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增11.2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DD70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0AFB8F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eastAsia="zh-CN"/>
              </w:rPr>
              <w:t>中标人</w:t>
            </w:r>
            <w:r>
              <w:rPr>
                <w:rFonts w:hint="default" w:ascii="Times New Roman" w:hAnsi="Times New Roman" w:cs="Times New Roman"/>
                <w:szCs w:val="21"/>
                <w:highlight w:val="none"/>
              </w:rPr>
              <w:t>信用信息管理，投标人存在以下情形的，</w:t>
            </w:r>
            <w:r>
              <w:rPr>
                <w:rFonts w:hint="eastAsia" w:ascii="Times New Roman" w:hAnsi="Times New Roman" w:cs="Times New Roman"/>
                <w:szCs w:val="21"/>
                <w:highlight w:val="none"/>
                <w:lang w:eastAsia="zh-CN"/>
              </w:rPr>
              <w:t>招标人</w:t>
            </w:r>
            <w:r>
              <w:rPr>
                <w:rFonts w:hint="default" w:ascii="Times New Roman" w:hAnsi="Times New Roman" w:cs="Times New Roman"/>
                <w:szCs w:val="21"/>
                <w:highlight w:val="none"/>
              </w:rPr>
              <w:t>将对其采取限制投标措施，在2年内禁止其参与亳州交控集团采购项目，并在亳州交通投资控股集团有限公司官网（www.bzjkjt.com）进行公示。</w:t>
            </w:r>
          </w:p>
          <w:p w14:paraId="0EFEF1B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eastAsia="zh-CN"/>
              </w:rPr>
              <w:t>中标人</w:t>
            </w:r>
            <w:r>
              <w:rPr>
                <w:rFonts w:hint="default" w:ascii="Times New Roman" w:hAnsi="Times New Roman" w:cs="Times New Roman"/>
                <w:szCs w:val="21"/>
                <w:highlight w:val="none"/>
              </w:rPr>
              <w:t>不良行为有：</w:t>
            </w:r>
          </w:p>
          <w:p w14:paraId="7E867BC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14:paraId="6BF53C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14:paraId="028F7CC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14:paraId="6A1C150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14:paraId="4027CD7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211C58A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569443C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14:paraId="2E445DE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w:t>
            </w:r>
            <w:r>
              <w:rPr>
                <w:rFonts w:hint="eastAsia" w:ascii="Times New Roman" w:hAnsi="Times New Roman" w:cs="Times New Roman"/>
                <w:szCs w:val="21"/>
                <w:highlight w:val="none"/>
                <w:lang w:eastAsia="zh-CN"/>
              </w:rPr>
              <w:t>中标人</w:t>
            </w:r>
            <w:r>
              <w:rPr>
                <w:rFonts w:hint="default" w:ascii="Times New Roman" w:hAnsi="Times New Roman" w:cs="Times New Roman"/>
                <w:szCs w:val="21"/>
                <w:highlight w:val="none"/>
              </w:rPr>
              <w:t>的；</w:t>
            </w:r>
          </w:p>
          <w:p w14:paraId="03281D3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18D7E56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7004091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42208B8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5E4E17B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43FC3D30">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14:paraId="509A9C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5EDE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80EF3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28E64F81">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1186436F">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7" w:name="_Toc144974497"/>
      <w:bookmarkStart w:id="18" w:name="_Toc152045529"/>
      <w:bookmarkStart w:id="19" w:name="_Toc152042305"/>
      <w:bookmarkStart w:id="20" w:name="_Toc179632546"/>
      <w:bookmarkStart w:id="21" w:name="_Toc247085689"/>
      <w:bookmarkStart w:id="22" w:name="_Toc296602420"/>
      <w:bookmarkStart w:id="23" w:name="_Toc246996918"/>
      <w:bookmarkStart w:id="24" w:name="_Toc246996175"/>
      <w:r>
        <w:rPr>
          <w:rFonts w:hint="eastAsia"/>
        </w:rPr>
        <w:t>1. 总则</w:t>
      </w:r>
      <w:bookmarkEnd w:id="17"/>
      <w:bookmarkEnd w:id="18"/>
      <w:bookmarkEnd w:id="19"/>
      <w:bookmarkEnd w:id="20"/>
      <w:bookmarkEnd w:id="21"/>
      <w:bookmarkEnd w:id="22"/>
      <w:bookmarkEnd w:id="23"/>
      <w:bookmarkEnd w:id="24"/>
    </w:p>
    <w:p w14:paraId="13F76CE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 w:name="_Toc246996176"/>
      <w:bookmarkStart w:id="26" w:name="_Toc152045530"/>
      <w:bookmarkStart w:id="27" w:name="_Toc296602421"/>
      <w:bookmarkStart w:id="28" w:name="_Toc246996919"/>
      <w:bookmarkStart w:id="29" w:name="_Toc179632547"/>
      <w:bookmarkStart w:id="30" w:name="_Toc144974498"/>
      <w:bookmarkStart w:id="31" w:name="_Toc152042306"/>
      <w:bookmarkStart w:id="32" w:name="_Toc247085690"/>
      <w:r>
        <w:rPr>
          <w:rFonts w:hint="eastAsia"/>
        </w:rPr>
        <w:t>1.1 项目概况</w:t>
      </w:r>
      <w:bookmarkEnd w:id="25"/>
      <w:bookmarkEnd w:id="26"/>
      <w:bookmarkEnd w:id="27"/>
      <w:bookmarkEnd w:id="28"/>
      <w:bookmarkEnd w:id="29"/>
      <w:bookmarkEnd w:id="30"/>
      <w:bookmarkEnd w:id="31"/>
      <w:bookmarkEnd w:id="32"/>
    </w:p>
    <w:p w14:paraId="688094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1.1.1根据《中华人民共和国招标投标法》等有关法律、法规和规章的规定，本招标项目已具备招标条件，现对本项目进行招标。</w:t>
      </w:r>
    </w:p>
    <w:p w14:paraId="4A851A6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w:t>
      </w:r>
      <w:r>
        <w:rPr>
          <w:rFonts w:hint="eastAsia"/>
          <w:lang w:eastAsia="zh-CN"/>
        </w:rPr>
        <w:t>招标人</w:t>
      </w:r>
      <w:r>
        <w:rPr>
          <w:rFonts w:hint="eastAsia"/>
        </w:rPr>
        <w:t>：见投标人须知前附表。</w:t>
      </w:r>
    </w:p>
    <w:p w14:paraId="25482AD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14:paraId="518F65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14:paraId="3472A6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14:paraId="4282A1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1.1.6 </w:t>
      </w:r>
      <w:r>
        <w:rPr>
          <w:rFonts w:hint="eastAsia"/>
          <w:lang w:val="en-US" w:eastAsia="zh-CN"/>
        </w:rPr>
        <w:t>本招标</w:t>
      </w:r>
      <w:r>
        <w:rPr>
          <w:rFonts w:hint="eastAsia"/>
        </w:rPr>
        <w:t>项目建设规模：见投标人须知前附表。</w:t>
      </w:r>
    </w:p>
    <w:p w14:paraId="0647C6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1.1.7 </w:t>
      </w:r>
      <w:r>
        <w:rPr>
          <w:rFonts w:hint="eastAsia"/>
          <w:lang w:val="en-US" w:eastAsia="zh-CN"/>
        </w:rPr>
        <w:t>本招标</w:t>
      </w:r>
      <w:r>
        <w:rPr>
          <w:rFonts w:hint="eastAsia"/>
        </w:rPr>
        <w:t>项目投资估算：见投标人须知前附表。</w:t>
      </w:r>
    </w:p>
    <w:p w14:paraId="26B6548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 w:name="_Toc296602422"/>
      <w:bookmarkStart w:id="34" w:name="_Toc144974499"/>
      <w:bookmarkStart w:id="35" w:name="_Toc246996920"/>
      <w:bookmarkStart w:id="36" w:name="_Toc246996177"/>
      <w:bookmarkStart w:id="37" w:name="_Toc179632548"/>
      <w:bookmarkStart w:id="38" w:name="_Toc152042307"/>
      <w:bookmarkStart w:id="39" w:name="_Toc152045531"/>
      <w:bookmarkStart w:id="40" w:name="_Toc247085691"/>
      <w:r>
        <w:rPr>
          <w:rFonts w:hint="eastAsia"/>
        </w:rPr>
        <w:t>1.2 资金来源和落实情况</w:t>
      </w:r>
      <w:bookmarkEnd w:id="33"/>
      <w:bookmarkEnd w:id="34"/>
      <w:bookmarkEnd w:id="35"/>
      <w:bookmarkEnd w:id="36"/>
      <w:bookmarkEnd w:id="37"/>
      <w:bookmarkEnd w:id="38"/>
      <w:bookmarkEnd w:id="39"/>
      <w:bookmarkEnd w:id="40"/>
    </w:p>
    <w:p w14:paraId="1F322F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14:paraId="18531B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14:paraId="271BAFF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1" w:name="_Toc152045532"/>
      <w:bookmarkStart w:id="42" w:name="_Toc296602423"/>
      <w:bookmarkStart w:id="43" w:name="_Toc247085692"/>
      <w:bookmarkStart w:id="44" w:name="_Toc179632549"/>
      <w:bookmarkStart w:id="45" w:name="_Toc246996921"/>
      <w:bookmarkStart w:id="46" w:name="_Toc144974500"/>
      <w:bookmarkStart w:id="47" w:name="_Toc152042308"/>
      <w:bookmarkStart w:id="48" w:name="_Toc246996178"/>
      <w:r>
        <w:rPr>
          <w:rFonts w:hint="eastAsia"/>
        </w:rPr>
        <w:t>1.3 招标范围、</w:t>
      </w:r>
      <w:r>
        <w:rPr>
          <w:rFonts w:hint="eastAsia"/>
          <w:lang w:val="en-US" w:eastAsia="zh-CN"/>
        </w:rPr>
        <w:t>服务期限</w:t>
      </w:r>
      <w:r>
        <w:rPr>
          <w:rFonts w:hint="eastAsia"/>
        </w:rPr>
        <w:t>、质量要求</w:t>
      </w:r>
      <w:bookmarkEnd w:id="41"/>
      <w:bookmarkEnd w:id="42"/>
      <w:bookmarkEnd w:id="43"/>
      <w:bookmarkEnd w:id="44"/>
      <w:bookmarkEnd w:id="45"/>
      <w:bookmarkEnd w:id="46"/>
      <w:bookmarkEnd w:id="47"/>
      <w:bookmarkEnd w:id="48"/>
    </w:p>
    <w:p w14:paraId="759232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14:paraId="0E0276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w:t>
      </w:r>
      <w:r>
        <w:rPr>
          <w:rFonts w:hint="eastAsia"/>
          <w:lang w:eastAsia="zh-CN"/>
        </w:rPr>
        <w:t>服务期限</w:t>
      </w:r>
      <w:r>
        <w:rPr>
          <w:rFonts w:hint="eastAsia"/>
        </w:rPr>
        <w:t>：见投标人须知前附表。</w:t>
      </w:r>
    </w:p>
    <w:p w14:paraId="6A7720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14:paraId="6561AD05">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49" w:name="_Toc246996179"/>
      <w:bookmarkStart w:id="50" w:name="_Toc152045534"/>
      <w:bookmarkStart w:id="51" w:name="_Toc144974502"/>
      <w:bookmarkStart w:id="52" w:name="_Toc247085693"/>
      <w:bookmarkStart w:id="53" w:name="_Toc179632551"/>
      <w:bookmarkStart w:id="54" w:name="_Toc152042310"/>
      <w:bookmarkStart w:id="55" w:name="_Toc296602424"/>
      <w:bookmarkStart w:id="56" w:name="_Toc246996922"/>
      <w:r>
        <w:rPr>
          <w:rFonts w:hint="eastAsia"/>
        </w:rPr>
        <w:t>1.4 投标人资格要求</w:t>
      </w:r>
      <w:bookmarkEnd w:id="49"/>
      <w:bookmarkEnd w:id="50"/>
      <w:bookmarkEnd w:id="51"/>
      <w:bookmarkEnd w:id="52"/>
      <w:bookmarkEnd w:id="53"/>
      <w:bookmarkEnd w:id="54"/>
      <w:bookmarkEnd w:id="55"/>
      <w:bookmarkEnd w:id="56"/>
    </w:p>
    <w:p w14:paraId="2138BF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1.4.1 投标人应具备承担本招标项目的资质条件、能力和信誉。</w:t>
      </w:r>
    </w:p>
    <w:p w14:paraId="7E63CE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14:paraId="21ACB26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14:paraId="269FCF6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14:paraId="2820E5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14:paraId="4407558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（5）项目负责人的资格要求：见投标人须知前附表；</w:t>
      </w:r>
    </w:p>
    <w:p w14:paraId="54C4B70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（6）其他主要人员要求：见投标人须知前附表；</w:t>
      </w:r>
    </w:p>
    <w:p w14:paraId="3DB91BB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（7）其他有关要求：见投标人须知前附表。</w:t>
      </w:r>
    </w:p>
    <w:p w14:paraId="6458D2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1.4.2 投标人须知前附表规定接受联合体投标的，除应符合本章第1.4.1项和投标人须知前附表的要求外，还应遵守以下规定： </w:t>
      </w:r>
    </w:p>
    <w:p w14:paraId="5D1E18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14:paraId="0C6D1F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14:paraId="38E525C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w:t>
      </w:r>
    </w:p>
    <w:p w14:paraId="339AD1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14:paraId="78B5AD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（1）为</w:t>
      </w:r>
      <w:r>
        <w:rPr>
          <w:rFonts w:hint="eastAsia"/>
          <w:lang w:eastAsia="zh-CN"/>
        </w:rPr>
        <w:t>招标人</w:t>
      </w:r>
      <w:r>
        <w:rPr>
          <w:rFonts w:hint="eastAsia"/>
        </w:rPr>
        <w:t xml:space="preserve">不具有独立法人资格的附属机构（单位）； </w:t>
      </w:r>
    </w:p>
    <w:p w14:paraId="351DBF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（2）为招标项目前期工作提供咨询服务的；</w:t>
      </w:r>
    </w:p>
    <w:p w14:paraId="457663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（3）为本招标项目的监理人；</w:t>
      </w:r>
    </w:p>
    <w:p w14:paraId="2D464A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（4）为本招标项目的代建人； </w:t>
      </w:r>
    </w:p>
    <w:p w14:paraId="4D83A9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（5）为本招标项目提供招标代理服务的； </w:t>
      </w:r>
    </w:p>
    <w:p w14:paraId="255682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（6）与本招标项目的监理人或代建人或招标代理机构同为一个法定代表人的；</w:t>
      </w:r>
    </w:p>
    <w:p w14:paraId="0C94F1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（7）与本招标项目的监理人或代建人或招标代理机构相互控股或参股的；</w:t>
      </w:r>
    </w:p>
    <w:p w14:paraId="776322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（8）与本招标项目的监理人或代建人或招标代理机构相互任职或工作的；</w:t>
      </w:r>
    </w:p>
    <w:p w14:paraId="690FF8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（9）被责令停业的；</w:t>
      </w:r>
    </w:p>
    <w:p w14:paraId="2DEBC0F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ermStart w:id="49" w:edGrp="everyone"/>
      <w:r>
        <w:rPr>
          <w:rFonts w:hint="eastAsia"/>
        </w:rPr>
        <w:t>（10）投标时（以投标截止时间为准），无被亳州市市本级及县区各行业主管部门或公共资源交易监管部门限制投标的不良行为记录（有效期内）；</w:t>
      </w:r>
    </w:p>
    <w:p w14:paraId="0309946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w:t>
      </w:r>
      <w:r>
        <w:rPr>
          <w:rFonts w:hint="eastAsia"/>
          <w:lang w:eastAsia="zh-CN"/>
        </w:rPr>
        <w:t>/</w:t>
      </w:r>
    </w:p>
    <w:permEnd w:id="49"/>
    <w:p w14:paraId="6F10DB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单位负责人为同一人或者存在控股、管理关系的不同单位，不得同时参加本招标项目投标。</w:t>
      </w:r>
    </w:p>
    <w:p w14:paraId="082157A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57" w:name="_Toc296602425"/>
      <w:bookmarkStart w:id="58" w:name="_Toc246996180"/>
      <w:bookmarkStart w:id="59" w:name="_Toc152042311"/>
      <w:bookmarkStart w:id="60" w:name="_Toc152045535"/>
      <w:bookmarkStart w:id="61" w:name="_Toc246996923"/>
      <w:bookmarkStart w:id="62" w:name="_Toc144974503"/>
      <w:bookmarkStart w:id="63" w:name="_Toc247085694"/>
      <w:bookmarkStart w:id="64" w:name="_Toc179632552"/>
      <w:r>
        <w:rPr>
          <w:rFonts w:hint="eastAsia"/>
        </w:rPr>
        <w:t>1.5 费用承担</w:t>
      </w:r>
      <w:bookmarkEnd w:id="57"/>
      <w:bookmarkEnd w:id="58"/>
      <w:bookmarkEnd w:id="59"/>
      <w:bookmarkEnd w:id="60"/>
      <w:bookmarkEnd w:id="61"/>
      <w:bookmarkEnd w:id="62"/>
      <w:bookmarkEnd w:id="63"/>
      <w:bookmarkEnd w:id="64"/>
    </w:p>
    <w:p w14:paraId="10C55E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14:paraId="1D6CAAB7">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65" w:name="_Toc152042312"/>
      <w:bookmarkStart w:id="66" w:name="_Toc247085695"/>
      <w:bookmarkStart w:id="67" w:name="_Toc152045536"/>
      <w:bookmarkStart w:id="68" w:name="_Toc246996181"/>
      <w:bookmarkStart w:id="69" w:name="_Toc246996924"/>
      <w:bookmarkStart w:id="70" w:name="_Toc144974504"/>
      <w:bookmarkStart w:id="71" w:name="_Toc296602426"/>
      <w:bookmarkStart w:id="72" w:name="_Toc179632553"/>
      <w:r>
        <w:rPr>
          <w:rFonts w:hint="eastAsia"/>
        </w:rPr>
        <w:t>1.6 保密</w:t>
      </w:r>
      <w:bookmarkEnd w:id="65"/>
      <w:bookmarkEnd w:id="66"/>
      <w:bookmarkEnd w:id="67"/>
      <w:bookmarkEnd w:id="68"/>
      <w:bookmarkEnd w:id="69"/>
      <w:bookmarkEnd w:id="70"/>
      <w:bookmarkEnd w:id="71"/>
      <w:bookmarkEnd w:id="72"/>
    </w:p>
    <w:p w14:paraId="7BF64F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14:paraId="4556C59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73" w:name="_Toc144974505"/>
      <w:bookmarkStart w:id="74" w:name="_Toc246996925"/>
      <w:bookmarkStart w:id="75" w:name="_Toc179632554"/>
      <w:bookmarkStart w:id="76" w:name="_Toc246996182"/>
      <w:bookmarkStart w:id="77" w:name="_Toc152045537"/>
      <w:bookmarkStart w:id="78" w:name="_Toc152042313"/>
      <w:bookmarkStart w:id="79" w:name="_Toc247085696"/>
      <w:bookmarkStart w:id="80" w:name="_Toc296602427"/>
      <w:r>
        <w:rPr>
          <w:rFonts w:hint="eastAsia"/>
        </w:rPr>
        <w:t>1.7 语言</w:t>
      </w:r>
      <w:bookmarkEnd w:id="73"/>
      <w:r>
        <w:rPr>
          <w:rFonts w:hint="eastAsia"/>
        </w:rPr>
        <w:t>文字</w:t>
      </w:r>
      <w:bookmarkEnd w:id="74"/>
      <w:bookmarkEnd w:id="75"/>
      <w:bookmarkEnd w:id="76"/>
      <w:bookmarkEnd w:id="77"/>
      <w:bookmarkEnd w:id="78"/>
      <w:bookmarkEnd w:id="79"/>
      <w:bookmarkEnd w:id="80"/>
    </w:p>
    <w:p w14:paraId="07C2BA3F">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1" w:name="_Toc152045538"/>
      <w:bookmarkStart w:id="82" w:name="_Toc247085697"/>
      <w:bookmarkStart w:id="83" w:name="_Toc179632555"/>
      <w:bookmarkStart w:id="84" w:name="_Toc152042314"/>
      <w:bookmarkStart w:id="85" w:name="_Toc246996183"/>
      <w:bookmarkStart w:id="86" w:name="_Toc246996926"/>
      <w:bookmarkStart w:id="87" w:name="_Toc144974506"/>
      <w:r>
        <w:rPr>
          <w:rFonts w:hint="eastAsia"/>
        </w:rPr>
        <w:t>招标投标文件使用的语言文字为中文。专用术语使用外文的，应附有中文注释。</w:t>
      </w:r>
    </w:p>
    <w:p w14:paraId="306051D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96602428"/>
      <w:r>
        <w:rPr>
          <w:rFonts w:hint="eastAsia"/>
        </w:rPr>
        <w:t>1.8 计量单位</w:t>
      </w:r>
      <w:bookmarkEnd w:id="81"/>
      <w:bookmarkEnd w:id="82"/>
      <w:bookmarkEnd w:id="83"/>
      <w:bookmarkEnd w:id="84"/>
      <w:bookmarkEnd w:id="85"/>
      <w:bookmarkEnd w:id="86"/>
      <w:bookmarkEnd w:id="87"/>
      <w:bookmarkEnd w:id="88"/>
    </w:p>
    <w:p w14:paraId="7909E8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14:paraId="3DC2AA0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89" w:name="_Toc296602429"/>
      <w:bookmarkStart w:id="90" w:name="_Toc152042315"/>
      <w:bookmarkStart w:id="91" w:name="_Toc247527563"/>
      <w:bookmarkStart w:id="92" w:name="_Toc152045539"/>
      <w:bookmarkStart w:id="93" w:name="_Toc144974507"/>
      <w:bookmarkStart w:id="94" w:name="_Toc247592876"/>
      <w:bookmarkStart w:id="95" w:name="_Toc247513962"/>
      <w:r>
        <w:rPr>
          <w:rFonts w:hint="eastAsia"/>
        </w:rPr>
        <w:t>1.9 踏勘现场</w:t>
      </w:r>
      <w:bookmarkEnd w:id="89"/>
      <w:bookmarkEnd w:id="90"/>
      <w:bookmarkEnd w:id="91"/>
      <w:bookmarkEnd w:id="92"/>
      <w:bookmarkEnd w:id="93"/>
      <w:bookmarkEnd w:id="94"/>
      <w:bookmarkEnd w:id="95"/>
    </w:p>
    <w:p w14:paraId="2D2493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投标人须知前附表规定组织踏勘现场的，</w:t>
      </w:r>
      <w:r>
        <w:rPr>
          <w:rFonts w:hint="eastAsia"/>
          <w:lang w:eastAsia="zh-CN"/>
        </w:rPr>
        <w:t>招标人</w:t>
      </w:r>
      <w:r>
        <w:rPr>
          <w:rFonts w:hint="eastAsia"/>
        </w:rPr>
        <w:t xml:space="preserve">按投标人须知前附表规定的时间、地点组织投标人踏勘项目现场。 </w:t>
      </w:r>
    </w:p>
    <w:p w14:paraId="5F18D1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14:paraId="01627E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w:t>
      </w:r>
      <w:r>
        <w:rPr>
          <w:rFonts w:hint="eastAsia"/>
          <w:lang w:eastAsia="zh-CN"/>
        </w:rPr>
        <w:t>招标人</w:t>
      </w:r>
      <w:r>
        <w:rPr>
          <w:rFonts w:hint="eastAsia"/>
        </w:rPr>
        <w:t>的原因外，投标人自行负责在踏勘现场中所发生的人员伤亡和财产损失。</w:t>
      </w:r>
    </w:p>
    <w:p w14:paraId="004A1A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1.9.4 </w:t>
      </w:r>
      <w:r>
        <w:rPr>
          <w:rFonts w:hint="eastAsia"/>
          <w:lang w:eastAsia="zh-CN"/>
        </w:rPr>
        <w:t>招标人</w:t>
      </w:r>
      <w:r>
        <w:rPr>
          <w:rFonts w:hint="eastAsia"/>
        </w:rPr>
        <w:t>在踏勘现场中介绍的工程场地和相关的周边环境情况，供投标人在编制投标文件时参考，</w:t>
      </w:r>
      <w:r>
        <w:rPr>
          <w:rFonts w:hint="eastAsia"/>
          <w:lang w:eastAsia="zh-CN"/>
        </w:rPr>
        <w:t>招标人</w:t>
      </w:r>
      <w:r>
        <w:rPr>
          <w:rFonts w:hint="eastAsia"/>
        </w:rPr>
        <w:t>不对投标人据此作出的判断和决策负责。</w:t>
      </w:r>
    </w:p>
    <w:p w14:paraId="0AA9DDB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96" w:name="_Toc247513963"/>
      <w:bookmarkStart w:id="97" w:name="_Toc152042316"/>
      <w:bookmarkStart w:id="98" w:name="_Toc144974508"/>
      <w:bookmarkStart w:id="99" w:name="_Toc296602430"/>
      <w:bookmarkStart w:id="100" w:name="_Toc247527564"/>
      <w:bookmarkStart w:id="101" w:name="_Toc247592877"/>
      <w:bookmarkStart w:id="102" w:name="_Toc152045540"/>
      <w:r>
        <w:rPr>
          <w:rFonts w:hint="eastAsia"/>
        </w:rPr>
        <w:t>1.10 投标预备会</w:t>
      </w:r>
      <w:bookmarkEnd w:id="96"/>
      <w:bookmarkEnd w:id="97"/>
      <w:bookmarkEnd w:id="98"/>
      <w:bookmarkEnd w:id="99"/>
      <w:bookmarkEnd w:id="100"/>
      <w:bookmarkEnd w:id="101"/>
      <w:bookmarkEnd w:id="102"/>
    </w:p>
    <w:p w14:paraId="78B2E1D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w:t>
      </w:r>
      <w:r>
        <w:rPr>
          <w:rFonts w:hint="eastAsia"/>
          <w:lang w:eastAsia="zh-CN"/>
        </w:rPr>
        <w:t>招标人</w:t>
      </w:r>
      <w:r>
        <w:rPr>
          <w:rFonts w:hint="eastAsia"/>
        </w:rPr>
        <w:t>按投标人须知前附表规定的时间和地点召开投标预备会，澄清投标人提出的问题。</w:t>
      </w:r>
    </w:p>
    <w:p w14:paraId="4ECE55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w:t>
      </w:r>
      <w:r>
        <w:rPr>
          <w:rFonts w:hint="eastAsia"/>
          <w:lang w:eastAsia="zh-CN"/>
        </w:rPr>
        <w:t>招标人</w:t>
      </w:r>
      <w:r>
        <w:rPr>
          <w:rFonts w:hint="eastAsia"/>
        </w:rPr>
        <w:t>，以便</w:t>
      </w:r>
      <w:r>
        <w:rPr>
          <w:rFonts w:hint="eastAsia"/>
          <w:lang w:eastAsia="zh-CN"/>
        </w:rPr>
        <w:t>招标人</w:t>
      </w:r>
      <w:r>
        <w:rPr>
          <w:rFonts w:hint="eastAsia"/>
        </w:rPr>
        <w:t>在会议期间澄清。</w:t>
      </w:r>
    </w:p>
    <w:p w14:paraId="7B2966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w:t>
      </w:r>
      <w:r>
        <w:rPr>
          <w:rFonts w:hint="eastAsia"/>
          <w:lang w:eastAsia="zh-CN"/>
        </w:rPr>
        <w:t>招标人</w:t>
      </w:r>
      <w:r>
        <w:rPr>
          <w:rFonts w:hint="eastAsia"/>
        </w:rPr>
        <w:t>在投标人须知前附表规定的时间内，将对投标人所提问题的澄清，以书面形式通知所有购买招标文件的投标人。该澄清内容为招标文件的组成部分。</w:t>
      </w:r>
    </w:p>
    <w:p w14:paraId="6709377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96602431"/>
      <w:r>
        <w:rPr>
          <w:rFonts w:hint="eastAsia"/>
        </w:rPr>
        <w:t>1.11 偏离</w:t>
      </w:r>
      <w:bookmarkEnd w:id="103"/>
    </w:p>
    <w:p w14:paraId="0DECBB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投标人须知前附表规定应当由分包人实施的非主体、非关键性工作，投标人应当按照第五章“发包人要求”的规定提供分包人</w:t>
      </w:r>
      <w:r>
        <w:rPr>
          <w:rFonts w:hint="eastAsia"/>
          <w:lang w:eastAsia="zh-CN"/>
        </w:rPr>
        <w:t>候选</w:t>
      </w:r>
      <w:r>
        <w:rPr>
          <w:rFonts w:hint="eastAsia"/>
        </w:rPr>
        <w:t>名单及其相应资料。</w:t>
      </w:r>
    </w:p>
    <w:p w14:paraId="5A4835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投标人拟在中标后将中标项目的部分非主体、非关键性工作进行分包的，应符合投标人须知前附表规定的分包内容、分包金额和资质要求等限制性条件，除投标人须知前附表规定的非主体、非关键性设计工作外，其他工作不得分包。中标人不得向他人转让中标项目，接受分包的人不得再次分包。中标人应当就分包项目向</w:t>
      </w:r>
      <w:r>
        <w:rPr>
          <w:rFonts w:hint="eastAsia"/>
          <w:lang w:eastAsia="zh-CN"/>
        </w:rPr>
        <w:t>招标人</w:t>
      </w:r>
      <w:r>
        <w:rPr>
          <w:rFonts w:hint="eastAsia"/>
        </w:rPr>
        <w:t>负责，接受分包的人就分包项目承担连带责任。</w:t>
      </w:r>
    </w:p>
    <w:p w14:paraId="048F501E">
      <w:pPr>
        <w:pStyle w:val="7"/>
        <w:pageBreakBefore w:val="0"/>
        <w:widowControl w:val="0"/>
        <w:kinsoku/>
        <w:wordWrap/>
        <w:overflowPunct/>
        <w:topLinePunct w:val="0"/>
        <w:autoSpaceDE/>
        <w:autoSpaceDN/>
        <w:bidi w:val="0"/>
        <w:adjustRightInd/>
        <w:snapToGrid/>
        <w:spacing w:line="240" w:lineRule="auto"/>
        <w:textAlignment w:val="auto"/>
        <w:rPr>
          <w:rFonts w:ascii="Arial"/>
          <w:sz w:val="21"/>
        </w:rPr>
      </w:pPr>
      <w:r>
        <w:rPr>
          <w:rFonts w:hint="eastAsia"/>
        </w:rPr>
        <w:t>1.12 响应和偏差</w:t>
      </w:r>
    </w:p>
    <w:p w14:paraId="3AFD941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1.12.1 投标文件应当对招标文件的实质性要求和条件作出满足性或更有利于</w:t>
      </w:r>
      <w:r>
        <w:rPr>
          <w:rFonts w:hint="eastAsia"/>
          <w:lang w:eastAsia="zh-CN"/>
        </w:rPr>
        <w:t>招标人</w:t>
      </w:r>
      <w:r>
        <w:rPr>
          <w:rFonts w:hint="eastAsia"/>
        </w:rPr>
        <w:t>的响应，否则， 投标人的投标将被否决。实质性要求和条件见投标人须知前附表。</w:t>
      </w:r>
    </w:p>
    <w:p w14:paraId="6CD87B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1.12.2  投标人应根据招标文件的要求提供投标勘察纲要等内容以对招标文件作出响应。</w:t>
      </w:r>
    </w:p>
    <w:p w14:paraId="1283A8C8">
      <w:pPr>
        <w:pageBreakBefore w:val="0"/>
        <w:widowControl w:val="0"/>
        <w:kinsoku/>
        <w:wordWrap/>
        <w:overflowPunct/>
        <w:topLinePunct w:val="0"/>
        <w:autoSpaceDE/>
        <w:autoSpaceDN/>
        <w:bidi w:val="0"/>
        <w:adjustRightInd/>
        <w:snapToGrid/>
        <w:spacing w:line="240" w:lineRule="auto"/>
        <w:ind w:firstLine="420" w:firstLineChars="200"/>
        <w:textAlignment w:val="auto"/>
        <w:rPr>
          <w:sz w:val="21"/>
          <w:szCs w:val="21"/>
        </w:rPr>
      </w:pPr>
      <w:r>
        <w:rPr>
          <w:rFonts w:hint="eastAsia"/>
        </w:rPr>
        <w:t>1.12.3  投标人须知前附表允许投标文件偏离招标文件某些要求的， 偏差应当符合招标文件规定的偏差范围和幅度</w:t>
      </w:r>
      <w:r>
        <w:rPr>
          <w:spacing w:val="-2"/>
          <w:sz w:val="21"/>
          <w:szCs w:val="21"/>
        </w:rPr>
        <w:t>。</w:t>
      </w:r>
    </w:p>
    <w:p w14:paraId="4825FD8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17F400D">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04" w:name="_Toc152045542"/>
      <w:bookmarkStart w:id="105" w:name="_Toc296602432"/>
      <w:bookmarkStart w:id="106" w:name="_Toc247085701"/>
      <w:bookmarkStart w:id="107" w:name="_Toc152042318"/>
      <w:bookmarkStart w:id="108" w:name="_Toc246996930"/>
      <w:bookmarkStart w:id="109" w:name="_Toc144974510"/>
      <w:bookmarkStart w:id="110" w:name="_Toc246996187"/>
      <w:bookmarkStart w:id="111" w:name="_Toc179632560"/>
      <w:r>
        <w:rPr>
          <w:rFonts w:hint="eastAsia"/>
        </w:rPr>
        <w:t>2. 招标文件</w:t>
      </w:r>
      <w:bookmarkEnd w:id="104"/>
      <w:bookmarkEnd w:id="105"/>
      <w:bookmarkEnd w:id="106"/>
      <w:bookmarkEnd w:id="107"/>
      <w:bookmarkEnd w:id="108"/>
      <w:bookmarkEnd w:id="109"/>
      <w:bookmarkEnd w:id="110"/>
      <w:bookmarkEnd w:id="111"/>
    </w:p>
    <w:p w14:paraId="281EFDF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12" w:name="_Toc247085702"/>
      <w:bookmarkStart w:id="113" w:name="_Toc246996931"/>
      <w:bookmarkStart w:id="114" w:name="_Toc152042319"/>
      <w:bookmarkStart w:id="115" w:name="_Toc144974511"/>
      <w:bookmarkStart w:id="116" w:name="_Toc246996188"/>
      <w:bookmarkStart w:id="117" w:name="_Toc179632561"/>
      <w:bookmarkStart w:id="118" w:name="_Toc152045543"/>
      <w:bookmarkStart w:id="119" w:name="_Toc296602433"/>
      <w:r>
        <w:rPr>
          <w:rFonts w:hint="eastAsia"/>
        </w:rPr>
        <w:t>2.1 招标文件的组成</w:t>
      </w:r>
      <w:bookmarkEnd w:id="112"/>
      <w:bookmarkEnd w:id="113"/>
      <w:bookmarkEnd w:id="114"/>
      <w:bookmarkEnd w:id="115"/>
      <w:bookmarkEnd w:id="116"/>
      <w:bookmarkEnd w:id="117"/>
      <w:bookmarkEnd w:id="118"/>
      <w:bookmarkEnd w:id="119"/>
    </w:p>
    <w:p w14:paraId="6740A9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14:paraId="6EA7B2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14:paraId="5C2F3A4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14:paraId="6277DE6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14:paraId="6667C8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14:paraId="2433922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（5）发包人要求；</w:t>
      </w:r>
    </w:p>
    <w:p w14:paraId="30CBA3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14:paraId="05ABB9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1.10 款、第 2.2 款和第 2.3 款对招标文件所</w:t>
      </w:r>
      <w:r>
        <w:rPr>
          <w:rFonts w:hint="eastAsia"/>
          <w:lang w:eastAsia="zh-CN"/>
        </w:rPr>
        <w:t>做</w:t>
      </w:r>
      <w:r>
        <w:rPr>
          <w:rFonts w:hint="eastAsia"/>
        </w:rPr>
        <w:t>的澄清、修改，构成招标文件的组成部分。</w:t>
      </w:r>
    </w:p>
    <w:p w14:paraId="195A763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0" w:name="_Toc247085703"/>
      <w:bookmarkStart w:id="121" w:name="_Toc152045544"/>
      <w:bookmarkStart w:id="122" w:name="_Toc246996932"/>
      <w:bookmarkStart w:id="123" w:name="_Toc144974512"/>
      <w:bookmarkStart w:id="124" w:name="_Toc152042320"/>
      <w:bookmarkStart w:id="125" w:name="_Toc246996189"/>
      <w:bookmarkStart w:id="126" w:name="_Toc296602434"/>
      <w:bookmarkStart w:id="127" w:name="_Toc179632562"/>
      <w:r>
        <w:rPr>
          <w:rFonts w:hint="eastAsia"/>
        </w:rPr>
        <w:t>2.2 招标文件的澄清</w:t>
      </w:r>
      <w:bookmarkEnd w:id="120"/>
      <w:bookmarkEnd w:id="121"/>
      <w:bookmarkEnd w:id="122"/>
      <w:bookmarkEnd w:id="123"/>
      <w:bookmarkEnd w:id="124"/>
      <w:bookmarkEnd w:id="125"/>
      <w:bookmarkEnd w:id="126"/>
      <w:bookmarkEnd w:id="127"/>
      <w:r>
        <w:rPr>
          <w:rFonts w:hint="eastAsia"/>
        </w:rPr>
        <w:t xml:space="preserve"> </w:t>
      </w:r>
    </w:p>
    <w:p w14:paraId="15C27D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w:t>
      </w:r>
      <w:r>
        <w:rPr>
          <w:rFonts w:hint="eastAsia" w:ascii="宋体" w:hAnsi="宋体"/>
          <w:szCs w:val="21"/>
          <w:lang w:eastAsia="zh-CN"/>
        </w:rPr>
        <w:t>招标人</w:t>
      </w:r>
      <w:r>
        <w:rPr>
          <w:rFonts w:hint="eastAsia" w:ascii="宋体" w:hAnsi="宋体"/>
          <w:szCs w:val="21"/>
        </w:rPr>
        <w:t>提出，以便补齐。</w:t>
      </w:r>
      <w:r>
        <w:rPr>
          <w:rFonts w:hint="eastAsia"/>
        </w:rPr>
        <w:t>如有疑问，应在投标人须知前附表规定的时间前以书面形式（包括信函、电报、传真等可以有形地表现所载内容的形式，下同），要求</w:t>
      </w:r>
      <w:r>
        <w:rPr>
          <w:rFonts w:hint="eastAsia"/>
          <w:lang w:eastAsia="zh-CN"/>
        </w:rPr>
        <w:t>招标人</w:t>
      </w:r>
      <w:r>
        <w:rPr>
          <w:rFonts w:hint="eastAsia"/>
        </w:rPr>
        <w:t>对招标文件予以澄清。</w:t>
      </w:r>
    </w:p>
    <w:p w14:paraId="044A1E3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14:paraId="2BF5020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w:t>
      </w:r>
      <w:r>
        <w:rPr>
          <w:rFonts w:hint="eastAsia"/>
          <w:lang w:eastAsia="zh-CN"/>
        </w:rPr>
        <w:t>招标人</w:t>
      </w:r>
      <w:r>
        <w:rPr>
          <w:rFonts w:hint="eastAsia"/>
        </w:rPr>
        <w:t>，确认已收到该澄清。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14:paraId="2407C12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28" w:name="_Toc152042321"/>
      <w:bookmarkStart w:id="129" w:name="_Toc246996190"/>
      <w:bookmarkStart w:id="130" w:name="_Toc179632563"/>
      <w:bookmarkStart w:id="131" w:name="_Toc296602435"/>
      <w:bookmarkStart w:id="132" w:name="_Toc247085704"/>
      <w:bookmarkStart w:id="133" w:name="_Toc144974513"/>
      <w:bookmarkStart w:id="134" w:name="_Toc246996933"/>
      <w:bookmarkStart w:id="135" w:name="_Toc152045545"/>
      <w:r>
        <w:rPr>
          <w:rFonts w:hint="eastAsia"/>
        </w:rPr>
        <w:t>2.3 招标文件的修改</w:t>
      </w:r>
      <w:bookmarkEnd w:id="128"/>
      <w:bookmarkEnd w:id="129"/>
      <w:bookmarkEnd w:id="130"/>
      <w:bookmarkEnd w:id="131"/>
      <w:bookmarkEnd w:id="132"/>
      <w:bookmarkEnd w:id="133"/>
      <w:bookmarkEnd w:id="134"/>
      <w:bookmarkEnd w:id="135"/>
    </w:p>
    <w:p w14:paraId="7F50DD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w:t>
      </w:r>
      <w:r>
        <w:rPr>
          <w:rFonts w:hint="eastAsia"/>
          <w:lang w:eastAsia="zh-CN"/>
        </w:rPr>
        <w:t>招标人</w:t>
      </w:r>
      <w:r>
        <w:rPr>
          <w:rFonts w:hint="eastAsia"/>
        </w:rPr>
        <w:t>可以书面形式修改招标文件，并通知所有已购买招标文件的投标人。但如果修改招标文件的时间距投标截止时间不足15天，并且修改内容影响投标文件编制的，将相应延长投标截止时间。</w:t>
      </w:r>
    </w:p>
    <w:p w14:paraId="6B67BF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w:t>
      </w:r>
      <w:r>
        <w:rPr>
          <w:rFonts w:hint="eastAsia"/>
          <w:lang w:eastAsia="zh-CN"/>
        </w:rPr>
        <w:t>招标人</w:t>
      </w:r>
      <w:r>
        <w:rPr>
          <w:rFonts w:hint="eastAsia"/>
        </w:rPr>
        <w:t>，确认已收到该修改。</w:t>
      </w:r>
    </w:p>
    <w:p w14:paraId="461F2D0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136" w:name="_Toc246996934"/>
      <w:bookmarkStart w:id="137" w:name="_Toc179632564"/>
      <w:bookmarkStart w:id="138" w:name="_Toc152045546"/>
      <w:bookmarkStart w:id="139" w:name="_Toc152042322"/>
      <w:bookmarkStart w:id="140" w:name="_Toc296602436"/>
      <w:bookmarkStart w:id="141" w:name="_Toc247085705"/>
      <w:bookmarkStart w:id="142" w:name="_Toc246996191"/>
      <w:bookmarkStart w:id="143" w:name="_Toc144974514"/>
      <w:r>
        <w:rPr>
          <w:rFonts w:hint="eastAsia"/>
        </w:rPr>
        <w:t>3. 投标文件</w:t>
      </w:r>
      <w:bookmarkEnd w:id="136"/>
      <w:bookmarkEnd w:id="137"/>
      <w:bookmarkEnd w:id="138"/>
      <w:bookmarkEnd w:id="139"/>
      <w:bookmarkEnd w:id="140"/>
      <w:bookmarkEnd w:id="141"/>
      <w:bookmarkEnd w:id="142"/>
      <w:bookmarkEnd w:id="143"/>
    </w:p>
    <w:p w14:paraId="00CECA6F">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44" w:name="_Toc246996935"/>
      <w:bookmarkStart w:id="145" w:name="_Toc296602437"/>
      <w:bookmarkStart w:id="146" w:name="_Toc152042323"/>
      <w:bookmarkStart w:id="147" w:name="_Toc246996192"/>
      <w:bookmarkStart w:id="148" w:name="_Toc144974515"/>
      <w:bookmarkStart w:id="149" w:name="_Toc179632565"/>
      <w:bookmarkStart w:id="150" w:name="_Toc247085706"/>
      <w:bookmarkStart w:id="151" w:name="_Toc152045547"/>
      <w:r>
        <w:rPr>
          <w:rFonts w:hint="eastAsia"/>
        </w:rPr>
        <w:t>3.1 投标文件的组成</w:t>
      </w:r>
      <w:bookmarkEnd w:id="144"/>
      <w:bookmarkEnd w:id="145"/>
      <w:bookmarkEnd w:id="146"/>
      <w:bookmarkEnd w:id="147"/>
      <w:bookmarkEnd w:id="148"/>
      <w:bookmarkEnd w:id="149"/>
      <w:bookmarkEnd w:id="150"/>
      <w:bookmarkEnd w:id="151"/>
    </w:p>
    <w:p w14:paraId="41DB44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14:paraId="78A7237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一、投标函及投标函附录</w:t>
      </w:r>
    </w:p>
    <w:p w14:paraId="0EA42F0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二、法定代表人身份证明（适用于无委托代理人的情况）</w:t>
      </w:r>
    </w:p>
    <w:p w14:paraId="370E308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14:paraId="32EE170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14:paraId="41AB632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四、服务费用清单</w:t>
      </w:r>
    </w:p>
    <w:p w14:paraId="12F158C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五、资格审查资料</w:t>
      </w:r>
    </w:p>
    <w:p w14:paraId="23F224F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六、服务方案</w:t>
      </w:r>
    </w:p>
    <w:p w14:paraId="182C66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七、其他资料</w:t>
      </w:r>
    </w:p>
    <w:p w14:paraId="6FFBDF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14:paraId="4C9B058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14:paraId="75590C9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w:t>
      </w:r>
      <w:r>
        <w:rPr>
          <w:rFonts w:hint="eastAsia"/>
          <w:lang w:eastAsia="zh-CN"/>
        </w:rPr>
        <w:t>）项</w:t>
      </w:r>
      <w:r>
        <w:rPr>
          <w:rFonts w:hint="eastAsia"/>
        </w:rPr>
        <w:t>目所指的投标保证金。</w:t>
      </w:r>
    </w:p>
    <w:p w14:paraId="00BD8D53">
      <w:pPr>
        <w:pStyle w:val="7"/>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2" w:name="_Toc152045548"/>
      <w:bookmarkStart w:id="153" w:name="_Toc247085707"/>
      <w:bookmarkStart w:id="154" w:name="_Toc144974516"/>
      <w:bookmarkStart w:id="155" w:name="_Toc246996193"/>
      <w:bookmarkStart w:id="156" w:name="_Toc152042324"/>
      <w:bookmarkStart w:id="157" w:name="_Toc296602438"/>
      <w:bookmarkStart w:id="158" w:name="_Toc246996936"/>
      <w:bookmarkStart w:id="159" w:name="_Toc179632566"/>
      <w:r>
        <w:rPr>
          <w:rFonts w:hint="eastAsia"/>
        </w:rPr>
        <w:t>3.2 投标报价</w:t>
      </w:r>
      <w:bookmarkEnd w:id="152"/>
      <w:bookmarkEnd w:id="153"/>
      <w:bookmarkEnd w:id="154"/>
      <w:bookmarkEnd w:id="155"/>
      <w:bookmarkEnd w:id="156"/>
      <w:bookmarkEnd w:id="157"/>
      <w:bookmarkEnd w:id="158"/>
      <w:bookmarkEnd w:id="159"/>
    </w:p>
    <w:p w14:paraId="246AF4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60" w:name="_Toc152042325"/>
      <w:bookmarkStart w:id="161" w:name="_Toc144974517"/>
      <w:bookmarkStart w:id="162" w:name="_Toc179632567"/>
      <w:bookmarkStart w:id="163" w:name="_Toc152045549"/>
      <w:r>
        <w:rPr>
          <w:rFonts w:hint="eastAsia"/>
        </w:rPr>
        <w:t>3.2.1 投标报价应包括国家规定的增值税税金， 除投标人须知前附表另有规定外， 增值税税 金按一般计税方法计算。投标人应按第六章“投标文件格式” 的要求在投标函中进行报价并填写设计费用清单。</w:t>
      </w:r>
    </w:p>
    <w:p w14:paraId="56C008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14:paraId="5B36B20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本项目的报价方式见投标人须知前附表。投标人在投标截止时间前修改投标函中的投 标报价总额，应同时修改投标文件“勘察费用清单” 中的相应报价。此修改须符合本章第 4.3 款的有关要求。</w:t>
      </w:r>
    </w:p>
    <w:p w14:paraId="658071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3.2.4  </w:t>
      </w:r>
      <w:r>
        <w:rPr>
          <w:rFonts w:hint="eastAsia"/>
          <w:lang w:eastAsia="zh-CN"/>
        </w:rPr>
        <w:t>招标人</w:t>
      </w:r>
      <w:r>
        <w:rPr>
          <w:rFonts w:hint="eastAsia"/>
        </w:rPr>
        <w:t>设有最高投标限价的，投标人的投标报价不得超过最高投标限价，最高投标限价在投标人须知前附表中载明。</w:t>
      </w:r>
    </w:p>
    <w:p w14:paraId="10E334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14:paraId="64C73FD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4" w:name="_Toc246996194"/>
      <w:bookmarkStart w:id="165" w:name="_Toc247085708"/>
      <w:bookmarkStart w:id="166" w:name="_Toc246996937"/>
      <w:bookmarkStart w:id="167" w:name="_Toc296602439"/>
      <w:r>
        <w:rPr>
          <w:rFonts w:hint="eastAsia"/>
        </w:rPr>
        <w:t>3.3 投标有效期</w:t>
      </w:r>
      <w:bookmarkEnd w:id="160"/>
      <w:bookmarkEnd w:id="161"/>
      <w:bookmarkEnd w:id="162"/>
      <w:bookmarkEnd w:id="163"/>
      <w:bookmarkEnd w:id="164"/>
      <w:bookmarkEnd w:id="165"/>
      <w:bookmarkEnd w:id="166"/>
      <w:bookmarkEnd w:id="167"/>
    </w:p>
    <w:p w14:paraId="33A852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14:paraId="161DFF1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14:paraId="13DD95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w:t>
      </w:r>
      <w:r>
        <w:rPr>
          <w:rFonts w:hint="eastAsia"/>
          <w:lang w:eastAsia="zh-CN"/>
        </w:rPr>
        <w:t>招标人</w:t>
      </w:r>
      <w:r>
        <w:rPr>
          <w:rFonts w:hint="eastAsia"/>
        </w:rPr>
        <w:t>以书面形式通知所有投标人延长投标有效期。投标人同意延长的，应相应延长其投标保证金的有效期，但不得要求或被允许修改或撤销其投标文件；投标人拒绝延长的，其投标失效，但投标人有权收回其投标保证金。</w:t>
      </w:r>
    </w:p>
    <w:p w14:paraId="3B934EF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68" w:name="_Toc296602440"/>
      <w:bookmarkStart w:id="169" w:name="_Toc247085709"/>
      <w:bookmarkStart w:id="170" w:name="_Toc246996938"/>
      <w:bookmarkStart w:id="171" w:name="_Toc152045550"/>
      <w:bookmarkStart w:id="172" w:name="_Toc144974518"/>
      <w:bookmarkStart w:id="173" w:name="_Toc246996195"/>
      <w:bookmarkStart w:id="174" w:name="_Toc179632568"/>
      <w:bookmarkStart w:id="175" w:name="_Toc152042326"/>
      <w:r>
        <w:rPr>
          <w:rFonts w:hint="eastAsia"/>
        </w:rPr>
        <w:t>3.4 投标保证金</w:t>
      </w:r>
      <w:bookmarkEnd w:id="168"/>
      <w:bookmarkEnd w:id="169"/>
      <w:bookmarkEnd w:id="170"/>
      <w:bookmarkEnd w:id="171"/>
      <w:bookmarkEnd w:id="172"/>
      <w:bookmarkEnd w:id="173"/>
      <w:bookmarkEnd w:id="174"/>
      <w:bookmarkEnd w:id="175"/>
    </w:p>
    <w:p w14:paraId="63DB33B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w:t>
      </w:r>
      <w:r>
        <w:rPr>
          <w:rFonts w:hint="eastAsia"/>
          <w:lang w:eastAsia="zh-CN"/>
        </w:rPr>
        <w:t>招标人</w:t>
      </w:r>
      <w:r>
        <w:rPr>
          <w:rFonts w:hint="eastAsia"/>
        </w:rPr>
        <w:t>认可的投标保证金格式递交投标保证金，并作为其投标文件的组成部分。</w:t>
      </w:r>
    </w:p>
    <w:p w14:paraId="5DD4B59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14:paraId="3F43FF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14:paraId="252A5B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14:paraId="4ECA33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14:paraId="72223E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14:paraId="0902D7F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14:paraId="16426E82">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76" w:name="_Toc152042328"/>
      <w:bookmarkStart w:id="177" w:name="_Toc296602441"/>
      <w:bookmarkStart w:id="178" w:name="_Toc247085710"/>
      <w:bookmarkStart w:id="179" w:name="_Toc246996196"/>
      <w:bookmarkStart w:id="180" w:name="_Toc152045552"/>
      <w:bookmarkStart w:id="181" w:name="_Toc144974520"/>
      <w:bookmarkStart w:id="182" w:name="_Toc179632570"/>
      <w:bookmarkStart w:id="183" w:name="_Toc246996939"/>
      <w:r>
        <w:rPr>
          <w:rFonts w:hint="eastAsia"/>
        </w:rPr>
        <w:t>3.5 资格审查资料</w:t>
      </w:r>
      <w:bookmarkEnd w:id="176"/>
      <w:bookmarkEnd w:id="177"/>
      <w:bookmarkEnd w:id="178"/>
      <w:bookmarkEnd w:id="179"/>
      <w:bookmarkEnd w:id="180"/>
      <w:bookmarkEnd w:id="181"/>
      <w:bookmarkEnd w:id="182"/>
      <w:bookmarkEnd w:id="183"/>
    </w:p>
    <w:p w14:paraId="1DAF3E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3.5.1“投标人基本情况表”应附投标人有效的营业执照（统一社会信用代码）、资质证书等材料的扫描件或复印件。</w:t>
      </w:r>
    </w:p>
    <w:p w14:paraId="703EE0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3.5.2“近年财务状况表”应附经会计师事务所或审计机构审计的财务会计报表，包括资产负债表、现金流量表、利润表和财务情况说明书等扫描件或复印件。具体要求见投标人须知前附表。</w:t>
      </w:r>
    </w:p>
    <w:p w14:paraId="292106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3.5.3“近年完成的类似项目情况表”应附中标通知书和（或）合同协议书、发包人出具的证明文件；具体时间要求见投标人须知前附表，每张表格只填写一个项目，并标明序号。具体要求见投标人须知前附表。</w:t>
      </w:r>
    </w:p>
    <w:p w14:paraId="0C9667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“正在实施和新承接的项目情况表”应附中标通知书和（或）合同协议书扫描件或复印件。每张表格只填写一个项目，并标明序号。具体要求见投标人须知前附表。</w:t>
      </w:r>
    </w:p>
    <w:p w14:paraId="6DB315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3.5.5“近年发生的重大诉讼及仲裁情况”应说明相关情况，并附法院或仲裁机构作出的判决、裁决等有关法律文书扫描件或复印件。具体要求见投标人须知前附表。</w:t>
      </w:r>
    </w:p>
    <w:p w14:paraId="5C20A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3.5.6“拟委任的主要人员汇总表”应填报满足本章第 1.4.1 项规定的项目负责人和其他主要人员的相关信息。“主要人员简历表”中项目负责人应附身份证、学历证、职称证、执业资格证书和社保缴费证明复印件，管理过的项目业绩须附合同协议书复印件；其他主要人员应附身份证、学历证、职称证、有关证书和社保缴费证明复印件。具体要求见投标人须知前附表。</w:t>
      </w:r>
    </w:p>
    <w:p w14:paraId="693C498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3.5.7投标人须知前附表规定接受联合体投标的，本章第3.5.1项至第3.5.5项规定的表格和资料应包括联合体各方相关情况。</w:t>
      </w:r>
    </w:p>
    <w:p w14:paraId="39DADD00">
      <w:pPr>
        <w:pStyle w:val="7"/>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3.6  备选投标方案</w:t>
      </w:r>
    </w:p>
    <w:p w14:paraId="5D19B2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14:paraId="72E719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w:t>
      </w:r>
      <w:r>
        <w:rPr>
          <w:rFonts w:hint="eastAsia"/>
          <w:lang w:eastAsia="zh-CN"/>
        </w:rPr>
        <w:t>招标人</w:t>
      </w:r>
      <w:r>
        <w:rPr>
          <w:rFonts w:hint="eastAsia"/>
        </w:rPr>
        <w:t>可以接受该备选投标方案。</w:t>
      </w:r>
    </w:p>
    <w:p w14:paraId="4674EB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投标人提供两个或两个以上投标报价，或者在投标文件中提供一个报价，但同时提供两个或两个以上勘察方案的， 视为提供备选方案。</w:t>
      </w:r>
    </w:p>
    <w:p w14:paraId="4BF4082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184" w:name="_Toc246996940"/>
      <w:bookmarkStart w:id="185" w:name="_Toc179632571"/>
      <w:bookmarkStart w:id="186" w:name="_Toc296602442"/>
      <w:bookmarkStart w:id="187" w:name="_Toc246996197"/>
      <w:bookmarkStart w:id="188" w:name="_Toc144974521"/>
      <w:bookmarkStart w:id="189" w:name="_Toc152045553"/>
      <w:bookmarkStart w:id="190" w:name="_Toc247085711"/>
      <w:bookmarkStart w:id="191" w:name="_Toc152042329"/>
      <w:r>
        <w:rPr>
          <w:rFonts w:hint="eastAsia"/>
        </w:rPr>
        <w:t>3.</w:t>
      </w:r>
      <w:r>
        <w:rPr>
          <w:rFonts w:hint="eastAsia"/>
          <w:lang w:val="en-US" w:eastAsia="zh-CN"/>
        </w:rPr>
        <w:t>7</w:t>
      </w:r>
      <w:r>
        <w:rPr>
          <w:rFonts w:hint="eastAsia"/>
        </w:rPr>
        <w:t>投标文件的编制</w:t>
      </w:r>
      <w:bookmarkEnd w:id="184"/>
      <w:bookmarkEnd w:id="185"/>
      <w:bookmarkEnd w:id="186"/>
      <w:bookmarkEnd w:id="187"/>
      <w:bookmarkEnd w:id="188"/>
      <w:bookmarkEnd w:id="189"/>
      <w:bookmarkEnd w:id="190"/>
      <w:bookmarkEnd w:id="191"/>
      <w:bookmarkStart w:id="192" w:name="_Toc246996942"/>
      <w:bookmarkStart w:id="193" w:name="_Toc144974523"/>
      <w:bookmarkStart w:id="194" w:name="_Toc152042331"/>
      <w:bookmarkStart w:id="195" w:name="_Toc247085713"/>
      <w:bookmarkStart w:id="196" w:name="_Toc179632573"/>
      <w:bookmarkStart w:id="197" w:name="_Toc246996199"/>
      <w:bookmarkStart w:id="198" w:name="_Toc152045555"/>
    </w:p>
    <w:p w14:paraId="38DB7C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99" w:name="_Toc296602443"/>
      <w:r>
        <w:rPr>
          <w:rFonts w:hint="eastAsia"/>
        </w:rPr>
        <w:t>3.7.1 投标文件应按第</w:t>
      </w:r>
      <w:r>
        <w:rPr>
          <w:rFonts w:hint="eastAsia"/>
          <w:lang w:val="en-US" w:eastAsia="zh-CN"/>
        </w:rPr>
        <w:t>六</w:t>
      </w:r>
      <w:r>
        <w:rPr>
          <w:rFonts w:hint="eastAsia"/>
        </w:rPr>
        <w:t>章“投标文件格式”进行编写，如有必要，可以增加附页，作为投标文件的组成部分。其中，投标函附录（如要求）在满足招标文件实质性要求的基础上，可以提出比招标文件要求更有利于</w:t>
      </w:r>
      <w:r>
        <w:rPr>
          <w:rFonts w:hint="eastAsia"/>
          <w:lang w:eastAsia="zh-CN"/>
        </w:rPr>
        <w:t>招标人</w:t>
      </w:r>
      <w:r>
        <w:rPr>
          <w:rFonts w:hint="eastAsia"/>
        </w:rPr>
        <w:t>的承诺。</w:t>
      </w:r>
    </w:p>
    <w:p w14:paraId="313D65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投标文件应当对招标文件有关招标范围、投标有效期、服务期限、质量标准、发包人要求等实质性内容作出响应。</w:t>
      </w:r>
    </w:p>
    <w:p w14:paraId="2FCD236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3.7.3 投标文件应用投标文件制作软件进行编制（不褪色的材料书写或打印），并由投标人的法定代表人或其授权的代理人签字或盖单位章。投标人的法定代表人授权代理人签字的，投标文件应附由法定代表人签署的授权委托书。投标文件应尽量避免涂改、行间插字或删除。如果出现上述情况，改动之处应加盖单位章或由投标人的法定代表人或其授权的代理人签字确认。签字或盖章的具体要求见投标人须知前附表。 </w:t>
      </w:r>
    </w:p>
    <w:p w14:paraId="1B16FF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3.7.4投标文件份数要求见投标人须知前附表。</w:t>
      </w:r>
    </w:p>
    <w:p w14:paraId="0C88F6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3.7.5投标文件装订要求见投标人须知前附表规定。 </w:t>
      </w:r>
    </w:p>
    <w:p w14:paraId="1674A17B">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4. 投标</w:t>
      </w:r>
      <w:bookmarkEnd w:id="192"/>
      <w:bookmarkEnd w:id="193"/>
      <w:bookmarkEnd w:id="194"/>
      <w:bookmarkEnd w:id="195"/>
      <w:bookmarkEnd w:id="196"/>
      <w:bookmarkEnd w:id="197"/>
      <w:bookmarkEnd w:id="198"/>
      <w:bookmarkEnd w:id="199"/>
    </w:p>
    <w:p w14:paraId="46B88441">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00" w:name="_Toc246996200"/>
      <w:bookmarkStart w:id="201" w:name="_Toc179632574"/>
      <w:bookmarkStart w:id="202" w:name="_Toc152045556"/>
      <w:bookmarkStart w:id="203" w:name="_Toc152042332"/>
      <w:bookmarkStart w:id="204" w:name="_Toc246996943"/>
      <w:bookmarkStart w:id="205" w:name="_Toc144974524"/>
      <w:bookmarkStart w:id="206" w:name="_Toc247085714"/>
      <w:bookmarkStart w:id="207" w:name="_Toc296602444"/>
      <w:r>
        <w:rPr>
          <w:rFonts w:hint="eastAsia"/>
        </w:rPr>
        <w:t>4.1 投标文件的密封和标记</w:t>
      </w:r>
      <w:bookmarkEnd w:id="200"/>
      <w:bookmarkEnd w:id="201"/>
      <w:bookmarkEnd w:id="202"/>
      <w:bookmarkEnd w:id="203"/>
      <w:bookmarkEnd w:id="204"/>
      <w:bookmarkEnd w:id="205"/>
      <w:bookmarkEnd w:id="206"/>
      <w:bookmarkEnd w:id="207"/>
    </w:p>
    <w:p w14:paraId="380B557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8" w:name="_Toc152045557"/>
      <w:bookmarkStart w:id="209" w:name="_Toc179632575"/>
      <w:bookmarkStart w:id="210" w:name="_Toc152042333"/>
      <w:bookmarkStart w:id="211" w:name="_Toc144974525"/>
      <w:bookmarkStart w:id="212" w:name="_Toc246996944"/>
      <w:bookmarkStart w:id="213" w:name="_Toc247085715"/>
      <w:bookmarkStart w:id="214" w:name="_Toc246996201"/>
      <w:r>
        <w:rPr>
          <w:rFonts w:hint="eastAsia"/>
        </w:rPr>
        <w:t>4.1.1 投标文件应密封包装，并在封套的封口处加盖投标人单位章或由投标人的法定代表人或其授权的代理人签字。</w:t>
      </w:r>
    </w:p>
    <w:p w14:paraId="43C1363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14:paraId="534DF083">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w:t>
      </w:r>
      <w:r>
        <w:rPr>
          <w:rFonts w:hint="eastAsia"/>
          <w:lang w:eastAsia="zh-CN"/>
        </w:rPr>
        <w:t>招标人</w:t>
      </w:r>
      <w:r>
        <w:rPr>
          <w:rFonts w:hint="eastAsia"/>
        </w:rPr>
        <w:t>将予以拒收。</w:t>
      </w:r>
    </w:p>
    <w:p w14:paraId="1DA36C2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296602445"/>
      <w:r>
        <w:rPr>
          <w:rFonts w:hint="eastAsia"/>
        </w:rPr>
        <w:t>4.2 投标文件的递交</w:t>
      </w:r>
      <w:bookmarkEnd w:id="208"/>
      <w:bookmarkEnd w:id="209"/>
      <w:bookmarkEnd w:id="210"/>
      <w:bookmarkEnd w:id="211"/>
      <w:bookmarkEnd w:id="212"/>
      <w:bookmarkEnd w:id="213"/>
      <w:bookmarkEnd w:id="214"/>
      <w:bookmarkEnd w:id="215"/>
    </w:p>
    <w:p w14:paraId="0D326D6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14:paraId="6A9DBC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14:paraId="151DB8E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14:paraId="074585F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w:t>
      </w:r>
      <w:r>
        <w:rPr>
          <w:rFonts w:hint="eastAsia"/>
          <w:lang w:eastAsia="zh-CN"/>
        </w:rPr>
        <w:t>招标人</w:t>
      </w:r>
      <w:r>
        <w:rPr>
          <w:rFonts w:hint="eastAsia"/>
        </w:rPr>
        <w:t>将予以拒收。</w:t>
      </w:r>
    </w:p>
    <w:p w14:paraId="40075F99">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16" w:name="_Toc246996202"/>
      <w:bookmarkStart w:id="217" w:name="_Toc152042334"/>
      <w:bookmarkStart w:id="218" w:name="_Toc152045558"/>
      <w:bookmarkStart w:id="219" w:name="_Toc296602446"/>
      <w:bookmarkStart w:id="220" w:name="_Toc179632576"/>
      <w:bookmarkStart w:id="221" w:name="_Toc144974526"/>
      <w:bookmarkStart w:id="222" w:name="_Toc246996945"/>
      <w:bookmarkStart w:id="223" w:name="_Toc247085716"/>
      <w:r>
        <w:rPr>
          <w:rFonts w:hint="eastAsia"/>
        </w:rPr>
        <w:t>4.3 投标文件的修改与撤回</w:t>
      </w:r>
      <w:bookmarkEnd w:id="216"/>
      <w:bookmarkEnd w:id="217"/>
      <w:bookmarkEnd w:id="218"/>
      <w:bookmarkEnd w:id="219"/>
      <w:bookmarkEnd w:id="220"/>
      <w:bookmarkEnd w:id="221"/>
      <w:bookmarkEnd w:id="222"/>
      <w:bookmarkEnd w:id="223"/>
    </w:p>
    <w:p w14:paraId="262ED0B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w:t>
      </w:r>
      <w:r>
        <w:rPr>
          <w:rFonts w:hint="eastAsia"/>
          <w:lang w:eastAsia="zh-CN"/>
        </w:rPr>
        <w:t>招标人</w:t>
      </w:r>
      <w:r>
        <w:rPr>
          <w:rFonts w:hint="eastAsia"/>
        </w:rPr>
        <w:t>。</w:t>
      </w:r>
    </w:p>
    <w:p w14:paraId="27A3D39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3.7.3（A）项的要求签字或盖章。</w:t>
      </w:r>
      <w:r>
        <w:rPr>
          <w:rFonts w:hint="eastAsia"/>
          <w:lang w:eastAsia="zh-CN"/>
        </w:rPr>
        <w:t>招标人</w:t>
      </w:r>
      <w:r>
        <w:rPr>
          <w:rFonts w:hint="eastAsia"/>
        </w:rPr>
        <w:t>收到书面通知后， 向投标人出具签收凭证。</w:t>
      </w:r>
    </w:p>
    <w:p w14:paraId="0FE3F1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w:t>
      </w:r>
      <w:r>
        <w:rPr>
          <w:rFonts w:hint="eastAsia"/>
          <w:lang w:eastAsia="zh-CN"/>
        </w:rPr>
        <w:t>招标人</w:t>
      </w:r>
      <w:r>
        <w:rPr>
          <w:rFonts w:hint="eastAsia"/>
        </w:rPr>
        <w:t>自收到投标人书面撤回通知之日起 5  日内退还已收取的投标保证金。</w:t>
      </w:r>
    </w:p>
    <w:p w14:paraId="28395FF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14:paraId="271114BC">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24" w:name="_Toc247085717"/>
      <w:bookmarkStart w:id="225" w:name="_Toc152042335"/>
      <w:bookmarkStart w:id="226" w:name="_Toc152045559"/>
      <w:bookmarkStart w:id="227" w:name="_Toc296602447"/>
      <w:bookmarkStart w:id="228" w:name="_Toc246996203"/>
      <w:bookmarkStart w:id="229" w:name="_Toc179632577"/>
      <w:bookmarkStart w:id="230" w:name="_Toc246996946"/>
      <w:bookmarkStart w:id="231" w:name="_Toc144974527"/>
      <w:r>
        <w:rPr>
          <w:rFonts w:hint="eastAsia"/>
        </w:rPr>
        <w:t>5. 开标</w:t>
      </w:r>
      <w:bookmarkEnd w:id="224"/>
      <w:bookmarkEnd w:id="225"/>
      <w:bookmarkEnd w:id="226"/>
      <w:bookmarkEnd w:id="227"/>
      <w:bookmarkEnd w:id="228"/>
      <w:bookmarkEnd w:id="229"/>
      <w:bookmarkEnd w:id="230"/>
      <w:bookmarkEnd w:id="231"/>
    </w:p>
    <w:p w14:paraId="5543A7A4">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32" w:name="_Toc247085718"/>
      <w:bookmarkStart w:id="233" w:name="_Toc152045560"/>
      <w:bookmarkStart w:id="234" w:name="_Toc246996204"/>
      <w:bookmarkStart w:id="235" w:name="_Toc179632578"/>
      <w:bookmarkStart w:id="236" w:name="_Toc152042336"/>
      <w:bookmarkStart w:id="237" w:name="_Toc246996947"/>
      <w:bookmarkStart w:id="238" w:name="_Toc144974528"/>
      <w:bookmarkStart w:id="239" w:name="_Toc296602448"/>
      <w:r>
        <w:rPr>
          <w:rFonts w:hint="eastAsia"/>
        </w:rPr>
        <w:t>5.1 开标时间和地点</w:t>
      </w:r>
      <w:bookmarkEnd w:id="232"/>
      <w:bookmarkEnd w:id="233"/>
      <w:bookmarkEnd w:id="234"/>
      <w:bookmarkEnd w:id="235"/>
      <w:bookmarkEnd w:id="236"/>
      <w:bookmarkEnd w:id="237"/>
      <w:bookmarkEnd w:id="238"/>
      <w:bookmarkEnd w:id="239"/>
    </w:p>
    <w:p w14:paraId="33DF695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eastAsia="zh-CN"/>
        </w:rPr>
        <w:t>招标人</w:t>
      </w:r>
      <w:r>
        <w:rPr>
          <w:rFonts w:hint="eastAsia"/>
        </w:rPr>
        <w:t>在本章第 4.2.1 项规定的投标截止时间（开标时间） 和投标人须知前附表规定的地点公开开标， 并邀请所有投标人的法定代表人或其委托代理人准时参加。</w:t>
      </w:r>
    </w:p>
    <w:p w14:paraId="09B569E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0" w:name="_Toc296602449"/>
      <w:bookmarkStart w:id="241" w:name="_Toc179632579"/>
      <w:bookmarkStart w:id="242" w:name="_Toc152045561"/>
      <w:bookmarkStart w:id="243" w:name="_Toc152042337"/>
      <w:bookmarkStart w:id="244" w:name="_Toc246996948"/>
      <w:bookmarkStart w:id="245" w:name="_Toc247085719"/>
      <w:bookmarkStart w:id="246" w:name="_Toc246996205"/>
      <w:bookmarkStart w:id="247" w:name="_Toc144974529"/>
      <w:r>
        <w:rPr>
          <w:rFonts w:hint="eastAsia"/>
        </w:rPr>
        <w:t>5.2 开标程序</w:t>
      </w:r>
      <w:bookmarkEnd w:id="240"/>
      <w:bookmarkEnd w:id="241"/>
      <w:bookmarkEnd w:id="242"/>
      <w:bookmarkEnd w:id="243"/>
      <w:bookmarkEnd w:id="244"/>
      <w:bookmarkEnd w:id="245"/>
      <w:bookmarkEnd w:id="246"/>
      <w:bookmarkEnd w:id="247"/>
    </w:p>
    <w:p w14:paraId="4D132D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主持人按下列程序进行开标：</w:t>
      </w:r>
    </w:p>
    <w:p w14:paraId="0E23A9F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（1）宣布开标纪律；</w:t>
      </w:r>
    </w:p>
    <w:p w14:paraId="312B33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（2）公布在投标截止时间前递交投标文件的投标人名称；</w:t>
      </w:r>
    </w:p>
    <w:p w14:paraId="4B64316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（3）宣布开标人、唱标人、记录人、监标人等有关人员姓名（如有）；</w:t>
      </w:r>
    </w:p>
    <w:p w14:paraId="490754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（4）检查投标文件的密封情况，按照投标人须知前附表规定的开标顺序当众开标， 公布招标项目名称、投标人名称、投标保证金的递交情况、投标报价、服务期限及其他内容，并记录在案；</w:t>
      </w:r>
    </w:p>
    <w:p w14:paraId="7B73A5A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（5）投标人代表、招标人代表、监标人、记录人等有关人员（如有）在开标记录上签字确认；</w:t>
      </w:r>
    </w:p>
    <w:p w14:paraId="444BC59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（6）开标结束。</w:t>
      </w:r>
    </w:p>
    <w:p w14:paraId="3176DD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14:paraId="42AFD34E">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296602450"/>
      <w:r>
        <w:rPr>
          <w:rFonts w:hint="eastAsia"/>
        </w:rPr>
        <w:t>5.3 开标异议</w:t>
      </w:r>
      <w:bookmarkEnd w:id="248"/>
    </w:p>
    <w:p w14:paraId="7F3469B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w:t>
      </w:r>
      <w:r>
        <w:rPr>
          <w:rFonts w:hint="eastAsia"/>
          <w:lang w:eastAsia="zh-CN"/>
        </w:rPr>
        <w:t>招标人</w:t>
      </w:r>
      <w:r>
        <w:rPr>
          <w:rFonts w:hint="eastAsia"/>
        </w:rPr>
        <w:t>当场作出答复，并制作记录。</w:t>
      </w:r>
    </w:p>
    <w:p w14:paraId="51991255">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49" w:name="_Toc246996206"/>
      <w:bookmarkStart w:id="250" w:name="_Toc179632580"/>
      <w:bookmarkStart w:id="251" w:name="_Toc247085720"/>
      <w:bookmarkStart w:id="252" w:name="_Toc246996949"/>
      <w:bookmarkStart w:id="253" w:name="_Toc144974530"/>
      <w:bookmarkStart w:id="254" w:name="_Toc296602451"/>
      <w:bookmarkStart w:id="255" w:name="_Toc152042338"/>
      <w:bookmarkStart w:id="256" w:name="_Toc152045562"/>
      <w:r>
        <w:rPr>
          <w:rFonts w:hint="eastAsia"/>
        </w:rPr>
        <w:t>6. 评标</w:t>
      </w:r>
      <w:bookmarkEnd w:id="249"/>
      <w:bookmarkEnd w:id="250"/>
      <w:bookmarkEnd w:id="251"/>
      <w:bookmarkEnd w:id="252"/>
      <w:bookmarkEnd w:id="253"/>
      <w:bookmarkEnd w:id="254"/>
      <w:bookmarkEnd w:id="255"/>
      <w:bookmarkEnd w:id="256"/>
    </w:p>
    <w:p w14:paraId="6D0856C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57" w:name="_Toc152045563"/>
      <w:bookmarkStart w:id="258" w:name="_Toc247085721"/>
      <w:bookmarkStart w:id="259" w:name="_Toc246996950"/>
      <w:bookmarkStart w:id="260" w:name="_Toc152042339"/>
      <w:bookmarkStart w:id="261" w:name="_Toc179632581"/>
      <w:bookmarkStart w:id="262" w:name="_Toc246996207"/>
      <w:bookmarkStart w:id="263" w:name="_Toc144974531"/>
      <w:bookmarkStart w:id="264" w:name="_Toc296602452"/>
      <w:r>
        <w:rPr>
          <w:rFonts w:hint="eastAsia"/>
        </w:rPr>
        <w:t>6.1 评标委员会</w:t>
      </w:r>
      <w:bookmarkEnd w:id="257"/>
      <w:bookmarkEnd w:id="258"/>
      <w:bookmarkEnd w:id="259"/>
      <w:bookmarkEnd w:id="260"/>
      <w:bookmarkEnd w:id="261"/>
      <w:bookmarkEnd w:id="262"/>
      <w:bookmarkEnd w:id="263"/>
      <w:bookmarkEnd w:id="264"/>
    </w:p>
    <w:p w14:paraId="50917F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w:t>
      </w:r>
      <w:r>
        <w:rPr>
          <w:rFonts w:hint="eastAsia"/>
          <w:lang w:eastAsia="zh-CN"/>
        </w:rPr>
        <w:t>招标人</w:t>
      </w:r>
      <w:r>
        <w:rPr>
          <w:rFonts w:hint="eastAsia"/>
        </w:rPr>
        <w:t>依法组建的评标委员会负责。评标委员会由</w:t>
      </w:r>
      <w:r>
        <w:rPr>
          <w:rFonts w:hint="eastAsia"/>
          <w:lang w:eastAsia="zh-CN"/>
        </w:rPr>
        <w:t>招标人</w:t>
      </w:r>
      <w:r>
        <w:rPr>
          <w:rFonts w:hint="eastAsia"/>
        </w:rPr>
        <w:t>或其委托的招标代理机构熟悉相关业务的代表，以及有关技术、经济等方面的专家组成。评标委员会成员人数以及技术、经济等方面专家的确定方式见投标人须知前附表。</w:t>
      </w:r>
    </w:p>
    <w:p w14:paraId="6B9533B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评标委员会成员有下列情形之一的，应当回避：</w:t>
      </w:r>
    </w:p>
    <w:p w14:paraId="4E07E56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14:paraId="7AEFE37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14:paraId="7B95CC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（3）与投标人有经济利益关系，可能影响对投标公正评审的；</w:t>
      </w:r>
    </w:p>
    <w:p w14:paraId="4C8CAC3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14:paraId="58A8920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14:paraId="5D179180">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65" w:name="_Toc152042340"/>
      <w:bookmarkStart w:id="266" w:name="_Toc144974532"/>
      <w:bookmarkStart w:id="267" w:name="_Toc246996951"/>
      <w:bookmarkStart w:id="268" w:name="_Toc179632582"/>
      <w:bookmarkStart w:id="269" w:name="_Toc296602453"/>
      <w:bookmarkStart w:id="270" w:name="_Toc152045564"/>
      <w:bookmarkStart w:id="271" w:name="_Toc246996208"/>
      <w:bookmarkStart w:id="272" w:name="_Toc247085722"/>
      <w:r>
        <w:rPr>
          <w:rFonts w:hint="eastAsia"/>
        </w:rPr>
        <w:t>6.2 评标原则</w:t>
      </w:r>
      <w:bookmarkEnd w:id="265"/>
      <w:bookmarkEnd w:id="266"/>
      <w:bookmarkEnd w:id="267"/>
      <w:bookmarkEnd w:id="268"/>
      <w:bookmarkEnd w:id="269"/>
      <w:bookmarkEnd w:id="270"/>
      <w:bookmarkEnd w:id="271"/>
      <w:bookmarkEnd w:id="272"/>
    </w:p>
    <w:p w14:paraId="7AADC7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14:paraId="563617FA">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273" w:name="_Toc144974533"/>
      <w:bookmarkStart w:id="274" w:name="_Toc179632583"/>
      <w:bookmarkStart w:id="275" w:name="_Toc246996952"/>
      <w:bookmarkStart w:id="276" w:name="_Toc246996209"/>
      <w:bookmarkStart w:id="277" w:name="_Toc296602454"/>
      <w:bookmarkStart w:id="278" w:name="_Toc152045565"/>
      <w:bookmarkStart w:id="279" w:name="_Toc152042341"/>
      <w:bookmarkStart w:id="280" w:name="_Toc247085723"/>
      <w:r>
        <w:rPr>
          <w:rFonts w:hint="eastAsia"/>
        </w:rPr>
        <w:t>6.3 评标</w:t>
      </w:r>
      <w:bookmarkEnd w:id="273"/>
      <w:bookmarkEnd w:id="274"/>
      <w:bookmarkEnd w:id="275"/>
      <w:bookmarkEnd w:id="276"/>
      <w:bookmarkEnd w:id="277"/>
      <w:bookmarkEnd w:id="278"/>
      <w:bookmarkEnd w:id="279"/>
      <w:bookmarkEnd w:id="280"/>
    </w:p>
    <w:p w14:paraId="5B3AD36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6.3.1评标委员会按照第三章“评标办法”规定的方法、评审因素、标准和程序对投标文件进行评审。第三章“评标办法”没有规定的方法、评审因素和标准，不作为评标依据。</w:t>
      </w:r>
    </w:p>
    <w:p w14:paraId="719BB03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6.3.2 评标完成后，评标委员会应当向</w:t>
      </w:r>
      <w:r>
        <w:rPr>
          <w:rFonts w:hint="eastAsia"/>
          <w:lang w:eastAsia="zh-CN"/>
        </w:rPr>
        <w:t>招标人</w:t>
      </w:r>
      <w:r>
        <w:rPr>
          <w:rFonts w:hint="eastAsia"/>
        </w:rPr>
        <w:t>提交书面评标报告和中标候选人名单。评标委员会推荐中标候选人的人数见投标人须知前附表。</w:t>
      </w:r>
    </w:p>
    <w:p w14:paraId="434295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14:paraId="02AF394A">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1" w:name="_Toc246996953"/>
      <w:bookmarkStart w:id="282" w:name="_Toc247085724"/>
      <w:bookmarkStart w:id="283" w:name="_Toc246996210"/>
      <w:bookmarkStart w:id="284" w:name="_Toc152042342"/>
      <w:bookmarkStart w:id="285" w:name="_Toc179632584"/>
      <w:bookmarkStart w:id="286" w:name="_Toc296602455"/>
      <w:bookmarkStart w:id="287" w:name="_Toc144974534"/>
      <w:bookmarkStart w:id="288" w:name="_Toc152045566"/>
      <w:r>
        <w:rPr>
          <w:rFonts w:hint="eastAsia"/>
        </w:rPr>
        <w:t>7. 合同授予</w:t>
      </w:r>
      <w:bookmarkEnd w:id="281"/>
      <w:bookmarkEnd w:id="282"/>
      <w:bookmarkEnd w:id="283"/>
      <w:bookmarkEnd w:id="284"/>
      <w:bookmarkEnd w:id="285"/>
      <w:bookmarkEnd w:id="286"/>
      <w:bookmarkEnd w:id="287"/>
      <w:bookmarkEnd w:id="288"/>
    </w:p>
    <w:p w14:paraId="102C116E">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89" w:name="_Toc246996211"/>
      <w:bookmarkStart w:id="290" w:name="_Toc296602456"/>
      <w:bookmarkStart w:id="291" w:name="_Toc246996954"/>
      <w:bookmarkStart w:id="292" w:name="_Toc152042343"/>
      <w:bookmarkStart w:id="293" w:name="_Toc179632585"/>
      <w:bookmarkStart w:id="294" w:name="_Toc144974535"/>
      <w:bookmarkStart w:id="295" w:name="_Toc247085725"/>
      <w:bookmarkStart w:id="296" w:name="_Toc152045567"/>
      <w:r>
        <w:rPr>
          <w:rFonts w:hint="eastAsia"/>
        </w:rPr>
        <w:t>7.1中标候选人公示</w:t>
      </w:r>
      <w:bookmarkEnd w:id="289"/>
      <w:bookmarkEnd w:id="290"/>
      <w:bookmarkEnd w:id="291"/>
      <w:bookmarkEnd w:id="292"/>
      <w:bookmarkEnd w:id="293"/>
      <w:bookmarkEnd w:id="294"/>
      <w:bookmarkEnd w:id="295"/>
      <w:bookmarkEnd w:id="296"/>
    </w:p>
    <w:p w14:paraId="5F4A81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eastAsia="zh-CN"/>
        </w:rPr>
        <w:t>招标人</w:t>
      </w:r>
      <w:r>
        <w:rPr>
          <w:rFonts w:hint="eastAsia"/>
        </w:rPr>
        <w:t>在收到评标报告之日起 3 日内，按照投标人须知前附表规定的公示媒介和期限公示中标候选人。</w:t>
      </w:r>
    </w:p>
    <w:p w14:paraId="409E9C47">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7.2 评标结果异议</w:t>
      </w:r>
    </w:p>
    <w:p w14:paraId="69EC750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投标人或者其他利害关系人对评标结果有异议的，应当在中标候选人公示期间提出。</w:t>
      </w:r>
      <w:r>
        <w:rPr>
          <w:rFonts w:hint="eastAsia"/>
          <w:lang w:eastAsia="zh-CN"/>
        </w:rPr>
        <w:t>招标人</w:t>
      </w:r>
      <w:r>
        <w:rPr>
          <w:rFonts w:hint="eastAsia"/>
        </w:rPr>
        <w:t>将在收到异议之日起 3 日内作出答复；作出答复前，将暂停招标投标活动。</w:t>
      </w:r>
    </w:p>
    <w:p w14:paraId="11FE2C6F">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7.3 中标候选人履约能力审查</w:t>
      </w:r>
    </w:p>
    <w:p w14:paraId="30956E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中标候选人的经营、财务状况发生较大变化或存在违法行为，</w:t>
      </w:r>
      <w:r>
        <w:rPr>
          <w:rFonts w:hint="eastAsia"/>
          <w:lang w:eastAsia="zh-CN"/>
        </w:rPr>
        <w:t>招标人</w:t>
      </w:r>
      <w:r>
        <w:rPr>
          <w:rFonts w:hint="eastAsia"/>
        </w:rPr>
        <w:t>认为可能影响其履约能力的，将在发出中标通知书前提请原评标委员会按照招标文件规定的标准和方法进行审查确认。</w:t>
      </w:r>
    </w:p>
    <w:p w14:paraId="3869E153">
      <w:pPr>
        <w:pStyle w:val="6"/>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7.4 定标</w:t>
      </w:r>
    </w:p>
    <w:p w14:paraId="1CDAEE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按照投标人须知前附表的规定， </w:t>
      </w:r>
      <w:r>
        <w:rPr>
          <w:rFonts w:hint="eastAsia"/>
          <w:lang w:eastAsia="zh-CN"/>
        </w:rPr>
        <w:t>招标人</w:t>
      </w:r>
      <w:r>
        <w:rPr>
          <w:rFonts w:hint="eastAsia"/>
        </w:rPr>
        <w:t>或</w:t>
      </w:r>
      <w:r>
        <w:rPr>
          <w:rFonts w:hint="eastAsia"/>
          <w:lang w:eastAsia="zh-CN"/>
        </w:rPr>
        <w:t>招标人</w:t>
      </w:r>
      <w:r>
        <w:rPr>
          <w:rFonts w:hint="eastAsia"/>
        </w:rPr>
        <w:t>授权的评标委员会依法确定中标人。</w:t>
      </w:r>
    </w:p>
    <w:p w14:paraId="16672250">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8"/>
      <w:bookmarkStart w:id="298" w:name="_Toc246996955"/>
      <w:bookmarkStart w:id="299" w:name="_Toc152042344"/>
      <w:bookmarkStart w:id="300" w:name="_Toc246996212"/>
      <w:bookmarkStart w:id="301" w:name="_Toc296602458"/>
      <w:bookmarkStart w:id="302" w:name="_Toc247085726"/>
      <w:bookmarkStart w:id="303" w:name="_Toc179632586"/>
      <w:bookmarkStart w:id="304" w:name="_Toc144974536"/>
      <w:r>
        <w:rPr>
          <w:rFonts w:hint="eastAsia"/>
        </w:rPr>
        <w:t>7.5 中标通知</w:t>
      </w:r>
      <w:bookmarkEnd w:id="297"/>
      <w:bookmarkEnd w:id="298"/>
      <w:bookmarkEnd w:id="299"/>
      <w:bookmarkEnd w:id="300"/>
      <w:bookmarkEnd w:id="301"/>
      <w:bookmarkEnd w:id="302"/>
      <w:bookmarkEnd w:id="303"/>
      <w:bookmarkEnd w:id="304"/>
    </w:p>
    <w:p w14:paraId="1D6B704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在本章第 3.3 款规定的投标有效期内，</w:t>
      </w:r>
      <w:r>
        <w:rPr>
          <w:rFonts w:hint="eastAsia"/>
          <w:lang w:eastAsia="zh-CN"/>
        </w:rPr>
        <w:t>招标人</w:t>
      </w:r>
      <w:r>
        <w:rPr>
          <w:rFonts w:hint="eastAsia"/>
        </w:rPr>
        <w:t>以书面形式向中标人发出中标通知书，同时将中标结果通知未中标的投标人。</w:t>
      </w:r>
    </w:p>
    <w:p w14:paraId="21B6051A">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96602459"/>
      <w:bookmarkStart w:id="306" w:name="_Toc179632587"/>
      <w:bookmarkStart w:id="307" w:name="_Toc152045569"/>
      <w:bookmarkStart w:id="308" w:name="_Toc247085727"/>
      <w:bookmarkStart w:id="309" w:name="_Toc246996213"/>
      <w:bookmarkStart w:id="310" w:name="_Toc246996956"/>
      <w:bookmarkStart w:id="311" w:name="_Toc152042345"/>
      <w:bookmarkStart w:id="312" w:name="_Toc144974537"/>
      <w:r>
        <w:rPr>
          <w:rFonts w:hint="eastAsia"/>
        </w:rPr>
        <w:t>7.7 履约担保</w:t>
      </w:r>
      <w:bookmarkEnd w:id="305"/>
      <w:bookmarkEnd w:id="306"/>
      <w:bookmarkEnd w:id="307"/>
      <w:bookmarkEnd w:id="308"/>
      <w:bookmarkEnd w:id="309"/>
      <w:bookmarkEnd w:id="310"/>
      <w:bookmarkEnd w:id="311"/>
      <w:bookmarkEnd w:id="312"/>
      <w:r>
        <w:rPr>
          <w:rFonts w:hint="eastAsia"/>
        </w:rPr>
        <w:t>（履约保证金）</w:t>
      </w:r>
    </w:p>
    <w:p w14:paraId="1E0E923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7.6.1  在签订合同前，中标人应按投标人须知前附表规定的形式、金额和招标文件第四章“合同条款及格式”规定的或者事先经过</w:t>
      </w:r>
      <w:r>
        <w:rPr>
          <w:rFonts w:hint="eastAsia"/>
          <w:lang w:eastAsia="zh-CN"/>
        </w:rPr>
        <w:t>招标人</w:t>
      </w:r>
      <w:r>
        <w:rPr>
          <w:rFonts w:hint="eastAsia"/>
        </w:rPr>
        <w:t>书面认可的履约保证金格式向</w:t>
      </w:r>
      <w:r>
        <w:rPr>
          <w:rFonts w:hint="eastAsia"/>
          <w:lang w:eastAsia="zh-CN"/>
        </w:rPr>
        <w:t>招标人</w:t>
      </w:r>
      <w:r>
        <w:rPr>
          <w:rFonts w:hint="eastAsia"/>
        </w:rPr>
        <w:t>提交履约</w:t>
      </w:r>
      <w:r>
        <w:rPr>
          <w:rFonts w:hint="eastAsia"/>
          <w:lang w:eastAsia="zh-CN"/>
        </w:rPr>
        <w:t>保证金</w:t>
      </w:r>
      <w:r>
        <w:rPr>
          <w:rFonts w:hint="eastAsia"/>
        </w:rPr>
        <w:t>。除投标人须知前附表另有规定外，履约保证金为中标合同金额的 10%。联合体中标的， 其履约保证金以联合体各方或者联合体中牵头人的名义提交。</w:t>
      </w:r>
    </w:p>
    <w:p w14:paraId="233770D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7.6.2  中标人不能按本章第 7.6.1 项要求提交履约保证金的，视为放弃中标， 其投标保证金不予退还， 给</w:t>
      </w:r>
      <w:r>
        <w:rPr>
          <w:rFonts w:hint="eastAsia"/>
          <w:lang w:eastAsia="zh-CN"/>
        </w:rPr>
        <w:t>招标人</w:t>
      </w:r>
      <w:r>
        <w:rPr>
          <w:rFonts w:hint="eastAsia"/>
        </w:rPr>
        <w:t>造成的损失超过投标保证金数额的， 中标人还应当对超过部分予以赔偿。</w:t>
      </w:r>
    </w:p>
    <w:p w14:paraId="03C5A5DB">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6996214"/>
      <w:bookmarkStart w:id="314" w:name="_Toc152042346"/>
      <w:bookmarkStart w:id="315" w:name="_Toc246996957"/>
      <w:bookmarkStart w:id="316" w:name="_Toc247085728"/>
      <w:bookmarkStart w:id="317" w:name="_Toc179632588"/>
      <w:bookmarkStart w:id="318" w:name="_Toc296602460"/>
      <w:bookmarkStart w:id="319" w:name="_Toc144974538"/>
      <w:bookmarkStart w:id="320" w:name="_Toc152045570"/>
      <w:r>
        <w:rPr>
          <w:rFonts w:hint="eastAsia"/>
        </w:rPr>
        <w:t>7.8 签订合同</w:t>
      </w:r>
      <w:bookmarkEnd w:id="313"/>
      <w:bookmarkEnd w:id="314"/>
      <w:bookmarkEnd w:id="315"/>
      <w:bookmarkEnd w:id="316"/>
      <w:bookmarkEnd w:id="317"/>
      <w:bookmarkEnd w:id="318"/>
      <w:bookmarkEnd w:id="319"/>
      <w:bookmarkEnd w:id="320"/>
    </w:p>
    <w:p w14:paraId="6434C4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7.7.1  </w:t>
      </w:r>
      <w:r>
        <w:rPr>
          <w:rFonts w:hint="eastAsia"/>
          <w:lang w:eastAsia="zh-CN"/>
        </w:rPr>
        <w:t>招标人</w:t>
      </w:r>
      <w:r>
        <w:rPr>
          <w:rFonts w:hint="eastAsia"/>
        </w:rPr>
        <w:t>和中标人应当在中标通知书发出之日起 30日内，根据招标文件和中标人的投标文件订立书面合同。中标人无正当理由拒签合同，在签订合同时向</w:t>
      </w:r>
      <w:r>
        <w:rPr>
          <w:rFonts w:hint="eastAsia"/>
          <w:lang w:eastAsia="zh-CN"/>
        </w:rPr>
        <w:t>招标人</w:t>
      </w:r>
      <w:r>
        <w:rPr>
          <w:rFonts w:hint="eastAsia"/>
        </w:rPr>
        <w:t>提出附加条件， 或者不按照招标文件要求提交履约保证金的，</w:t>
      </w:r>
      <w:r>
        <w:rPr>
          <w:rFonts w:hint="eastAsia"/>
          <w:lang w:eastAsia="zh-CN"/>
        </w:rPr>
        <w:t>招标人</w:t>
      </w:r>
      <w:r>
        <w:rPr>
          <w:rFonts w:hint="eastAsia"/>
        </w:rPr>
        <w:t>有权取消其中标资格，其投标保证金不予退还；给</w:t>
      </w:r>
      <w:r>
        <w:rPr>
          <w:rFonts w:hint="eastAsia"/>
          <w:lang w:eastAsia="zh-CN"/>
        </w:rPr>
        <w:t>招标人</w:t>
      </w:r>
      <w:r>
        <w:rPr>
          <w:rFonts w:hint="eastAsia"/>
        </w:rPr>
        <w:t>造成的损失超过投标保证金数额的， 中标人还应当对超过部分予以赔偿。</w:t>
      </w:r>
    </w:p>
    <w:p w14:paraId="2E8ECB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7.7.2  发出中标通知书后， </w:t>
      </w:r>
      <w:r>
        <w:rPr>
          <w:rFonts w:hint="eastAsia"/>
          <w:lang w:eastAsia="zh-CN"/>
        </w:rPr>
        <w:t>招标人</w:t>
      </w:r>
      <w:r>
        <w:rPr>
          <w:rFonts w:hint="eastAsia"/>
        </w:rPr>
        <w:t xml:space="preserve">无正当理由拒签合同， 或者在签订合同时向中标人提出附加条件的， </w:t>
      </w:r>
      <w:r>
        <w:rPr>
          <w:rFonts w:hint="eastAsia"/>
          <w:lang w:eastAsia="zh-CN"/>
        </w:rPr>
        <w:t>招标人</w:t>
      </w:r>
      <w:r>
        <w:rPr>
          <w:rFonts w:hint="eastAsia"/>
        </w:rPr>
        <w:t>向中标人退还投标保证金； 给中标人造成损失的，还应当赔偿损失。</w:t>
      </w:r>
    </w:p>
    <w:p w14:paraId="5AF66A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7.7.3 联合体中标的， 联合体各方应当共同与</w:t>
      </w:r>
      <w:r>
        <w:rPr>
          <w:rFonts w:hint="eastAsia"/>
          <w:lang w:eastAsia="zh-CN"/>
        </w:rPr>
        <w:t>招标人</w:t>
      </w:r>
      <w:r>
        <w:rPr>
          <w:rFonts w:hint="eastAsia"/>
        </w:rPr>
        <w:t>签订合同， 就中标项目向</w:t>
      </w:r>
      <w:r>
        <w:rPr>
          <w:rFonts w:hint="eastAsia"/>
          <w:lang w:eastAsia="zh-CN"/>
        </w:rPr>
        <w:t>招标人</w:t>
      </w:r>
      <w:r>
        <w:rPr>
          <w:rFonts w:hint="eastAsia"/>
        </w:rPr>
        <w:t>承担连带责任。</w:t>
      </w:r>
    </w:p>
    <w:p w14:paraId="7BC7AB77">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14:paraId="017E0056">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296602462"/>
      <w:bookmarkStart w:id="323" w:name="_Toc246996962"/>
      <w:bookmarkStart w:id="324" w:name="_Toc152042351"/>
      <w:bookmarkStart w:id="325" w:name="_Toc179632593"/>
      <w:bookmarkStart w:id="326" w:name="_Toc246996219"/>
      <w:bookmarkStart w:id="327" w:name="_Toc296590983"/>
      <w:bookmarkStart w:id="328" w:name="_Toc144974543"/>
      <w:bookmarkStart w:id="329" w:name="_Toc152045575"/>
      <w:bookmarkStart w:id="330" w:name="_Toc247085733"/>
      <w:r>
        <w:rPr>
          <w:rFonts w:hint="eastAsia"/>
        </w:rPr>
        <w:t>8.1 对</w:t>
      </w:r>
      <w:r>
        <w:rPr>
          <w:rFonts w:hint="eastAsia"/>
          <w:lang w:eastAsia="zh-CN"/>
        </w:rPr>
        <w:t>招标人</w:t>
      </w:r>
      <w:r>
        <w:rPr>
          <w:rFonts w:hint="eastAsia"/>
        </w:rPr>
        <w:t>的纪律要求</w:t>
      </w:r>
      <w:bookmarkEnd w:id="322"/>
      <w:bookmarkEnd w:id="323"/>
      <w:bookmarkEnd w:id="324"/>
      <w:bookmarkEnd w:id="325"/>
      <w:bookmarkEnd w:id="326"/>
      <w:bookmarkEnd w:id="327"/>
      <w:bookmarkEnd w:id="328"/>
      <w:bookmarkEnd w:id="329"/>
      <w:bookmarkEnd w:id="330"/>
    </w:p>
    <w:p w14:paraId="61709F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eastAsia="zh-CN"/>
        </w:rPr>
        <w:t>招标人</w:t>
      </w:r>
      <w:r>
        <w:rPr>
          <w:rFonts w:hint="eastAsia"/>
        </w:rPr>
        <w:t>不得</w:t>
      </w:r>
      <w:r>
        <w:rPr>
          <w:rFonts w:hint="eastAsia"/>
          <w:lang w:eastAsia="zh-CN"/>
        </w:rPr>
        <w:t>泄露</w:t>
      </w:r>
      <w:r>
        <w:rPr>
          <w:rFonts w:hint="eastAsia"/>
        </w:rPr>
        <w:t>招标投标活动中应当保密的情况和资料，不得与投标人串通损害国家利益、社会公共利益或者他人合法权益。</w:t>
      </w:r>
    </w:p>
    <w:p w14:paraId="79FC2471">
      <w:pPr>
        <w:pStyle w:val="6"/>
        <w:bidi w:val="0"/>
        <w:rPr>
          <w:rFonts w:hint="eastAsia"/>
        </w:rPr>
      </w:pPr>
      <w:bookmarkStart w:id="331" w:name="_Toc296602463"/>
      <w:bookmarkStart w:id="332" w:name="_Toc179632594"/>
      <w:bookmarkStart w:id="333" w:name="_Toc246996963"/>
      <w:bookmarkStart w:id="334" w:name="_Toc246996220"/>
      <w:bookmarkStart w:id="335" w:name="_Toc247085734"/>
      <w:bookmarkStart w:id="336" w:name="_Toc144974544"/>
      <w:bookmarkStart w:id="337" w:name="_Toc152045576"/>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14:paraId="2B01338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w:t>
      </w:r>
      <w:r>
        <w:rPr>
          <w:rFonts w:hint="eastAsia"/>
          <w:lang w:eastAsia="zh-CN"/>
        </w:rPr>
        <w:t>招标人</w:t>
      </w:r>
      <w:r>
        <w:rPr>
          <w:rFonts w:hint="eastAsia"/>
        </w:rPr>
        <w:t>串通投标，不得向</w:t>
      </w:r>
      <w:r>
        <w:rPr>
          <w:rFonts w:hint="eastAsia"/>
          <w:lang w:eastAsia="zh-CN"/>
        </w:rPr>
        <w:t>招标人</w:t>
      </w:r>
      <w:r>
        <w:rPr>
          <w:rFonts w:hint="eastAsia"/>
        </w:rPr>
        <w:t>或者评标委员会成员行贿谋取中标，不得以他人名义投标或者以其他方式弄虚作假骗取中标；投标人不得以任何方式干扰、影响评标工作。</w:t>
      </w:r>
    </w:p>
    <w:p w14:paraId="7C399C68">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246996221"/>
      <w:bookmarkStart w:id="340" w:name="_Toc296602464"/>
      <w:bookmarkStart w:id="341" w:name="_Toc152042353"/>
      <w:bookmarkStart w:id="342" w:name="_Toc246996964"/>
      <w:bookmarkStart w:id="343" w:name="_Toc144974545"/>
      <w:bookmarkStart w:id="344" w:name="_Toc179632595"/>
      <w:bookmarkStart w:id="345" w:name="_Toc247085735"/>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14:paraId="188936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6A1569E3">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179632596"/>
      <w:bookmarkStart w:id="348" w:name="_Toc246996222"/>
      <w:bookmarkStart w:id="349" w:name="_Toc296602465"/>
      <w:bookmarkStart w:id="350" w:name="_Toc152045578"/>
      <w:bookmarkStart w:id="351" w:name="_Toc246996965"/>
      <w:bookmarkStart w:id="352" w:name="_Toc247085736"/>
      <w:bookmarkStart w:id="353" w:name="_Toc152042354"/>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14:paraId="4C616A6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w:t>
      </w:r>
      <w:r>
        <w:rPr>
          <w:rFonts w:hint="eastAsia"/>
          <w:lang w:eastAsia="zh-CN"/>
        </w:rPr>
        <w:t>透露</w:t>
      </w:r>
      <w:r>
        <w:rPr>
          <w:rFonts w:hint="eastAsia"/>
        </w:rPr>
        <w:t>对投标文件的评审和比较、中标候选人的推荐情况以及评标有关的其他情况。在评标活动中，与评标活动有关的工作人员不得擅离职守，影响评标程序正常进行。</w:t>
      </w:r>
      <w:bookmarkEnd w:id="355"/>
    </w:p>
    <w:p w14:paraId="3137D92D">
      <w:pPr>
        <w:pStyle w:val="7"/>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7085737"/>
      <w:bookmarkStart w:id="357" w:name="_Toc152045579"/>
      <w:bookmarkStart w:id="358" w:name="_Toc246996223"/>
      <w:bookmarkStart w:id="359" w:name="_Toc179632597"/>
      <w:bookmarkStart w:id="360" w:name="_Toc246996966"/>
      <w:bookmarkStart w:id="361" w:name="_Toc152042356"/>
      <w:bookmarkStart w:id="362" w:name="_Toc296602466"/>
      <w:r>
        <w:rPr>
          <w:rFonts w:hint="eastAsia"/>
        </w:rPr>
        <w:t>8.5 投诉</w:t>
      </w:r>
      <w:bookmarkEnd w:id="354"/>
      <w:bookmarkEnd w:id="356"/>
      <w:bookmarkEnd w:id="357"/>
      <w:bookmarkEnd w:id="358"/>
      <w:bookmarkEnd w:id="359"/>
      <w:bookmarkEnd w:id="360"/>
      <w:bookmarkEnd w:id="361"/>
      <w:bookmarkEnd w:id="362"/>
    </w:p>
    <w:p w14:paraId="6FF107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14:paraId="20C21AF6">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3" w:name="_Toc296602468"/>
      <w:r>
        <w:rPr>
          <w:rFonts w:hint="eastAsia"/>
          <w:lang w:val="en-US" w:eastAsia="zh-CN"/>
        </w:rPr>
        <w:t>9</w:t>
      </w:r>
      <w:r>
        <w:rPr>
          <w:rFonts w:hint="eastAsia"/>
        </w:rPr>
        <w:t>．电子招标投标</w:t>
      </w:r>
      <w:bookmarkEnd w:id="363"/>
    </w:p>
    <w:p w14:paraId="24519FD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采用电子招标投标，对投标文件的编制、密封和标记、递交、开标、评标等的具体要求，见投标人须知前附表。</w:t>
      </w:r>
    </w:p>
    <w:p w14:paraId="62F6AB52">
      <w:pPr>
        <w:pStyle w:val="6"/>
        <w:pageBreakBefore w:val="0"/>
        <w:widowControl w:val="0"/>
        <w:kinsoku/>
        <w:wordWrap/>
        <w:overflowPunct/>
        <w:topLinePunct w:val="0"/>
        <w:autoSpaceDE/>
        <w:autoSpaceDN/>
        <w:bidi w:val="0"/>
        <w:adjustRightInd/>
        <w:snapToGrid/>
        <w:spacing w:line="240" w:lineRule="auto"/>
        <w:textAlignment w:val="auto"/>
        <w:rPr>
          <w:rFonts w:hint="eastAsia"/>
        </w:rPr>
      </w:pPr>
      <w:bookmarkStart w:id="364" w:name="_Toc247085738"/>
      <w:bookmarkStart w:id="365" w:name="_Toc179632598"/>
      <w:bookmarkStart w:id="366" w:name="_Toc296602467"/>
      <w:bookmarkStart w:id="367" w:name="_Toc246996224"/>
      <w:bookmarkStart w:id="368" w:name="_Toc246996967"/>
      <w:bookmarkStart w:id="369" w:name="_Toc152045580"/>
      <w:bookmarkStart w:id="370" w:name="_Toc152042357"/>
      <w:bookmarkStart w:id="371" w:name="_Toc144974547"/>
      <w:r>
        <w:rPr>
          <w:rFonts w:hint="eastAsia"/>
          <w:lang w:val="en-US" w:eastAsia="zh-CN"/>
        </w:rPr>
        <w:t>10</w:t>
      </w:r>
      <w:r>
        <w:rPr>
          <w:rFonts w:hint="eastAsia"/>
        </w:rPr>
        <w:t>. 需要补充的其他内容</w:t>
      </w:r>
      <w:bookmarkEnd w:id="364"/>
      <w:bookmarkEnd w:id="365"/>
      <w:bookmarkEnd w:id="366"/>
      <w:bookmarkEnd w:id="367"/>
      <w:bookmarkEnd w:id="368"/>
      <w:bookmarkEnd w:id="369"/>
      <w:bookmarkEnd w:id="370"/>
      <w:bookmarkEnd w:id="371"/>
    </w:p>
    <w:p w14:paraId="686092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14:paraId="0AC69EDD">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6AB20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0EDB0B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7521C6A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6EBD75F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8"/>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3AE2AB3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DDD3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F198D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C3C6D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3C64CD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06671E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6436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FD3B6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D0E2E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745D8C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2CA506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41C3F7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F1CE3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A2C1A25">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14:paraId="241D17A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0B24BE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DC3BFC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6379AC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22A0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5F2311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6B55AD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150393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A526F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71213F">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4032BCE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6E73F2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2C78F47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1308D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5F6C8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14:paraId="14D3DC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B66A5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05100E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B99E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BEA26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14:paraId="7C805AB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D4BB4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14:paraId="467F6A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5C9084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B92B28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2"/>
      <w:tr w14:paraId="614D09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5DFB1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1CDA42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0D8F3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D9DA2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3"/>
      <w:tr w14:paraId="7FE487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19B6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721206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AD301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2FDE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4"/>
      <w:tr w14:paraId="301C2E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2FFCD5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4499A9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3C509B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AE53B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kern w:val="0"/>
                <w:sz w:val="24"/>
                <w:szCs w:val="24"/>
                <w:highlight w:val="none"/>
                <w:lang w:val="en-US" w:eastAsia="zh-CN" w:bidi="ar-SA"/>
              </w:rPr>
            </w:pPr>
            <w:permStart w:id="55" w:edGrp="everyone"/>
            <w:r>
              <w:rPr>
                <w:rFonts w:hint="eastAsia" w:ascii="Times New Roman" w:hAnsi="Times New Roman" w:cs="Times New Roman"/>
                <w:kern w:val="0"/>
                <w:sz w:val="24"/>
                <w:szCs w:val="24"/>
                <w:highlight w:val="none"/>
                <w:lang w:val="en-US" w:eastAsia="zh-CN"/>
              </w:rPr>
              <w:t>符合第二章“投标人须知”第1.4.1项规定</w:t>
            </w:r>
            <w:permEnd w:id="55"/>
          </w:p>
        </w:tc>
      </w:tr>
      <w:tr w14:paraId="1F6D6A0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703A7F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539AE9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04B41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81382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56"/>
      <w:tr w14:paraId="36405A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850" w:type="dxa"/>
            <w:vMerge w:val="continue"/>
            <w:tcBorders>
              <w:right w:val="single" w:color="auto" w:sz="4" w:space="0"/>
            </w:tcBorders>
            <w:noWrap w:val="0"/>
            <w:vAlign w:val="center"/>
          </w:tcPr>
          <w:p w14:paraId="49DDEEC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14:paraId="4BE896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593C0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C2C834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57"/>
      <w:tr w14:paraId="4633520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16C9E8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3E4675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6D343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A31A0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14:paraId="78A13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A8ADBB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9"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5117FA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64FA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7654A3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9"/>
      <w:tr w14:paraId="5C171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702EAA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right w:val="single" w:color="auto" w:sz="4" w:space="0"/>
            </w:tcBorders>
            <w:noWrap w:val="0"/>
            <w:vAlign w:val="center"/>
          </w:tcPr>
          <w:p w14:paraId="48FF84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BA9F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73FA3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0"/>
      <w:tr w14:paraId="579377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47C07F8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850" w:type="dxa"/>
            <w:vMerge w:val="continue"/>
            <w:tcBorders>
              <w:right w:val="single" w:color="auto" w:sz="4" w:space="0"/>
            </w:tcBorders>
            <w:noWrap w:val="0"/>
            <w:vAlign w:val="center"/>
          </w:tcPr>
          <w:p w14:paraId="481272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F7BB7A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C168C1B">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1"/>
      <w:tr w14:paraId="73AEA1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43812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850" w:type="dxa"/>
            <w:vMerge w:val="continue"/>
            <w:tcBorders>
              <w:right w:val="single" w:color="auto" w:sz="4" w:space="0"/>
            </w:tcBorders>
            <w:noWrap w:val="0"/>
            <w:vAlign w:val="center"/>
          </w:tcPr>
          <w:p w14:paraId="7EF16D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07AD73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服务标准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C6DA4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2"/>
      <w:tr w14:paraId="45D306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AE1EE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3" w:edGrp="everyone" w:colFirst="3" w:colLast="3"/>
          </w:p>
        </w:tc>
        <w:tc>
          <w:tcPr>
            <w:tcW w:w="850" w:type="dxa"/>
            <w:vMerge w:val="continue"/>
            <w:tcBorders>
              <w:right w:val="single" w:color="auto" w:sz="4" w:space="0"/>
            </w:tcBorders>
            <w:noWrap w:val="0"/>
            <w:vAlign w:val="center"/>
          </w:tcPr>
          <w:p w14:paraId="2433376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A86F3F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A4FF2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3"/>
      <w:tr w14:paraId="0C622E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2F6B9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4" w:edGrp="everyone" w:colFirst="3" w:colLast="3"/>
          </w:p>
        </w:tc>
        <w:tc>
          <w:tcPr>
            <w:tcW w:w="850" w:type="dxa"/>
            <w:vMerge w:val="continue"/>
            <w:tcBorders>
              <w:right w:val="single" w:color="auto" w:sz="4" w:space="0"/>
            </w:tcBorders>
            <w:noWrap w:val="0"/>
            <w:vAlign w:val="center"/>
          </w:tcPr>
          <w:p w14:paraId="76C12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63D47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F076C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4"/>
      <w:tr w14:paraId="0EA151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A7941B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850" w:type="dxa"/>
            <w:vMerge w:val="continue"/>
            <w:tcBorders>
              <w:right w:val="single" w:color="auto" w:sz="4" w:space="0"/>
            </w:tcBorders>
            <w:noWrap w:val="0"/>
            <w:vAlign w:val="center"/>
          </w:tcPr>
          <w:p w14:paraId="2069A1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90F71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C90565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符合第二章“投标人须知”第1.12.1项规定和第四章“合同条款及格式”中的实质性要求和条件</w:t>
            </w:r>
          </w:p>
        </w:tc>
      </w:tr>
      <w:permEnd w:id="65"/>
      <w:tr w14:paraId="5BB2C73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0D53BD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850" w:type="dxa"/>
            <w:vMerge w:val="continue"/>
            <w:tcBorders>
              <w:bottom w:val="single" w:color="auto" w:sz="4" w:space="0"/>
              <w:right w:val="single" w:color="auto" w:sz="4" w:space="0"/>
            </w:tcBorders>
            <w:noWrap w:val="0"/>
            <w:vAlign w:val="center"/>
          </w:tcPr>
          <w:p w14:paraId="6613F6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22501A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服务方案</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6C519C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符合第五章“发包人要求”中的实质性要求和条件</w:t>
            </w:r>
          </w:p>
        </w:tc>
      </w:tr>
      <w:permEnd w:id="66"/>
      <w:tr w14:paraId="39366F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06F23C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52042366"/>
            <w:bookmarkStart w:id="373" w:name="_Toc246996975"/>
            <w:bookmarkStart w:id="374" w:name="_Toc296602477"/>
            <w:bookmarkStart w:id="375" w:name="_Toc152045589"/>
            <w:bookmarkStart w:id="376" w:name="_Toc179632607"/>
            <w:bookmarkStart w:id="377" w:name="_Toc144974556"/>
            <w:bookmarkStart w:id="378" w:name="_Toc246996232"/>
            <w:bookmarkStart w:id="379" w:name="_Toc24708574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4C966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1F0FC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65DFE6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79C2DD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7"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F63CF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707568D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F41826">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i/>
                <w:iCs/>
                <w:color w:val="FF0000"/>
                <w:kern w:val="0"/>
                <w:sz w:val="24"/>
                <w:szCs w:val="24"/>
                <w:highlight w:val="yellow"/>
                <w:u w:val="single"/>
                <w:lang w:val="en-US" w:eastAsia="zh-CN"/>
              </w:rPr>
            </w:pPr>
            <w:r>
              <w:rPr>
                <w:rFonts w:hint="eastAsia" w:ascii="Times New Roman" w:hAnsi="Times New Roman" w:cs="Times New Roman"/>
                <w:color w:val="auto"/>
                <w:kern w:val="0"/>
                <w:sz w:val="24"/>
                <w:szCs w:val="24"/>
                <w:highlight w:val="none"/>
                <w:lang w:val="en-US" w:eastAsia="zh-CN"/>
              </w:rPr>
              <w:t>服务方案部分：</w:t>
            </w:r>
            <w:r>
              <w:rPr>
                <w:rFonts w:hint="eastAsia" w:ascii="Times New Roman" w:hAnsi="Times New Roman" w:cs="Times New Roman"/>
                <w:i w:val="0"/>
                <w:iCs w:val="0"/>
                <w:color w:val="auto"/>
                <w:kern w:val="0"/>
                <w:sz w:val="24"/>
                <w:szCs w:val="24"/>
                <w:highlight w:val="none"/>
                <w:u w:val="single"/>
                <w:lang w:val="en-US" w:eastAsia="zh-CN"/>
              </w:rPr>
              <w:t>50</w:t>
            </w:r>
            <w:r>
              <w:rPr>
                <w:rFonts w:hint="default" w:ascii="Times New Roman" w:hAnsi="Times New Roman" w:cs="Times New Roman" w:eastAsiaTheme="minorEastAsia"/>
                <w:color w:val="auto"/>
                <w:kern w:val="0"/>
                <w:sz w:val="24"/>
                <w:szCs w:val="24"/>
                <w:highlight w:val="none"/>
              </w:rPr>
              <w:t>分</w:t>
            </w:r>
          </w:p>
          <w:p w14:paraId="5317FFE1">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资信业绩部分</w:t>
            </w:r>
            <w:r>
              <w:rPr>
                <w:rFonts w:hint="default" w:ascii="Times New Roman" w:hAnsi="Times New Roman" w:cs="Times New Roman" w:eastAsiaTheme="minorEastAsia"/>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color w:val="auto"/>
                <w:kern w:val="0"/>
                <w:sz w:val="24"/>
                <w:szCs w:val="24"/>
                <w:highlight w:val="none"/>
              </w:rPr>
              <w:t>分</w:t>
            </w:r>
          </w:p>
          <w:p w14:paraId="2120640A">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color w:val="auto"/>
                <w:kern w:val="0"/>
                <w:sz w:val="24"/>
                <w:szCs w:val="24"/>
                <w:highlight w:val="none"/>
                <w:lang w:val="en-US" w:eastAsia="zh-CN"/>
              </w:rPr>
              <w:t>投标报价部分：</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color w:val="auto"/>
                <w:kern w:val="0"/>
                <w:sz w:val="24"/>
                <w:szCs w:val="24"/>
                <w:highlight w:val="none"/>
              </w:rPr>
              <w:t>分</w:t>
            </w:r>
          </w:p>
        </w:tc>
      </w:tr>
      <w:permEnd w:id="67"/>
      <w:tr w14:paraId="121B7F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022F93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68"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83C24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DC411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详见评标办法投标报价评分标准。</w:t>
            </w:r>
          </w:p>
        </w:tc>
      </w:tr>
      <w:permEnd w:id="68"/>
      <w:tr w14:paraId="3533EAE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623466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5673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3A84B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69"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69"/>
          </w:p>
        </w:tc>
      </w:tr>
      <w:tr w14:paraId="389CDE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441D7D2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621F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54AF7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bl>
    <w:p w14:paraId="64592EFD">
      <w:pPr>
        <w:pStyle w:val="2"/>
        <w:ind w:left="0" w:leftChars="0" w:firstLine="0" w:firstLineChars="0"/>
        <w:rPr>
          <w:rFonts w:hint="default"/>
          <w:lang w:val="en-US" w:eastAsia="zh-CN"/>
        </w:rPr>
      </w:pPr>
    </w:p>
    <w:tbl>
      <w:tblPr>
        <w:tblStyle w:val="18"/>
        <w:tblW w:w="8677"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79A66D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2E516F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F8C2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4BDBE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05186E4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5F03BF4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0" w:edGrp="everyone" w:colFirst="1" w:colLast="1"/>
            <w:permStart w:id="71" w:edGrp="everyone" w:colFirst="2" w:colLast="2"/>
            <w:permStart w:id="72" w:edGrp="everyone" w:colFirst="3" w:colLast="3"/>
            <w:r>
              <w:rPr>
                <w:rFonts w:hint="eastAsia" w:ascii="Times New Roman" w:hAnsi="Times New Roman" w:cs="Times New Roman"/>
                <w:kern w:val="0"/>
                <w:sz w:val="24"/>
                <w:szCs w:val="24"/>
                <w:highlight w:val="none"/>
                <w:lang w:val="en-US" w:eastAsia="zh-CN"/>
              </w:rPr>
              <w:t>2.2.4</w:t>
            </w:r>
          </w:p>
          <w:p w14:paraId="61547C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4281CE74">
            <w:pPr>
              <w:keepNext w:val="0"/>
              <w:keepLines w:val="0"/>
              <w:widowControl/>
              <w:suppressLineNumbers w:val="0"/>
              <w:jc w:val="left"/>
              <w:rPr>
                <w:rFonts w:hint="default" w:ascii="Times New Roman" w:hAnsi="Times New Roman" w:cs="Times New Roman"/>
                <w:kern w:val="0"/>
                <w:sz w:val="24"/>
                <w:szCs w:val="24"/>
                <w:highlight w:val="none"/>
                <w:lang w:val="en-US" w:eastAsia="zh-CN"/>
              </w:rPr>
            </w:pPr>
            <w:r>
              <w:rPr>
                <w:rFonts w:hint="eastAsia" w:ascii="宋体" w:hAnsi="宋体" w:eastAsia="宋体" w:cs="宋体"/>
                <w:color w:val="000000"/>
                <w:kern w:val="0"/>
                <w:sz w:val="21"/>
                <w:szCs w:val="21"/>
                <w:lang w:val="en-US" w:eastAsia="zh-CN" w:bidi="ar"/>
              </w:rPr>
              <w:t xml:space="preserve">服务方案 （满分 </w:t>
            </w:r>
            <w:r>
              <w:rPr>
                <w:rFonts w:hint="eastAsia" w:ascii="Times New Roman" w:hAnsi="Times New Roman" w:eastAsia="宋体" w:cs="Times New Roman"/>
                <w:color w:val="000000"/>
                <w:kern w:val="0"/>
                <w:sz w:val="21"/>
                <w:szCs w:val="21"/>
                <w:lang w:val="en-US" w:eastAsia="zh-CN" w:bidi="ar"/>
              </w:rPr>
              <w:t>50</w:t>
            </w:r>
            <w:r>
              <w:rPr>
                <w:rFonts w:hint="eastAsia" w:ascii="宋体" w:hAnsi="宋体" w:eastAsia="宋体" w:cs="宋体"/>
                <w:color w:val="000000"/>
                <w:kern w:val="0"/>
                <w:sz w:val="21"/>
                <w:szCs w:val="21"/>
                <w:lang w:val="en-US" w:eastAsia="zh-CN" w:bidi="ar"/>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7AE736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技术方案</w:t>
            </w:r>
          </w:p>
          <w:p w14:paraId="5AD7D8B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D259F9">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根据投标人对本项目编制的技术方案进行综合评分，细节如下：</w:t>
            </w:r>
          </w:p>
          <w:p w14:paraId="04C9A7DF">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1.质量保障（</w:t>
            </w:r>
            <w:r>
              <w:rPr>
                <w:rFonts w:hint="eastAsia"/>
                <w:szCs w:val="21"/>
                <w:lang w:val="en-US" w:eastAsia="zh-Hans" w:bidi="zh-CN"/>
              </w:rPr>
              <w:t>5</w:t>
            </w:r>
            <w:r>
              <w:rPr>
                <w:rFonts w:hint="eastAsia"/>
                <w:szCs w:val="21"/>
                <w:lang w:val="zh-CN" w:eastAsia="zh-Hans" w:bidi="zh-CN"/>
              </w:rPr>
              <w:t>分）</w:t>
            </w:r>
          </w:p>
          <w:p w14:paraId="393FF51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（1）质量保障方案全面，科学合理，可行性强，得</w:t>
            </w:r>
            <w:r>
              <w:rPr>
                <w:rFonts w:hint="eastAsia"/>
                <w:szCs w:val="21"/>
                <w:lang w:val="en-US" w:eastAsia="zh-Hans" w:bidi="zh-CN"/>
              </w:rPr>
              <w:t>4-5</w:t>
            </w:r>
            <w:r>
              <w:rPr>
                <w:rFonts w:hint="eastAsia"/>
                <w:szCs w:val="21"/>
                <w:lang w:val="zh-CN" w:eastAsia="zh-Hans" w:bidi="zh-CN"/>
              </w:rPr>
              <w:t>分；</w:t>
            </w:r>
          </w:p>
          <w:p w14:paraId="26E2910B">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（2）服务质量保证方案完整，较为科学合理，可行性较强，得</w:t>
            </w:r>
            <w:r>
              <w:rPr>
                <w:rFonts w:hint="eastAsia"/>
                <w:szCs w:val="21"/>
                <w:lang w:val="en-US" w:eastAsia="zh-Hans" w:bidi="zh-CN"/>
              </w:rPr>
              <w:t>3-4</w:t>
            </w:r>
            <w:r>
              <w:rPr>
                <w:rFonts w:hint="eastAsia"/>
                <w:szCs w:val="21"/>
                <w:lang w:val="zh-CN" w:eastAsia="zh-Hans" w:bidi="zh-CN"/>
              </w:rPr>
              <w:t>分；</w:t>
            </w:r>
          </w:p>
          <w:p w14:paraId="0099325F">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（3）服务质量保证方案基本完整，基本合理，具有一定可行性，得</w:t>
            </w:r>
            <w:r>
              <w:rPr>
                <w:rFonts w:hint="eastAsia"/>
                <w:szCs w:val="21"/>
                <w:lang w:val="en-US" w:eastAsia="zh-Hans" w:bidi="zh-CN"/>
              </w:rPr>
              <w:t>2-3</w:t>
            </w:r>
            <w:r>
              <w:rPr>
                <w:rFonts w:hint="eastAsia"/>
                <w:szCs w:val="21"/>
                <w:lang w:val="zh-CN" w:eastAsia="zh-Hans" w:bidi="zh-CN"/>
              </w:rPr>
              <w:t>分；</w:t>
            </w:r>
          </w:p>
          <w:p w14:paraId="6936DA93">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（4）服务质量保证方案不够完整，不够合理，有待完善，得</w:t>
            </w:r>
            <w:r>
              <w:rPr>
                <w:rFonts w:hint="eastAsia"/>
                <w:szCs w:val="21"/>
                <w:lang w:val="en-US" w:eastAsia="zh-Hans" w:bidi="zh-CN"/>
              </w:rPr>
              <w:t>1-2</w:t>
            </w:r>
            <w:r>
              <w:rPr>
                <w:rFonts w:hint="eastAsia"/>
                <w:szCs w:val="21"/>
                <w:lang w:val="zh-CN" w:eastAsia="zh-Hans" w:bidi="zh-CN"/>
              </w:rPr>
              <w:t>分；</w:t>
            </w:r>
          </w:p>
          <w:p w14:paraId="18D430CE">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（5）差或未提供的，得</w:t>
            </w:r>
            <w:r>
              <w:rPr>
                <w:rFonts w:hint="eastAsia"/>
                <w:szCs w:val="21"/>
                <w:lang w:val="en-US" w:eastAsia="zh-Hans" w:bidi="zh-CN"/>
              </w:rPr>
              <w:t>0-1</w:t>
            </w:r>
            <w:r>
              <w:rPr>
                <w:rFonts w:hint="eastAsia"/>
                <w:szCs w:val="21"/>
                <w:lang w:val="zh-CN" w:eastAsia="zh-Hans" w:bidi="zh-CN"/>
              </w:rPr>
              <w:t>分。</w:t>
            </w:r>
          </w:p>
          <w:p w14:paraId="2BE1935E">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2.安全保障（</w:t>
            </w:r>
            <w:r>
              <w:rPr>
                <w:rFonts w:hint="eastAsia"/>
                <w:szCs w:val="21"/>
                <w:lang w:val="en-US" w:eastAsia="zh-Hans" w:bidi="zh-CN"/>
              </w:rPr>
              <w:t>2</w:t>
            </w:r>
            <w:r>
              <w:rPr>
                <w:rFonts w:hint="eastAsia"/>
                <w:szCs w:val="21"/>
                <w:lang w:val="zh-CN" w:eastAsia="zh-Hans" w:bidi="zh-CN"/>
              </w:rPr>
              <w:t>分）</w:t>
            </w:r>
          </w:p>
          <w:p w14:paraId="6EF042E8">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（1）安全保障方案全面，科学合理，得</w:t>
            </w:r>
            <w:r>
              <w:rPr>
                <w:rFonts w:hint="eastAsia"/>
                <w:szCs w:val="21"/>
                <w:lang w:val="en-US" w:eastAsia="zh-Hans" w:bidi="zh-CN"/>
              </w:rPr>
              <w:t>1.5-2</w:t>
            </w:r>
            <w:r>
              <w:rPr>
                <w:rFonts w:hint="eastAsia"/>
                <w:szCs w:val="21"/>
                <w:lang w:val="zh-CN" w:eastAsia="zh-Hans" w:bidi="zh-CN"/>
              </w:rPr>
              <w:t>分；</w:t>
            </w:r>
          </w:p>
          <w:p w14:paraId="3BA5AE7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（2）安全保障方案完整，较为科学合理，得</w:t>
            </w:r>
            <w:r>
              <w:rPr>
                <w:rFonts w:hint="eastAsia"/>
                <w:szCs w:val="21"/>
                <w:lang w:val="en-US" w:eastAsia="zh-Hans" w:bidi="zh-CN"/>
              </w:rPr>
              <w:t>1-1.5</w:t>
            </w:r>
            <w:r>
              <w:rPr>
                <w:rFonts w:hint="eastAsia"/>
                <w:szCs w:val="21"/>
                <w:lang w:val="zh-CN" w:eastAsia="zh-Hans" w:bidi="zh-CN"/>
              </w:rPr>
              <w:t>分；</w:t>
            </w:r>
          </w:p>
          <w:p w14:paraId="3CC37E85">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（3）安全保障方案基本完整，基本合理，得</w:t>
            </w:r>
            <w:r>
              <w:rPr>
                <w:rFonts w:hint="eastAsia"/>
                <w:szCs w:val="21"/>
                <w:lang w:val="en-US" w:eastAsia="zh-Hans" w:bidi="zh-CN"/>
              </w:rPr>
              <w:t>0.5-1</w:t>
            </w:r>
            <w:r>
              <w:rPr>
                <w:rFonts w:hint="eastAsia"/>
                <w:szCs w:val="21"/>
                <w:lang w:val="zh-CN" w:eastAsia="zh-Hans" w:bidi="zh-CN"/>
              </w:rPr>
              <w:t>分；</w:t>
            </w:r>
          </w:p>
          <w:p w14:paraId="2CB4EA5C">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（4）安全保障方案不够完整，不够合理，得</w:t>
            </w:r>
            <w:r>
              <w:rPr>
                <w:rFonts w:hint="eastAsia"/>
                <w:szCs w:val="21"/>
                <w:lang w:val="en-US" w:eastAsia="zh-Hans" w:bidi="zh-CN"/>
              </w:rPr>
              <w:t>0-0.5</w:t>
            </w:r>
            <w:r>
              <w:rPr>
                <w:rFonts w:hint="eastAsia"/>
                <w:szCs w:val="21"/>
                <w:lang w:val="zh-CN" w:eastAsia="zh-Hans" w:bidi="zh-CN"/>
              </w:rPr>
              <w:t>分；</w:t>
            </w:r>
          </w:p>
          <w:p w14:paraId="4BB9A3D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（5）差或未提供的不得分。</w:t>
            </w:r>
          </w:p>
          <w:p w14:paraId="00B81F9D">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3.人员组织（</w:t>
            </w:r>
            <w:r>
              <w:rPr>
                <w:rFonts w:hint="eastAsia"/>
                <w:szCs w:val="21"/>
                <w:lang w:val="en-US" w:eastAsia="zh-Hans" w:bidi="zh-CN"/>
              </w:rPr>
              <w:t>2</w:t>
            </w:r>
            <w:r>
              <w:rPr>
                <w:rFonts w:hint="eastAsia"/>
                <w:szCs w:val="21"/>
                <w:lang w:val="zh-CN" w:eastAsia="zh-Hans" w:bidi="zh-CN"/>
              </w:rPr>
              <w:t>分）</w:t>
            </w:r>
          </w:p>
          <w:p w14:paraId="7FF3EBA8">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（1）人员组织方案科学合理，利于项目顺利实施的，得</w:t>
            </w:r>
            <w:r>
              <w:rPr>
                <w:rFonts w:hint="eastAsia"/>
                <w:szCs w:val="21"/>
                <w:lang w:val="en-US" w:eastAsia="zh-Hans" w:bidi="zh-CN"/>
              </w:rPr>
              <w:t>1.5-2</w:t>
            </w:r>
            <w:r>
              <w:rPr>
                <w:rFonts w:hint="eastAsia"/>
                <w:szCs w:val="21"/>
                <w:lang w:val="zh-CN" w:eastAsia="zh-Hans" w:bidi="zh-CN"/>
              </w:rPr>
              <w:t>分；</w:t>
            </w:r>
          </w:p>
          <w:p w14:paraId="2B5696CD">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（2）人员组织方案合理，较利于项目实施的，得</w:t>
            </w:r>
            <w:r>
              <w:rPr>
                <w:rFonts w:hint="eastAsia"/>
                <w:szCs w:val="21"/>
                <w:lang w:val="en-US" w:eastAsia="zh-Hans" w:bidi="zh-CN"/>
              </w:rPr>
              <w:t>1-1.5</w:t>
            </w:r>
            <w:r>
              <w:rPr>
                <w:rFonts w:hint="eastAsia"/>
                <w:szCs w:val="21"/>
                <w:lang w:val="zh-CN" w:eastAsia="zh-Hans" w:bidi="zh-CN"/>
              </w:rPr>
              <w:t>分；</w:t>
            </w:r>
          </w:p>
          <w:p w14:paraId="1AAA1AD2">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（3）人员组织方案基本合理，能够使项目实施的，得</w:t>
            </w:r>
            <w:r>
              <w:rPr>
                <w:rFonts w:hint="eastAsia"/>
                <w:szCs w:val="21"/>
                <w:lang w:val="en-US" w:eastAsia="zh-Hans" w:bidi="zh-CN"/>
              </w:rPr>
              <w:t>0.5-1</w:t>
            </w:r>
            <w:r>
              <w:rPr>
                <w:rFonts w:hint="eastAsia"/>
                <w:szCs w:val="21"/>
                <w:lang w:val="zh-CN" w:eastAsia="zh-Hans" w:bidi="zh-CN"/>
              </w:rPr>
              <w:t>分；</w:t>
            </w:r>
          </w:p>
          <w:p w14:paraId="48C6D454">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（4）人员组织方案不够合理，有待完善，得</w:t>
            </w:r>
            <w:r>
              <w:rPr>
                <w:rFonts w:hint="eastAsia"/>
                <w:szCs w:val="21"/>
                <w:lang w:val="en-US" w:eastAsia="zh-Hans" w:bidi="zh-CN"/>
              </w:rPr>
              <w:t>0-0.5</w:t>
            </w:r>
            <w:r>
              <w:rPr>
                <w:rFonts w:hint="eastAsia"/>
                <w:szCs w:val="21"/>
                <w:lang w:val="zh-CN" w:eastAsia="zh-Hans" w:bidi="zh-CN"/>
              </w:rPr>
              <w:t>分；</w:t>
            </w:r>
          </w:p>
          <w:p w14:paraId="6C978D6B">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（5）差或未提供的不得分。</w:t>
            </w:r>
          </w:p>
          <w:p w14:paraId="6A7B46A9">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4.计划安排（</w:t>
            </w:r>
            <w:r>
              <w:rPr>
                <w:rFonts w:hint="eastAsia"/>
                <w:szCs w:val="21"/>
                <w:lang w:val="en-US" w:eastAsia="zh-Hans" w:bidi="zh-CN"/>
              </w:rPr>
              <w:t>2</w:t>
            </w:r>
            <w:r>
              <w:rPr>
                <w:rFonts w:hint="eastAsia"/>
                <w:szCs w:val="21"/>
                <w:lang w:val="zh-CN" w:eastAsia="zh-Hans" w:bidi="zh-CN"/>
              </w:rPr>
              <w:t>分）</w:t>
            </w:r>
          </w:p>
          <w:p w14:paraId="380DFFD6">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（1）实施计划安排科学合理，内容详细、明确，计划可行，得</w:t>
            </w:r>
            <w:r>
              <w:rPr>
                <w:rFonts w:hint="eastAsia"/>
                <w:szCs w:val="21"/>
                <w:lang w:val="en-US" w:eastAsia="zh-Hans" w:bidi="zh-CN"/>
              </w:rPr>
              <w:t>1.5-2</w:t>
            </w:r>
            <w:r>
              <w:rPr>
                <w:rFonts w:hint="eastAsia"/>
                <w:szCs w:val="21"/>
                <w:lang w:val="zh-CN" w:eastAsia="zh-Hans" w:bidi="zh-CN"/>
              </w:rPr>
              <w:t>分；</w:t>
            </w:r>
          </w:p>
          <w:p w14:paraId="79B12812">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（2）实施计划安排合理，内容较详细，可行性较强，得</w:t>
            </w:r>
            <w:r>
              <w:rPr>
                <w:rFonts w:hint="eastAsia"/>
                <w:szCs w:val="21"/>
                <w:lang w:val="en-US" w:eastAsia="zh-Hans" w:bidi="zh-CN"/>
              </w:rPr>
              <w:t>1-1.5</w:t>
            </w:r>
            <w:r>
              <w:rPr>
                <w:rFonts w:hint="eastAsia"/>
                <w:szCs w:val="21"/>
                <w:lang w:val="zh-CN" w:eastAsia="zh-Hans" w:bidi="zh-CN"/>
              </w:rPr>
              <w:t>分；</w:t>
            </w:r>
          </w:p>
          <w:p w14:paraId="6E7E9B70">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（3）实施计划安排基本合理，内容基本详细，具有一定可行性，得</w:t>
            </w:r>
            <w:r>
              <w:rPr>
                <w:rFonts w:hint="eastAsia"/>
                <w:szCs w:val="21"/>
                <w:lang w:val="en-US" w:eastAsia="zh-Hans" w:bidi="zh-CN"/>
              </w:rPr>
              <w:t>0.5-1</w:t>
            </w:r>
            <w:r>
              <w:rPr>
                <w:rFonts w:hint="eastAsia"/>
                <w:szCs w:val="21"/>
                <w:lang w:val="zh-CN" w:eastAsia="zh-Hans" w:bidi="zh-CN"/>
              </w:rPr>
              <w:t>分；</w:t>
            </w:r>
          </w:p>
          <w:p w14:paraId="0D65622F">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（4）实施计划安排不够合理，内容有待完善，得</w:t>
            </w:r>
            <w:r>
              <w:rPr>
                <w:rFonts w:hint="eastAsia"/>
                <w:szCs w:val="21"/>
                <w:lang w:val="en-US" w:eastAsia="zh-Hans" w:bidi="zh-CN"/>
              </w:rPr>
              <w:t>0-0.5</w:t>
            </w:r>
            <w:r>
              <w:rPr>
                <w:rFonts w:hint="eastAsia"/>
                <w:szCs w:val="21"/>
                <w:lang w:val="zh-CN" w:eastAsia="zh-Hans" w:bidi="zh-CN"/>
              </w:rPr>
              <w:t>分；</w:t>
            </w:r>
          </w:p>
          <w:p w14:paraId="58CDF564">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（5）差或未提供的不得分。</w:t>
            </w:r>
          </w:p>
          <w:p w14:paraId="6636C5C2">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5.日常管理制度（</w:t>
            </w:r>
            <w:r>
              <w:rPr>
                <w:rFonts w:hint="eastAsia"/>
                <w:szCs w:val="21"/>
                <w:lang w:val="en-US" w:eastAsia="zh-Hans" w:bidi="zh-CN"/>
              </w:rPr>
              <w:t>2</w:t>
            </w:r>
            <w:r>
              <w:rPr>
                <w:rFonts w:hint="eastAsia"/>
                <w:szCs w:val="21"/>
                <w:lang w:val="zh-CN" w:eastAsia="zh-Hans" w:bidi="zh-CN"/>
              </w:rPr>
              <w:t>分）</w:t>
            </w:r>
          </w:p>
          <w:p w14:paraId="06135DA9">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（1）日常管理制度完整详细，可行性、实用性、针对性强的得</w:t>
            </w:r>
            <w:r>
              <w:rPr>
                <w:rFonts w:hint="eastAsia"/>
                <w:szCs w:val="21"/>
                <w:lang w:val="en-US" w:eastAsia="zh-Hans" w:bidi="zh-CN"/>
              </w:rPr>
              <w:t>1.5-2</w:t>
            </w:r>
            <w:r>
              <w:rPr>
                <w:rFonts w:hint="eastAsia"/>
                <w:szCs w:val="21"/>
                <w:lang w:val="zh-CN" w:eastAsia="zh-Hans" w:bidi="zh-CN"/>
              </w:rPr>
              <w:t>分；</w:t>
            </w:r>
          </w:p>
          <w:p w14:paraId="7BA35FE0">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（2）日常管理制度基本详细，具有可行性、实用性和针对性的得</w:t>
            </w:r>
            <w:r>
              <w:rPr>
                <w:rFonts w:hint="eastAsia"/>
                <w:szCs w:val="21"/>
                <w:lang w:val="en-US" w:eastAsia="zh-Hans" w:bidi="zh-CN"/>
              </w:rPr>
              <w:t>1-1.5</w:t>
            </w:r>
            <w:r>
              <w:rPr>
                <w:rFonts w:hint="eastAsia"/>
                <w:szCs w:val="21"/>
                <w:lang w:val="zh-CN" w:eastAsia="zh-Hans" w:bidi="zh-CN"/>
              </w:rPr>
              <w:t>分；</w:t>
            </w:r>
          </w:p>
          <w:p w14:paraId="06C86648">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（3）日常管理制度可行性、实用性、针对性有待改善的得</w:t>
            </w:r>
            <w:r>
              <w:rPr>
                <w:rFonts w:hint="eastAsia"/>
                <w:szCs w:val="21"/>
                <w:lang w:val="en-US" w:eastAsia="zh-Hans" w:bidi="zh-CN"/>
              </w:rPr>
              <w:t>0.5-1</w:t>
            </w:r>
            <w:r>
              <w:rPr>
                <w:rFonts w:hint="eastAsia"/>
                <w:szCs w:val="21"/>
                <w:lang w:val="zh-CN" w:eastAsia="zh-Hans" w:bidi="zh-CN"/>
              </w:rPr>
              <w:t>分；</w:t>
            </w:r>
          </w:p>
          <w:p w14:paraId="5742EAAB">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（4）差或未提供的，</w:t>
            </w:r>
            <w:r>
              <w:rPr>
                <w:rFonts w:hint="eastAsia"/>
                <w:szCs w:val="21"/>
                <w:lang w:val="en-US" w:eastAsia="zh-Hans" w:bidi="zh-CN"/>
              </w:rPr>
              <w:t>得0-0.5</w:t>
            </w:r>
            <w:r>
              <w:rPr>
                <w:rFonts w:hint="eastAsia"/>
                <w:szCs w:val="21"/>
                <w:lang w:val="zh-CN" w:eastAsia="zh-Hans" w:bidi="zh-CN"/>
              </w:rPr>
              <w:t>分。</w:t>
            </w:r>
          </w:p>
          <w:p w14:paraId="21C3A46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6. 重点难点分析及解决方案（</w:t>
            </w:r>
            <w:r>
              <w:rPr>
                <w:rFonts w:hint="eastAsia"/>
                <w:szCs w:val="21"/>
                <w:lang w:val="en-US" w:eastAsia="zh-Hans" w:bidi="zh-CN"/>
              </w:rPr>
              <w:t>2</w:t>
            </w:r>
            <w:r>
              <w:rPr>
                <w:rFonts w:hint="eastAsia"/>
                <w:szCs w:val="21"/>
                <w:lang w:val="zh-CN" w:eastAsia="zh-Hans" w:bidi="zh-CN"/>
              </w:rPr>
              <w:t>分）</w:t>
            </w:r>
          </w:p>
          <w:p w14:paraId="180A290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（1）重难点分析精准、思路清晰，措施有力，可行性、实用性、针对性强的得</w:t>
            </w:r>
            <w:r>
              <w:rPr>
                <w:rFonts w:hint="eastAsia"/>
                <w:szCs w:val="21"/>
                <w:lang w:val="en-US" w:eastAsia="zh-Hans" w:bidi="zh-CN"/>
              </w:rPr>
              <w:t>1.5-2</w:t>
            </w:r>
            <w:r>
              <w:rPr>
                <w:rFonts w:hint="eastAsia"/>
                <w:szCs w:val="21"/>
                <w:lang w:val="zh-CN" w:eastAsia="zh-Hans" w:bidi="zh-CN"/>
              </w:rPr>
              <w:t>分；</w:t>
            </w:r>
          </w:p>
          <w:p w14:paraId="18A34DD6">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 xml:space="preserve">（2）重难点分析有条理、思路较清晰，措施得当，具备可行性、实 用性、针对性的得 </w:t>
            </w:r>
            <w:r>
              <w:rPr>
                <w:rFonts w:hint="eastAsia"/>
                <w:szCs w:val="21"/>
                <w:lang w:val="en-US" w:eastAsia="zh-Hans" w:bidi="zh-CN"/>
              </w:rPr>
              <w:t>1-1.5</w:t>
            </w:r>
            <w:r>
              <w:rPr>
                <w:rFonts w:hint="eastAsia"/>
                <w:szCs w:val="21"/>
                <w:lang w:val="zh-CN" w:eastAsia="zh-Hans" w:bidi="zh-CN"/>
              </w:rPr>
              <w:t xml:space="preserve"> 分；</w:t>
            </w:r>
          </w:p>
          <w:p w14:paraId="2708689C">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szCs w:val="21"/>
                <w:lang w:val="zh-CN" w:eastAsia="zh-Hans" w:bidi="zh-CN"/>
              </w:rPr>
            </w:pPr>
            <w:r>
              <w:rPr>
                <w:rFonts w:hint="eastAsia"/>
                <w:szCs w:val="21"/>
                <w:lang w:val="zh-CN" w:eastAsia="zh-Hans" w:bidi="zh-CN"/>
              </w:rPr>
              <w:t>（3）重难点分析有待完善，思路需要进一步明晰，措施有待完善的得</w:t>
            </w:r>
            <w:r>
              <w:rPr>
                <w:rFonts w:hint="eastAsia"/>
                <w:szCs w:val="21"/>
                <w:lang w:val="en-US" w:eastAsia="zh-Hans" w:bidi="zh-CN"/>
              </w:rPr>
              <w:t>0.5-1</w:t>
            </w:r>
            <w:r>
              <w:rPr>
                <w:rFonts w:hint="eastAsia"/>
                <w:szCs w:val="21"/>
                <w:lang w:val="zh-CN" w:eastAsia="zh-Hans" w:bidi="zh-CN"/>
              </w:rPr>
              <w:t>分；</w:t>
            </w:r>
          </w:p>
          <w:p w14:paraId="3B4475DA">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szCs w:val="21"/>
                <w:lang w:val="zh-CN" w:eastAsia="zh-Hans" w:bidi="zh-CN"/>
              </w:rPr>
              <w:t>（4）差或未提供的，</w:t>
            </w:r>
            <w:r>
              <w:rPr>
                <w:rFonts w:hint="eastAsia"/>
                <w:szCs w:val="21"/>
                <w:lang w:val="en-US" w:eastAsia="zh-Hans" w:bidi="zh-CN"/>
              </w:rPr>
              <w:t>得0-0.5</w:t>
            </w:r>
            <w:r>
              <w:rPr>
                <w:rFonts w:hint="eastAsia"/>
                <w:szCs w:val="21"/>
                <w:lang w:val="zh-CN" w:eastAsia="zh-Hans" w:bidi="zh-CN"/>
              </w:rPr>
              <w:t>分。</w:t>
            </w:r>
          </w:p>
        </w:tc>
      </w:tr>
      <w:permEnd w:id="70"/>
      <w:permEnd w:id="71"/>
      <w:permEnd w:id="72"/>
      <w:tr w14:paraId="3C3E79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3603A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3" w:edGrp="everyone" w:colFirst="1" w:colLast="1"/>
            <w:permStart w:id="74" w:edGrp="everyone" w:colFirst="2" w:colLast="2"/>
            <w:permStart w:id="75" w:edGrp="everyone" w:colFirst="3" w:colLast="3"/>
          </w:p>
        </w:tc>
        <w:tc>
          <w:tcPr>
            <w:tcW w:w="850" w:type="dxa"/>
            <w:vMerge w:val="continue"/>
            <w:tcBorders>
              <w:right w:val="single" w:color="auto" w:sz="4" w:space="0"/>
            </w:tcBorders>
            <w:noWrap w:val="0"/>
            <w:vAlign w:val="center"/>
          </w:tcPr>
          <w:p w14:paraId="39069CB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663B02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系统平台功能</w:t>
            </w:r>
          </w:p>
          <w:p w14:paraId="032D680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20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4DC0B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1.数字资产管理</w:t>
            </w:r>
          </w:p>
          <w:p w14:paraId="3DD2C78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（1）数字资产适合本项目采购需求，完整详细，可行性、实用性、针对性强的得</w:t>
            </w:r>
            <w:r>
              <w:rPr>
                <w:rFonts w:hint="eastAsia"/>
                <w:szCs w:val="21"/>
                <w:lang w:val="en-US" w:eastAsia="zh-CN"/>
              </w:rPr>
              <w:t>2-4</w:t>
            </w:r>
            <w:r>
              <w:rPr>
                <w:rFonts w:hint="eastAsia"/>
                <w:szCs w:val="21"/>
              </w:rPr>
              <w:t>分，</w:t>
            </w:r>
          </w:p>
          <w:p w14:paraId="345C7CB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（2）差或未提供的</w:t>
            </w:r>
            <w:r>
              <w:rPr>
                <w:rFonts w:hint="eastAsia"/>
                <w:szCs w:val="21"/>
                <w:lang w:eastAsia="zh-CN"/>
              </w:rPr>
              <w:t>，</w:t>
            </w:r>
            <w:r>
              <w:rPr>
                <w:rFonts w:hint="eastAsia"/>
                <w:szCs w:val="21"/>
              </w:rPr>
              <w:t>得</w:t>
            </w:r>
            <w:r>
              <w:rPr>
                <w:rFonts w:hint="eastAsia"/>
                <w:szCs w:val="21"/>
                <w:lang w:val="en-US" w:eastAsia="zh-CN"/>
              </w:rPr>
              <w:t>0-2</w:t>
            </w:r>
            <w:r>
              <w:rPr>
                <w:rFonts w:hint="eastAsia"/>
                <w:szCs w:val="21"/>
              </w:rPr>
              <w:t>分。</w:t>
            </w:r>
          </w:p>
          <w:p w14:paraId="01CECB50">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2．数字化运维</w:t>
            </w:r>
          </w:p>
          <w:p w14:paraId="4A14E57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（1）数字化运维适合本项目采购需求，完整详细，可行性、实用性、针对性强的得</w:t>
            </w:r>
            <w:r>
              <w:rPr>
                <w:rFonts w:hint="eastAsia"/>
                <w:szCs w:val="21"/>
                <w:lang w:val="en-US" w:eastAsia="zh-CN"/>
              </w:rPr>
              <w:t>2-4</w:t>
            </w:r>
            <w:r>
              <w:rPr>
                <w:rFonts w:hint="eastAsia"/>
                <w:szCs w:val="21"/>
              </w:rPr>
              <w:t>分，</w:t>
            </w:r>
          </w:p>
          <w:p w14:paraId="19764D24">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（2）差或未提供的</w:t>
            </w:r>
            <w:r>
              <w:rPr>
                <w:rFonts w:hint="eastAsia"/>
                <w:szCs w:val="21"/>
                <w:lang w:eastAsia="zh-CN"/>
              </w:rPr>
              <w:t>，</w:t>
            </w:r>
            <w:r>
              <w:rPr>
                <w:rFonts w:hint="eastAsia"/>
                <w:szCs w:val="21"/>
              </w:rPr>
              <w:t>得</w:t>
            </w:r>
            <w:r>
              <w:rPr>
                <w:rFonts w:hint="eastAsia"/>
                <w:szCs w:val="21"/>
                <w:lang w:val="en-US" w:eastAsia="zh-CN"/>
              </w:rPr>
              <w:t>0-2</w:t>
            </w:r>
            <w:r>
              <w:rPr>
                <w:rFonts w:hint="eastAsia"/>
                <w:szCs w:val="21"/>
              </w:rPr>
              <w:t xml:space="preserve">分。 </w:t>
            </w:r>
          </w:p>
          <w:p w14:paraId="27B7424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3.结算中心</w:t>
            </w:r>
          </w:p>
          <w:p w14:paraId="29682D4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（1）结算中心适合本项目采购需求，完整详细，可行性、实用性、 针对性强的得</w:t>
            </w:r>
            <w:r>
              <w:rPr>
                <w:rFonts w:hint="eastAsia"/>
                <w:szCs w:val="21"/>
                <w:lang w:val="en-US" w:eastAsia="zh-CN"/>
              </w:rPr>
              <w:t>2-4</w:t>
            </w:r>
            <w:r>
              <w:rPr>
                <w:rFonts w:hint="eastAsia"/>
                <w:szCs w:val="21"/>
              </w:rPr>
              <w:t>分，</w:t>
            </w:r>
          </w:p>
          <w:p w14:paraId="61C9C5D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（2）差或未提供的</w:t>
            </w:r>
            <w:r>
              <w:rPr>
                <w:rFonts w:hint="eastAsia"/>
                <w:szCs w:val="21"/>
                <w:lang w:eastAsia="zh-CN"/>
              </w:rPr>
              <w:t>，</w:t>
            </w:r>
            <w:r>
              <w:rPr>
                <w:rFonts w:hint="eastAsia"/>
                <w:szCs w:val="21"/>
              </w:rPr>
              <w:t>得</w:t>
            </w:r>
            <w:r>
              <w:rPr>
                <w:rFonts w:hint="eastAsia"/>
                <w:szCs w:val="21"/>
                <w:lang w:val="en-US" w:eastAsia="zh-CN"/>
              </w:rPr>
              <w:t>0-2</w:t>
            </w:r>
            <w:r>
              <w:rPr>
                <w:rFonts w:hint="eastAsia"/>
                <w:szCs w:val="21"/>
              </w:rPr>
              <w:t>分。</w:t>
            </w:r>
          </w:p>
          <w:p w14:paraId="35BC2C6A">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4.投建一体化中心</w:t>
            </w:r>
          </w:p>
          <w:p w14:paraId="78186291">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（1）投建一体化中心适合本项目采购需求，完整详细，可行性、实用性、 针对性强的得</w:t>
            </w:r>
            <w:r>
              <w:rPr>
                <w:rFonts w:hint="eastAsia"/>
                <w:szCs w:val="21"/>
                <w:lang w:val="en-US" w:eastAsia="zh-CN"/>
              </w:rPr>
              <w:t>2-4</w:t>
            </w:r>
            <w:r>
              <w:rPr>
                <w:rFonts w:hint="eastAsia"/>
                <w:szCs w:val="21"/>
              </w:rPr>
              <w:t>分，</w:t>
            </w:r>
          </w:p>
          <w:p w14:paraId="01CD644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（2）差或未提供的</w:t>
            </w:r>
            <w:r>
              <w:rPr>
                <w:rFonts w:hint="eastAsia"/>
                <w:szCs w:val="21"/>
                <w:lang w:eastAsia="zh-CN"/>
              </w:rPr>
              <w:t>，</w:t>
            </w:r>
            <w:r>
              <w:rPr>
                <w:rFonts w:hint="eastAsia"/>
                <w:szCs w:val="21"/>
              </w:rPr>
              <w:t>得</w:t>
            </w:r>
            <w:r>
              <w:rPr>
                <w:rFonts w:hint="eastAsia"/>
                <w:szCs w:val="21"/>
                <w:lang w:val="en-US" w:eastAsia="zh-CN"/>
              </w:rPr>
              <w:t>0-2</w:t>
            </w:r>
            <w:r>
              <w:rPr>
                <w:rFonts w:hint="eastAsia"/>
                <w:szCs w:val="21"/>
              </w:rPr>
              <w:t>分。</w:t>
            </w:r>
          </w:p>
          <w:p w14:paraId="067FCF79">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5.配套功能</w:t>
            </w:r>
          </w:p>
          <w:p w14:paraId="6FD7079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rPr>
            </w:pPr>
            <w:r>
              <w:rPr>
                <w:rFonts w:hint="eastAsia"/>
                <w:szCs w:val="21"/>
              </w:rPr>
              <w:t>（1）配套功能适合本项目采购需求，完整详细，可行性、实用性、 针对性强的得</w:t>
            </w:r>
            <w:r>
              <w:rPr>
                <w:rFonts w:hint="eastAsia"/>
                <w:szCs w:val="21"/>
                <w:lang w:val="en-US" w:eastAsia="zh-CN"/>
              </w:rPr>
              <w:t>2-4</w:t>
            </w:r>
            <w:r>
              <w:rPr>
                <w:rFonts w:hint="eastAsia"/>
                <w:szCs w:val="21"/>
              </w:rPr>
              <w:t>分，</w:t>
            </w:r>
          </w:p>
          <w:p w14:paraId="45DB5F3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szCs w:val="21"/>
              </w:rPr>
              <w:t>（2）差或未提供的</w:t>
            </w:r>
            <w:r>
              <w:rPr>
                <w:rFonts w:hint="eastAsia"/>
                <w:szCs w:val="21"/>
                <w:lang w:eastAsia="zh-CN"/>
              </w:rPr>
              <w:t>，</w:t>
            </w:r>
            <w:r>
              <w:rPr>
                <w:rFonts w:hint="eastAsia"/>
                <w:szCs w:val="21"/>
              </w:rPr>
              <w:t>得</w:t>
            </w:r>
            <w:r>
              <w:rPr>
                <w:rFonts w:hint="eastAsia"/>
                <w:szCs w:val="21"/>
                <w:lang w:val="en-US" w:eastAsia="zh-CN"/>
              </w:rPr>
              <w:t>0-2</w:t>
            </w:r>
            <w:r>
              <w:rPr>
                <w:rFonts w:hint="eastAsia"/>
                <w:szCs w:val="21"/>
              </w:rPr>
              <w:t>分。</w:t>
            </w:r>
          </w:p>
        </w:tc>
      </w:tr>
      <w:permEnd w:id="73"/>
      <w:permEnd w:id="74"/>
      <w:permEnd w:id="75"/>
      <w:tr w14:paraId="4B0A50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362644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6" w:edGrp="everyone" w:colFirst="1" w:colLast="1"/>
            <w:permStart w:id="77" w:edGrp="everyone" w:colFirst="2" w:colLast="2"/>
            <w:permStart w:id="78" w:edGrp="everyone" w:colFirst="3" w:colLast="3"/>
          </w:p>
        </w:tc>
        <w:tc>
          <w:tcPr>
            <w:tcW w:w="850" w:type="dxa"/>
            <w:vMerge w:val="continue"/>
            <w:tcBorders>
              <w:right w:val="single" w:color="auto" w:sz="4" w:space="0"/>
            </w:tcBorders>
            <w:noWrap w:val="0"/>
            <w:vAlign w:val="center"/>
          </w:tcPr>
          <w:p w14:paraId="07DDD07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A32EA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售后服务</w:t>
            </w:r>
          </w:p>
          <w:p w14:paraId="0896C50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A6FC6F5">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根据投标人提供的售后服务方案进行综合评分（响应速度，现场到达时间、额外的技术支持等）：</w:t>
            </w:r>
          </w:p>
          <w:p w14:paraId="1A3DDC16">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1、服务方案优秀，完全匹配招标人要求，且报价范围内提供有价值的额外服务，得7.5-10分。</w:t>
            </w:r>
          </w:p>
          <w:p w14:paraId="6C8617E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2、服务方案较好，大部分匹配招标人要求，得5-7.5分。</w:t>
            </w:r>
          </w:p>
          <w:p w14:paraId="64FDE75D">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3、服务方案一般，基本匹配招标人要求，得2.5-5分。</w:t>
            </w:r>
          </w:p>
          <w:p w14:paraId="182546C3">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szCs w:val="21"/>
                <w:lang w:val="en-US" w:eastAsia="zh-CN"/>
              </w:rPr>
              <w:t>4、服务方案无法满足要求，得0-2.5分。</w:t>
            </w:r>
          </w:p>
        </w:tc>
      </w:tr>
      <w:permEnd w:id="76"/>
      <w:permEnd w:id="77"/>
      <w:permEnd w:id="78"/>
      <w:tr w14:paraId="186FBE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850" w:type="dxa"/>
            <w:vMerge w:val="continue"/>
            <w:tcBorders>
              <w:right w:val="single" w:color="auto" w:sz="4" w:space="0"/>
            </w:tcBorders>
            <w:noWrap w:val="0"/>
            <w:vAlign w:val="center"/>
          </w:tcPr>
          <w:p w14:paraId="2EF688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1" w:colLast="1"/>
            <w:permStart w:id="80" w:edGrp="everyone" w:colFirst="2" w:colLast="2"/>
            <w:permStart w:id="81" w:edGrp="everyone" w:colFirst="3" w:colLast="3"/>
          </w:p>
        </w:tc>
        <w:tc>
          <w:tcPr>
            <w:tcW w:w="850" w:type="dxa"/>
            <w:vMerge w:val="continue"/>
            <w:tcBorders>
              <w:right w:val="single" w:color="auto" w:sz="4" w:space="0"/>
            </w:tcBorders>
            <w:noWrap w:val="0"/>
            <w:vAlign w:val="center"/>
          </w:tcPr>
          <w:p w14:paraId="14F6CF9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3C5BBA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功能演示</w:t>
            </w:r>
          </w:p>
          <w:p w14:paraId="302ED3B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5</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9AEFC7">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投标人提供平台功能演示视频或图片等影像资料，资料放入U盘，视频最长不超过5分钟。</w:t>
            </w:r>
          </w:p>
          <w:p w14:paraId="4E52D66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1、资料完</w:t>
            </w:r>
            <w:bookmarkStart w:id="380" w:name="OLE_LINK4"/>
            <w:r>
              <w:rPr>
                <w:rFonts w:hint="eastAsia"/>
                <w:szCs w:val="21"/>
                <w:lang w:val="en-US" w:eastAsia="zh-CN"/>
              </w:rPr>
              <w:t>整、清晰、完全符合本次招标技术要求，得4-5分。</w:t>
            </w:r>
          </w:p>
          <w:p w14:paraId="5969291C">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2、资料相对完整，存在部分缺失，基本符合本次招标技术要求，</w:t>
            </w:r>
            <w:bookmarkEnd w:id="380"/>
            <w:r>
              <w:rPr>
                <w:rFonts w:hint="eastAsia"/>
                <w:szCs w:val="21"/>
                <w:lang w:val="en-US" w:eastAsia="zh-CN"/>
              </w:rPr>
              <w:t>得3-4分。</w:t>
            </w:r>
          </w:p>
          <w:p w14:paraId="0A3F86D8">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szCs w:val="21"/>
                <w:lang w:val="en-US" w:eastAsia="zh-CN"/>
              </w:rPr>
            </w:pPr>
            <w:r>
              <w:rPr>
                <w:rFonts w:hint="eastAsia"/>
                <w:szCs w:val="21"/>
                <w:lang w:val="en-US" w:eastAsia="zh-CN"/>
              </w:rPr>
              <w:t>3、资料不完整，存在较多缺失，不完全符合本次招标技术要求，得1-3分。</w:t>
            </w:r>
          </w:p>
          <w:p w14:paraId="6DD39B1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szCs w:val="21"/>
                <w:lang w:val="en-US" w:eastAsia="zh-CN"/>
              </w:rPr>
              <w:t>4、未提供资料或无法打开，得0分。</w:t>
            </w:r>
          </w:p>
        </w:tc>
      </w:tr>
      <w:permEnd w:id="79"/>
      <w:permEnd w:id="80"/>
      <w:permEnd w:id="81"/>
      <w:tr w14:paraId="487CBB2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346363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2" w:edGrp="everyone" w:colFirst="1" w:colLast="1"/>
            <w:permStart w:id="83" w:edGrp="everyone" w:colFirst="2" w:colLast="2"/>
            <w:permStart w:id="84" w:edGrp="everyone" w:colFirst="3" w:colLast="3"/>
            <w:r>
              <w:rPr>
                <w:rFonts w:hint="eastAsia" w:ascii="Times New Roman" w:hAnsi="Times New Roman" w:cs="Times New Roman"/>
                <w:kern w:val="0"/>
                <w:sz w:val="24"/>
                <w:szCs w:val="24"/>
                <w:highlight w:val="none"/>
                <w:lang w:val="en-US" w:eastAsia="zh-CN"/>
              </w:rPr>
              <w:t>2.2.4</w:t>
            </w:r>
          </w:p>
          <w:p w14:paraId="2FC1D0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41A6B9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lang w:val="en-US" w:eastAsia="zh-CN"/>
              </w:rPr>
              <w:t>资信业绩</w:t>
            </w:r>
            <w:r>
              <w:rPr>
                <w:rFonts w:hint="eastAsia"/>
              </w:rPr>
              <w:t>（满分</w:t>
            </w:r>
            <w:r>
              <w:rPr>
                <w:rFonts w:hint="eastAsia"/>
                <w:lang w:val="en-US" w:eastAsia="zh-CN"/>
              </w:rPr>
              <w:t>20</w:t>
            </w:r>
            <w:r>
              <w:rPr>
                <w:rFonts w:hint="eastAsia"/>
              </w:rPr>
              <w:t>分</w:t>
            </w:r>
            <w:r>
              <w:rPr>
                <w:rFonts w:hint="eastAsia"/>
                <w:lang w:eastAsia="zh-CN"/>
              </w:rPr>
              <w:t>）</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928CE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宋体" w:hAnsi="宋体" w:eastAsia="宋体" w:cs="宋体"/>
                <w:b/>
                <w:bCs/>
                <w:color w:val="000000"/>
                <w:kern w:val="0"/>
                <w:sz w:val="20"/>
                <w:szCs w:val="20"/>
                <w:lang w:val="en-US" w:eastAsia="zh-CN" w:bidi="ar"/>
              </w:rPr>
            </w:pPr>
            <w:r>
              <w:rPr>
                <w:rFonts w:hint="eastAsia" w:ascii="宋体" w:hAnsi="宋体" w:eastAsia="宋体" w:cs="宋体"/>
                <w:b/>
                <w:bCs/>
                <w:color w:val="000000"/>
                <w:kern w:val="0"/>
                <w:sz w:val="20"/>
                <w:szCs w:val="20"/>
                <w:lang w:val="en-US" w:eastAsia="zh-CN" w:bidi="ar"/>
              </w:rPr>
              <w:t>投标人业绩</w:t>
            </w:r>
          </w:p>
          <w:p w14:paraId="53D4046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10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778744">
            <w:pPr>
              <w:wordWrap w:val="0"/>
              <w:autoSpaceDE/>
              <w:autoSpaceDN/>
              <w:spacing w:line="400" w:lineRule="exact"/>
              <w:ind w:left="0" w:firstLine="420" w:firstLineChars="200"/>
              <w:jc w:val="left"/>
              <w:rPr>
                <w:rFonts w:hint="eastAsia"/>
                <w:szCs w:val="21"/>
              </w:rPr>
            </w:pPr>
            <w:r>
              <w:rPr>
                <w:rFonts w:hint="eastAsia"/>
                <w:szCs w:val="21"/>
              </w:rPr>
              <w:t>在满足招标公告类似项目业绩要求的基础上，投标人每额外提供1项自</w:t>
            </w:r>
            <w:r>
              <w:rPr>
                <w:rFonts w:hint="eastAsia" w:asciiTheme="minorHAnsi" w:hAnsiTheme="minorHAnsi" w:eastAsiaTheme="minorEastAsia" w:cstheme="minorBidi"/>
                <w:sz w:val="21"/>
                <w:szCs w:val="21"/>
                <w:highlight w:val="none"/>
                <w:lang w:val="en-US" w:eastAsia="zh-CN"/>
              </w:rPr>
              <w:t>2021年至今智慧能源管理平台出租业绩（涵盖分布式光伏或分布式微电网）</w:t>
            </w:r>
            <w:r>
              <w:rPr>
                <w:rFonts w:hint="eastAsia"/>
                <w:szCs w:val="21"/>
              </w:rPr>
              <w:t>得</w:t>
            </w:r>
            <w:r>
              <w:rPr>
                <w:rFonts w:hint="eastAsia"/>
                <w:szCs w:val="21"/>
                <w:lang w:val="en-US" w:eastAsia="zh-CN"/>
              </w:rPr>
              <w:t>2.5</w:t>
            </w:r>
            <w:r>
              <w:rPr>
                <w:rFonts w:hint="eastAsia"/>
                <w:szCs w:val="21"/>
              </w:rPr>
              <w:t>分，最高得</w:t>
            </w:r>
            <w:r>
              <w:rPr>
                <w:rFonts w:hint="eastAsia"/>
                <w:szCs w:val="21"/>
                <w:lang w:val="en-US" w:eastAsia="zh-CN"/>
              </w:rPr>
              <w:t>1</w:t>
            </w:r>
            <w:r>
              <w:rPr>
                <w:rFonts w:hint="eastAsia"/>
                <w:szCs w:val="21"/>
              </w:rPr>
              <w:t>0分。</w:t>
            </w:r>
          </w:p>
          <w:p w14:paraId="52F3AC91">
            <w:pPr>
              <w:wordWrap w:val="0"/>
              <w:autoSpaceDE/>
              <w:autoSpaceDN/>
              <w:spacing w:line="400" w:lineRule="exact"/>
              <w:ind w:left="0" w:firstLine="420" w:firstLineChars="200"/>
              <w:jc w:val="left"/>
              <w:rPr>
                <w:rFonts w:hint="eastAsia"/>
                <w:szCs w:val="21"/>
              </w:rPr>
            </w:pPr>
            <w:r>
              <w:rPr>
                <w:rFonts w:hint="eastAsia"/>
                <w:szCs w:val="21"/>
              </w:rPr>
              <w:t>注：</w:t>
            </w:r>
          </w:p>
          <w:p w14:paraId="4E622BBD">
            <w:pPr>
              <w:wordWrap w:val="0"/>
              <w:autoSpaceDE/>
              <w:autoSpaceDN/>
              <w:spacing w:line="400" w:lineRule="exact"/>
              <w:ind w:left="0" w:firstLine="420" w:firstLineChars="200"/>
              <w:jc w:val="left"/>
              <w:rPr>
                <w:rFonts w:hint="eastAsia"/>
                <w:szCs w:val="21"/>
              </w:rPr>
            </w:pPr>
            <w:r>
              <w:rPr>
                <w:rFonts w:hint="eastAsia"/>
                <w:szCs w:val="21"/>
              </w:rPr>
              <w:t>（1）以合同签订时间为准，投标须提供合同复印件装入投标文件中，否则评评委会不予计分；</w:t>
            </w:r>
          </w:p>
          <w:p w14:paraId="48F8C88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kern w:val="0"/>
                <w:sz w:val="24"/>
                <w:szCs w:val="24"/>
                <w:highlight w:val="none"/>
                <w:lang w:val="en-US" w:eastAsia="zh-CN"/>
              </w:rPr>
            </w:pPr>
            <w:r>
              <w:rPr>
                <w:rFonts w:hint="eastAsia"/>
                <w:szCs w:val="21"/>
              </w:rPr>
              <w:t>（2）合同内容必须能清楚地反映合同首页、合同标的和盖章页等内容，若合同中未清楚地反映，须提供合同甲方出具的相关证明材料复印件。相关证明材料须含合同甲方公章，公章名称与合同甲方名称一致，且符合以上要求，否则评委会有权不予计分。相关证明材料格式自拟</w:t>
            </w:r>
          </w:p>
        </w:tc>
      </w:tr>
      <w:permEnd w:id="82"/>
      <w:permEnd w:id="83"/>
      <w:permEnd w:id="84"/>
      <w:tr w14:paraId="72C9D9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202587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5" w:edGrp="everyone" w:colFirst="2" w:colLast="2"/>
            <w:permStart w:id="86" w:edGrp="everyone" w:colFirst="3" w:colLast="3"/>
          </w:p>
        </w:tc>
        <w:tc>
          <w:tcPr>
            <w:tcW w:w="850" w:type="dxa"/>
            <w:vMerge w:val="continue"/>
            <w:tcBorders>
              <w:right w:val="single" w:color="auto" w:sz="4" w:space="0"/>
            </w:tcBorders>
            <w:noWrap w:val="0"/>
            <w:vAlign w:val="center"/>
          </w:tcPr>
          <w:p w14:paraId="2E8A872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79E0D8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企业综合实力</w:t>
            </w:r>
          </w:p>
          <w:p w14:paraId="54D49A6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4C268E">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（1）投标人具有质量管理体系认证证书（证书在有效期内）的，得</w:t>
            </w:r>
            <w:r>
              <w:rPr>
                <w:rFonts w:hint="eastAsia"/>
                <w:b w:val="0"/>
                <w:szCs w:val="21"/>
                <w:lang w:val="en-US" w:eastAsia="zh-Hans" w:bidi="zh-CN"/>
              </w:rPr>
              <w:t>2</w:t>
            </w:r>
            <w:r>
              <w:rPr>
                <w:rFonts w:hint="eastAsia"/>
                <w:b w:val="0"/>
                <w:szCs w:val="21"/>
                <w:lang w:val="zh-CN" w:eastAsia="zh-Hans" w:bidi="zh-CN"/>
              </w:rPr>
              <w:t xml:space="preserve">分。 </w:t>
            </w:r>
          </w:p>
          <w:p w14:paraId="1A97CD68">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（2）投标人具有环境管理体系认证证书（证书在有效期内）的，得</w:t>
            </w:r>
            <w:r>
              <w:rPr>
                <w:rFonts w:hint="eastAsia"/>
                <w:b w:val="0"/>
                <w:szCs w:val="21"/>
                <w:lang w:val="en-US" w:eastAsia="zh-Hans" w:bidi="zh-CN"/>
              </w:rPr>
              <w:t>2</w:t>
            </w:r>
            <w:r>
              <w:rPr>
                <w:rFonts w:hint="eastAsia"/>
                <w:b w:val="0"/>
                <w:szCs w:val="21"/>
                <w:lang w:val="zh-CN" w:eastAsia="zh-Hans" w:bidi="zh-CN"/>
              </w:rPr>
              <w:t xml:space="preserve"> 分。</w:t>
            </w:r>
          </w:p>
          <w:p w14:paraId="66B2CC1D">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（3）投标人具有职业健康安全管理体系认证证书（证书在有效期内）的，得</w:t>
            </w:r>
            <w:r>
              <w:rPr>
                <w:rFonts w:hint="eastAsia"/>
                <w:b w:val="0"/>
                <w:szCs w:val="21"/>
                <w:lang w:val="en-US" w:eastAsia="zh-Hans" w:bidi="zh-CN"/>
              </w:rPr>
              <w:t>2</w:t>
            </w:r>
            <w:r>
              <w:rPr>
                <w:rFonts w:hint="eastAsia"/>
                <w:b w:val="0"/>
                <w:szCs w:val="21"/>
                <w:lang w:val="zh-CN" w:eastAsia="zh-Hans" w:bidi="zh-CN"/>
              </w:rPr>
              <w:t>分。</w:t>
            </w:r>
          </w:p>
          <w:p w14:paraId="6A1CAE1F">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（4）投标人具有信息安全管理体系认证证书（证书在有效期内）的，得 2 分。</w:t>
            </w:r>
          </w:p>
          <w:p w14:paraId="037F6834">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（5）投标人具有知识产权管理体系认证证书（证书在有效期内）的，得</w:t>
            </w:r>
            <w:r>
              <w:rPr>
                <w:rFonts w:hint="eastAsia"/>
                <w:b w:val="0"/>
                <w:szCs w:val="21"/>
                <w:lang w:val="en-US" w:eastAsia="zh-Hans" w:bidi="zh-CN"/>
              </w:rPr>
              <w:t>2</w:t>
            </w:r>
            <w:r>
              <w:rPr>
                <w:rFonts w:hint="eastAsia"/>
                <w:b w:val="0"/>
                <w:szCs w:val="21"/>
                <w:lang w:val="zh-CN" w:eastAsia="zh-Hans" w:bidi="zh-CN"/>
              </w:rPr>
              <w:t>分。</w:t>
            </w:r>
          </w:p>
          <w:p w14:paraId="76C88B76">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注：</w:t>
            </w:r>
          </w:p>
          <w:p w14:paraId="4594C47D">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b w:val="0"/>
                <w:szCs w:val="21"/>
                <w:lang w:val="zh-CN" w:eastAsia="zh-Hans" w:bidi="zh-CN"/>
              </w:rPr>
            </w:pPr>
            <w:r>
              <w:rPr>
                <w:rFonts w:hint="eastAsia"/>
                <w:b w:val="0"/>
                <w:szCs w:val="21"/>
                <w:lang w:val="zh-CN" w:eastAsia="zh-Hans" w:bidi="zh-CN"/>
              </w:rPr>
              <w:t>（1）投标文件中须提供证书扫描件且符合以上要求，具备网络查询验证的还需提供官网查询验证截图，否则评委会有权不予计分；</w:t>
            </w:r>
          </w:p>
          <w:p w14:paraId="7605AFF2">
            <w:pPr>
              <w:keepNext w:val="0"/>
              <w:keepLines w:val="0"/>
              <w:pageBreakBefore w:val="0"/>
              <w:widowControl/>
              <w:kinsoku/>
              <w:wordWrap w:val="0"/>
              <w:overflowPunct/>
              <w:topLinePunct w:val="0"/>
              <w:autoSpaceDE/>
              <w:autoSpaceDN/>
              <w:bidi w:val="0"/>
              <w:adjustRightInd/>
              <w:snapToGrid/>
              <w:spacing w:line="400" w:lineRule="exact"/>
              <w:ind w:firstLine="420" w:firstLineChars="200"/>
              <w:jc w:val="left"/>
              <w:textAlignment w:val="auto"/>
              <w:rPr>
                <w:rFonts w:hint="eastAsia" w:ascii="Times New Roman" w:hAnsi="Times New Roman" w:cs="Times New Roman"/>
                <w:i/>
                <w:iCs/>
                <w:color w:val="FF0000"/>
                <w:kern w:val="0"/>
                <w:sz w:val="24"/>
                <w:szCs w:val="24"/>
                <w:highlight w:val="none"/>
                <w:u w:val="single"/>
                <w:lang w:val="en-US" w:eastAsia="zh-CN"/>
              </w:rPr>
            </w:pPr>
            <w:r>
              <w:rPr>
                <w:rFonts w:hint="eastAsia"/>
                <w:b w:val="0"/>
                <w:szCs w:val="21"/>
                <w:lang w:val="zh-CN" w:eastAsia="zh-Hans" w:bidi="zh-CN"/>
              </w:rPr>
              <w:t>（2）评审过程中，评委会有权登录中国国家认证认可监督管理委员会官方网站查询，经查询认证证书不在有效期内的，评委会不予计分。</w:t>
            </w:r>
          </w:p>
        </w:tc>
      </w:tr>
      <w:permEnd w:id="85"/>
      <w:permEnd w:id="86"/>
      <w:tr w14:paraId="0E421A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14:paraId="63D5101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1" w:colLast="1"/>
            <w:permStart w:id="88" w:edGrp="everyone" w:colFirst="2" w:colLast="2"/>
            <w:permStart w:id="89" w:edGrp="everyone" w:colFirst="3" w:colLast="3"/>
            <w:r>
              <w:rPr>
                <w:rFonts w:hint="eastAsia" w:ascii="Times New Roman" w:hAnsi="Times New Roman" w:cs="Times New Roman"/>
                <w:kern w:val="0"/>
                <w:sz w:val="24"/>
                <w:szCs w:val="24"/>
                <w:highlight w:val="none"/>
                <w:lang w:val="en-US" w:eastAsia="zh-CN"/>
              </w:rPr>
              <w:t>2.2.4</w:t>
            </w:r>
          </w:p>
          <w:p w14:paraId="3703A7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right w:val="single" w:color="auto" w:sz="4" w:space="0"/>
            </w:tcBorders>
            <w:noWrap w:val="0"/>
            <w:vAlign w:val="center"/>
          </w:tcPr>
          <w:p w14:paraId="6D6F2B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04F99B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30  </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5657E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p w14:paraId="7FA77C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 xml:space="preserve"> 30 </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E78087">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评标基准价的确定： </w:t>
            </w:r>
          </w:p>
          <w:p w14:paraId="2EEF0FBA">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评标基准价为各有效报价经计算后的算术平均值（保留小数点后面两位），评标基准价的计算规则如下： </w:t>
            </w:r>
          </w:p>
          <w:p w14:paraId="51ACF9FC">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（1）有效报价在 5 家（含）以下时，则直接取其算术平均值。 </w:t>
            </w:r>
          </w:p>
          <w:p w14:paraId="48E3B750">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（2）有效报价在 6 家（含）至 10 家（含）时，去掉1个最高价，1 个最低价，取余下投标人的投标报价算术平均值。 </w:t>
            </w:r>
          </w:p>
          <w:p w14:paraId="71B5871D">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（2）有效报价为 11 家（含）至 20 家（含）时，去掉 2个最高价和 2 个最低价，取余下投标人的投标报价算术平均值。 </w:t>
            </w:r>
          </w:p>
          <w:p w14:paraId="7D350E08">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 xml:space="preserve">（3）有效报价为 20 家（不含）以上时，去掉 3 个最高价和 3 个最低价，取余下投标人的投标报价算术平均值。 </w:t>
            </w:r>
          </w:p>
          <w:p w14:paraId="73EB16A2">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各投标人的投标报价得分按以下公式计算：</w:t>
            </w:r>
          </w:p>
          <w:p w14:paraId="0DA93582">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（1）投标人的投标报价等于评标基准价得</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rPr>
              <w:t>0分；</w:t>
            </w:r>
          </w:p>
          <w:p w14:paraId="75475C87">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（2）投标人的投标报价高于评标基准价：</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rPr>
              <w:t>0-（投标人投标报价-评标基准价）/评标基准价*100*1；</w:t>
            </w:r>
          </w:p>
          <w:p w14:paraId="7845021A">
            <w:pPr>
              <w:spacing w:line="440" w:lineRule="exact"/>
              <w:jc w:val="left"/>
              <w:rPr>
                <w:rFonts w:hint="eastAsia" w:ascii="宋体" w:hAnsi="宋体" w:eastAsia="宋体" w:cs="Times New Roman"/>
                <w:color w:val="000000"/>
                <w:sz w:val="24"/>
              </w:rPr>
            </w:pPr>
            <w:r>
              <w:rPr>
                <w:rFonts w:hint="eastAsia" w:ascii="宋体" w:hAnsi="宋体" w:eastAsia="宋体" w:cs="Times New Roman"/>
                <w:color w:val="000000"/>
                <w:sz w:val="24"/>
              </w:rPr>
              <w:t>（3）投标人的投标报价低于评标基准价：</w:t>
            </w:r>
            <w:r>
              <w:rPr>
                <w:rFonts w:hint="eastAsia" w:ascii="宋体" w:hAnsi="宋体" w:eastAsia="宋体" w:cs="Times New Roman"/>
                <w:color w:val="000000"/>
                <w:sz w:val="24"/>
                <w:lang w:val="en-US" w:eastAsia="zh-CN"/>
              </w:rPr>
              <w:t>3</w:t>
            </w:r>
            <w:r>
              <w:rPr>
                <w:rFonts w:hint="eastAsia" w:ascii="宋体" w:hAnsi="宋体" w:eastAsia="宋体" w:cs="Times New Roman"/>
                <w:color w:val="000000"/>
                <w:sz w:val="24"/>
              </w:rPr>
              <w:t>0+（投标人投标报价-评标基准价）/评标基准价*100*0.5；</w:t>
            </w:r>
          </w:p>
          <w:p w14:paraId="6A5485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宋体" w:hAnsi="宋体" w:eastAsia="宋体" w:cs="Times New Roman"/>
                <w:color w:val="000000"/>
                <w:sz w:val="24"/>
              </w:rPr>
              <w:t>最终计算结果四舍五入保留两位小数</w:t>
            </w:r>
            <w:r>
              <w:rPr>
                <w:rFonts w:hint="eastAsia" w:ascii="Times New Roman" w:hAnsi="Times New Roman" w:cs="Times New Roman"/>
                <w:color w:val="FF0000"/>
                <w:kern w:val="0"/>
                <w:sz w:val="24"/>
                <w:szCs w:val="24"/>
                <w:highlight w:val="none"/>
                <w:lang w:val="en-US" w:eastAsia="zh-CN"/>
              </w:rPr>
              <w:t>。</w:t>
            </w:r>
          </w:p>
        </w:tc>
      </w:tr>
      <w:permEnd w:id="87"/>
      <w:permEnd w:id="88"/>
      <w:permEnd w:id="89"/>
    </w:tbl>
    <w:p w14:paraId="251528B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3158A540">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568D68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6B8C536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1" w:name="_Toc246996976"/>
      <w:bookmarkStart w:id="382" w:name="_Toc152045590"/>
      <w:bookmarkStart w:id="383" w:name="_Toc296602478"/>
      <w:bookmarkStart w:id="384" w:name="_Toc152042367"/>
      <w:bookmarkStart w:id="385" w:name="_Toc144974557"/>
      <w:bookmarkStart w:id="386" w:name="_Toc247085748"/>
      <w:bookmarkStart w:id="387" w:name="_Toc246996233"/>
      <w:bookmarkStart w:id="388" w:name="_Toc179632608"/>
      <w:r>
        <w:rPr>
          <w:rFonts w:hint="default" w:ascii="Times New Roman" w:hAnsi="Times New Roman" w:cs="Times New Roman" w:eastAsiaTheme="minorEastAsia"/>
          <w:b/>
          <w:bCs/>
          <w:kern w:val="0"/>
          <w:sz w:val="28"/>
          <w:szCs w:val="28"/>
          <w:highlight w:val="none"/>
        </w:rPr>
        <w:t>2. 评审标准</w:t>
      </w:r>
      <w:bookmarkEnd w:id="381"/>
      <w:bookmarkEnd w:id="382"/>
      <w:bookmarkEnd w:id="383"/>
      <w:bookmarkEnd w:id="384"/>
      <w:bookmarkEnd w:id="385"/>
      <w:bookmarkEnd w:id="386"/>
      <w:bookmarkEnd w:id="387"/>
      <w:bookmarkEnd w:id="388"/>
    </w:p>
    <w:p w14:paraId="197DEDF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9" w:name="_Toc296602479"/>
      <w:bookmarkStart w:id="390" w:name="_Toc152045591"/>
      <w:bookmarkStart w:id="391" w:name="_Toc179632609"/>
      <w:bookmarkStart w:id="392" w:name="_Toc152042368"/>
      <w:bookmarkStart w:id="393" w:name="_Toc144974558"/>
      <w:bookmarkStart w:id="394" w:name="_Toc247085749"/>
      <w:bookmarkStart w:id="395" w:name="_Toc246996234"/>
      <w:bookmarkStart w:id="396" w:name="_Toc246996977"/>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9"/>
      <w:bookmarkEnd w:id="390"/>
      <w:bookmarkEnd w:id="391"/>
      <w:bookmarkEnd w:id="392"/>
      <w:bookmarkEnd w:id="393"/>
      <w:bookmarkEnd w:id="394"/>
      <w:bookmarkEnd w:id="395"/>
      <w:bookmarkEnd w:id="396"/>
    </w:p>
    <w:p w14:paraId="1D9A16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04A667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35251A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6F799B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7" w:name="_Toc247085751"/>
      <w:bookmarkStart w:id="398" w:name="_Toc144974560"/>
      <w:bookmarkStart w:id="399" w:name="_Toc152042370"/>
      <w:bookmarkStart w:id="400" w:name="_Toc296602481"/>
      <w:bookmarkStart w:id="401" w:name="_Toc246996236"/>
      <w:bookmarkStart w:id="402" w:name="_Toc152045593"/>
      <w:bookmarkStart w:id="403" w:name="_Toc246996979"/>
      <w:bookmarkStart w:id="404"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481BFCA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60982B7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default" w:ascii="Times New Roman" w:hAnsi="Times New Roman" w:cs="Times New Roman" w:eastAsiaTheme="minorEastAsia"/>
          <w:kern w:val="0"/>
          <w:sz w:val="24"/>
          <w:szCs w:val="24"/>
          <w:highlight w:val="none"/>
        </w:rPr>
        <w:t>：见评标办法前附表；</w:t>
      </w:r>
    </w:p>
    <w:p w14:paraId="73A6B91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default" w:ascii="Times New Roman" w:hAnsi="Times New Roman" w:cs="Times New Roman" w:eastAsiaTheme="minorEastAsia"/>
          <w:kern w:val="0"/>
          <w:sz w:val="24"/>
          <w:szCs w:val="24"/>
          <w:highlight w:val="none"/>
        </w:rPr>
        <w:t>：见评标办法前附表；</w:t>
      </w:r>
    </w:p>
    <w:p w14:paraId="4B84D5B2">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0" w:edGrp="everyone"/>
      <w:r>
        <w:rPr>
          <w:rFonts w:hint="eastAsia" w:ascii="Times New Roman" w:hAnsi="Times New Roman" w:cs="Times New Roman" w:eastAsiaTheme="minorEastAsia"/>
          <w:kern w:val="0"/>
          <w:sz w:val="24"/>
          <w:szCs w:val="24"/>
          <w:highlight w:val="none"/>
          <w:lang w:val="en-US" w:eastAsia="zh-CN"/>
        </w:rPr>
        <w:t>投标报价</w:t>
      </w:r>
      <w:permEnd w:id="90"/>
      <w:r>
        <w:rPr>
          <w:rFonts w:hint="default" w:ascii="Times New Roman" w:hAnsi="Times New Roman" w:cs="Times New Roman" w:eastAsiaTheme="minorEastAsia"/>
          <w:kern w:val="0"/>
          <w:sz w:val="24"/>
          <w:szCs w:val="24"/>
          <w:highlight w:val="none"/>
        </w:rPr>
        <w:t>：见评标办法前附表；</w:t>
      </w:r>
    </w:p>
    <w:p w14:paraId="380B4DC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7F57917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14:paraId="3C055D4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3B7710C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14:paraId="7003DB2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33EA0A1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5B2D2A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92"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2"/>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1D64B88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93"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93"/>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7CD1B2E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7"/>
      <w:bookmarkEnd w:id="398"/>
      <w:bookmarkEnd w:id="399"/>
      <w:bookmarkEnd w:id="400"/>
      <w:bookmarkEnd w:id="401"/>
      <w:bookmarkEnd w:id="402"/>
      <w:bookmarkEnd w:id="403"/>
      <w:bookmarkEnd w:id="404"/>
    </w:p>
    <w:p w14:paraId="738CCBE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5" w:name="_Toc179632612"/>
      <w:bookmarkStart w:id="406" w:name="_Toc246996980"/>
      <w:bookmarkStart w:id="407" w:name="_Toc152045594"/>
      <w:bookmarkStart w:id="408" w:name="_Toc144974561"/>
      <w:bookmarkStart w:id="409" w:name="_Toc247085752"/>
      <w:bookmarkStart w:id="410" w:name="_Toc296602482"/>
      <w:bookmarkStart w:id="411" w:name="_Toc246996237"/>
      <w:bookmarkStart w:id="412" w:name="_Toc152042371"/>
      <w:r>
        <w:rPr>
          <w:rFonts w:hint="default" w:ascii="Times New Roman" w:hAnsi="Times New Roman" w:cs="Times New Roman" w:eastAsiaTheme="minorEastAsia"/>
          <w:b/>
          <w:bCs/>
          <w:kern w:val="0"/>
          <w:sz w:val="28"/>
          <w:szCs w:val="28"/>
          <w:highlight w:val="none"/>
        </w:rPr>
        <w:t>3.1 初步评审</w:t>
      </w:r>
      <w:bookmarkEnd w:id="405"/>
      <w:bookmarkEnd w:id="406"/>
      <w:bookmarkEnd w:id="407"/>
      <w:bookmarkEnd w:id="408"/>
      <w:bookmarkEnd w:id="409"/>
      <w:bookmarkEnd w:id="410"/>
      <w:bookmarkEnd w:id="411"/>
      <w:bookmarkEnd w:id="412"/>
    </w:p>
    <w:p w14:paraId="2966C3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14:paraId="62CF948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10C4D9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CD5E2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35D5DFD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14:paraId="3855713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97E346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7DBDA08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8107B8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3" w:name="_Toc144974562"/>
      <w:bookmarkStart w:id="414" w:name="_Toc247085753"/>
      <w:bookmarkStart w:id="415" w:name="_Toc152045595"/>
      <w:bookmarkStart w:id="416" w:name="_Toc246996238"/>
      <w:bookmarkStart w:id="417" w:name="_Toc246996981"/>
      <w:bookmarkStart w:id="418" w:name="_Toc296602483"/>
      <w:bookmarkStart w:id="419" w:name="_Toc179632613"/>
      <w:bookmarkStart w:id="420" w:name="_Toc152042372"/>
      <w:r>
        <w:rPr>
          <w:rFonts w:hint="default" w:ascii="Times New Roman" w:hAnsi="Times New Roman" w:cs="Times New Roman" w:eastAsiaTheme="minorEastAsia"/>
          <w:b/>
          <w:bCs/>
          <w:kern w:val="0"/>
          <w:sz w:val="28"/>
          <w:szCs w:val="28"/>
          <w:highlight w:val="none"/>
        </w:rPr>
        <w:t>3.2 详细评审</w:t>
      </w:r>
      <w:bookmarkEnd w:id="413"/>
      <w:bookmarkEnd w:id="414"/>
      <w:bookmarkEnd w:id="415"/>
      <w:bookmarkEnd w:id="416"/>
      <w:bookmarkEnd w:id="417"/>
      <w:bookmarkEnd w:id="418"/>
      <w:bookmarkEnd w:id="419"/>
      <w:bookmarkEnd w:id="420"/>
    </w:p>
    <w:p w14:paraId="1E23B62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1" w:name="_Toc144974563"/>
      <w:bookmarkStart w:id="422" w:name="_Toc247085754"/>
      <w:bookmarkStart w:id="423" w:name="_Toc179632614"/>
      <w:bookmarkStart w:id="424" w:name="_Toc246996982"/>
      <w:bookmarkStart w:id="425" w:name="_Toc152045596"/>
      <w:bookmarkStart w:id="426" w:name="_Toc246996239"/>
      <w:bookmarkStart w:id="427" w:name="_Toc296602484"/>
      <w:bookmarkStart w:id="428" w:name="_Toc152042373"/>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14:paraId="369201B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服务方案</w:t>
      </w:r>
      <w:r>
        <w:rPr>
          <w:rFonts w:hint="eastAsia" w:ascii="Times New Roman" w:hAnsi="Times New Roman" w:cs="Times New Roman"/>
          <w:kern w:val="0"/>
          <w:sz w:val="24"/>
          <w:szCs w:val="24"/>
          <w:highlight w:val="none"/>
          <w:lang w:val="en-US" w:eastAsia="zh-CN"/>
        </w:rPr>
        <w:t>计算出得分A；</w:t>
      </w:r>
    </w:p>
    <w:p w14:paraId="567B2F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资信业绩计算出得分B；</w:t>
      </w:r>
    </w:p>
    <w:p w14:paraId="0417870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r>
        <w:rPr>
          <w:rFonts w:hint="eastAsia" w:ascii="Times New Roman" w:hAnsi="Times New Roman" w:cs="Times New Roman"/>
          <w:kern w:val="0"/>
          <w:sz w:val="24"/>
          <w:szCs w:val="24"/>
          <w:highlight w:val="none"/>
          <w:lang w:val="en-US" w:eastAsia="zh-CN"/>
        </w:rPr>
        <w:t>。</w:t>
      </w:r>
    </w:p>
    <w:p w14:paraId="41F2DEC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14:paraId="4DF713F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p>
    <w:p w14:paraId="603AC31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14:paraId="0063651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1"/>
      <w:r>
        <w:rPr>
          <w:rFonts w:hint="default" w:ascii="Times New Roman" w:hAnsi="Times New Roman" w:cs="Times New Roman" w:eastAsiaTheme="minorEastAsia"/>
          <w:b/>
          <w:bCs/>
          <w:kern w:val="0"/>
          <w:sz w:val="28"/>
          <w:szCs w:val="28"/>
          <w:highlight w:val="none"/>
        </w:rPr>
        <w:t>和补正</w:t>
      </w:r>
      <w:bookmarkEnd w:id="422"/>
      <w:bookmarkEnd w:id="423"/>
      <w:bookmarkEnd w:id="424"/>
      <w:bookmarkEnd w:id="425"/>
      <w:bookmarkEnd w:id="426"/>
      <w:bookmarkEnd w:id="427"/>
      <w:bookmarkEnd w:id="428"/>
    </w:p>
    <w:p w14:paraId="26A4CBB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5A40E6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41F7E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7D8EFD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57A690D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0C2221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14:paraId="790D5C0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14:paraId="4D53BBF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14:paraId="1BB2E5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（四）其他项目：所有有效投标报价低于招标控制价，且竞标人报价没有明显高于市场价或招标人预期。</w:t>
      </w:r>
    </w:p>
    <w:p w14:paraId="4E0F4F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68BD1F3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086AAEC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43950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7A3D30E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489D74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E80AB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A43FD2B">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38E2E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526D1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53A035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03C66A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1AE37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77268DA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F39477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540D5AE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5" w:edGrp="everyone"/>
            <w:r>
              <w:rPr>
                <w:rFonts w:hint="eastAsia" w:asciiTheme="minorEastAsia" w:hAnsiTheme="minorEastAsia" w:cstheme="minorEastAsia"/>
                <w:sz w:val="28"/>
                <w:szCs w:val="28"/>
                <w:lang w:val="en-US" w:eastAsia="zh-CN"/>
              </w:rPr>
              <w:t>亳州新能源发展有限公司</w:t>
            </w:r>
            <w:r>
              <w:rPr>
                <w:rFonts w:hint="eastAsia" w:ascii="Times New Roman" w:hAnsi="Times New Roman" w:cs="Times New Roman"/>
                <w:kern w:val="0"/>
                <w:sz w:val="24"/>
                <w:szCs w:val="24"/>
                <w:highlight w:val="none"/>
                <w:shd w:val="clear" w:color="auto" w:fill="auto"/>
                <w:vertAlign w:val="baseline"/>
                <w:lang w:val="en-US" w:eastAsia="zh-CN"/>
              </w:rPr>
              <w:t xml:space="preserve">    </w:t>
            </w:r>
            <w:permEnd w:id="95"/>
          </w:p>
        </w:tc>
      </w:tr>
      <w:tr w14:paraId="5F5F3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6F975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650015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1932A70E">
            <w:pPr>
              <w:widowControl/>
              <w:wordWrap/>
              <w:spacing w:line="240" w:lineRule="auto"/>
              <w:ind w:firstLine="480" w:firstLineChars="200"/>
              <w:jc w:val="both"/>
              <w:rPr>
                <w:rFonts w:hint="eastAsia" w:ascii="仿宋" w:hAnsi="仿宋" w:eastAsia="仿宋" w:cs="仿宋"/>
                <w:i w:val="0"/>
                <w:iCs w:val="0"/>
                <w:color w:val="000000"/>
                <w:kern w:val="0"/>
                <w:sz w:val="30"/>
                <w:szCs w:val="30"/>
                <w:u w:val="none"/>
                <w:lang w:bidi="ar"/>
              </w:rPr>
            </w:pPr>
            <w:permStart w:id="96" w:edGrp="everyone"/>
            <w:r>
              <w:rPr>
                <w:rFonts w:hint="eastAsia" w:ascii="Times New Roman" w:hAnsi="Times New Roman" w:cs="Times New Roman"/>
                <w:color w:val="auto"/>
                <w:spacing w:val="0"/>
                <w:kern w:val="0"/>
                <w:sz w:val="24"/>
                <w:szCs w:val="24"/>
                <w:highlight w:val="yellow"/>
                <w:lang w:val="en-US" w:eastAsia="zh-CN" w:bidi="ar"/>
              </w:rPr>
              <w:t>每3个月为一个计算周期，即每年3月、6月、9月、12月的15日前，中标人根据当前实际接入光伏电站容量计算下一周期费用，中标人向招标人提出付款申请，并与招标人进行确认。招标人在每年3月、6月、9月、12月的25日前根据确认后的交费通知单金额向中标人结算软件费用</w:t>
            </w:r>
            <w:r>
              <w:rPr>
                <w:rFonts w:hint="default" w:ascii="Times New Roman" w:hAnsi="Times New Roman" w:cs="Times New Roman" w:eastAsiaTheme="minorEastAsia"/>
                <w:color w:val="auto"/>
                <w:kern w:val="0"/>
                <w:sz w:val="24"/>
                <w:szCs w:val="24"/>
                <w:lang w:val="en-US" w:eastAsia="zh-CN" w:bidi="ar"/>
              </w:rPr>
              <w:t xml:space="preserve">。  </w:t>
            </w:r>
          </w:p>
          <w:p w14:paraId="65E909D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ascii="Times New Roman" w:hAnsi="Times New Roman" w:cs="Times New Roman"/>
                <w:kern w:val="0"/>
                <w:sz w:val="24"/>
              </w:rPr>
              <w:t>注：</w:t>
            </w:r>
            <w:r>
              <w:rPr>
                <w:rFonts w:ascii="Times New Roman" w:hAnsi="Times New Roman" w:cs="Times New Roman" w:eastAsiaTheme="minorEastAsia"/>
                <w:color w:val="auto"/>
                <w:kern w:val="0"/>
                <w:sz w:val="24"/>
                <w:szCs w:val="24"/>
                <w:lang w:val="en-US" w:eastAsia="zh-CN" w:bidi="ar"/>
              </w:rPr>
              <w:t>（</w:t>
            </w:r>
            <w:r>
              <w:rPr>
                <w:rFonts w:hint="default" w:ascii="Times New Roman" w:hAnsi="Times New Roman" w:cs="Times New Roman" w:eastAsiaTheme="minorEastAsia"/>
                <w:color w:val="auto"/>
                <w:kern w:val="0"/>
                <w:sz w:val="24"/>
                <w:szCs w:val="24"/>
                <w:lang w:val="en-US" w:eastAsia="zh-CN" w:bidi="ar"/>
              </w:rPr>
              <w:t>1）</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应在每次付款前向</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提交一份付款申请、税务发票，并附</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按合同约定履行义务的有关证明。</w:t>
            </w:r>
            <w:r>
              <w:rPr>
                <w:rFonts w:hint="eastAsia" w:ascii="Times New Roman" w:hAnsi="Times New Roman" w:cs="Times New Roman"/>
                <w:color w:val="auto"/>
                <w:kern w:val="0"/>
                <w:sz w:val="24"/>
                <w:szCs w:val="24"/>
                <w:lang w:val="en-US" w:eastAsia="zh-CN" w:bidi="ar"/>
              </w:rPr>
              <w:t>招标人</w:t>
            </w:r>
            <w:r>
              <w:rPr>
                <w:rFonts w:hint="default" w:ascii="Times New Roman" w:hAnsi="Times New Roman" w:cs="Times New Roman" w:eastAsiaTheme="minorEastAsia"/>
                <w:color w:val="auto"/>
                <w:kern w:val="0"/>
                <w:sz w:val="24"/>
                <w:szCs w:val="24"/>
                <w:lang w:val="en-US" w:eastAsia="zh-CN" w:bidi="ar"/>
              </w:rPr>
              <w:t>审核</w:t>
            </w:r>
            <w:r>
              <w:rPr>
                <w:rFonts w:hint="eastAsia" w:ascii="Times New Roman" w:hAnsi="Times New Roman" w:cs="Times New Roman"/>
                <w:color w:val="auto"/>
                <w:kern w:val="0"/>
                <w:sz w:val="24"/>
                <w:szCs w:val="24"/>
                <w:lang w:val="en-US" w:eastAsia="zh-CN" w:bidi="ar"/>
              </w:rPr>
              <w:t>中标单位</w:t>
            </w:r>
            <w:r>
              <w:rPr>
                <w:rFonts w:hint="default" w:ascii="Times New Roman" w:hAnsi="Times New Roman" w:cs="Times New Roman" w:eastAsiaTheme="minorEastAsia"/>
                <w:color w:val="auto"/>
                <w:kern w:val="0"/>
                <w:sz w:val="24"/>
                <w:szCs w:val="24"/>
                <w:lang w:val="en-US" w:eastAsia="zh-CN" w:bidi="ar"/>
              </w:rPr>
              <w:t>的付款申请资料无误后履行付款手续。</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r>
              <w:rPr>
                <w:rFonts w:hint="eastAsia" w:ascii="Times New Roman" w:hAnsi="Times New Roman" w:cs="Times New Roman"/>
                <w:color w:val="FF0000"/>
                <w:kern w:val="0"/>
                <w:sz w:val="24"/>
                <w:szCs w:val="24"/>
                <w:highlight w:val="none"/>
                <w:shd w:val="clear" w:color="auto" w:fill="auto"/>
                <w:vertAlign w:val="baseline"/>
                <w:lang w:val="en-US" w:eastAsia="zh-CN"/>
              </w:rPr>
              <w:t xml:space="preserve"> </w:t>
            </w:r>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 xml:space="preserve"> </w:t>
            </w:r>
            <w:permEnd w:id="96"/>
          </w:p>
        </w:tc>
      </w:tr>
      <w:tr w14:paraId="08B54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37B6C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5799A4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14A4AE3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7" w:edGrp="everyone"/>
            <w:r>
              <w:rPr>
                <w:rFonts w:hint="eastAsia" w:ascii="Times New Roman" w:hAnsi="Times New Roman" w:cs="Times New Roman" w:eastAsiaTheme="minorEastAsia"/>
                <w:color w:val="auto"/>
                <w:kern w:val="0"/>
                <w:sz w:val="24"/>
                <w:szCs w:val="24"/>
                <w:lang w:val="en-US" w:eastAsia="zh-CN" w:bidi="ar"/>
              </w:rPr>
              <w:t>中标单位自行考虑风险，服务期内，本项目根据标段内的实际完成情况</w:t>
            </w:r>
            <w:r>
              <w:rPr>
                <w:rFonts w:hint="eastAsia" w:ascii="Times New Roman" w:hAnsi="Times New Roman" w:cs="Times New Roman"/>
                <w:color w:val="auto"/>
                <w:kern w:val="0"/>
                <w:sz w:val="24"/>
                <w:szCs w:val="24"/>
                <w:lang w:val="en-US" w:eastAsia="zh-CN" w:bidi="ar"/>
              </w:rPr>
              <w:t>，按中标单价据实结算费用。如服务期满后，</w:t>
            </w:r>
            <w:r>
              <w:rPr>
                <w:rFonts w:hint="eastAsia" w:ascii="Times New Roman" w:hAnsi="Times New Roman" w:cs="Times New Roman" w:eastAsiaTheme="minorEastAsia"/>
                <w:color w:val="auto"/>
                <w:kern w:val="0"/>
                <w:sz w:val="24"/>
                <w:szCs w:val="24"/>
                <w:lang w:val="en-US" w:eastAsia="zh-CN" w:bidi="ar"/>
              </w:rPr>
              <w:t>未完成</w:t>
            </w:r>
            <w:r>
              <w:rPr>
                <w:rFonts w:hint="eastAsia" w:ascii="Times New Roman" w:hAnsi="Times New Roman" w:cs="Times New Roman"/>
                <w:color w:val="auto"/>
                <w:kern w:val="0"/>
                <w:sz w:val="24"/>
                <w:szCs w:val="24"/>
                <w:lang w:val="en-US" w:eastAsia="zh-CN" w:bidi="ar"/>
              </w:rPr>
              <w:t>180</w:t>
            </w:r>
            <w:r>
              <w:rPr>
                <w:rFonts w:hint="eastAsia" w:ascii="Times New Roman" w:hAnsi="Times New Roman" w:cs="Times New Roman" w:eastAsiaTheme="minorEastAsia"/>
                <w:color w:val="auto"/>
                <w:kern w:val="0"/>
                <w:sz w:val="24"/>
                <w:szCs w:val="24"/>
                <w:lang w:val="en-US" w:eastAsia="zh-CN" w:bidi="ar"/>
              </w:rPr>
              <w:t>MW</w:t>
            </w:r>
            <w:r>
              <w:rPr>
                <w:rFonts w:hint="eastAsia" w:ascii="Times New Roman" w:hAnsi="Times New Roman" w:cs="Times New Roman"/>
                <w:color w:val="auto"/>
                <w:kern w:val="0"/>
                <w:sz w:val="24"/>
                <w:szCs w:val="24"/>
                <w:lang w:val="en-US" w:eastAsia="zh-CN" w:bidi="ar"/>
              </w:rPr>
              <w:t>光伏电站接入</w:t>
            </w:r>
            <w:r>
              <w:rPr>
                <w:rFonts w:hint="eastAsia" w:ascii="Times New Roman" w:hAnsi="Times New Roman" w:cs="Times New Roman" w:eastAsiaTheme="minorEastAsia"/>
                <w:color w:val="auto"/>
                <w:kern w:val="0"/>
                <w:sz w:val="24"/>
                <w:szCs w:val="24"/>
                <w:lang w:val="en-US" w:eastAsia="zh-CN" w:bidi="ar"/>
              </w:rPr>
              <w:t>，</w:t>
            </w:r>
            <w:r>
              <w:rPr>
                <w:rFonts w:hint="eastAsia" w:ascii="Times New Roman" w:hAnsi="Times New Roman" w:cs="Times New Roman"/>
                <w:color w:val="auto"/>
                <w:kern w:val="0"/>
                <w:sz w:val="24"/>
                <w:szCs w:val="24"/>
                <w:lang w:val="en-US" w:eastAsia="zh-CN" w:bidi="ar"/>
              </w:rPr>
              <w:t>中标</w:t>
            </w:r>
            <w:r>
              <w:rPr>
                <w:rFonts w:hint="eastAsia" w:ascii="Times New Roman" w:hAnsi="Times New Roman" w:cs="Times New Roman" w:eastAsiaTheme="minorEastAsia"/>
                <w:color w:val="auto"/>
                <w:kern w:val="0"/>
                <w:sz w:val="24"/>
                <w:szCs w:val="24"/>
                <w:lang w:val="en-US" w:eastAsia="zh-CN" w:bidi="ar"/>
              </w:rPr>
              <w:t>单位不得向</w:t>
            </w:r>
            <w:r>
              <w:rPr>
                <w:rFonts w:hint="eastAsia" w:ascii="Times New Roman" w:hAnsi="Times New Roman" w:cs="Times New Roman"/>
                <w:color w:val="auto"/>
                <w:kern w:val="0"/>
                <w:sz w:val="24"/>
                <w:szCs w:val="24"/>
                <w:lang w:val="en-US" w:eastAsia="zh-CN" w:bidi="ar"/>
              </w:rPr>
              <w:t>招标人</w:t>
            </w:r>
            <w:r>
              <w:rPr>
                <w:rFonts w:hint="eastAsia" w:ascii="Times New Roman" w:hAnsi="Times New Roman" w:cs="Times New Roman" w:eastAsiaTheme="minorEastAsia"/>
                <w:color w:val="auto"/>
                <w:kern w:val="0"/>
                <w:sz w:val="24"/>
                <w:szCs w:val="24"/>
                <w:lang w:val="en-US" w:eastAsia="zh-CN" w:bidi="ar"/>
              </w:rPr>
              <w:t>索赔</w:t>
            </w:r>
            <w:r>
              <w:rPr>
                <w:rFonts w:hint="eastAsia" w:ascii="Times New Roman" w:hAnsi="Times New Roman" w:cs="Times New Roman"/>
                <w:color w:val="auto"/>
                <w:kern w:val="0"/>
                <w:sz w:val="24"/>
                <w:szCs w:val="24"/>
                <w:lang w:val="en-US" w:eastAsia="zh-CN" w:bidi="ar"/>
              </w:rPr>
              <w:t>，中标单价也不因此调整。</w:t>
            </w:r>
            <w:permEnd w:id="97"/>
          </w:p>
        </w:tc>
      </w:tr>
    </w:tbl>
    <w:p w14:paraId="50EBDD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141053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14:paraId="2F2AC948">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716F1F8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72"/>
      <w:bookmarkEnd w:id="373"/>
      <w:bookmarkEnd w:id="374"/>
      <w:bookmarkEnd w:id="375"/>
      <w:bookmarkEnd w:id="376"/>
      <w:bookmarkEnd w:id="377"/>
      <w:bookmarkEnd w:id="378"/>
      <w:bookmarkEnd w:id="379"/>
      <w:r>
        <w:rPr>
          <w:rFonts w:hint="eastAsia" w:asciiTheme="majorEastAsia" w:hAnsiTheme="majorEastAsia" w:eastAsiaTheme="majorEastAsia" w:cstheme="majorEastAsia"/>
          <w:b/>
          <w:bCs/>
          <w:sz w:val="32"/>
          <w:szCs w:val="32"/>
          <w:highlight w:val="none"/>
          <w:lang w:val="en-US" w:eastAsia="zh-CN"/>
        </w:rPr>
        <w:t>发包人要求</w:t>
      </w:r>
    </w:p>
    <w:p w14:paraId="72331625">
      <w:pPr>
        <w:keepNext w:val="0"/>
        <w:keepLines w:val="0"/>
        <w:wordWrap w:val="0"/>
        <w:spacing w:line="420" w:lineRule="exact"/>
        <w:ind w:firstLine="0" w:firstLineChars="0"/>
        <w:rPr>
          <w:rFonts w:hint="default" w:ascii="Times New Roman" w:hAnsi="Times New Roman" w:cs="Times New Roman" w:eastAsiaTheme="minorEastAsia"/>
          <w:kern w:val="0"/>
          <w:sz w:val="24"/>
          <w:highlight w:val="none"/>
          <w:lang w:val="en-US" w:eastAsia="zh-CN"/>
        </w:rPr>
      </w:pPr>
      <w:bookmarkStart w:id="429" w:name="_Toc130239576"/>
      <w:bookmarkStart w:id="430" w:name="_Toc47305618"/>
      <w:r>
        <w:rPr>
          <w:rFonts w:hint="eastAsia"/>
          <w:lang w:val="en-US" w:eastAsia="zh-CN"/>
        </w:rPr>
        <w:t>软</w:t>
      </w:r>
      <w:r>
        <w:rPr>
          <w:rFonts w:hint="default" w:ascii="Times New Roman" w:hAnsi="Times New Roman" w:cs="Times New Roman"/>
          <w:kern w:val="0"/>
          <w:sz w:val="24"/>
          <w:highlight w:val="none"/>
          <w:lang w:val="en-US" w:eastAsia="zh-CN"/>
        </w:rPr>
        <w:t>件平台需具备如下功能：</w:t>
      </w:r>
    </w:p>
    <w:p w14:paraId="75E05258">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（一）业务架构</w:t>
      </w:r>
      <w:bookmarkEnd w:id="429"/>
      <w:bookmarkEnd w:id="430"/>
      <w:r>
        <w:rPr>
          <w:rFonts w:hint="default" w:ascii="Times New Roman" w:hAnsi="Times New Roman" w:cs="Times New Roman"/>
          <w:kern w:val="0"/>
          <w:sz w:val="24"/>
          <w:highlight w:val="none"/>
        </w:rPr>
        <w:t>要求</w:t>
      </w:r>
    </w:p>
    <w:p w14:paraId="5F86A5EE">
      <w:pPr>
        <w:wordWrap w:val="0"/>
        <w:spacing w:before="0" w:line="420" w:lineRule="exact"/>
        <w:ind w:firstLine="480" w:firstLineChars="200"/>
        <w:rPr>
          <w:rFonts w:ascii="Times New Roman" w:hAnsi="Times New Roman" w:cs="Times New Roman"/>
          <w:kern w:val="0"/>
          <w:sz w:val="24"/>
          <w:szCs w:val="24"/>
          <w:highlight w:val="none"/>
        </w:rPr>
      </w:pPr>
      <w:bookmarkStart w:id="431" w:name="_Toc18898_WPSOffice_Level3"/>
      <w:bookmarkStart w:id="432" w:name="_Toc22504"/>
      <w:bookmarkStart w:id="433" w:name="_Toc490"/>
      <w:bookmarkStart w:id="434" w:name="_Toc6321"/>
      <w:bookmarkStart w:id="435" w:name="_Toc155151900"/>
      <w:bookmarkStart w:id="436" w:name="_Toc334172613"/>
      <w:bookmarkStart w:id="437" w:name="_Toc404607536"/>
      <w:bookmarkStart w:id="438" w:name="_Toc334172161"/>
      <w:bookmarkStart w:id="439" w:name="_Toc7356"/>
      <w:bookmarkStart w:id="440" w:name="_Toc24718"/>
      <w:bookmarkStart w:id="441" w:name="_Toc27127"/>
      <w:bookmarkStart w:id="442" w:name="_Toc4075"/>
      <w:bookmarkStart w:id="443" w:name="_Toc322523074"/>
      <w:bookmarkStart w:id="444" w:name="_Toc20965"/>
      <w:bookmarkStart w:id="445" w:name="_Toc334714357"/>
      <w:bookmarkStart w:id="446" w:name="_Toc169606618"/>
      <w:bookmarkStart w:id="447" w:name="_Toc17670"/>
      <w:bookmarkStart w:id="448" w:name="_Toc527469491"/>
      <w:bookmarkStart w:id="449" w:name="_Toc415565583"/>
      <w:bookmarkStart w:id="450" w:name="_Toc879"/>
      <w:bookmarkStart w:id="451" w:name="_Toc23783"/>
      <w:bookmarkStart w:id="452" w:name="_Toc534738066"/>
      <w:r>
        <w:rPr>
          <w:rFonts w:hint="default" w:ascii="Times New Roman" w:hAnsi="Times New Roman" w:cs="Times New Roman"/>
          <w:kern w:val="0"/>
          <w:sz w:val="24"/>
          <w:szCs w:val="24"/>
          <w:highlight w:val="none"/>
        </w:rPr>
        <w:t>运用物联网、大数据、人工智能、边缘计算等信息技术，结合公司新能源业务发展现状、发展趋势和当前存在的问题，本次建设智慧能源管理平台，定位为新能源数据中心（数据云）、资产管理中心、智能运维中心、结算服务中心、投建一体化中心，助力公司实现对旗下各类型新能源电站的项目开发、电站建设、电站信息采集、电站数字化运维、便捷化电费结算，实现电站全生命周期资产管理。同时平台支持新能源业务潜在扩展性需求，满足业务未来在分布式储能、充电桩、虚拟电厂等新增场景要求，提高新能源资产整体管理效能。通过智慧能源管理平台，将实现多品牌多类型新能源资产统一管理、电站安全监控与风险预警、功率因数智能化调节和管理、线上数字化运维引导线下运维服务闭环管理全流程电费结算到电子发票的高效便捷管理、打通电站开发建设运营全流程数字化服务。实现光伏资产运营的周期可控、过程安全、设备健康、结果高效，以数字化为基础、智能化提升效率、模式创新降低成本、体系化支撑促进持久发展。</w:t>
      </w:r>
    </w:p>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p w14:paraId="6CEB7DB0">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（二）设计原则要求</w:t>
      </w:r>
    </w:p>
    <w:p w14:paraId="1978D932">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中标方智慧能源管理平台系统设计满足合理性、实用性、先进性、可靠性、可扩展性、兼容性、易用性、健壮性、安全性、开放性和经济性等基本原则。</w:t>
      </w:r>
    </w:p>
    <w:p w14:paraId="195A375D">
      <w:pPr>
        <w:keepNext w:val="0"/>
        <w:keepLines w:val="0"/>
        <w:wordWrap w:val="0"/>
        <w:spacing w:line="420" w:lineRule="exact"/>
        <w:ind w:firstLine="480" w:firstLineChars="200"/>
        <w:rPr>
          <w:rFonts w:ascii="Times New Roman" w:hAnsi="Times New Roman" w:cs="Times New Roman"/>
          <w:kern w:val="0"/>
          <w:sz w:val="24"/>
          <w:highlight w:val="none"/>
        </w:rPr>
      </w:pPr>
      <w:bookmarkStart w:id="453" w:name="_Toc129108037"/>
      <w:r>
        <w:rPr>
          <w:rFonts w:hint="default" w:ascii="Times New Roman" w:hAnsi="Times New Roman" w:cs="Times New Roman"/>
          <w:kern w:val="0"/>
          <w:sz w:val="24"/>
          <w:highlight w:val="none"/>
        </w:rPr>
        <w:t>（三）系统扩展性</w:t>
      </w:r>
      <w:bookmarkEnd w:id="453"/>
      <w:r>
        <w:rPr>
          <w:rFonts w:hint="default" w:ascii="Times New Roman" w:hAnsi="Times New Roman" w:cs="Times New Roman"/>
          <w:kern w:val="0"/>
          <w:sz w:val="24"/>
          <w:highlight w:val="none"/>
        </w:rPr>
        <w:t>要求</w:t>
      </w:r>
    </w:p>
    <w:p w14:paraId="76E8986D">
      <w:pPr>
        <w:wordWrap w:val="0"/>
        <w:spacing w:before="0" w:line="420" w:lineRule="exact"/>
        <w:ind w:firstLine="480" w:firstLineChars="200"/>
        <w:rPr>
          <w:rFonts w:ascii="Times New Roman" w:hAnsi="Times New Roman" w:cs="Times New Roman"/>
          <w:kern w:val="0"/>
          <w:sz w:val="24"/>
          <w:szCs w:val="24"/>
          <w:highlight w:val="none"/>
        </w:rPr>
      </w:pPr>
      <w:bookmarkStart w:id="454" w:name="_Toc527469504"/>
      <w:bookmarkStart w:id="455" w:name="_Toc28450"/>
      <w:bookmarkStart w:id="456" w:name="_Toc14095"/>
      <w:bookmarkStart w:id="457" w:name="_Toc525904509"/>
      <w:bookmarkStart w:id="458" w:name="_Toc27749"/>
      <w:bookmarkStart w:id="459" w:name="_Toc13169"/>
      <w:bookmarkStart w:id="460" w:name="_Toc129108038"/>
      <w:r>
        <w:rPr>
          <w:rFonts w:ascii="Times New Roman" w:hAnsi="Times New Roman" w:cs="Times New Roman"/>
          <w:kern w:val="0"/>
          <w:sz w:val="24"/>
          <w:szCs w:val="24"/>
          <w:highlight w:val="none"/>
        </w:rPr>
        <w:t>1.</w:t>
      </w:r>
      <w:r>
        <w:rPr>
          <w:rFonts w:hint="default" w:ascii="Times New Roman" w:hAnsi="Times New Roman" w:cs="Times New Roman"/>
          <w:kern w:val="0"/>
          <w:sz w:val="24"/>
          <w:szCs w:val="24"/>
          <w:highlight w:val="none"/>
        </w:rPr>
        <w:t>设备标准</w:t>
      </w:r>
      <w:r>
        <w:rPr>
          <w:rFonts w:ascii="Times New Roman" w:hAnsi="Times New Roman" w:cs="Times New Roman"/>
          <w:kern w:val="0"/>
          <w:sz w:val="24"/>
          <w:szCs w:val="24"/>
          <w:highlight w:val="none"/>
        </w:rPr>
        <w:t>可扩展</w:t>
      </w:r>
      <w:bookmarkEnd w:id="454"/>
      <w:bookmarkEnd w:id="455"/>
      <w:bookmarkEnd w:id="456"/>
      <w:bookmarkEnd w:id="457"/>
      <w:bookmarkEnd w:id="458"/>
      <w:bookmarkEnd w:id="459"/>
      <w:bookmarkEnd w:id="460"/>
      <w:r>
        <w:rPr>
          <w:rFonts w:hint="default" w:ascii="Times New Roman" w:hAnsi="Times New Roman" w:cs="Times New Roman"/>
          <w:kern w:val="0"/>
          <w:sz w:val="24"/>
          <w:szCs w:val="24"/>
          <w:highlight w:val="none"/>
        </w:rPr>
        <w:t>要求</w:t>
      </w:r>
    </w:p>
    <w:p w14:paraId="5A7BA77F">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可</w:t>
      </w:r>
      <w:r>
        <w:rPr>
          <w:rFonts w:ascii="Times New Roman" w:hAnsi="Times New Roman" w:cs="Times New Roman"/>
          <w:kern w:val="0"/>
          <w:sz w:val="24"/>
          <w:szCs w:val="24"/>
          <w:highlight w:val="none"/>
        </w:rPr>
        <w:t>对设备分类、部件分类、设备技术参数</w:t>
      </w:r>
      <w:r>
        <w:rPr>
          <w:rFonts w:hint="default" w:ascii="Times New Roman" w:hAnsi="Times New Roman" w:cs="Times New Roman"/>
          <w:kern w:val="0"/>
          <w:sz w:val="24"/>
          <w:szCs w:val="24"/>
          <w:highlight w:val="none"/>
        </w:rPr>
        <w:t>均</w:t>
      </w:r>
      <w:r>
        <w:rPr>
          <w:rFonts w:ascii="Times New Roman" w:hAnsi="Times New Roman" w:cs="Times New Roman"/>
          <w:kern w:val="0"/>
          <w:sz w:val="24"/>
          <w:szCs w:val="24"/>
          <w:highlight w:val="none"/>
        </w:rPr>
        <w:t>可进行扩展定义。</w:t>
      </w:r>
    </w:p>
    <w:p w14:paraId="6BE91E3E">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技术</w:t>
      </w:r>
      <w:r>
        <w:rPr>
          <w:rFonts w:ascii="Times New Roman" w:hAnsi="Times New Roman" w:cs="Times New Roman"/>
          <w:kern w:val="0"/>
          <w:sz w:val="24"/>
          <w:szCs w:val="24"/>
          <w:highlight w:val="none"/>
        </w:rPr>
        <w:t>参数</w:t>
      </w:r>
      <w:r>
        <w:rPr>
          <w:rFonts w:hint="default" w:ascii="Times New Roman" w:hAnsi="Times New Roman" w:cs="Times New Roman"/>
          <w:kern w:val="0"/>
          <w:sz w:val="24"/>
          <w:szCs w:val="24"/>
          <w:highlight w:val="none"/>
        </w:rPr>
        <w:t>定义</w:t>
      </w:r>
      <w:r>
        <w:rPr>
          <w:rFonts w:ascii="Times New Roman" w:hAnsi="Times New Roman" w:cs="Times New Roman"/>
          <w:kern w:val="0"/>
          <w:sz w:val="24"/>
          <w:szCs w:val="24"/>
          <w:highlight w:val="none"/>
        </w:rPr>
        <w:t>包括可定义技术参数名称、数据类型</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对数字值技术参数，还可维护计量单位</w:t>
      </w:r>
      <w:r>
        <w:rPr>
          <w:rFonts w:hint="default" w:ascii="Times New Roman" w:hAnsi="Times New Roman" w:cs="Times New Roman"/>
          <w:kern w:val="0"/>
          <w:sz w:val="24"/>
          <w:szCs w:val="24"/>
          <w:highlight w:val="none"/>
        </w:rPr>
        <w:t>。可</w:t>
      </w:r>
      <w:r>
        <w:rPr>
          <w:rFonts w:ascii="Times New Roman" w:hAnsi="Times New Roman" w:cs="Times New Roman"/>
          <w:kern w:val="0"/>
          <w:sz w:val="24"/>
          <w:szCs w:val="24"/>
          <w:highlight w:val="none"/>
        </w:rPr>
        <w:t>定义技术参数的标准选</w:t>
      </w:r>
      <w:r>
        <w:rPr>
          <w:rFonts w:hint="default" w:ascii="Times New Roman" w:hAnsi="Times New Roman" w:cs="Times New Roman"/>
          <w:kern w:val="0"/>
          <w:sz w:val="24"/>
          <w:szCs w:val="24"/>
          <w:highlight w:val="none"/>
        </w:rPr>
        <w:t>项及</w:t>
      </w:r>
      <w:r>
        <w:rPr>
          <w:rFonts w:ascii="Times New Roman" w:hAnsi="Times New Roman" w:cs="Times New Roman"/>
          <w:kern w:val="0"/>
          <w:sz w:val="24"/>
          <w:szCs w:val="24"/>
          <w:highlight w:val="none"/>
        </w:rPr>
        <w:t>维护顺序</w:t>
      </w:r>
      <w:r>
        <w:rPr>
          <w:rFonts w:hint="default" w:ascii="Times New Roman" w:hAnsi="Times New Roman" w:cs="Times New Roman"/>
          <w:kern w:val="0"/>
          <w:sz w:val="24"/>
          <w:szCs w:val="24"/>
          <w:highlight w:val="none"/>
        </w:rPr>
        <w:t>、计量</w:t>
      </w:r>
      <w:r>
        <w:rPr>
          <w:rFonts w:ascii="Times New Roman" w:hAnsi="Times New Roman" w:cs="Times New Roman"/>
          <w:kern w:val="0"/>
          <w:sz w:val="24"/>
          <w:szCs w:val="24"/>
          <w:highlight w:val="none"/>
        </w:rPr>
        <w:t>单位。</w:t>
      </w:r>
    </w:p>
    <w:p w14:paraId="7E4C1772">
      <w:pPr>
        <w:wordWrap w:val="0"/>
        <w:spacing w:before="0" w:line="420" w:lineRule="exact"/>
        <w:ind w:firstLine="480" w:firstLineChars="200"/>
        <w:rPr>
          <w:rFonts w:ascii="Times New Roman" w:hAnsi="Times New Roman" w:cs="Times New Roman"/>
          <w:kern w:val="0"/>
          <w:sz w:val="24"/>
          <w:szCs w:val="24"/>
          <w:highlight w:val="none"/>
        </w:rPr>
      </w:pPr>
      <w:bookmarkStart w:id="461" w:name="_Toc527469505"/>
      <w:bookmarkStart w:id="462" w:name="_Toc12182"/>
      <w:bookmarkStart w:id="463" w:name="_Toc6551"/>
      <w:bookmarkStart w:id="464" w:name="_Toc7257"/>
      <w:bookmarkStart w:id="465" w:name="_Toc19185"/>
      <w:bookmarkStart w:id="466" w:name="_Toc525904510"/>
      <w:bookmarkStart w:id="467" w:name="_Toc129108039"/>
      <w:r>
        <w:rPr>
          <w:rFonts w:ascii="Times New Roman" w:hAnsi="Times New Roman" w:cs="Times New Roman"/>
          <w:kern w:val="0"/>
          <w:sz w:val="24"/>
          <w:szCs w:val="24"/>
          <w:highlight w:val="none"/>
        </w:rPr>
        <w:t>2.</w:t>
      </w:r>
      <w:r>
        <w:rPr>
          <w:rFonts w:hint="default" w:ascii="Times New Roman" w:hAnsi="Times New Roman" w:cs="Times New Roman"/>
          <w:kern w:val="0"/>
          <w:sz w:val="24"/>
          <w:szCs w:val="24"/>
          <w:highlight w:val="none"/>
        </w:rPr>
        <w:t>规程规范</w:t>
      </w:r>
      <w:r>
        <w:rPr>
          <w:rFonts w:ascii="Times New Roman" w:hAnsi="Times New Roman" w:cs="Times New Roman"/>
          <w:kern w:val="0"/>
          <w:sz w:val="24"/>
          <w:szCs w:val="24"/>
          <w:highlight w:val="none"/>
        </w:rPr>
        <w:t>可扩展</w:t>
      </w:r>
      <w:bookmarkEnd w:id="461"/>
      <w:bookmarkEnd w:id="462"/>
      <w:bookmarkEnd w:id="463"/>
      <w:bookmarkEnd w:id="464"/>
      <w:bookmarkEnd w:id="465"/>
      <w:bookmarkEnd w:id="466"/>
      <w:bookmarkEnd w:id="467"/>
      <w:r>
        <w:rPr>
          <w:rFonts w:hint="default" w:ascii="Times New Roman" w:hAnsi="Times New Roman" w:cs="Times New Roman"/>
          <w:kern w:val="0"/>
          <w:sz w:val="24"/>
          <w:szCs w:val="24"/>
          <w:highlight w:val="none"/>
        </w:rPr>
        <w:t>要求</w:t>
      </w:r>
    </w:p>
    <w:p w14:paraId="3D7A6671">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支持扩展</w:t>
      </w:r>
      <w:r>
        <w:rPr>
          <w:rFonts w:ascii="Times New Roman" w:hAnsi="Times New Roman" w:cs="Times New Roman"/>
          <w:kern w:val="0"/>
          <w:sz w:val="24"/>
          <w:szCs w:val="24"/>
          <w:highlight w:val="none"/>
        </w:rPr>
        <w:t>维护规程规范的分类</w:t>
      </w:r>
      <w:r>
        <w:rPr>
          <w:rFonts w:hint="default" w:ascii="Times New Roman" w:hAnsi="Times New Roman" w:cs="Times New Roman"/>
          <w:kern w:val="0"/>
          <w:sz w:val="24"/>
          <w:szCs w:val="24"/>
          <w:highlight w:val="none"/>
        </w:rPr>
        <w:t>；支持</w:t>
      </w:r>
      <w:r>
        <w:rPr>
          <w:rFonts w:ascii="Times New Roman" w:hAnsi="Times New Roman" w:cs="Times New Roman"/>
          <w:kern w:val="0"/>
          <w:sz w:val="24"/>
          <w:szCs w:val="24"/>
          <w:highlight w:val="none"/>
        </w:rPr>
        <w:t>扩展上传规程规范文件，文件</w:t>
      </w:r>
      <w:r>
        <w:rPr>
          <w:rFonts w:hint="default" w:ascii="Times New Roman" w:hAnsi="Times New Roman" w:cs="Times New Roman"/>
          <w:kern w:val="0"/>
          <w:sz w:val="24"/>
          <w:szCs w:val="24"/>
          <w:highlight w:val="none"/>
        </w:rPr>
        <w:t>支持</w:t>
      </w:r>
      <w:r>
        <w:rPr>
          <w:rFonts w:ascii="Times New Roman" w:hAnsi="Times New Roman" w:cs="Times New Roman"/>
          <w:kern w:val="0"/>
          <w:sz w:val="24"/>
          <w:szCs w:val="24"/>
          <w:highlight w:val="none"/>
        </w:rPr>
        <w:t>OFFICE文档及PDF文档</w:t>
      </w:r>
      <w:r>
        <w:rPr>
          <w:rFonts w:hint="default" w:ascii="Times New Roman" w:hAnsi="Times New Roman" w:cs="Times New Roman"/>
          <w:kern w:val="0"/>
          <w:sz w:val="24"/>
          <w:szCs w:val="24"/>
          <w:highlight w:val="none"/>
        </w:rPr>
        <w:t>；规程</w:t>
      </w:r>
      <w:r>
        <w:rPr>
          <w:rFonts w:ascii="Times New Roman" w:hAnsi="Times New Roman" w:cs="Times New Roman"/>
          <w:kern w:val="0"/>
          <w:sz w:val="24"/>
          <w:szCs w:val="24"/>
          <w:highlight w:val="none"/>
        </w:rPr>
        <w:t>规范</w:t>
      </w:r>
      <w:r>
        <w:rPr>
          <w:rFonts w:hint="default" w:ascii="Times New Roman" w:hAnsi="Times New Roman" w:cs="Times New Roman"/>
          <w:kern w:val="0"/>
          <w:sz w:val="24"/>
          <w:szCs w:val="24"/>
          <w:highlight w:val="none"/>
        </w:rPr>
        <w:t>支持</w:t>
      </w:r>
      <w:r>
        <w:rPr>
          <w:rFonts w:ascii="Times New Roman" w:hAnsi="Times New Roman" w:cs="Times New Roman"/>
          <w:kern w:val="0"/>
          <w:sz w:val="24"/>
          <w:szCs w:val="24"/>
          <w:highlight w:val="none"/>
        </w:rPr>
        <w:t>可以现场</w:t>
      </w:r>
      <w:r>
        <w:rPr>
          <w:rFonts w:hint="default" w:ascii="Times New Roman" w:hAnsi="Times New Roman" w:cs="Times New Roman"/>
          <w:kern w:val="0"/>
          <w:sz w:val="24"/>
          <w:szCs w:val="24"/>
          <w:highlight w:val="none"/>
        </w:rPr>
        <w:t>作业</w:t>
      </w:r>
      <w:r>
        <w:rPr>
          <w:rFonts w:ascii="Times New Roman" w:hAnsi="Times New Roman" w:cs="Times New Roman"/>
          <w:kern w:val="0"/>
          <w:sz w:val="24"/>
          <w:szCs w:val="24"/>
          <w:highlight w:val="none"/>
        </w:rPr>
        <w:t>时检索</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下</w:t>
      </w:r>
      <w:r>
        <w:rPr>
          <w:rFonts w:hint="default" w:ascii="Times New Roman" w:hAnsi="Times New Roman" w:cs="Times New Roman"/>
          <w:kern w:val="0"/>
          <w:sz w:val="24"/>
          <w:szCs w:val="24"/>
          <w:highlight w:val="none"/>
        </w:rPr>
        <w:t>载、</w:t>
      </w:r>
      <w:r>
        <w:rPr>
          <w:rFonts w:ascii="Times New Roman" w:hAnsi="Times New Roman" w:cs="Times New Roman"/>
          <w:kern w:val="0"/>
          <w:sz w:val="24"/>
          <w:szCs w:val="24"/>
          <w:highlight w:val="none"/>
        </w:rPr>
        <w:t>查看</w:t>
      </w:r>
      <w:r>
        <w:rPr>
          <w:rFonts w:hint="default" w:ascii="Times New Roman" w:hAnsi="Times New Roman" w:cs="Times New Roman"/>
          <w:kern w:val="0"/>
          <w:sz w:val="24"/>
          <w:szCs w:val="24"/>
          <w:highlight w:val="none"/>
        </w:rPr>
        <w:t>。</w:t>
      </w:r>
    </w:p>
    <w:p w14:paraId="1D0EFB5F">
      <w:pPr>
        <w:wordWrap w:val="0"/>
        <w:spacing w:before="0" w:line="420" w:lineRule="exact"/>
        <w:ind w:firstLine="480" w:firstLineChars="200"/>
        <w:rPr>
          <w:rFonts w:ascii="Times New Roman" w:hAnsi="Times New Roman" w:cs="Times New Roman"/>
          <w:kern w:val="0"/>
          <w:sz w:val="24"/>
          <w:szCs w:val="24"/>
          <w:highlight w:val="none"/>
        </w:rPr>
      </w:pPr>
      <w:bookmarkStart w:id="468" w:name="_Toc129108040"/>
      <w:bookmarkStart w:id="469" w:name="_Toc23447"/>
      <w:bookmarkStart w:id="470" w:name="_Toc5343"/>
      <w:bookmarkStart w:id="471" w:name="_Toc527469511"/>
      <w:bookmarkStart w:id="472" w:name="_Toc525904516"/>
      <w:bookmarkStart w:id="473" w:name="_Toc32443"/>
      <w:bookmarkStart w:id="474" w:name="_Toc29745"/>
      <w:r>
        <w:rPr>
          <w:rFonts w:ascii="Times New Roman" w:hAnsi="Times New Roman" w:cs="Times New Roman"/>
          <w:kern w:val="0"/>
          <w:sz w:val="24"/>
          <w:szCs w:val="24"/>
          <w:highlight w:val="none"/>
        </w:rPr>
        <w:t>3.</w:t>
      </w:r>
      <w:r>
        <w:rPr>
          <w:rFonts w:hint="default" w:ascii="Times New Roman" w:hAnsi="Times New Roman" w:cs="Times New Roman"/>
          <w:kern w:val="0"/>
          <w:sz w:val="24"/>
          <w:szCs w:val="24"/>
          <w:highlight w:val="none"/>
        </w:rPr>
        <w:t>业务</w:t>
      </w:r>
      <w:r>
        <w:rPr>
          <w:rFonts w:ascii="Times New Roman" w:hAnsi="Times New Roman" w:cs="Times New Roman"/>
          <w:kern w:val="0"/>
          <w:sz w:val="24"/>
          <w:szCs w:val="24"/>
          <w:highlight w:val="none"/>
        </w:rPr>
        <w:t>数据</w:t>
      </w:r>
      <w:r>
        <w:rPr>
          <w:rFonts w:hint="default" w:ascii="Times New Roman" w:hAnsi="Times New Roman" w:cs="Times New Roman"/>
          <w:kern w:val="0"/>
          <w:sz w:val="24"/>
          <w:szCs w:val="24"/>
          <w:highlight w:val="none"/>
        </w:rPr>
        <w:t>查询可</w:t>
      </w:r>
      <w:r>
        <w:rPr>
          <w:rFonts w:ascii="Times New Roman" w:hAnsi="Times New Roman" w:cs="Times New Roman"/>
          <w:kern w:val="0"/>
          <w:sz w:val="24"/>
          <w:szCs w:val="24"/>
          <w:highlight w:val="none"/>
        </w:rPr>
        <w:t>扩展</w:t>
      </w:r>
      <w:bookmarkEnd w:id="468"/>
      <w:bookmarkEnd w:id="469"/>
      <w:bookmarkEnd w:id="470"/>
      <w:bookmarkEnd w:id="471"/>
      <w:bookmarkEnd w:id="472"/>
      <w:bookmarkEnd w:id="473"/>
      <w:bookmarkEnd w:id="474"/>
      <w:r>
        <w:rPr>
          <w:rFonts w:hint="default" w:ascii="Times New Roman" w:hAnsi="Times New Roman" w:cs="Times New Roman"/>
          <w:kern w:val="0"/>
          <w:sz w:val="24"/>
          <w:szCs w:val="24"/>
          <w:highlight w:val="none"/>
        </w:rPr>
        <w:t>要求</w:t>
      </w:r>
    </w:p>
    <w:p w14:paraId="6F1D22C7">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w:t>
      </w:r>
      <w:r>
        <w:rPr>
          <w:rFonts w:ascii="Times New Roman" w:hAnsi="Times New Roman" w:cs="Times New Roman"/>
          <w:kern w:val="0"/>
          <w:sz w:val="24"/>
          <w:szCs w:val="24"/>
          <w:highlight w:val="none"/>
        </w:rPr>
        <w:t>对</w:t>
      </w:r>
      <w:r>
        <w:rPr>
          <w:rFonts w:hint="default" w:ascii="Times New Roman" w:hAnsi="Times New Roman" w:cs="Times New Roman"/>
          <w:kern w:val="0"/>
          <w:sz w:val="24"/>
          <w:szCs w:val="24"/>
          <w:highlight w:val="none"/>
        </w:rPr>
        <w:t>各</w:t>
      </w:r>
      <w:r>
        <w:rPr>
          <w:rFonts w:ascii="Times New Roman" w:hAnsi="Times New Roman" w:cs="Times New Roman"/>
          <w:kern w:val="0"/>
          <w:sz w:val="24"/>
          <w:szCs w:val="24"/>
          <w:highlight w:val="none"/>
        </w:rPr>
        <w:t>类</w:t>
      </w:r>
      <w:r>
        <w:rPr>
          <w:rFonts w:hint="default" w:ascii="Times New Roman" w:hAnsi="Times New Roman" w:cs="Times New Roman"/>
          <w:kern w:val="0"/>
          <w:sz w:val="24"/>
          <w:szCs w:val="24"/>
          <w:highlight w:val="none"/>
        </w:rPr>
        <w:t>环境数据、设备数据、电量数据等</w:t>
      </w:r>
      <w:r>
        <w:rPr>
          <w:rFonts w:ascii="Times New Roman" w:hAnsi="Times New Roman" w:cs="Times New Roman"/>
          <w:kern w:val="0"/>
          <w:sz w:val="24"/>
          <w:szCs w:val="24"/>
          <w:highlight w:val="none"/>
        </w:rPr>
        <w:t>业务数据</w:t>
      </w:r>
      <w:r>
        <w:rPr>
          <w:rFonts w:hint="default" w:ascii="Times New Roman" w:hAnsi="Times New Roman" w:cs="Times New Roman"/>
          <w:kern w:val="0"/>
          <w:sz w:val="24"/>
          <w:szCs w:val="24"/>
          <w:highlight w:val="none"/>
        </w:rPr>
        <w:t>进行</w:t>
      </w:r>
      <w:r>
        <w:rPr>
          <w:rFonts w:ascii="Times New Roman" w:hAnsi="Times New Roman" w:cs="Times New Roman"/>
          <w:kern w:val="0"/>
          <w:sz w:val="24"/>
          <w:szCs w:val="24"/>
          <w:highlight w:val="none"/>
        </w:rPr>
        <w:t>自定义条件查询。</w:t>
      </w:r>
      <w:r>
        <w:rPr>
          <w:rFonts w:hint="default" w:ascii="Times New Roman" w:hAnsi="Times New Roman" w:cs="Times New Roman"/>
          <w:kern w:val="0"/>
          <w:sz w:val="24"/>
          <w:szCs w:val="24"/>
          <w:highlight w:val="none"/>
        </w:rPr>
        <w:t>支持</w:t>
      </w:r>
      <w:r>
        <w:rPr>
          <w:rFonts w:ascii="Times New Roman" w:hAnsi="Times New Roman" w:cs="Times New Roman"/>
          <w:kern w:val="0"/>
          <w:sz w:val="24"/>
          <w:szCs w:val="24"/>
          <w:highlight w:val="none"/>
        </w:rPr>
        <w:t>定义排序条件，可</w:t>
      </w:r>
      <w:r>
        <w:rPr>
          <w:rFonts w:hint="default" w:ascii="Times New Roman" w:hAnsi="Times New Roman" w:cs="Times New Roman"/>
          <w:kern w:val="0"/>
          <w:sz w:val="24"/>
          <w:szCs w:val="24"/>
          <w:highlight w:val="none"/>
        </w:rPr>
        <w:t>根据</w:t>
      </w:r>
      <w:r>
        <w:rPr>
          <w:rFonts w:ascii="Times New Roman" w:hAnsi="Times New Roman" w:cs="Times New Roman"/>
          <w:kern w:val="0"/>
          <w:sz w:val="24"/>
          <w:szCs w:val="24"/>
          <w:highlight w:val="none"/>
        </w:rPr>
        <w:t>登录用户保存常用查询方案</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可</w:t>
      </w:r>
      <w:r>
        <w:rPr>
          <w:rFonts w:hint="default" w:ascii="Times New Roman" w:hAnsi="Times New Roman" w:cs="Times New Roman"/>
          <w:kern w:val="0"/>
          <w:sz w:val="24"/>
          <w:szCs w:val="24"/>
          <w:highlight w:val="none"/>
        </w:rPr>
        <w:t>按EXCE</w:t>
      </w:r>
      <w:r>
        <w:rPr>
          <w:rFonts w:ascii="Times New Roman" w:hAnsi="Times New Roman" w:cs="Times New Roman"/>
          <w:kern w:val="0"/>
          <w:sz w:val="24"/>
          <w:szCs w:val="24"/>
          <w:highlight w:val="none"/>
        </w:rPr>
        <w:t>L导出查询结果。</w:t>
      </w:r>
    </w:p>
    <w:p w14:paraId="3ABB0E27">
      <w:pPr>
        <w:wordWrap w:val="0"/>
        <w:spacing w:before="0" w:line="420" w:lineRule="exact"/>
        <w:ind w:firstLine="480" w:firstLineChars="200"/>
        <w:rPr>
          <w:rFonts w:ascii="Times New Roman" w:hAnsi="Times New Roman" w:cs="Times New Roman"/>
          <w:kern w:val="0"/>
          <w:sz w:val="24"/>
          <w:szCs w:val="24"/>
          <w:highlight w:val="none"/>
        </w:rPr>
      </w:pPr>
      <w:bookmarkStart w:id="475" w:name="_Toc129108041"/>
      <w:bookmarkStart w:id="476" w:name="_Toc23440"/>
      <w:bookmarkStart w:id="477" w:name="_Toc19371"/>
      <w:bookmarkStart w:id="478" w:name="_Toc525904517"/>
      <w:bookmarkStart w:id="479" w:name="_Toc28954"/>
      <w:bookmarkStart w:id="480" w:name="_Toc527469512"/>
      <w:bookmarkStart w:id="481" w:name="_Toc31093"/>
      <w:r>
        <w:rPr>
          <w:rFonts w:ascii="Times New Roman" w:hAnsi="Times New Roman" w:cs="Times New Roman"/>
          <w:kern w:val="0"/>
          <w:sz w:val="24"/>
          <w:szCs w:val="24"/>
          <w:highlight w:val="none"/>
        </w:rPr>
        <w:t>4.</w:t>
      </w:r>
      <w:r>
        <w:rPr>
          <w:rFonts w:hint="default" w:ascii="Times New Roman" w:hAnsi="Times New Roman" w:cs="Times New Roman"/>
          <w:kern w:val="0"/>
          <w:sz w:val="24"/>
          <w:szCs w:val="24"/>
          <w:highlight w:val="none"/>
        </w:rPr>
        <w:t>业务</w:t>
      </w:r>
      <w:r>
        <w:rPr>
          <w:rFonts w:ascii="Times New Roman" w:hAnsi="Times New Roman" w:cs="Times New Roman"/>
          <w:kern w:val="0"/>
          <w:sz w:val="24"/>
          <w:szCs w:val="24"/>
          <w:highlight w:val="none"/>
        </w:rPr>
        <w:t>数据</w:t>
      </w:r>
      <w:r>
        <w:rPr>
          <w:rFonts w:hint="default" w:ascii="Times New Roman" w:hAnsi="Times New Roman" w:cs="Times New Roman"/>
          <w:kern w:val="0"/>
          <w:sz w:val="24"/>
          <w:szCs w:val="24"/>
          <w:highlight w:val="none"/>
        </w:rPr>
        <w:t>统计可</w:t>
      </w:r>
      <w:r>
        <w:rPr>
          <w:rFonts w:ascii="Times New Roman" w:hAnsi="Times New Roman" w:cs="Times New Roman"/>
          <w:kern w:val="0"/>
          <w:sz w:val="24"/>
          <w:szCs w:val="24"/>
          <w:highlight w:val="none"/>
        </w:rPr>
        <w:t>扩展</w:t>
      </w:r>
      <w:bookmarkEnd w:id="475"/>
      <w:bookmarkEnd w:id="476"/>
      <w:bookmarkEnd w:id="477"/>
      <w:bookmarkEnd w:id="478"/>
      <w:bookmarkEnd w:id="479"/>
      <w:bookmarkEnd w:id="480"/>
      <w:bookmarkEnd w:id="481"/>
      <w:r>
        <w:rPr>
          <w:rFonts w:hint="default" w:ascii="Times New Roman" w:hAnsi="Times New Roman" w:cs="Times New Roman"/>
          <w:kern w:val="0"/>
          <w:sz w:val="24"/>
          <w:szCs w:val="24"/>
          <w:highlight w:val="none"/>
        </w:rPr>
        <w:t>要求</w:t>
      </w:r>
    </w:p>
    <w:p w14:paraId="3071C6A8">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可</w:t>
      </w:r>
      <w:r>
        <w:rPr>
          <w:rFonts w:ascii="Times New Roman" w:hAnsi="Times New Roman" w:cs="Times New Roman"/>
          <w:kern w:val="0"/>
          <w:sz w:val="24"/>
          <w:szCs w:val="24"/>
          <w:highlight w:val="none"/>
        </w:rPr>
        <w:t>对</w:t>
      </w:r>
      <w:r>
        <w:rPr>
          <w:rFonts w:hint="default" w:ascii="Times New Roman" w:hAnsi="Times New Roman" w:cs="Times New Roman"/>
          <w:kern w:val="0"/>
          <w:sz w:val="24"/>
          <w:szCs w:val="24"/>
          <w:highlight w:val="none"/>
        </w:rPr>
        <w:t>各</w:t>
      </w:r>
      <w:r>
        <w:rPr>
          <w:rFonts w:ascii="Times New Roman" w:hAnsi="Times New Roman" w:cs="Times New Roman"/>
          <w:kern w:val="0"/>
          <w:sz w:val="24"/>
          <w:szCs w:val="24"/>
          <w:highlight w:val="none"/>
        </w:rPr>
        <w:t>类</w:t>
      </w:r>
      <w:r>
        <w:rPr>
          <w:rFonts w:hint="default" w:ascii="Times New Roman" w:hAnsi="Times New Roman" w:cs="Times New Roman"/>
          <w:kern w:val="0"/>
          <w:sz w:val="24"/>
          <w:szCs w:val="24"/>
          <w:highlight w:val="none"/>
        </w:rPr>
        <w:t>环境数据、设备数据、电量数据</w:t>
      </w:r>
      <w:bookmarkStart w:id="482" w:name="OLE_LINK2"/>
      <w:r>
        <w:rPr>
          <w:rFonts w:hint="default" w:ascii="Times New Roman" w:hAnsi="Times New Roman" w:cs="Times New Roman"/>
          <w:kern w:val="0"/>
          <w:sz w:val="24"/>
          <w:szCs w:val="24"/>
          <w:highlight w:val="none"/>
        </w:rPr>
        <w:t>等</w:t>
      </w:r>
      <w:r>
        <w:rPr>
          <w:rFonts w:ascii="Times New Roman" w:hAnsi="Times New Roman" w:cs="Times New Roman"/>
          <w:kern w:val="0"/>
          <w:sz w:val="24"/>
          <w:szCs w:val="24"/>
          <w:highlight w:val="none"/>
        </w:rPr>
        <w:t>业务数据</w:t>
      </w:r>
      <w:bookmarkEnd w:id="482"/>
      <w:r>
        <w:rPr>
          <w:rFonts w:hint="default" w:ascii="Times New Roman" w:hAnsi="Times New Roman" w:cs="Times New Roman"/>
          <w:kern w:val="0"/>
          <w:sz w:val="24"/>
          <w:szCs w:val="24"/>
          <w:highlight w:val="none"/>
        </w:rPr>
        <w:t>进行</w:t>
      </w:r>
      <w:r>
        <w:rPr>
          <w:rFonts w:ascii="Times New Roman" w:hAnsi="Times New Roman" w:cs="Times New Roman"/>
          <w:kern w:val="0"/>
          <w:sz w:val="24"/>
          <w:szCs w:val="24"/>
          <w:highlight w:val="none"/>
        </w:rPr>
        <w:t>自定义</w:t>
      </w:r>
      <w:r>
        <w:rPr>
          <w:rFonts w:hint="default" w:ascii="Times New Roman" w:hAnsi="Times New Roman" w:cs="Times New Roman"/>
          <w:kern w:val="0"/>
          <w:sz w:val="24"/>
          <w:szCs w:val="24"/>
          <w:highlight w:val="none"/>
        </w:rPr>
        <w:t>统计</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可</w:t>
      </w:r>
      <w:r>
        <w:rPr>
          <w:rFonts w:ascii="Times New Roman" w:hAnsi="Times New Roman" w:cs="Times New Roman"/>
          <w:kern w:val="0"/>
          <w:sz w:val="24"/>
          <w:szCs w:val="24"/>
          <w:highlight w:val="none"/>
        </w:rPr>
        <w:t>扩展定义</w:t>
      </w:r>
      <w:r>
        <w:rPr>
          <w:rFonts w:hint="default" w:ascii="Times New Roman" w:hAnsi="Times New Roman" w:cs="Times New Roman"/>
          <w:kern w:val="0"/>
          <w:sz w:val="24"/>
          <w:szCs w:val="24"/>
          <w:highlight w:val="none"/>
        </w:rPr>
        <w:t>统计维度</w:t>
      </w:r>
      <w:r>
        <w:rPr>
          <w:rFonts w:ascii="Times New Roman" w:hAnsi="Times New Roman" w:cs="Times New Roman"/>
          <w:kern w:val="0"/>
          <w:sz w:val="24"/>
          <w:szCs w:val="24"/>
          <w:highlight w:val="none"/>
        </w:rPr>
        <w:t>、统计项目、时间条件，</w:t>
      </w:r>
      <w:r>
        <w:rPr>
          <w:rFonts w:hint="default" w:ascii="Times New Roman" w:hAnsi="Times New Roman" w:cs="Times New Roman"/>
          <w:kern w:val="0"/>
          <w:sz w:val="24"/>
          <w:szCs w:val="24"/>
          <w:highlight w:val="none"/>
        </w:rPr>
        <w:t>并</w:t>
      </w:r>
      <w:r>
        <w:rPr>
          <w:rFonts w:ascii="Times New Roman" w:hAnsi="Times New Roman" w:cs="Times New Roman"/>
          <w:kern w:val="0"/>
          <w:sz w:val="24"/>
          <w:szCs w:val="24"/>
          <w:highlight w:val="none"/>
        </w:rPr>
        <w:t>可</w:t>
      </w:r>
      <w:r>
        <w:rPr>
          <w:rFonts w:hint="default" w:ascii="Times New Roman" w:hAnsi="Times New Roman" w:cs="Times New Roman"/>
          <w:kern w:val="0"/>
          <w:sz w:val="24"/>
          <w:szCs w:val="24"/>
          <w:highlight w:val="none"/>
        </w:rPr>
        <w:t>根据</w:t>
      </w:r>
      <w:r>
        <w:rPr>
          <w:rFonts w:ascii="Times New Roman" w:hAnsi="Times New Roman" w:cs="Times New Roman"/>
          <w:kern w:val="0"/>
          <w:sz w:val="24"/>
          <w:szCs w:val="24"/>
          <w:highlight w:val="none"/>
        </w:rPr>
        <w:t>登录用户保存常用</w:t>
      </w:r>
      <w:r>
        <w:rPr>
          <w:rFonts w:hint="default" w:ascii="Times New Roman" w:hAnsi="Times New Roman" w:cs="Times New Roman"/>
          <w:kern w:val="0"/>
          <w:sz w:val="24"/>
          <w:szCs w:val="24"/>
          <w:highlight w:val="none"/>
        </w:rPr>
        <w:t>统计</w:t>
      </w:r>
      <w:r>
        <w:rPr>
          <w:rFonts w:ascii="Times New Roman" w:hAnsi="Times New Roman" w:cs="Times New Roman"/>
          <w:kern w:val="0"/>
          <w:sz w:val="24"/>
          <w:szCs w:val="24"/>
          <w:highlight w:val="none"/>
        </w:rPr>
        <w:t>方案</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可</w:t>
      </w:r>
      <w:r>
        <w:rPr>
          <w:rFonts w:hint="default" w:ascii="Times New Roman" w:hAnsi="Times New Roman" w:cs="Times New Roman"/>
          <w:kern w:val="0"/>
          <w:sz w:val="24"/>
          <w:szCs w:val="24"/>
          <w:highlight w:val="none"/>
        </w:rPr>
        <w:t>按EXCEL</w:t>
      </w:r>
      <w:r>
        <w:rPr>
          <w:rFonts w:ascii="Times New Roman" w:hAnsi="Times New Roman" w:cs="Times New Roman"/>
          <w:kern w:val="0"/>
          <w:sz w:val="24"/>
          <w:szCs w:val="24"/>
          <w:highlight w:val="none"/>
        </w:rPr>
        <w:t>导出</w:t>
      </w:r>
      <w:r>
        <w:rPr>
          <w:rFonts w:hint="default" w:ascii="Times New Roman" w:hAnsi="Times New Roman" w:cs="Times New Roman"/>
          <w:kern w:val="0"/>
          <w:sz w:val="24"/>
          <w:szCs w:val="24"/>
          <w:highlight w:val="none"/>
        </w:rPr>
        <w:t>统计</w:t>
      </w:r>
      <w:r>
        <w:rPr>
          <w:rFonts w:ascii="Times New Roman" w:hAnsi="Times New Roman" w:cs="Times New Roman"/>
          <w:kern w:val="0"/>
          <w:sz w:val="24"/>
          <w:szCs w:val="24"/>
          <w:highlight w:val="none"/>
        </w:rPr>
        <w:t>结果。</w:t>
      </w:r>
    </w:p>
    <w:p w14:paraId="26153E1F">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5.指标分析可自定义</w:t>
      </w:r>
    </w:p>
    <w:p w14:paraId="36CDCDA0">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可自定义需要分析的指标项目、单位条件、时间范围，可以图形的展示方式对选定指标进行横向比对和趋势分析。</w:t>
      </w:r>
    </w:p>
    <w:p w14:paraId="5349D71C">
      <w:pPr>
        <w:wordWrap w:val="0"/>
        <w:spacing w:before="0" w:line="420" w:lineRule="exact"/>
        <w:ind w:firstLine="480" w:firstLineChars="200"/>
        <w:rPr>
          <w:rFonts w:ascii="Times New Roman" w:hAnsi="Times New Roman" w:cs="Times New Roman"/>
          <w:kern w:val="0"/>
          <w:sz w:val="24"/>
          <w:szCs w:val="24"/>
          <w:highlight w:val="none"/>
        </w:rPr>
      </w:pPr>
      <w:bookmarkStart w:id="483" w:name="_Toc9951"/>
      <w:bookmarkStart w:id="484" w:name="_Toc16189"/>
      <w:bookmarkStart w:id="485" w:name="_Toc20165"/>
      <w:bookmarkStart w:id="486" w:name="_Toc19025"/>
      <w:bookmarkStart w:id="487" w:name="_Toc525904520"/>
      <w:bookmarkStart w:id="488" w:name="_Toc527469515"/>
      <w:bookmarkStart w:id="489" w:name="_Toc129108044"/>
      <w:r>
        <w:rPr>
          <w:rFonts w:hint="default" w:ascii="Times New Roman" w:hAnsi="Times New Roman" w:cs="Times New Roman"/>
          <w:kern w:val="0"/>
          <w:sz w:val="24"/>
          <w:szCs w:val="24"/>
          <w:highlight w:val="none"/>
        </w:rPr>
        <w:t>6</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报表定</w:t>
      </w:r>
      <w:r>
        <w:rPr>
          <w:rFonts w:ascii="Times New Roman" w:hAnsi="Times New Roman" w:cs="Times New Roman"/>
          <w:kern w:val="0"/>
          <w:sz w:val="24"/>
          <w:szCs w:val="24"/>
          <w:highlight w:val="none"/>
        </w:rPr>
        <w:t>制</w:t>
      </w:r>
      <w:r>
        <w:rPr>
          <w:rFonts w:hint="default" w:ascii="Times New Roman" w:hAnsi="Times New Roman" w:cs="Times New Roman"/>
          <w:kern w:val="0"/>
          <w:sz w:val="24"/>
          <w:szCs w:val="24"/>
          <w:highlight w:val="none"/>
        </w:rPr>
        <w:t>可</w:t>
      </w:r>
      <w:r>
        <w:rPr>
          <w:rFonts w:ascii="Times New Roman" w:hAnsi="Times New Roman" w:cs="Times New Roman"/>
          <w:kern w:val="0"/>
          <w:sz w:val="24"/>
          <w:szCs w:val="24"/>
          <w:highlight w:val="none"/>
        </w:rPr>
        <w:t>扩展</w:t>
      </w:r>
      <w:bookmarkEnd w:id="483"/>
      <w:bookmarkEnd w:id="484"/>
      <w:bookmarkEnd w:id="485"/>
      <w:bookmarkEnd w:id="486"/>
      <w:bookmarkEnd w:id="487"/>
      <w:bookmarkEnd w:id="488"/>
      <w:bookmarkEnd w:id="489"/>
      <w:r>
        <w:rPr>
          <w:rFonts w:hint="default" w:ascii="Times New Roman" w:hAnsi="Times New Roman" w:cs="Times New Roman"/>
          <w:kern w:val="0"/>
          <w:sz w:val="24"/>
          <w:szCs w:val="24"/>
          <w:highlight w:val="none"/>
        </w:rPr>
        <w:t>要求</w:t>
      </w:r>
    </w:p>
    <w:p w14:paraId="639E3DAF">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可由登</w:t>
      </w:r>
      <w:r>
        <w:rPr>
          <w:rFonts w:ascii="Times New Roman" w:hAnsi="Times New Roman" w:cs="Times New Roman"/>
          <w:kern w:val="0"/>
          <w:sz w:val="24"/>
          <w:szCs w:val="24"/>
          <w:highlight w:val="none"/>
        </w:rPr>
        <w:t>录用户</w:t>
      </w:r>
      <w:r>
        <w:rPr>
          <w:rFonts w:hint="default" w:ascii="Times New Roman" w:hAnsi="Times New Roman" w:cs="Times New Roman"/>
          <w:kern w:val="0"/>
          <w:sz w:val="24"/>
          <w:szCs w:val="24"/>
          <w:highlight w:val="none"/>
        </w:rPr>
        <w:t>在</w:t>
      </w:r>
      <w:r>
        <w:rPr>
          <w:rFonts w:ascii="Times New Roman" w:hAnsi="Times New Roman" w:cs="Times New Roman"/>
          <w:kern w:val="0"/>
          <w:sz w:val="24"/>
          <w:szCs w:val="24"/>
          <w:highlight w:val="none"/>
        </w:rPr>
        <w:t>指标体系范围内进行</w:t>
      </w:r>
      <w:r>
        <w:rPr>
          <w:rFonts w:hint="default" w:ascii="Times New Roman" w:hAnsi="Times New Roman" w:cs="Times New Roman"/>
          <w:kern w:val="0"/>
          <w:sz w:val="24"/>
          <w:szCs w:val="24"/>
          <w:highlight w:val="none"/>
        </w:rPr>
        <w:t>自</w:t>
      </w:r>
      <w:r>
        <w:rPr>
          <w:rFonts w:ascii="Times New Roman" w:hAnsi="Times New Roman" w:cs="Times New Roman"/>
          <w:kern w:val="0"/>
          <w:sz w:val="24"/>
          <w:szCs w:val="24"/>
          <w:highlight w:val="none"/>
        </w:rPr>
        <w:t>由报表</w:t>
      </w:r>
      <w:r>
        <w:rPr>
          <w:rFonts w:hint="default" w:ascii="Times New Roman" w:hAnsi="Times New Roman" w:cs="Times New Roman"/>
          <w:kern w:val="0"/>
          <w:sz w:val="24"/>
          <w:szCs w:val="24"/>
          <w:highlight w:val="none"/>
        </w:rPr>
        <w:t>定制</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报表</w:t>
      </w:r>
      <w:r>
        <w:rPr>
          <w:rFonts w:ascii="Times New Roman" w:hAnsi="Times New Roman" w:cs="Times New Roman"/>
          <w:kern w:val="0"/>
          <w:sz w:val="24"/>
          <w:szCs w:val="24"/>
          <w:highlight w:val="none"/>
        </w:rPr>
        <w:t>可定</w:t>
      </w:r>
      <w:r>
        <w:rPr>
          <w:rFonts w:hint="default" w:ascii="Times New Roman" w:hAnsi="Times New Roman" w:cs="Times New Roman"/>
          <w:kern w:val="0"/>
          <w:sz w:val="24"/>
          <w:szCs w:val="24"/>
          <w:highlight w:val="none"/>
        </w:rPr>
        <w:t>制</w:t>
      </w:r>
      <w:r>
        <w:rPr>
          <w:rFonts w:ascii="Times New Roman" w:hAnsi="Times New Roman" w:cs="Times New Roman"/>
          <w:kern w:val="0"/>
          <w:sz w:val="24"/>
          <w:szCs w:val="24"/>
          <w:highlight w:val="none"/>
        </w:rPr>
        <w:t>单位</w:t>
      </w:r>
      <w:r>
        <w:rPr>
          <w:rFonts w:hint="default" w:ascii="Times New Roman" w:hAnsi="Times New Roman" w:cs="Times New Roman"/>
          <w:kern w:val="0"/>
          <w:sz w:val="24"/>
          <w:szCs w:val="24"/>
          <w:highlight w:val="none"/>
        </w:rPr>
        <w:t>范围</w:t>
      </w:r>
      <w:r>
        <w:rPr>
          <w:rFonts w:ascii="Times New Roman" w:hAnsi="Times New Roman" w:cs="Times New Roman"/>
          <w:kern w:val="0"/>
          <w:sz w:val="24"/>
          <w:szCs w:val="24"/>
          <w:highlight w:val="none"/>
        </w:rPr>
        <w:t>、时间类型（日、月、年</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自定义）、自选</w:t>
      </w:r>
      <w:r>
        <w:rPr>
          <w:rFonts w:hint="default" w:ascii="Times New Roman" w:hAnsi="Times New Roman" w:cs="Times New Roman"/>
          <w:kern w:val="0"/>
          <w:sz w:val="24"/>
          <w:szCs w:val="24"/>
          <w:highlight w:val="none"/>
        </w:rPr>
        <w:t>指标，</w:t>
      </w:r>
      <w:r>
        <w:rPr>
          <w:rFonts w:ascii="Times New Roman" w:hAnsi="Times New Roman" w:cs="Times New Roman"/>
          <w:kern w:val="0"/>
          <w:sz w:val="24"/>
          <w:szCs w:val="24"/>
          <w:highlight w:val="none"/>
        </w:rPr>
        <w:t>可</w:t>
      </w:r>
      <w:r>
        <w:rPr>
          <w:rFonts w:hint="default" w:ascii="Times New Roman" w:hAnsi="Times New Roman" w:cs="Times New Roman"/>
          <w:kern w:val="0"/>
          <w:sz w:val="24"/>
          <w:szCs w:val="24"/>
          <w:highlight w:val="none"/>
        </w:rPr>
        <w:t>进行</w:t>
      </w:r>
      <w:r>
        <w:rPr>
          <w:rFonts w:ascii="Times New Roman" w:hAnsi="Times New Roman" w:cs="Times New Roman"/>
          <w:kern w:val="0"/>
          <w:sz w:val="24"/>
          <w:szCs w:val="24"/>
          <w:highlight w:val="none"/>
        </w:rPr>
        <w:t>本期数据、</w:t>
      </w:r>
      <w:r>
        <w:rPr>
          <w:rFonts w:hint="default" w:ascii="Times New Roman" w:hAnsi="Times New Roman" w:cs="Times New Roman"/>
          <w:kern w:val="0"/>
          <w:sz w:val="24"/>
          <w:szCs w:val="24"/>
          <w:highlight w:val="none"/>
        </w:rPr>
        <w:t>去</w:t>
      </w:r>
      <w:r>
        <w:rPr>
          <w:rFonts w:ascii="Times New Roman" w:hAnsi="Times New Roman" w:cs="Times New Roman"/>
          <w:kern w:val="0"/>
          <w:sz w:val="24"/>
          <w:szCs w:val="24"/>
          <w:highlight w:val="none"/>
        </w:rPr>
        <w:t>年同期数据</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计划数据（</w:t>
      </w:r>
      <w:r>
        <w:rPr>
          <w:rFonts w:hint="default" w:ascii="Times New Roman" w:hAnsi="Times New Roman" w:cs="Times New Roman"/>
          <w:kern w:val="0"/>
          <w:sz w:val="24"/>
          <w:szCs w:val="24"/>
          <w:highlight w:val="none"/>
        </w:rPr>
        <w:t>发</w:t>
      </w:r>
      <w:r>
        <w:rPr>
          <w:rFonts w:ascii="Times New Roman" w:hAnsi="Times New Roman" w:cs="Times New Roman"/>
          <w:kern w:val="0"/>
          <w:sz w:val="24"/>
          <w:szCs w:val="24"/>
          <w:highlight w:val="none"/>
        </w:rPr>
        <w:t>电量指标）、</w:t>
      </w:r>
      <w:r>
        <w:rPr>
          <w:rFonts w:hint="default" w:ascii="Times New Roman" w:hAnsi="Times New Roman" w:cs="Times New Roman"/>
          <w:kern w:val="0"/>
          <w:sz w:val="24"/>
          <w:szCs w:val="24"/>
          <w:highlight w:val="none"/>
        </w:rPr>
        <w:t>计划</w:t>
      </w:r>
      <w:r>
        <w:rPr>
          <w:rFonts w:ascii="Times New Roman" w:hAnsi="Times New Roman" w:cs="Times New Roman"/>
          <w:kern w:val="0"/>
          <w:sz w:val="24"/>
          <w:szCs w:val="24"/>
          <w:highlight w:val="none"/>
        </w:rPr>
        <w:t>超欠（发电量指标）、月累数据、年累数据</w:t>
      </w:r>
      <w:r>
        <w:rPr>
          <w:rFonts w:hint="default" w:ascii="Times New Roman" w:hAnsi="Times New Roman" w:cs="Times New Roman"/>
          <w:kern w:val="0"/>
          <w:sz w:val="24"/>
          <w:szCs w:val="24"/>
          <w:highlight w:val="none"/>
        </w:rPr>
        <w:t>的定义和</w:t>
      </w:r>
      <w:r>
        <w:rPr>
          <w:rFonts w:ascii="Times New Roman" w:hAnsi="Times New Roman" w:cs="Times New Roman"/>
          <w:kern w:val="0"/>
          <w:sz w:val="24"/>
          <w:szCs w:val="24"/>
          <w:highlight w:val="none"/>
        </w:rPr>
        <w:t>展示。</w:t>
      </w:r>
    </w:p>
    <w:p w14:paraId="38BEA766">
      <w:pPr>
        <w:wordWrap w:val="0"/>
        <w:spacing w:before="0" w:line="420" w:lineRule="exact"/>
        <w:ind w:firstLine="480" w:firstLineChars="200"/>
        <w:rPr>
          <w:rFonts w:ascii="Times New Roman" w:hAnsi="Times New Roman" w:cs="Times New Roman"/>
          <w:kern w:val="0"/>
          <w:sz w:val="24"/>
          <w:szCs w:val="24"/>
          <w:highlight w:val="none"/>
        </w:rPr>
      </w:pPr>
      <w:bookmarkStart w:id="490" w:name="_Toc20978"/>
      <w:bookmarkStart w:id="491" w:name="_Toc20408"/>
      <w:bookmarkStart w:id="492" w:name="_Toc527469517"/>
      <w:bookmarkStart w:id="493" w:name="_Toc2898"/>
      <w:bookmarkStart w:id="494" w:name="_Toc14001"/>
      <w:bookmarkStart w:id="495" w:name="_Toc525904522"/>
      <w:bookmarkStart w:id="496" w:name="_Toc129108045"/>
      <w:r>
        <w:rPr>
          <w:rFonts w:hint="default" w:ascii="Times New Roman" w:hAnsi="Times New Roman" w:cs="Times New Roman"/>
          <w:kern w:val="0"/>
          <w:sz w:val="24"/>
          <w:szCs w:val="24"/>
          <w:highlight w:val="none"/>
        </w:rPr>
        <w:t>7</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权限可</w:t>
      </w:r>
      <w:r>
        <w:rPr>
          <w:rFonts w:ascii="Times New Roman" w:hAnsi="Times New Roman" w:cs="Times New Roman"/>
          <w:kern w:val="0"/>
          <w:sz w:val="24"/>
          <w:szCs w:val="24"/>
          <w:highlight w:val="none"/>
        </w:rPr>
        <w:t>灵活配置</w:t>
      </w:r>
      <w:bookmarkEnd w:id="490"/>
      <w:bookmarkEnd w:id="491"/>
      <w:bookmarkEnd w:id="492"/>
      <w:bookmarkEnd w:id="493"/>
      <w:bookmarkEnd w:id="494"/>
      <w:bookmarkEnd w:id="495"/>
      <w:bookmarkEnd w:id="496"/>
      <w:r>
        <w:rPr>
          <w:rFonts w:hint="default" w:ascii="Times New Roman" w:hAnsi="Times New Roman" w:cs="Times New Roman"/>
          <w:kern w:val="0"/>
          <w:sz w:val="24"/>
          <w:szCs w:val="24"/>
          <w:highlight w:val="none"/>
        </w:rPr>
        <w:t>要求</w:t>
      </w:r>
    </w:p>
    <w:p w14:paraId="2146D231">
      <w:pPr>
        <w:wordWrap w:val="0"/>
        <w:spacing w:before="0" w:line="420" w:lineRule="exact"/>
        <w:ind w:firstLine="480" w:firstLineChars="200"/>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kern w:val="0"/>
          <w:sz w:val="24"/>
          <w:szCs w:val="24"/>
          <w:highlight w:val="none"/>
        </w:rPr>
        <w:t>权限</w:t>
      </w:r>
      <w:r>
        <w:rPr>
          <w:rFonts w:ascii="Times New Roman" w:hAnsi="Times New Roman" w:cs="Times New Roman"/>
          <w:kern w:val="0"/>
          <w:sz w:val="24"/>
          <w:szCs w:val="24"/>
          <w:highlight w:val="none"/>
        </w:rPr>
        <w:t>配置</w:t>
      </w:r>
      <w:r>
        <w:rPr>
          <w:rFonts w:hint="default" w:ascii="Times New Roman" w:hAnsi="Times New Roman" w:cs="Times New Roman"/>
          <w:kern w:val="0"/>
          <w:sz w:val="24"/>
          <w:szCs w:val="24"/>
          <w:highlight w:val="none"/>
        </w:rPr>
        <w:t>需支持</w:t>
      </w:r>
      <w:r>
        <w:rPr>
          <w:rFonts w:ascii="Times New Roman" w:hAnsi="Times New Roman" w:cs="Times New Roman"/>
          <w:kern w:val="0"/>
          <w:sz w:val="24"/>
          <w:szCs w:val="24"/>
          <w:highlight w:val="none"/>
        </w:rPr>
        <w:t>分级，包括：超级管理员、</w:t>
      </w:r>
      <w:r>
        <w:rPr>
          <w:rFonts w:hint="default" w:ascii="Times New Roman" w:hAnsi="Times New Roman" w:cs="Times New Roman"/>
          <w:kern w:val="0"/>
          <w:sz w:val="24"/>
          <w:szCs w:val="24"/>
          <w:highlight w:val="none"/>
        </w:rPr>
        <w:t>一般管理</w:t>
      </w:r>
      <w:r>
        <w:rPr>
          <w:rFonts w:ascii="Times New Roman" w:hAnsi="Times New Roman" w:cs="Times New Roman"/>
          <w:kern w:val="0"/>
          <w:sz w:val="24"/>
          <w:szCs w:val="24"/>
          <w:highlight w:val="none"/>
        </w:rPr>
        <w:t>员和</w:t>
      </w:r>
      <w:r>
        <w:rPr>
          <w:rFonts w:hint="default" w:ascii="Times New Roman" w:hAnsi="Times New Roman" w:cs="Times New Roman"/>
          <w:kern w:val="0"/>
          <w:sz w:val="24"/>
          <w:szCs w:val="24"/>
          <w:highlight w:val="none"/>
        </w:rPr>
        <w:t>普通用户</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超</w:t>
      </w:r>
      <w:r>
        <w:rPr>
          <w:rFonts w:ascii="Times New Roman" w:hAnsi="Times New Roman" w:cs="Times New Roman"/>
          <w:kern w:val="0"/>
          <w:sz w:val="24"/>
          <w:szCs w:val="24"/>
          <w:highlight w:val="none"/>
        </w:rPr>
        <w:t>级管理员可设置一般管理员权限；一般管理员可以</w:t>
      </w:r>
      <w:r>
        <w:rPr>
          <w:rFonts w:hint="default" w:ascii="Times New Roman" w:hAnsi="Times New Roman" w:cs="Times New Roman"/>
          <w:kern w:val="0"/>
          <w:sz w:val="24"/>
          <w:szCs w:val="24"/>
          <w:highlight w:val="none"/>
        </w:rPr>
        <w:t>在</w:t>
      </w:r>
      <w:r>
        <w:rPr>
          <w:rFonts w:ascii="Times New Roman" w:hAnsi="Times New Roman" w:cs="Times New Roman"/>
          <w:kern w:val="0"/>
          <w:sz w:val="24"/>
          <w:szCs w:val="24"/>
          <w:highlight w:val="none"/>
        </w:rPr>
        <w:t>自</w:t>
      </w:r>
      <w:r>
        <w:rPr>
          <w:rFonts w:hint="default" w:ascii="Times New Roman" w:hAnsi="Times New Roman" w:cs="Times New Roman"/>
          <w:kern w:val="0"/>
          <w:sz w:val="24"/>
          <w:szCs w:val="24"/>
          <w:highlight w:val="none"/>
        </w:rPr>
        <w:t>已</w:t>
      </w:r>
      <w:r>
        <w:rPr>
          <w:rFonts w:ascii="Times New Roman" w:hAnsi="Times New Roman" w:cs="Times New Roman"/>
          <w:kern w:val="0"/>
          <w:sz w:val="24"/>
          <w:szCs w:val="24"/>
          <w:highlight w:val="none"/>
        </w:rPr>
        <w:t>的权限范围内授权给普通用户</w:t>
      </w:r>
      <w:r>
        <w:rPr>
          <w:rFonts w:hint="eastAsia" w:ascii="Times New Roman" w:hAnsi="Times New Roman" w:cs="Times New Roman"/>
          <w:kern w:val="0"/>
          <w:sz w:val="24"/>
          <w:szCs w:val="24"/>
          <w:highlight w:val="none"/>
          <w:lang w:eastAsia="zh-CN"/>
        </w:rPr>
        <w:t>。</w:t>
      </w:r>
    </w:p>
    <w:p w14:paraId="5F0D1827">
      <w:pPr>
        <w:wordWrap w:val="0"/>
        <w:spacing w:before="0" w:line="420" w:lineRule="exact"/>
        <w:ind w:firstLine="480" w:firstLineChars="200"/>
        <w:rPr>
          <w:rFonts w:ascii="Times New Roman" w:hAnsi="Times New Roman" w:cs="Times New Roman"/>
          <w:kern w:val="0"/>
          <w:sz w:val="24"/>
          <w:szCs w:val="24"/>
          <w:highlight w:val="none"/>
        </w:rPr>
      </w:pPr>
      <w:bookmarkStart w:id="497" w:name="_Toc129108046"/>
      <w:r>
        <w:rPr>
          <w:rFonts w:hint="default" w:ascii="Times New Roman" w:hAnsi="Times New Roman" w:cs="Times New Roman"/>
          <w:kern w:val="0"/>
          <w:sz w:val="24"/>
          <w:szCs w:val="24"/>
          <w:highlight w:val="none"/>
        </w:rPr>
        <w:t>8</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接入可扩展</w:t>
      </w:r>
      <w:bookmarkEnd w:id="497"/>
      <w:r>
        <w:rPr>
          <w:rFonts w:hint="default" w:ascii="Times New Roman" w:hAnsi="Times New Roman" w:cs="Times New Roman"/>
          <w:kern w:val="0"/>
          <w:sz w:val="24"/>
          <w:szCs w:val="24"/>
          <w:highlight w:val="none"/>
        </w:rPr>
        <w:t>要求</w:t>
      </w:r>
    </w:p>
    <w:p w14:paraId="52F6F702">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支持接入扩展，包括新增加的不同品牌的光伏设备接入。</w:t>
      </w:r>
    </w:p>
    <w:p w14:paraId="74405CFA">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9.存储可扩展</w:t>
      </w:r>
    </w:p>
    <w:p w14:paraId="5B6CD5B8">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随着应用增加，系统存储不满足用户需求的情况下，可实现存储的自动扩展，在不影响系统使用的情况下，进行存储扩展。</w:t>
      </w:r>
    </w:p>
    <w:p w14:paraId="53376DDC">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（四）数据大屏功能要求</w:t>
      </w:r>
    </w:p>
    <w:p w14:paraId="54482FE4">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1.资产概览</w:t>
      </w:r>
    </w:p>
    <w:p w14:paraId="2A049EC8">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资产概览，从地区维度聚合电站统计，快速了解所拥有的电站资产的实时运营指标情况，监控指标分为综合指标和清洁指标，综合指标有聚合区域内的电站数量、装机容量、发电收益；清洁指标有减排数量、节约煤炭数量、等效植树数量，通过地图点选区域，可以实时计算区域内所属电站统计自发自用率、上网电网、上网收益、自用电量、自用收益等数据。</w:t>
      </w:r>
    </w:p>
    <w:p w14:paraId="5B1A61CC">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2.运行概览</w:t>
      </w:r>
    </w:p>
    <w:p w14:paraId="7065C3FE">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户在运行概览页面可以查看多个电站的总发电量、总发电收益、节能减排、装机容量、累计自发自用率等指标，同时可以查看场站告警统计信息，包括安全隐患、设备故障、通讯异常、低效运行，还可以查看电站列表信息，点击对应的电站卡片可以跳转到单个电站的详情页面。</w:t>
      </w:r>
    </w:p>
    <w:p w14:paraId="3BC74311">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3.电站监控</w:t>
      </w:r>
    </w:p>
    <w:p w14:paraId="4A941A7D">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电站监控页面提供电站发电量、发电收益、实时功率的统计和展示，基于现场安装的并网电表和关口电表，统计出电站的发电量、上网电量，并可以计算出单个电站自发自用率，基于每个电站位置信息可以展示当地天气信息，至少包含当天温度、湿度、风速（m/s）、风向等，点击电站逆变器卡片可以查询到单个逆变器的详情页面。</w:t>
      </w:r>
    </w:p>
    <w:p w14:paraId="3A245AAC">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4.逆变器监控</w:t>
      </w:r>
    </w:p>
    <w:p w14:paraId="78A0033D">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用户可以通过单个设备的详情监控页面，了解到单台设备的日发电量、累计发电量统计、单台设备的当日功率曲线、设备的基本属性、设备的历史告警信息等。</w:t>
      </w:r>
    </w:p>
    <w:p w14:paraId="3D26A3F0">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5.视频监控</w:t>
      </w:r>
    </w:p>
    <w:p w14:paraId="6A42D6C9">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通过接入场站视频设备，可查看场站实时监控信息，画面支持在多个摄像头间切换，页面同时显示视频监控告警信息，包括入侵告警、火情告警等。</w:t>
      </w:r>
    </w:p>
    <w:p w14:paraId="492CA007">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6.大屏演示播放</w:t>
      </w:r>
    </w:p>
    <w:p w14:paraId="1ABEA9F0">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数据大屏，可通过选择播放页面，设置页面停留时间，设置自动轮播。</w:t>
      </w:r>
    </w:p>
    <w:p w14:paraId="6833864D">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（五）资产中心功能要求</w:t>
      </w:r>
    </w:p>
    <w:p w14:paraId="0BF75346">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1.资产驾驶舱</w:t>
      </w:r>
    </w:p>
    <w:p w14:paraId="5CB6CE01">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包含资产概况数据、资产收益趋势在内的多维度资产信息数据指标。可以查看到项目装机总容量、运行中电站的总容量、正常电站数量、异常电站数量、新建并网电站数量、总计收益和总计发电量等数据。支持查看近期并网项目的详细信息，包括名称、状态、并网时间、日均等效发电小时数等关键信息，同时满足近六个月并网项目搜索功能。</w:t>
      </w:r>
    </w:p>
    <w:p w14:paraId="5F559C31">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2.资产台账</w:t>
      </w:r>
    </w:p>
    <w:p w14:paraId="651368EE">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资产台账包括装机总容量、运行中、调试中、建设中场站数量，反映单个场站建设状态、所属省市、装机容量、投产时间信息。可以通过场站名称进行资产搜索，并支持根据场站建设状态、所属区域、光伏电站类型等关键词进行筛选。支持台账信息选中并导出。</w:t>
      </w:r>
    </w:p>
    <w:p w14:paraId="4C8571C9">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通过点击场站名称可以下钻到该场站的信息主页，并从场站信息、电站收益、运行状况、场站功率因数值等方面展示场站的详细数据。</w:t>
      </w:r>
    </w:p>
    <w:p w14:paraId="4D1CC774">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3.资产绩效</w:t>
      </w:r>
    </w:p>
    <w:p w14:paraId="0218C92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资产收益反映场站绩效信息，收益包括累计收益、消纳收益、上网总收益、补贴总收益、当月总收益和各场站组成结构。支持搜索查看对应场站的收益明细，同时支持人工进行收益补录，进行资产整体收益汇总。</w:t>
      </w:r>
    </w:p>
    <w:p w14:paraId="33A3242B">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4.资产分析报告</w:t>
      </w:r>
    </w:p>
    <w:p w14:paraId="674AE61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通过平台对电站资产进行月度盘点，进行数据资产的归集，报告内容包括电站月度动态变化，资产整体运维情况，电站运行异常情况，智能化分析和诊断结果，资产运维建议等信息。</w:t>
      </w:r>
    </w:p>
    <w:p w14:paraId="78E732DA">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（六）运维中心功能要求</w:t>
      </w:r>
    </w:p>
    <w:p w14:paraId="1FD6C446">
      <w:pPr>
        <w:keepNext w:val="0"/>
        <w:keepLines w:val="0"/>
        <w:wordWrap w:val="0"/>
        <w:spacing w:line="420" w:lineRule="exact"/>
        <w:ind w:firstLine="480" w:firstLineChars="200"/>
        <w:rPr>
          <w:rFonts w:ascii="Times New Roman" w:hAnsi="Times New Roman" w:cs="Times New Roman"/>
          <w:kern w:val="0"/>
          <w:sz w:val="24"/>
          <w:highlight w:val="none"/>
        </w:rPr>
      </w:pPr>
      <w:bookmarkStart w:id="498" w:name="_Toc129108063"/>
      <w:r>
        <w:rPr>
          <w:rFonts w:hint="default" w:ascii="Times New Roman" w:hAnsi="Times New Roman" w:cs="Times New Roman"/>
          <w:kern w:val="0"/>
          <w:sz w:val="24"/>
          <w:highlight w:val="none"/>
        </w:rPr>
        <w:t>1. 运维工作台</w:t>
      </w:r>
    </w:p>
    <w:p w14:paraId="7181F86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作为运维管理人员管理工作台，实现以下功能：</w:t>
      </w:r>
    </w:p>
    <w:p w14:paraId="19BB4483">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1、站级状态的查看，</w:t>
      </w:r>
      <w:r>
        <w:rPr>
          <w:rFonts w:hint="default" w:ascii="Times New Roman" w:hAnsi="Times New Roman" w:cs="Times New Roman"/>
          <w:kern w:val="0"/>
          <w:sz w:val="24"/>
          <w:szCs w:val="24"/>
          <w:highlight w:val="none"/>
        </w:rPr>
        <w:t>支持运维人员在该功能模块界面下可以查看有权限场站的实时状态，支持场站按照总数、正常场站数量、异常需关注场站数量进行统计。</w:t>
      </w:r>
      <w:r>
        <w:rPr>
          <w:rFonts w:ascii="Times New Roman" w:hAnsi="Times New Roman" w:cs="Times New Roman"/>
          <w:kern w:val="0"/>
          <w:sz w:val="24"/>
          <w:szCs w:val="24"/>
          <w:highlight w:val="none"/>
        </w:rPr>
        <w:t>依据平台的四大问题诊断能力（安全隐患、发电故障、发电低效、通讯异常）进行信息分层，以便于运维人员按照问题优先级进行问题处理</w:t>
      </w:r>
      <w:r>
        <w:rPr>
          <w:rFonts w:hint="default" w:ascii="Times New Roman" w:hAnsi="Times New Roman" w:cs="Times New Roman"/>
          <w:kern w:val="0"/>
          <w:sz w:val="24"/>
          <w:szCs w:val="24"/>
          <w:highlight w:val="none"/>
        </w:rPr>
        <w:t>。</w:t>
      </w:r>
    </w:p>
    <w:p w14:paraId="6671BD1A">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2、设备状态管理</w:t>
      </w:r>
      <w:r>
        <w:rPr>
          <w:rFonts w:hint="default" w:ascii="Times New Roman" w:hAnsi="Times New Roman" w:cs="Times New Roman"/>
          <w:kern w:val="0"/>
          <w:sz w:val="24"/>
          <w:szCs w:val="24"/>
          <w:highlight w:val="none"/>
        </w:rPr>
        <w:t>，支持运维人员在设备监测界面可以查看有权限设备的实时状态，支持包括逆变器、储能、变压器、智能采集设备、环境检测仪等设备按电站生产设备和辅助设备进行分类，并可通过点击对应设备下钻至具体设备运行信息界面，支持设备状态筛选功能；</w:t>
      </w:r>
    </w:p>
    <w:p w14:paraId="5BE59106">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3、</w:t>
      </w:r>
      <w:r>
        <w:rPr>
          <w:rFonts w:hint="default" w:ascii="Times New Roman" w:hAnsi="Times New Roman" w:cs="Times New Roman"/>
          <w:kern w:val="0"/>
          <w:sz w:val="24"/>
          <w:szCs w:val="24"/>
          <w:highlight w:val="none"/>
        </w:rPr>
        <w:t>月度可研电量</w:t>
      </w:r>
      <w:r>
        <w:rPr>
          <w:rFonts w:ascii="Times New Roman" w:hAnsi="Times New Roman" w:cs="Times New Roman"/>
          <w:kern w:val="0"/>
          <w:sz w:val="24"/>
          <w:szCs w:val="24"/>
          <w:highlight w:val="none"/>
        </w:rPr>
        <w:t>进度查看</w:t>
      </w:r>
      <w:r>
        <w:rPr>
          <w:rFonts w:hint="default" w:ascii="Times New Roman" w:hAnsi="Times New Roman" w:cs="Times New Roman"/>
          <w:kern w:val="0"/>
          <w:sz w:val="24"/>
          <w:szCs w:val="24"/>
          <w:highlight w:val="none"/>
        </w:rPr>
        <w:t>，系统支持逐月配置可研阶段月度发电量，并通过曲线形式展示可研电量与实际发电量对比，实时追踪电站本月、本周期发电量以及完成的进度，同时可查看历史的完成情况；</w:t>
      </w:r>
    </w:p>
    <w:p w14:paraId="28857259">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4、运维工具包的快捷入口</w:t>
      </w:r>
      <w:r>
        <w:rPr>
          <w:rFonts w:hint="default" w:ascii="Times New Roman" w:hAnsi="Times New Roman" w:cs="Times New Roman"/>
          <w:kern w:val="0"/>
          <w:sz w:val="24"/>
          <w:szCs w:val="24"/>
          <w:highlight w:val="none"/>
        </w:rPr>
        <w:t>，</w:t>
      </w:r>
      <w:r>
        <w:rPr>
          <w:rFonts w:ascii="Times New Roman" w:hAnsi="Times New Roman" w:cs="Times New Roman"/>
          <w:kern w:val="0"/>
          <w:sz w:val="24"/>
          <w:szCs w:val="24"/>
          <w:highlight w:val="none"/>
        </w:rPr>
        <w:t>告警管理、数据曲线、需量查询、统计报表（场站月报、场站日报、逆变器日报、环测仪日报）</w:t>
      </w:r>
      <w:r>
        <w:rPr>
          <w:rFonts w:hint="default" w:ascii="Times New Roman" w:hAnsi="Times New Roman" w:cs="Times New Roman"/>
          <w:kern w:val="0"/>
          <w:sz w:val="24"/>
          <w:szCs w:val="24"/>
          <w:highlight w:val="none"/>
        </w:rPr>
        <w:t>；</w:t>
      </w:r>
    </w:p>
    <w:p w14:paraId="203CE738">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5、告警概览查看，</w:t>
      </w:r>
      <w:r>
        <w:rPr>
          <w:rFonts w:hint="default" w:ascii="Times New Roman" w:hAnsi="Times New Roman" w:cs="Times New Roman"/>
          <w:kern w:val="0"/>
          <w:sz w:val="24"/>
          <w:szCs w:val="24"/>
          <w:highlight w:val="none"/>
        </w:rPr>
        <w:t>支持按告警等级展示场站当前告警统计数据，便于运维人员快速了解有权运维的设备告警情况，</w:t>
      </w:r>
      <w:r>
        <w:rPr>
          <w:rFonts w:ascii="Times New Roman" w:hAnsi="Times New Roman" w:cs="Times New Roman"/>
          <w:kern w:val="0"/>
          <w:sz w:val="24"/>
          <w:szCs w:val="24"/>
          <w:highlight w:val="none"/>
        </w:rPr>
        <w:t>发现重要和紧急问题</w:t>
      </w:r>
      <w:r>
        <w:rPr>
          <w:rFonts w:hint="default" w:ascii="Times New Roman" w:hAnsi="Times New Roman" w:cs="Times New Roman"/>
          <w:kern w:val="0"/>
          <w:sz w:val="24"/>
          <w:szCs w:val="24"/>
          <w:highlight w:val="none"/>
        </w:rPr>
        <w:t>，同时支持按不同告警等级进行筛选；</w:t>
      </w:r>
    </w:p>
    <w:p w14:paraId="150DE467">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6、提供包括场站监测、运维任务、运维考核等模块的入口功能</w:t>
      </w:r>
      <w:r>
        <w:rPr>
          <w:rFonts w:hint="default" w:ascii="Times New Roman" w:hAnsi="Times New Roman" w:cs="Times New Roman"/>
          <w:kern w:val="0"/>
          <w:sz w:val="24"/>
          <w:szCs w:val="24"/>
          <w:highlight w:val="none"/>
        </w:rPr>
        <w:t>，展示当前场站运行待接收事件和正在处理中的事件信息；</w:t>
      </w:r>
    </w:p>
    <w:p w14:paraId="1820B7E2">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7、运维日志的查看和管理</w:t>
      </w:r>
      <w:r>
        <w:rPr>
          <w:rFonts w:hint="default" w:ascii="Times New Roman" w:hAnsi="Times New Roman" w:cs="Times New Roman"/>
          <w:kern w:val="0"/>
          <w:sz w:val="24"/>
          <w:szCs w:val="24"/>
          <w:highlight w:val="none"/>
        </w:rPr>
        <w:t>，支持查看当月的运维详情，并支持追溯历史运维情况，通过点击所选日期进行页面跳转查看改天出现处理中的运维任务；</w:t>
      </w:r>
    </w:p>
    <w:p w14:paraId="1374D5EB">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8、设备测点的原始数据查询与比较</w:t>
      </w:r>
      <w:r>
        <w:rPr>
          <w:rFonts w:hint="default" w:ascii="Times New Roman" w:hAnsi="Times New Roman" w:cs="Times New Roman"/>
          <w:kern w:val="0"/>
          <w:sz w:val="24"/>
          <w:szCs w:val="24"/>
          <w:highlight w:val="none"/>
        </w:rPr>
        <w:t>，支持对比所选定测点的数据曲线展示；</w:t>
      </w:r>
    </w:p>
    <w:p w14:paraId="7A5B680E">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2. 电站监测管理</w:t>
      </w:r>
    </w:p>
    <w:p w14:paraId="03DD343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运维人员在电站监测管理界面可以查看有权限场站的实时状态，快速了解运维场站的基本情况。支持通过点击场站名称或设备名称进入场站主页或设备主页进行查看，包含功率曲线在内的多项运行指标，并展示异常设备的展示范围。</w:t>
      </w:r>
    </w:p>
    <w:p w14:paraId="242C0D70">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电站详情分为基本信息与拓扑图；</w:t>
      </w:r>
    </w:p>
    <w:p w14:paraId="083759EC">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基本信息页展示电站月、年、总 的发电量、自发自用率，今日的发电详情，以及实时的电流电压、功率等数据；同时支持在此页面任选一段时间查看其功率曲线与每日的发电量；</w:t>
      </w:r>
    </w:p>
    <w:p w14:paraId="41FCA9D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拓扑图页以实际电站连接情况为依据，展示电站下所有的设备的实时数据与状态，便于运维定位问题；</w:t>
      </w:r>
    </w:p>
    <w:p w14:paraId="0C667D4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逆变器详情分为基本信息与组件详情；</w:t>
      </w:r>
    </w:p>
    <w:p w14:paraId="16A98F5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基本信息页需展示设备实时发电量与等效发电小时数，以及实时的电流电压、功率等数据；同时支持在此页面任选一段时间查看其功率曲线与每日的发电量；</w:t>
      </w:r>
    </w:p>
    <w:p w14:paraId="4232676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组件详情页详细展示逆变器所有接入组串的实时数据，可根据逆变器实际组串接入情况进行参数配置，支持自动化识别逆变器组串接入情况。</w:t>
      </w:r>
    </w:p>
    <w:p w14:paraId="04545EC2">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气象监控展示环测仪的基本信息、实时环测数据，并且可以查看一段时间内的辐照度曲线、温度曲线以及水平辐照累计量；</w:t>
      </w:r>
    </w:p>
    <w:p w14:paraId="4194051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通过监测辐照度可推算出电站的发电量是否符合预期，以这些数据为支撑算出理论功率、理论发电量以及发电效率等数据，判断电站的发电量是否达到目标。</w:t>
      </w:r>
    </w:p>
    <w:bookmarkEnd w:id="498"/>
    <w:p w14:paraId="1DF91820">
      <w:pPr>
        <w:keepNext w:val="0"/>
        <w:keepLines w:val="0"/>
        <w:wordWrap w:val="0"/>
        <w:spacing w:line="420" w:lineRule="exact"/>
        <w:ind w:firstLine="480" w:firstLineChars="200"/>
        <w:rPr>
          <w:rFonts w:ascii="Times New Roman" w:hAnsi="Times New Roman" w:cs="Times New Roman"/>
          <w:kern w:val="0"/>
          <w:sz w:val="24"/>
          <w:highlight w:val="none"/>
        </w:rPr>
      </w:pPr>
      <w:bookmarkStart w:id="499" w:name="_Toc129108065"/>
      <w:r>
        <w:rPr>
          <w:rFonts w:hint="default" w:ascii="Times New Roman" w:hAnsi="Times New Roman" w:cs="Times New Roman"/>
          <w:kern w:val="0"/>
          <w:sz w:val="24"/>
          <w:highlight w:val="none"/>
        </w:rPr>
        <w:t>3. 智能告警管理</w:t>
      </w:r>
    </w:p>
    <w:p w14:paraId="1ACDEE4C">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告警列表将所有已发生或发生中的告警以列表的形式展现出来，并具有查看告警细节的功能。支持按设备类型、告警等级、设备名称、故障名称和告警发生事件进行筛选，在点击具体告警后下钻至告警详情界面，在该界面应当显示出具体告警的原因及相关的解决建议措施。支持将该告警信息转为待办，并推送给相关负责人。若该告警已经被解决，支持手动解除告警，将告警重置为已恢复状态。</w:t>
      </w:r>
    </w:p>
    <w:p w14:paraId="0EB0C29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运维人员可以通过告警列表追踪告警发生的时间、可能的原因和解决方案从而协助修复设备，也可以通过查看历史告警评估设备的状况；</w:t>
      </w:r>
    </w:p>
    <w:p w14:paraId="505F6E30">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4. 运维任务管理</w:t>
      </w:r>
    </w:p>
    <w:p w14:paraId="1BFA628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运维人员可在运维任务管理界面查看所有待办任务和已完成任务，支持按任务类型、任务紧急程度、负责人等关键词进行检索。当场站出现新问题时，可通过该功能模块填写新建运维工单任务并下发给对应的负责人。</w:t>
      </w:r>
    </w:p>
    <w:p w14:paraId="599D927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支持场站运维计划的设立，支持对定期巡检、场站安全隐患检查、电站设备维护清洗等类型任务根据已建立运维计划，自动派发运维任务。</w:t>
      </w:r>
    </w:p>
    <w:p w14:paraId="17D3A4C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提供运维考核功能模块，可以查看每月运维达标情况以及每月的考核趋</w:t>
      </w:r>
    </w:p>
    <w:p w14:paraId="44B058DF">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5. 运行分析管理</w:t>
      </w:r>
    </w:p>
    <w:p w14:paraId="65D8F70C">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运维人员可通过运行分析界面，查看场站的运行概况，包括电站的运行健康度、发电效率情况以及所有场站的电站效率的排名情况。支持以日期区间、场站名称、发电状态等条件进行检索，同时根据场站的运行效率设置对应的健康度数值，区分需要关注的场站。</w:t>
      </w:r>
    </w:p>
    <w:p w14:paraId="1A3B6F4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分析考虑灰尘、遮挡、雪覆盖、组串低效率等方面对于发电的影响，辅助分析电站发电低效率的因素。通过结合灰尘损失分析、未来的天气预报数据、设备运行工况等输入条件，得出建议清洗组件的时间，使电站的发电效率提升最大，降低运维成本，提高电站发电量。</w:t>
      </w:r>
    </w:p>
    <w:p w14:paraId="5B602B9E">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6. 功率因数调节</w:t>
      </w:r>
    </w:p>
    <w:p w14:paraId="517E4E57">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平台实时显示光伏项目关口位置功率因数信息，并提供功率因数低于阈值告警，提供逆变器调节无功功率建议。平台将根据电站发电状况及大数据分析，根据所需功率因数阈值提供感性负载下的自动无功功能，同时平台需要满足以下几个功能： </w:t>
      </w:r>
    </w:p>
    <w:p w14:paraId="02C6CA0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1， 准确的进行功率因数过低的告警提示（分为月度功率因数告警，T+1 日级的功率因数告警）； </w:t>
      </w:r>
    </w:p>
    <w:p w14:paraId="48433B3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2， 提供手动启动/关闭设备调节的能力； </w:t>
      </w:r>
    </w:p>
    <w:p w14:paraId="77B60E6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3， 提供自动化调节设备进行无功补偿的能力； </w:t>
      </w:r>
    </w:p>
    <w:p w14:paraId="477CE99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4， 提供设备调节的日报，月报； </w:t>
      </w:r>
    </w:p>
    <w:p w14:paraId="5734ABA9">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7. 历史数据分析</w:t>
      </w:r>
    </w:p>
    <w:p w14:paraId="77E5AD6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数据曲线功能可以获取到接入平台设备的所有历史数据，并且以曲线的形式展示；用户可以自由选择要查看的测点及日期范围，帮助其分析设备运行情况。</w:t>
      </w:r>
    </w:p>
    <w:p w14:paraId="1A9FCD62">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8. 统计报表</w:t>
      </w:r>
    </w:p>
    <w:p w14:paraId="59F5062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按照时间范围、特定字段查询特定电站、特定设备的数据统计情况，并提供报表导出功能。可根据场站名称、设备SN号和日期等字段筛选报表数据，选择电站或者设备，设定需要统计的字段和统计时间段，进行相关字段统计，统计结果可以进行线上查看或者导出报表查看。</w:t>
      </w:r>
      <w:bookmarkEnd w:id="499"/>
    </w:p>
    <w:p w14:paraId="50358AC3">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（七）结算中心要求</w:t>
      </w:r>
    </w:p>
    <w:p w14:paraId="12BA9B3F">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客户信息管理要求</w:t>
      </w:r>
    </w:p>
    <w:p w14:paraId="604C745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提供对购电的客户信息进行注册登记的功能，提供展示已登记的客户信息，包括客户名称、客户编号、联系人、地址。</w:t>
      </w:r>
    </w:p>
    <w:p w14:paraId="72318940">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2.</w:t>
      </w:r>
      <w:r>
        <w:rPr>
          <w:rFonts w:hint="default" w:ascii="Times New Roman" w:hAnsi="Times New Roman" w:cs="Times New Roman"/>
          <w:kern w:val="0"/>
          <w:sz w:val="24"/>
          <w:szCs w:val="24"/>
          <w:highlight w:val="none"/>
        </w:rPr>
        <w:t>用电协议管理要求</w:t>
      </w:r>
    </w:p>
    <w:p w14:paraId="3F965C5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提供用电协议新增和维护管理的功能，支撑后续结算单的生成。</w:t>
      </w:r>
    </w:p>
    <w:p w14:paraId="731650E4">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3.</w:t>
      </w:r>
      <w:r>
        <w:rPr>
          <w:rFonts w:hint="default" w:ascii="Times New Roman" w:hAnsi="Times New Roman" w:cs="Times New Roman"/>
          <w:kern w:val="0"/>
          <w:sz w:val="24"/>
          <w:szCs w:val="24"/>
          <w:highlight w:val="none"/>
        </w:rPr>
        <w:t>结算单管理要求</w:t>
      </w:r>
    </w:p>
    <w:p w14:paraId="08949C5E">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提供按周期生成结算单的功能，为后续向业主收取电费提供准确的数据支撑。</w:t>
      </w:r>
    </w:p>
    <w:p w14:paraId="3C1DCC3F">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4.</w:t>
      </w:r>
      <w:r>
        <w:rPr>
          <w:rFonts w:hint="default" w:ascii="Times New Roman" w:hAnsi="Times New Roman" w:cs="Times New Roman"/>
          <w:kern w:val="0"/>
          <w:sz w:val="24"/>
          <w:szCs w:val="24"/>
          <w:highlight w:val="none"/>
        </w:rPr>
        <w:t>结算单签章要求</w:t>
      </w:r>
    </w:p>
    <w:p w14:paraId="431356AC">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结算单功能中需要具备上传公司签章功能。</w:t>
      </w:r>
    </w:p>
    <w:p w14:paraId="6A45DF23">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5.</w:t>
      </w:r>
      <w:r>
        <w:rPr>
          <w:rFonts w:hint="default" w:ascii="Times New Roman" w:hAnsi="Times New Roman" w:cs="Times New Roman"/>
          <w:kern w:val="0"/>
          <w:sz w:val="24"/>
          <w:szCs w:val="24"/>
          <w:highlight w:val="none"/>
        </w:rPr>
        <w:t>关联银联商户号要求</w:t>
      </w:r>
    </w:p>
    <w:p w14:paraId="2298E9E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具备将系统内的投资方和银联侧的商户号进行关联的功能。</w:t>
      </w:r>
    </w:p>
    <w:p w14:paraId="067805FC">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6.</w:t>
      </w:r>
      <w:r>
        <w:rPr>
          <w:rFonts w:hint="default" w:ascii="Times New Roman" w:hAnsi="Times New Roman" w:cs="Times New Roman"/>
          <w:kern w:val="0"/>
          <w:sz w:val="24"/>
          <w:szCs w:val="24"/>
          <w:highlight w:val="none"/>
        </w:rPr>
        <w:t>账单推送要求</w:t>
      </w:r>
    </w:p>
    <w:p w14:paraId="50C22DC6">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进入账单的支付周期后，平台提供提示功能。</w:t>
      </w:r>
    </w:p>
    <w:p w14:paraId="287D10C9">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7.电费</w:t>
      </w:r>
      <w:r>
        <w:rPr>
          <w:rFonts w:hint="default" w:ascii="Times New Roman" w:hAnsi="Times New Roman" w:cs="Times New Roman"/>
          <w:kern w:val="0"/>
          <w:sz w:val="24"/>
          <w:szCs w:val="24"/>
          <w:highlight w:val="none"/>
        </w:rPr>
        <w:t>账单查看要求</w:t>
      </w:r>
    </w:p>
    <w:p w14:paraId="0474FB4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账单生成之后，用能企业可以进入账单管理模块进行查看，并支持账单明细的查看。</w:t>
      </w:r>
    </w:p>
    <w:p w14:paraId="45FCEB97">
      <w:pPr>
        <w:keepNext w:val="0"/>
        <w:keepLines w:val="0"/>
        <w:wordWrap w:val="0"/>
        <w:spacing w:line="420" w:lineRule="exact"/>
        <w:ind w:firstLine="480" w:firstLineChars="200"/>
        <w:rPr>
          <w:rFonts w:ascii="Times New Roman" w:hAnsi="Times New Roman" w:cs="Times New Roman"/>
          <w:kern w:val="0"/>
          <w:sz w:val="24"/>
          <w:szCs w:val="24"/>
          <w:highlight w:val="none"/>
        </w:rPr>
      </w:pPr>
      <w:bookmarkStart w:id="500" w:name="_Toc129108082"/>
      <w:r>
        <w:rPr>
          <w:rFonts w:hint="default" w:ascii="Times New Roman" w:hAnsi="Times New Roman" w:cs="Times New Roman"/>
          <w:kern w:val="0"/>
          <w:sz w:val="24"/>
          <w:szCs w:val="24"/>
          <w:highlight w:val="none"/>
        </w:rPr>
        <w:t>8.</w:t>
      </w:r>
      <w:r>
        <w:rPr>
          <w:rFonts w:ascii="Times New Roman" w:hAnsi="Times New Roman" w:cs="Times New Roman"/>
          <w:kern w:val="0"/>
          <w:sz w:val="24"/>
          <w:szCs w:val="24"/>
          <w:highlight w:val="none"/>
        </w:rPr>
        <w:t>电费</w:t>
      </w:r>
      <w:r>
        <w:rPr>
          <w:rFonts w:hint="default" w:ascii="Times New Roman" w:hAnsi="Times New Roman" w:cs="Times New Roman"/>
          <w:kern w:val="0"/>
          <w:sz w:val="24"/>
          <w:szCs w:val="24"/>
          <w:highlight w:val="none"/>
        </w:rPr>
        <w:t>支付</w:t>
      </w:r>
      <w:bookmarkEnd w:id="500"/>
    </w:p>
    <w:p w14:paraId="5862F12E">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账单生成之后，用能企业可以进行费用在线缴纳，并对缴纳情况进行可视化监看。</w:t>
      </w:r>
    </w:p>
    <w:p w14:paraId="37CE6659">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9.电子发票</w:t>
      </w:r>
    </w:p>
    <w:p w14:paraId="01A6130E">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系统支持与第三方电子发票系统打通，通过智慧能源系统推送账单及开票信息，实现在线开票功能及电子发票查看下载。</w:t>
      </w:r>
    </w:p>
    <w:p w14:paraId="7E7DCCBE">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（八）投建一体化中心要求</w:t>
      </w:r>
    </w:p>
    <w:p w14:paraId="071ADA71">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1.电站开发管理功能要求</w:t>
      </w:r>
    </w:p>
    <w:p w14:paraId="6B62DC2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（1）用电企业管理</w:t>
      </w:r>
    </w:p>
    <w:p w14:paraId="5709905F">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用于维护用电企业信息，可以新增用电企业，填写基本信息，基本信息包括用电企业名称、编码、城市、地址、经营范围、开发经理、企业性质等，用于后续形成项目。</w:t>
      </w:r>
    </w:p>
    <w:p w14:paraId="5670742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（2）合作伙伴管理</w:t>
      </w:r>
    </w:p>
    <w:p w14:paraId="6269E3D2">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用于维护合作伙伴信息，合作伙伴管理中可以新增合作伙伴，面向与合作伙伴共同进行项目开发的用户。合作伙伴信息包括合作伙伴名称、地址、合作意愿、主营业务、开发经理等信息。</w:t>
      </w:r>
    </w:p>
    <w:p w14:paraId="76B93C7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（3）项目模版管理</w:t>
      </w:r>
    </w:p>
    <w:p w14:paraId="61D650D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项目模板用于提前维护项目数据，在创建项目时可以快速复制数据，减少重复录入的工作，典型使用场景如下：例如不同阶段需要上传的文件名称以及是否必传可以在此维护，这样在创建项目后可以直接显示需上传的文件名称。</w:t>
      </w:r>
    </w:p>
    <w:p w14:paraId="22A3FC0C">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（4）项目管理中心项目</w:t>
      </w:r>
    </w:p>
    <w:p w14:paraId="5FB8B3C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项目项目管理中心以图表形式对项目项目进行信息展示，包括电站开发容量展示、项目项目开发程度、电站开发进度以及各个项目的开发进度以及基本信息。</w:t>
      </w:r>
    </w:p>
    <w:p w14:paraId="4B3421B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（5）新增项目项目</w:t>
      </w:r>
    </w:p>
    <w:p w14:paraId="1CE0228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点击新增项目项目，可以填写包括用电企业名称、客户地址等必填信息可以创建项目，项目进度跟进可以直接在列表中选择项目添加跟进动态。</w:t>
      </w:r>
    </w:p>
    <w:p w14:paraId="1FF481E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（6）项目项目详情</w:t>
      </w:r>
    </w:p>
    <w:p w14:paraId="206B8B78">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分为四块区域，分别展示</w:t>
      </w:r>
      <w:r>
        <w:rPr>
          <w:rFonts w:hint="default" w:ascii="Times New Roman" w:hAnsi="Times New Roman" w:cs="Times New Roman"/>
          <w:kern w:val="0"/>
          <w:sz w:val="24"/>
          <w:szCs w:val="24"/>
          <w:highlight w:val="none"/>
        </w:rPr>
        <w:t>项目项目</w:t>
      </w:r>
      <w:r>
        <w:rPr>
          <w:rFonts w:ascii="Times New Roman" w:hAnsi="Times New Roman" w:cs="Times New Roman"/>
          <w:kern w:val="0"/>
          <w:sz w:val="24"/>
          <w:szCs w:val="24"/>
          <w:highlight w:val="none"/>
        </w:rPr>
        <w:t>所处阶段状态，每个阶段资料收集情况，项目基本信息以及项目项目动态，</w:t>
      </w:r>
      <w:r>
        <w:rPr>
          <w:rFonts w:hint="default" w:ascii="Times New Roman" w:hAnsi="Times New Roman" w:cs="Times New Roman"/>
          <w:kern w:val="0"/>
          <w:sz w:val="24"/>
          <w:szCs w:val="24"/>
          <w:highlight w:val="none"/>
        </w:rPr>
        <w:t>项目项目</w:t>
      </w:r>
      <w:r>
        <w:rPr>
          <w:rFonts w:ascii="Times New Roman" w:hAnsi="Times New Roman" w:cs="Times New Roman"/>
          <w:kern w:val="0"/>
          <w:sz w:val="24"/>
          <w:szCs w:val="24"/>
          <w:highlight w:val="none"/>
        </w:rPr>
        <w:t>阶段中均可进行文件上传保存。各阶段可设置人员权限管理。</w:t>
      </w:r>
    </w:p>
    <w:p w14:paraId="706810EF">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2.电站建设过程管理要求</w:t>
      </w:r>
    </w:p>
    <w:p w14:paraId="1651188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（1）合同管理</w:t>
      </w:r>
    </w:p>
    <w:p w14:paraId="7D34688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用于进行合同信息的维护，维护好合同后方可新建项目，新建合同信息包括合同名称、合同编号、签约容量、甲方、乙方，监理方信息、合同签订时间、预计交付时间，同时可以关联合同所属的项目。</w:t>
      </w:r>
    </w:p>
    <w:p w14:paraId="659D280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（2）新建电站</w:t>
      </w:r>
    </w:p>
    <w:p w14:paraId="05873BC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用于维护电站建设项目信息，可以与项目合同关联，项目信息包括项目名称、项目经理、预计开工时间、预计竣工时间等。</w:t>
      </w:r>
    </w:p>
    <w:p w14:paraId="0469F7C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（3）计划管理</w:t>
      </w:r>
    </w:p>
    <w:p w14:paraId="31DB84D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于项目计划管理，支持新增、修改、删除项目计划节点，支持以甘特图视图展示项目计划，项目计划可以设置计划节点名称、计划开始和计划完成时间的，计划节点可以在任务管理中关联任务，并在任务开始后填入实际开始时间，在该节点关联的所有任务均完成后，该节点状态更新为已完成，并填入实际结束时间为最后一个任务完成时间。</w:t>
      </w:r>
    </w:p>
    <w:p w14:paraId="5C0817F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（4）任务管理</w:t>
      </w:r>
    </w:p>
    <w:p w14:paraId="476D1ED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项目任务与项目计划关联，创建项目任务，需要选择关联的项目节点，并选择任务的负责人和计划结束时间，若是该任务需要验收，也可以选择验收人。</w:t>
      </w:r>
    </w:p>
    <w:p w14:paraId="765DAA7F">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任务填写完必填信息后可以发布，发布后的任务会显示在负责人的任务看板中 。</w:t>
      </w:r>
    </w:p>
    <w:p w14:paraId="5B99AF32">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负责人可以在任务看板中完成任务，任务完成结果说明和实际结束时间是必填信息，若是当前时间超过了任务计划结束时间，任务会显示为超期。</w:t>
      </w:r>
    </w:p>
    <w:p w14:paraId="06EAB09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任务若是设置了验收人，会在负责人完成任务后流转至验收人的任务看板中，验收人可对任务验收，若是需要整改可将任务退回整改，负责人需要重新完成任务 。</w:t>
      </w:r>
    </w:p>
    <w:p w14:paraId="34F85FA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任务负责人对已完成任务依然可以更新，若是有验收人，会重新触发验收流程。</w:t>
      </w:r>
    </w:p>
    <w:p w14:paraId="0358B99E">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（5）日报管理</w:t>
      </w:r>
    </w:p>
    <w:p w14:paraId="51EB135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施工人员可在现场，每天填写日报，并将现场照片拍照上传到系统。</w:t>
      </w:r>
    </w:p>
    <w:p w14:paraId="4AEEBF2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项目经理可在电脑端查看日报，也可以通过点击日报，在详情页上点击打印，打印机选择另存为PDF，然后将 PDF发给客户，让客户看到建站日进度。</w:t>
      </w:r>
    </w:p>
    <w:p w14:paraId="486BCD06">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（6）质量管理</w:t>
      </w:r>
    </w:p>
    <w:p w14:paraId="2FAFEDF5">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质量管理</w:t>
      </w:r>
      <w:r>
        <w:rPr>
          <w:rFonts w:hint="default" w:ascii="Times New Roman" w:hAnsi="Times New Roman" w:cs="Times New Roman"/>
          <w:kern w:val="0"/>
          <w:sz w:val="24"/>
          <w:szCs w:val="24"/>
          <w:highlight w:val="none"/>
        </w:rPr>
        <w:t>用于</w:t>
      </w:r>
      <w:r>
        <w:rPr>
          <w:rFonts w:ascii="Times New Roman" w:hAnsi="Times New Roman" w:cs="Times New Roman"/>
          <w:kern w:val="0"/>
          <w:sz w:val="24"/>
          <w:szCs w:val="24"/>
          <w:highlight w:val="none"/>
        </w:rPr>
        <w:t>上传项目现场以及施工人员是否正确佩戴安全防护措施的图片。做好监督，保证项目现场施工的质量安全。</w:t>
      </w:r>
      <w:r>
        <w:rPr>
          <w:rFonts w:hint="default" w:ascii="Times New Roman" w:hAnsi="Times New Roman" w:cs="Times New Roman"/>
          <w:kern w:val="0"/>
          <w:sz w:val="24"/>
          <w:szCs w:val="24"/>
          <w:highlight w:val="none"/>
        </w:rPr>
        <w:t>支持制定质量管理计划，包括计划节点、负责人、检查项目、标准要求、计划开始时间、计划结束时间、验收人等信息。</w:t>
      </w:r>
    </w:p>
    <w:p w14:paraId="0F2A3485">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（九）扩展性功能</w:t>
      </w:r>
    </w:p>
    <w:p w14:paraId="02F9C3A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按照180MW分布式光伏接入容量考虑，预留储能接入、微电网和虚拟电厂接入功能。需具备以下扩展功能：</w:t>
      </w:r>
    </w:p>
    <w:p w14:paraId="06A0191A">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1.储能监控管理要求</w:t>
      </w:r>
    </w:p>
    <w:p w14:paraId="64F5492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（1）主接线图展示，针对用能园区企业管理者，为管理人员提供储能设备概览，包括当前园区额定功率、额定容量基本信息信息。</w:t>
      </w:r>
    </w:p>
    <w:p w14:paraId="0C2EC49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（2）储能运行数据为用户展示储能运行数据包括，今日实时有功功率、无功功率的功率曲线图；PCS系统、电池系统、辅助系统子系统状态；通过柱状图的方式按日、月、年统计储能充电量和放电量。</w:t>
      </w:r>
    </w:p>
    <w:p w14:paraId="5AC67F4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（3）支持PCS监控，通过数据监控展示PCS生产厂家、额定功率、电池簇数量、光伏组串数量基本信息，支持用户手动切换PCS；接入并网运行状态、功率、电池总充电量等遥测信息。</w:t>
      </w:r>
    </w:p>
    <w:p w14:paraId="5DE6888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（4）支持通过数据监控展示电池簇生产厂家、额定容量、额定功率、电池包数量基本信息，支持用户手动切换电池簇；接入运行状态、电池簇SOC、剩余电量、平均温度等遥测信息。</w:t>
      </w:r>
    </w:p>
    <w:p w14:paraId="297FB226">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highlight w:val="none"/>
        </w:rPr>
        <w:t>2.充电桩运行管理要求</w:t>
      </w:r>
    </w:p>
    <w:p w14:paraId="0590AC9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（1）针对用能园区企业管理者，为管理人员提供当前园区充电枪和充电桩信息；通过接线图的方式展示实时充电、待机、故障、离线不同状态的充电枪；实时运行、待机、异常不同状态的充电桩。</w:t>
      </w:r>
    </w:p>
    <w:p w14:paraId="727A5A6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（2）为用户展示充电运行数据包括，实时监测充电功率曲线；按日、月、年统计展示充电量，用户可以按时间区间搜索查看充电量情况；统计运行、待机、异常的直流和交流充电桩数。</w:t>
      </w:r>
      <w:r>
        <w:rPr>
          <w:rFonts w:hint="default" w:ascii="Times New Roman" w:hAnsi="Times New Roman" w:cs="Times New Roman"/>
          <w:kern w:val="0"/>
          <w:sz w:val="24"/>
          <w:szCs w:val="24"/>
          <w:highlight w:val="none"/>
        </w:rPr>
        <w:br w:type="textWrapping"/>
      </w:r>
      <w:r>
        <w:rPr>
          <w:rFonts w:hint="default" w:ascii="Times New Roman" w:hAnsi="Times New Roman" w:cs="Times New Roman"/>
          <w:kern w:val="0"/>
          <w:sz w:val="24"/>
          <w:szCs w:val="24"/>
          <w:highlight w:val="none"/>
        </w:rPr>
        <w:tab/>
      </w:r>
      <w:r>
        <w:rPr>
          <w:rFonts w:hint="default" w:ascii="Times New Roman" w:hAnsi="Times New Roman" w:cs="Times New Roman"/>
          <w:kern w:val="0"/>
          <w:sz w:val="24"/>
          <w:szCs w:val="24"/>
          <w:highlight w:val="none"/>
        </w:rPr>
        <w:t>（3）对园区内所有充电桩进行监控，提供充电桩额定功率、有功功率、今日充电量、总充电量基本信息概览，用户可以手动切换查看不同充电桩的实时数据。</w:t>
      </w:r>
    </w:p>
    <w:p w14:paraId="508E18CD">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3.虚拟电厂功能要求</w:t>
      </w:r>
    </w:p>
    <w:p w14:paraId="2F48AB3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（1）资源聚合查看，能够展示聚合商下所有交易事件的关键信息，包括事件申报、事件出清、计划调度、运行监控、事件评价、事件结算。</w:t>
      </w:r>
    </w:p>
    <w:p w14:paraId="0F198A5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（2）交易中心状态监测，支持在交易事件已经响应后，能够在详情页面展示出清数据。</w:t>
      </w:r>
    </w:p>
    <w:p w14:paraId="7BE6C65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（3）调度运行概览查看，发现调度计划情况和事件响应详情。</w:t>
      </w:r>
    </w:p>
    <w:p w14:paraId="31030C33">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（5）虚拟电厂运营大屏，包括地图模型、响应详情、响应统计、响应评价、实时功率曲线等</w:t>
      </w:r>
    </w:p>
    <w:p w14:paraId="730E29E7">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（十）移动端APP功能要求</w:t>
      </w:r>
    </w:p>
    <w:p w14:paraId="6BFE2A37">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1.资产管理要求</w:t>
      </w:r>
    </w:p>
    <w:p w14:paraId="396FFBA2">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（1）移动端APP需呈现全景资产概览，核心资产数据指标涵盖电站容量、电站数量，并对电站运行概况进行分类正常、异常，可直接通过资产管理进入到资产异常电站列表。</w:t>
      </w:r>
    </w:p>
    <w:p w14:paraId="00CFD6A0">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（2）资产管理支持以资产地图模式对电站位置分布进行呈现，对不同区域电站数量进行查询，并且对所有电站资产收益、上网收益、自用收益进行分类统计，支持每月更新峰谷平电价。</w:t>
      </w:r>
    </w:p>
    <w:p w14:paraId="3B7865F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（3）支持顶部背景更换、支持顶部文字和logo更换，支持不同角色用户看到不同数量和区域的电站，以支撑全国性范围分区域管理，集团侧管理的多级管控。</w:t>
      </w:r>
    </w:p>
    <w:p w14:paraId="308E8F21">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2.电站运行查看要求</w:t>
      </w:r>
    </w:p>
    <w:p w14:paraId="0BA1F1E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（1）支持对全部电站列表级查询、支持对电站进行置顶管理、支持异常电站的筛选和查询，支持电站名称模糊查询等功能。</w:t>
      </w:r>
    </w:p>
    <w:p w14:paraId="59718BB8">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支持对电站运行状态、电站运行功率曲线、天气预报、当日发电收益、当日发电量等信息查询；支持不同周期类型的收益管理，包括当日发电收益、近7日发电收益、月度发电收益；支持查询上个月电站收益账单，对峰谷平收益进行月度账单汇总。</w:t>
      </w:r>
    </w:p>
    <w:p w14:paraId="47BB36C8">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3.营收分析要求</w:t>
      </w:r>
    </w:p>
    <w:p w14:paraId="71DD22B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支持从年度维度，对电站收益、电站发电量分别进行统计分析，同时引入峰谷平电价信息，统计计算得出年度逐月峰谷平发电量和峰谷平发电收益。</w:t>
      </w:r>
    </w:p>
    <w:p w14:paraId="0F0F72D3">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4.运维日志要求</w:t>
      </w:r>
    </w:p>
    <w:p w14:paraId="4CA63B9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支持运维日志填写功能，需包含现场系统信息，运维信息、问题分类等。</w:t>
      </w:r>
    </w:p>
    <w:p w14:paraId="55C34412">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5.告警消息要求</w:t>
      </w:r>
    </w:p>
    <w:p w14:paraId="57E6AEE9">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支持根据平台对告警信息分发进行设定推送不同的角色、不同的消息类型等内容推送。</w:t>
      </w:r>
    </w:p>
    <w:p w14:paraId="7575694A">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（十一）移动端小程序功能要求</w:t>
      </w:r>
    </w:p>
    <w:p w14:paraId="0692B4EC">
      <w:pPr>
        <w:wordWrap w:val="0"/>
        <w:spacing w:line="420" w:lineRule="exact"/>
        <w:ind w:firstLine="480"/>
        <w:rPr>
          <w:rFonts w:ascii="Times New Roman" w:hAnsi="Times New Roman" w:cs="Times New Roman"/>
          <w:kern w:val="0"/>
          <w:sz w:val="24"/>
          <w:szCs w:val="24"/>
          <w:highlight w:val="none"/>
        </w:rPr>
      </w:pPr>
    </w:p>
    <w:p w14:paraId="3F67E149">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w:t>
      </w:r>
      <w:r>
        <w:rPr>
          <w:rFonts w:hint="default" w:ascii="Times New Roman" w:hAnsi="Times New Roman" w:cs="Times New Roman"/>
          <w:b w:val="0"/>
          <w:bCs w:val="0"/>
          <w:kern w:val="0"/>
          <w:sz w:val="24"/>
          <w:szCs w:val="24"/>
          <w:highlight w:val="none"/>
        </w:rPr>
        <w:t>用电</w:t>
      </w:r>
      <w:r>
        <w:rPr>
          <w:rFonts w:hint="default" w:ascii="Times New Roman" w:hAnsi="Times New Roman" w:cs="Times New Roman"/>
          <w:b w:val="0"/>
          <w:bCs w:val="0"/>
          <w:kern w:val="0"/>
          <w:sz w:val="24"/>
          <w:highlight w:val="none"/>
        </w:rPr>
        <w:t>数据</w:t>
      </w:r>
      <w:r>
        <w:rPr>
          <w:rFonts w:hint="default" w:ascii="Times New Roman" w:hAnsi="Times New Roman" w:cs="Times New Roman"/>
          <w:kern w:val="0"/>
          <w:sz w:val="24"/>
          <w:szCs w:val="24"/>
          <w:highlight w:val="none"/>
        </w:rPr>
        <w:t>查询</w:t>
      </w:r>
    </w:p>
    <w:p w14:paraId="2C553EA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光伏用电企业可以通过小程序查询日、月光伏用电数据。</w:t>
      </w:r>
    </w:p>
    <w:p w14:paraId="70E7125F">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w:t>
      </w:r>
      <w:r>
        <w:rPr>
          <w:rFonts w:hint="default" w:ascii="Times New Roman" w:hAnsi="Times New Roman" w:cs="Times New Roman"/>
          <w:b w:val="0"/>
          <w:bCs w:val="0"/>
          <w:kern w:val="0"/>
          <w:sz w:val="24"/>
          <w:szCs w:val="24"/>
          <w:highlight w:val="none"/>
        </w:rPr>
        <w:t>电费</w:t>
      </w:r>
      <w:r>
        <w:rPr>
          <w:rFonts w:hint="default" w:ascii="Times New Roman" w:hAnsi="Times New Roman" w:cs="Times New Roman"/>
          <w:kern w:val="0"/>
          <w:sz w:val="24"/>
          <w:szCs w:val="24"/>
          <w:highlight w:val="none"/>
        </w:rPr>
        <w:t>账单</w:t>
      </w:r>
      <w:r>
        <w:rPr>
          <w:rFonts w:hint="default" w:ascii="Times New Roman" w:hAnsi="Times New Roman" w:cs="Times New Roman"/>
          <w:kern w:val="0"/>
          <w:sz w:val="24"/>
          <w:highlight w:val="none"/>
        </w:rPr>
        <w:t>查询</w:t>
      </w:r>
    </w:p>
    <w:p w14:paraId="26A53B9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用能单位管理人员可以查询每月电费结算账单，查询月度和日度节约电费等信息。</w:t>
      </w:r>
    </w:p>
    <w:p w14:paraId="4A8015A8">
      <w:pPr>
        <w:keepNext w:val="0"/>
        <w:keepLines w:val="0"/>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3.节约电费查询</w:t>
      </w:r>
    </w:p>
    <w:p w14:paraId="59507C47">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通过外购电价与光伏电价对比，方便用能企业了解电费节省情况。</w:t>
      </w:r>
    </w:p>
    <w:p w14:paraId="3247A08B">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（十二）系统升级维护需求</w:t>
      </w:r>
    </w:p>
    <w:p w14:paraId="7475385D">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在重要节点（如系统检测、认证、等级保护检查、国家政治活动期间等）中标方需根据招标方需要增派专业人员参与系统维护，保障系统正常运行。</w:t>
      </w:r>
    </w:p>
    <w:p w14:paraId="65CFEE06">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中标方需向招标方提供包括但不限于：提供系统运维、系统配置变更、现场故障排除、系统自查、稳定版本免费升级以及其他技术指导等各种服务；中标方在进行系统维护时，不造成本系统运行中断，或系统功能和性能的下降。</w:t>
      </w:r>
    </w:p>
    <w:p w14:paraId="6D99042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中标方提供的技术服务将满足以下要求：</w:t>
      </w:r>
    </w:p>
    <w:p w14:paraId="7CCA91F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1）中标方需根据招标方的需求，对所提供的系统保证全面、有效、及时的技术支持和售后服务。</w:t>
      </w:r>
    </w:p>
    <w:p w14:paraId="0120E5FF">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2）中标方需在技术建议书中详细说明技术服务方案以及技术服务的范围和服务流程。</w:t>
      </w:r>
    </w:p>
    <w:p w14:paraId="26D47DF1">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3）在试运行期间，中标方需指定有经验的技术人员在现场负责系统的运行和维护，若系统出现问题或故障，中标方需免费进行故障处理和软件更新。</w:t>
      </w:r>
    </w:p>
    <w:p w14:paraId="455103A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4）中标方需提供整个系统安装调试时所需的资料，包括：技术咨询、技术说明书、需求文档、系统设计文档、使用说明书、维护说明书等。</w:t>
      </w:r>
    </w:p>
    <w:p w14:paraId="1123C59B">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5）在整个系统安装和调测期间，招标人有权利派出技术人员参与整个过程，中标方有义务对其进行指导。</w:t>
      </w:r>
    </w:p>
    <w:p w14:paraId="535892D5">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6）中标方需为招标方开展系统应用操作、系统维护的技能指导以及系统升级改造工作提供技术支持。</w:t>
      </w:r>
    </w:p>
    <w:p w14:paraId="608D1BFA">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7）中标方需对提交的软件产品提供维护服务（所有的技术支持服务由中标方提供），包含但不限于必要的现场服务、技术支持服务、软件升级和更新服务。</w:t>
      </w:r>
    </w:p>
    <w:p w14:paraId="202FA20E">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8）在维护期内，中标方需向招标方提供 7*24 小时的服务响应，保证招标方可以随时找到相应的技术人员。中标方需提供应急人员和技术支持人员的名单和联系方式。</w:t>
      </w:r>
    </w:p>
    <w:p w14:paraId="06E2B323">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9</w:t>
      </w:r>
      <w:r>
        <w:rPr>
          <w:rFonts w:hint="default" w:ascii="Times New Roman" w:hAnsi="Times New Roman" w:cs="Times New Roman"/>
          <w:kern w:val="0"/>
          <w:sz w:val="24"/>
          <w:szCs w:val="24"/>
          <w:highlight w:val="none"/>
        </w:rPr>
        <w:t>）维护期内，中标方需定期派指定工程师对招标人系统进行日常巡检维护。</w:t>
      </w:r>
    </w:p>
    <w:p w14:paraId="3307CA1E">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（十三）运维及售后要求</w:t>
      </w:r>
    </w:p>
    <w:p w14:paraId="427788B4">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 xml:space="preserve">中标方需在运维及售后期内提供以下服务： </w:t>
      </w:r>
    </w:p>
    <w:p w14:paraId="3ECB3044">
      <w:pPr>
        <w:wordWrap w:val="0"/>
        <w:spacing w:line="420" w:lineRule="exact"/>
        <w:ind w:firstLine="480"/>
        <w:rPr>
          <w:rFonts w:ascii="Times New Roman" w:hAnsi="Times New Roman" w:cs="Times New Roman"/>
          <w:kern w:val="0"/>
          <w:sz w:val="24"/>
          <w:szCs w:val="24"/>
          <w:highlight w:val="none"/>
        </w:rPr>
      </w:pP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1</w:t>
      </w:r>
      <w:r>
        <w:rPr>
          <w:rFonts w:ascii="Times New Roman" w:hAnsi="Times New Roman" w:cs="Times New Roman"/>
          <w:kern w:val="0"/>
          <w:sz w:val="24"/>
          <w:szCs w:val="24"/>
          <w:highlight w:val="none"/>
        </w:rPr>
        <w:t>）</w:t>
      </w:r>
      <w:r>
        <w:rPr>
          <w:rFonts w:hint="default" w:ascii="Times New Roman" w:hAnsi="Times New Roman" w:cs="Times New Roman"/>
          <w:kern w:val="0"/>
          <w:sz w:val="24"/>
          <w:szCs w:val="24"/>
          <w:highlight w:val="none"/>
        </w:rPr>
        <w:t>应急处理：一般性故障，</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rPr>
        <w:t>可以电话指导用户进行故障排除。但如电话指导仍不能排除故障，</w:t>
      </w:r>
      <w:r>
        <w:rPr>
          <w:rFonts w:hint="eastAsia" w:ascii="Times New Roman" w:hAnsi="Times New Roman" w:cs="Times New Roman"/>
          <w:kern w:val="0"/>
          <w:sz w:val="24"/>
          <w:szCs w:val="24"/>
          <w:highlight w:val="none"/>
          <w:lang w:val="en-US" w:eastAsia="zh-CN"/>
        </w:rPr>
        <w:t>发包人</w:t>
      </w:r>
      <w:r>
        <w:rPr>
          <w:rFonts w:hint="default" w:ascii="Times New Roman" w:hAnsi="Times New Roman" w:cs="Times New Roman"/>
          <w:kern w:val="0"/>
          <w:sz w:val="24"/>
          <w:szCs w:val="24"/>
          <w:highlight w:val="none"/>
        </w:rPr>
        <w:t>立即通知相关人员72小时内至现场进行故障排除。紧急故障</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rPr>
        <w:t>指产品出现影响运行的故障时。</w:t>
      </w:r>
      <w:r>
        <w:rPr>
          <w:rFonts w:hint="eastAsia" w:ascii="Times New Roman" w:hAnsi="Times New Roman" w:cs="Times New Roman"/>
          <w:kern w:val="0"/>
          <w:sz w:val="24"/>
          <w:szCs w:val="24"/>
          <w:highlight w:val="none"/>
          <w:lang w:val="en-US" w:eastAsia="zh-CN"/>
        </w:rPr>
        <w:t>中标人</w:t>
      </w:r>
      <w:r>
        <w:rPr>
          <w:rFonts w:hint="default" w:ascii="Times New Roman" w:hAnsi="Times New Roman" w:cs="Times New Roman"/>
          <w:kern w:val="0"/>
          <w:sz w:val="24"/>
          <w:szCs w:val="24"/>
          <w:highlight w:val="none"/>
        </w:rPr>
        <w:t>的工程师应在接到紧急故障通告后，48小时内派遣相应人员进行紧急故障排除，以恢复设备的正常使用。</w:t>
      </w:r>
    </w:p>
    <w:p w14:paraId="01DA02E2">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（2）日常运维：</w:t>
      </w:r>
    </w:p>
    <w:p w14:paraId="5A02B129">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负责系统的日常运维，发现故障主动及时处理。</w:t>
      </w:r>
    </w:p>
    <w:p w14:paraId="5570E8B9">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对已接入数据点，执行更新和删除操作，保持数据源和界面显示一致。</w:t>
      </w:r>
    </w:p>
    <w:p w14:paraId="4CBE3DB2">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填报系统运维。</w:t>
      </w:r>
    </w:p>
    <w:p w14:paraId="4C4BD39B">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计划内安排的需要系统停运的运维故障应提前一周通报客户。</w:t>
      </w:r>
    </w:p>
    <w:p w14:paraId="18699AA7">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保持信息畅通，数据传输中断及时恢复。</w:t>
      </w:r>
    </w:p>
    <w:p w14:paraId="0214EFA7">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制定数据备份策略，按照要求执行备份、备份恢复等。</w:t>
      </w:r>
    </w:p>
    <w:p w14:paraId="18F80162">
      <w:pPr>
        <w:wordWrap w:val="0"/>
        <w:spacing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 xml:space="preserve">按照保密要求，做好数据保密工作。 </w:t>
      </w:r>
    </w:p>
    <w:p w14:paraId="6AB66D72">
      <w:pPr>
        <w:wordWrap w:val="0"/>
        <w:spacing w:line="420" w:lineRule="exact"/>
        <w:ind w:firstLine="48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3）系统培训：根据需求，对系统使用人员、运维人员提供培训及考试。所有投标产品在系统试运行期内提供免费软版本升级服务。系统试运行期内建立维护质量档案和系统运行维护方案，每次系统发生的故障及维护处理事项均应作简明记录，便于汇总系统的运行情况及系统易出现故障的所在，并针对具体易出现的故障，采取必要的措施防止，以保证系统的安全稳定运行。</w:t>
      </w:r>
    </w:p>
    <w:p w14:paraId="2A8DF71C">
      <w:pPr>
        <w:keepNext w:val="0"/>
        <w:keepLines w:val="0"/>
        <w:wordWrap w:val="0"/>
        <w:spacing w:line="420" w:lineRule="exact"/>
        <w:ind w:firstLine="480" w:firstLineChars="200"/>
        <w:rPr>
          <w:rFonts w:ascii="Times New Roman" w:hAnsi="Times New Roman" w:cs="Times New Roman"/>
          <w:kern w:val="0"/>
          <w:sz w:val="24"/>
          <w:highlight w:val="none"/>
        </w:rPr>
      </w:pPr>
      <w:r>
        <w:rPr>
          <w:rFonts w:hint="default" w:ascii="Times New Roman" w:hAnsi="Times New Roman" w:cs="Times New Roman"/>
          <w:kern w:val="0"/>
          <w:sz w:val="24"/>
          <w:highlight w:val="none"/>
        </w:rPr>
        <w:t xml:space="preserve">（十四）技术资料及交付进度要求 </w:t>
      </w:r>
    </w:p>
    <w:p w14:paraId="57FD6F73">
      <w:pPr>
        <w:wordWrap w:val="0"/>
        <w:spacing w:before="0" w:line="420" w:lineRule="exact"/>
        <w:ind w:firstLine="480" w:firstLineChars="200"/>
        <w:rPr>
          <w:rFonts w:ascii="Times New Roman" w:hAnsi="Times New Roman" w:cs="Times New Roman"/>
          <w:kern w:val="0"/>
          <w:sz w:val="24"/>
          <w:szCs w:val="24"/>
          <w:highlight w:val="none"/>
        </w:rPr>
      </w:pPr>
      <w:r>
        <w:rPr>
          <w:rFonts w:hint="default" w:ascii="Times New Roman" w:hAnsi="Times New Roman" w:cs="Times New Roman"/>
          <w:kern w:val="0"/>
          <w:sz w:val="24"/>
          <w:szCs w:val="24"/>
          <w:highlight w:val="none"/>
        </w:rPr>
        <w:t>1.中标方应为招标方提供必要的手册和技术文件，使用国家法定单位制即国际单位制(文字为中文)，技术文件应充分、广泛和详细地说明平台功能设计、性能等，使需方能够实现对平台的运行、调整和维护。</w:t>
      </w:r>
    </w:p>
    <w:p w14:paraId="2EA6428E">
      <w:pPr>
        <w:numPr>
          <w:ilvl w:val="-1"/>
          <w:numId w:val="0"/>
        </w:numPr>
        <w:wordWrap w:val="0"/>
        <w:spacing w:line="420" w:lineRule="exact"/>
        <w:ind w:firstLine="480" w:firstLineChars="200"/>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rPr>
        <w:t>2.中标方应在合同签订后15天内进场交付。</w:t>
      </w:r>
    </w:p>
    <w:p w14:paraId="708EE20F">
      <w:pPr>
        <w:numPr>
          <w:ilvl w:val="-1"/>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（十五）其它要求</w:t>
      </w:r>
    </w:p>
    <w:p w14:paraId="15D1F957">
      <w:pPr>
        <w:numPr>
          <w:ilvl w:val="-1"/>
          <w:numId w:val="0"/>
        </w:numPr>
        <w:wordWrap w:val="0"/>
        <w:spacing w:line="42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1.中标人应未在近三年内发生重大产品质量问题（以相关行业主管部门的行政处罚决定或司法机关出具的有关法律文书为准），并提供承诺函。</w:t>
      </w:r>
    </w:p>
    <w:p w14:paraId="2C7FFB3D">
      <w:pPr>
        <w:numPr>
          <w:ilvl w:val="-1"/>
          <w:numId w:val="0"/>
        </w:numPr>
        <w:wordWrap w:val="0"/>
        <w:spacing w:line="42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2.中标需无条件保证与光伏电站的兼容性，确保数据采集的准确性，误差不超过±2%。</w:t>
      </w:r>
    </w:p>
    <w:p w14:paraId="57828B5E">
      <w:pPr>
        <w:numPr>
          <w:ilvl w:val="-1"/>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3.中标人应具有智慧能源管理平台独立知识产权，合同签订时需提供软件著作权或专利证明材料。</w:t>
      </w:r>
    </w:p>
    <w:p w14:paraId="336CAD22">
      <w:pPr>
        <w:numPr>
          <w:ilvl w:val="-1"/>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4.平台数据需按照“年度＋月度＋每一日+累计总量”维度进行数据统计</w:t>
      </w:r>
      <w:r>
        <w:rPr>
          <w:rFonts w:hint="eastAsia" w:ascii="Times New Roman" w:hAnsi="Times New Roman" w:cs="Times New Roman"/>
          <w:kern w:val="0"/>
          <w:sz w:val="24"/>
          <w:szCs w:val="24"/>
          <w:highlight w:val="none"/>
          <w:lang w:val="en-US" w:eastAsia="zh-CN"/>
        </w:rPr>
        <w:t>，中标人需在签订合同之日起10个工作日内完成功能上线</w:t>
      </w:r>
      <w:r>
        <w:rPr>
          <w:rFonts w:hint="default" w:ascii="Times New Roman" w:hAnsi="Times New Roman" w:cs="Times New Roman"/>
          <w:kern w:val="0"/>
          <w:sz w:val="24"/>
          <w:szCs w:val="24"/>
          <w:highlight w:val="none"/>
          <w:lang w:val="en-US" w:eastAsia="zh-CN"/>
        </w:rPr>
        <w:t>。</w:t>
      </w:r>
    </w:p>
    <w:p w14:paraId="052AD2BC">
      <w:pPr>
        <w:numPr>
          <w:ilvl w:val="-1"/>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5.电站报警消息通知，可以通过短信的形式发送通知。</w:t>
      </w:r>
    </w:p>
    <w:p w14:paraId="15014DF2">
      <w:pPr>
        <w:numPr>
          <w:ilvl w:val="-1"/>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6.数据内容清晰、明确，页面简洁。</w:t>
      </w:r>
    </w:p>
    <w:p w14:paraId="749181FC">
      <w:pPr>
        <w:numPr>
          <w:ilvl w:val="0"/>
          <w:numId w:val="0"/>
        </w:numPr>
        <w:wordWrap w:val="0"/>
        <w:spacing w:line="420" w:lineRule="exact"/>
        <w:ind w:firstLine="480" w:firstLineChars="200"/>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7.招标人</w:t>
      </w:r>
      <w:r>
        <w:rPr>
          <w:rFonts w:hint="eastAsia" w:ascii="Times New Roman" w:hAnsi="Times New Roman" w:cs="Times New Roman"/>
          <w:kern w:val="0"/>
          <w:sz w:val="24"/>
          <w:szCs w:val="24"/>
          <w:highlight w:val="none"/>
          <w:lang w:val="en-US" w:eastAsia="zh-CN"/>
        </w:rPr>
        <w:t>名下所有电站运营期间内的数据归招标人所有，未经招标人允许禁止他用。</w:t>
      </w:r>
    </w:p>
    <w:p w14:paraId="4035C3B5">
      <w:pPr>
        <w:pStyle w:val="2"/>
        <w:rPr>
          <w:rFonts w:hint="eastAsia" w:ascii="Times New Roman" w:hAnsi="Times New Roman" w:cs="Times New Roman"/>
          <w:kern w:val="0"/>
          <w:sz w:val="24"/>
          <w:szCs w:val="24"/>
          <w:highlight w:val="none"/>
          <w:lang w:val="en-US" w:eastAsia="zh-CN"/>
        </w:rPr>
      </w:pPr>
    </w:p>
    <w:p w14:paraId="3BDC72C4">
      <w:pPr>
        <w:pStyle w:val="2"/>
        <w:rPr>
          <w:rFonts w:hint="eastAsia" w:ascii="Times New Roman" w:hAnsi="Times New Roman" w:cs="Times New Roman"/>
          <w:kern w:val="0"/>
          <w:sz w:val="24"/>
          <w:szCs w:val="24"/>
          <w:highlight w:val="none"/>
          <w:lang w:val="en-US" w:eastAsia="zh-CN"/>
        </w:rPr>
      </w:pPr>
    </w:p>
    <w:p w14:paraId="37D763ED">
      <w:pPr>
        <w:pStyle w:val="2"/>
        <w:rPr>
          <w:rFonts w:hint="default" w:ascii="Times New Roman" w:hAnsi="Times New Roman" w:cs="Times New Roman"/>
          <w:kern w:val="0"/>
          <w:sz w:val="24"/>
          <w:szCs w:val="24"/>
          <w:highlight w:val="none"/>
          <w:lang w:val="en-US" w:eastAsia="zh-CN"/>
        </w:rPr>
      </w:pPr>
    </w:p>
    <w:p w14:paraId="62FC3E2B">
      <w:pPr>
        <w:pStyle w:val="2"/>
        <w:rPr>
          <w:rFonts w:hint="default" w:ascii="Times New Roman" w:hAnsi="Times New Roman" w:cs="Times New Roman"/>
          <w:kern w:val="0"/>
          <w:sz w:val="24"/>
          <w:szCs w:val="24"/>
          <w:highlight w:val="none"/>
          <w:lang w:val="en-US" w:eastAsia="zh-CN"/>
        </w:rPr>
      </w:pPr>
    </w:p>
    <w:p w14:paraId="73046D8B">
      <w:pPr>
        <w:pStyle w:val="2"/>
        <w:rPr>
          <w:rFonts w:hint="default" w:ascii="Times New Roman" w:hAnsi="Times New Roman" w:cs="Times New Roman"/>
          <w:kern w:val="0"/>
          <w:sz w:val="24"/>
          <w:szCs w:val="24"/>
          <w:highlight w:val="none"/>
          <w:lang w:val="en-US" w:eastAsia="zh-CN"/>
        </w:rPr>
      </w:pPr>
    </w:p>
    <w:p w14:paraId="274D293B">
      <w:pPr>
        <w:pStyle w:val="2"/>
        <w:rPr>
          <w:rFonts w:hint="default" w:ascii="Times New Roman" w:hAnsi="Times New Roman" w:cs="Times New Roman"/>
          <w:kern w:val="0"/>
          <w:sz w:val="24"/>
          <w:szCs w:val="24"/>
          <w:highlight w:val="none"/>
          <w:lang w:val="en-US" w:eastAsia="zh-CN"/>
        </w:rPr>
      </w:pPr>
    </w:p>
    <w:p w14:paraId="628EF987">
      <w:pPr>
        <w:pStyle w:val="2"/>
        <w:rPr>
          <w:rFonts w:hint="default" w:ascii="Times New Roman" w:hAnsi="Times New Roman" w:cs="Times New Roman"/>
          <w:kern w:val="0"/>
          <w:sz w:val="24"/>
          <w:szCs w:val="24"/>
          <w:highlight w:val="none"/>
          <w:lang w:val="en-US" w:eastAsia="zh-CN"/>
        </w:rPr>
      </w:pPr>
    </w:p>
    <w:p w14:paraId="2066BAA6">
      <w:pPr>
        <w:pStyle w:val="2"/>
        <w:rPr>
          <w:rFonts w:hint="default" w:ascii="Times New Roman" w:hAnsi="Times New Roman" w:cs="Times New Roman"/>
          <w:kern w:val="0"/>
          <w:sz w:val="24"/>
          <w:szCs w:val="24"/>
          <w:highlight w:val="none"/>
          <w:lang w:val="en-US" w:eastAsia="zh-CN"/>
        </w:rPr>
      </w:pPr>
    </w:p>
    <w:p w14:paraId="7E8A2ADF">
      <w:pPr>
        <w:pStyle w:val="2"/>
        <w:rPr>
          <w:rFonts w:hint="default" w:ascii="Times New Roman" w:hAnsi="Times New Roman" w:cs="Times New Roman"/>
          <w:kern w:val="0"/>
          <w:sz w:val="24"/>
          <w:szCs w:val="24"/>
          <w:highlight w:val="none"/>
          <w:lang w:val="en-US" w:eastAsia="zh-CN"/>
        </w:rPr>
      </w:pPr>
    </w:p>
    <w:p w14:paraId="22AA566E">
      <w:pPr>
        <w:pStyle w:val="2"/>
        <w:rPr>
          <w:rFonts w:hint="default" w:ascii="Times New Roman" w:hAnsi="Times New Roman" w:cs="Times New Roman"/>
          <w:kern w:val="0"/>
          <w:sz w:val="24"/>
          <w:szCs w:val="24"/>
          <w:highlight w:val="none"/>
          <w:lang w:val="en-US" w:eastAsia="zh-CN"/>
        </w:rPr>
      </w:pPr>
    </w:p>
    <w:p w14:paraId="5BE86FF4">
      <w:pPr>
        <w:pStyle w:val="2"/>
        <w:rPr>
          <w:rFonts w:hint="default" w:ascii="Times New Roman" w:hAnsi="Times New Roman" w:cs="Times New Roman"/>
          <w:kern w:val="0"/>
          <w:sz w:val="24"/>
          <w:szCs w:val="24"/>
          <w:highlight w:val="none"/>
          <w:lang w:val="en-US" w:eastAsia="zh-CN"/>
        </w:rPr>
      </w:pPr>
    </w:p>
    <w:p w14:paraId="663B21F2">
      <w:pPr>
        <w:pStyle w:val="2"/>
        <w:rPr>
          <w:rFonts w:hint="default" w:ascii="Times New Roman" w:hAnsi="Times New Roman" w:cs="Times New Roman"/>
          <w:kern w:val="0"/>
          <w:sz w:val="24"/>
          <w:szCs w:val="24"/>
          <w:highlight w:val="none"/>
          <w:lang w:val="en-US" w:eastAsia="zh-CN"/>
        </w:rPr>
      </w:pPr>
    </w:p>
    <w:p w14:paraId="52D32508">
      <w:pPr>
        <w:pStyle w:val="2"/>
        <w:rPr>
          <w:rFonts w:hint="default" w:ascii="Times New Roman" w:hAnsi="Times New Roman" w:cs="Times New Roman"/>
          <w:kern w:val="0"/>
          <w:sz w:val="24"/>
          <w:szCs w:val="24"/>
          <w:highlight w:val="none"/>
          <w:lang w:val="en-US" w:eastAsia="zh-CN"/>
        </w:rPr>
      </w:pPr>
    </w:p>
    <w:p w14:paraId="724B7B6D">
      <w:pPr>
        <w:pStyle w:val="2"/>
        <w:rPr>
          <w:rFonts w:hint="default" w:ascii="Times New Roman" w:hAnsi="Times New Roman" w:cs="Times New Roman"/>
          <w:kern w:val="0"/>
          <w:sz w:val="24"/>
          <w:szCs w:val="24"/>
          <w:highlight w:val="none"/>
          <w:lang w:val="en-US" w:eastAsia="zh-CN"/>
        </w:rPr>
      </w:pPr>
    </w:p>
    <w:p w14:paraId="3F337ECB">
      <w:pPr>
        <w:pStyle w:val="2"/>
        <w:rPr>
          <w:rFonts w:hint="default" w:ascii="Times New Roman" w:hAnsi="Times New Roman" w:cs="Times New Roman"/>
          <w:kern w:val="0"/>
          <w:sz w:val="24"/>
          <w:szCs w:val="24"/>
          <w:highlight w:val="none"/>
          <w:lang w:val="en-US" w:eastAsia="zh-CN"/>
        </w:rPr>
      </w:pPr>
    </w:p>
    <w:p w14:paraId="63405C8D">
      <w:pPr>
        <w:pStyle w:val="2"/>
        <w:rPr>
          <w:rFonts w:hint="default" w:ascii="Times New Roman" w:hAnsi="Times New Roman" w:cs="Times New Roman"/>
          <w:kern w:val="0"/>
          <w:sz w:val="24"/>
          <w:szCs w:val="24"/>
          <w:highlight w:val="none"/>
          <w:lang w:val="en-US" w:eastAsia="zh-CN"/>
        </w:rPr>
      </w:pPr>
    </w:p>
    <w:p w14:paraId="582D150C">
      <w:pPr>
        <w:pStyle w:val="2"/>
        <w:rPr>
          <w:rFonts w:hint="default" w:ascii="Times New Roman" w:hAnsi="Times New Roman" w:cs="Times New Roman"/>
          <w:kern w:val="0"/>
          <w:sz w:val="24"/>
          <w:szCs w:val="24"/>
          <w:highlight w:val="none"/>
          <w:lang w:val="en-US" w:eastAsia="zh-CN"/>
        </w:rPr>
      </w:pPr>
    </w:p>
    <w:p w14:paraId="3899EE6F">
      <w:pPr>
        <w:pStyle w:val="2"/>
        <w:rPr>
          <w:rFonts w:hint="default" w:ascii="Times New Roman" w:hAnsi="Times New Roman" w:cs="Times New Roman"/>
          <w:kern w:val="0"/>
          <w:sz w:val="24"/>
          <w:szCs w:val="24"/>
          <w:highlight w:val="none"/>
          <w:lang w:val="en-US" w:eastAsia="zh-CN"/>
        </w:rPr>
      </w:pPr>
    </w:p>
    <w:p w14:paraId="60BA5444">
      <w:pPr>
        <w:pStyle w:val="2"/>
        <w:rPr>
          <w:rFonts w:hint="default" w:ascii="Times New Roman" w:hAnsi="Times New Roman" w:cs="Times New Roman"/>
          <w:kern w:val="0"/>
          <w:sz w:val="24"/>
          <w:szCs w:val="24"/>
          <w:highlight w:val="none"/>
          <w:lang w:val="en-US" w:eastAsia="zh-CN"/>
        </w:rPr>
      </w:pPr>
    </w:p>
    <w:p w14:paraId="7CF99B17">
      <w:pPr>
        <w:pStyle w:val="2"/>
        <w:rPr>
          <w:rFonts w:hint="default" w:ascii="Times New Roman" w:hAnsi="Times New Roman" w:cs="Times New Roman"/>
          <w:kern w:val="0"/>
          <w:sz w:val="24"/>
          <w:szCs w:val="24"/>
          <w:highlight w:val="none"/>
          <w:lang w:val="en-US" w:eastAsia="zh-CN"/>
        </w:rPr>
      </w:pPr>
    </w:p>
    <w:p w14:paraId="1730B494">
      <w:pPr>
        <w:pStyle w:val="2"/>
        <w:rPr>
          <w:rFonts w:hint="default" w:ascii="Times New Roman" w:hAnsi="Times New Roman" w:cs="Times New Roman"/>
          <w:kern w:val="0"/>
          <w:sz w:val="24"/>
          <w:szCs w:val="24"/>
          <w:highlight w:val="none"/>
          <w:lang w:val="en-US" w:eastAsia="zh-CN"/>
        </w:rPr>
      </w:pPr>
    </w:p>
    <w:p w14:paraId="3AFE86AE">
      <w:pPr>
        <w:pStyle w:val="2"/>
        <w:rPr>
          <w:rFonts w:hint="default" w:ascii="Times New Roman" w:hAnsi="Times New Roman" w:cs="Times New Roman"/>
          <w:kern w:val="0"/>
          <w:sz w:val="24"/>
          <w:szCs w:val="24"/>
          <w:highlight w:val="none"/>
          <w:lang w:val="en-US" w:eastAsia="zh-CN"/>
        </w:rPr>
      </w:pPr>
    </w:p>
    <w:p w14:paraId="29C8633E">
      <w:pPr>
        <w:pStyle w:val="2"/>
        <w:rPr>
          <w:rFonts w:hint="default" w:ascii="Times New Roman" w:hAnsi="Times New Roman" w:cs="Times New Roman"/>
          <w:kern w:val="0"/>
          <w:sz w:val="24"/>
          <w:szCs w:val="24"/>
          <w:highlight w:val="none"/>
          <w:lang w:val="en-US" w:eastAsia="zh-CN"/>
        </w:rPr>
      </w:pPr>
    </w:p>
    <w:p w14:paraId="72CB258E">
      <w:pPr>
        <w:pStyle w:val="2"/>
        <w:rPr>
          <w:rFonts w:hint="default" w:ascii="Times New Roman" w:hAnsi="Times New Roman" w:cs="Times New Roman"/>
          <w:kern w:val="0"/>
          <w:sz w:val="24"/>
          <w:szCs w:val="24"/>
          <w:highlight w:val="none"/>
          <w:lang w:val="en-US" w:eastAsia="zh-CN"/>
        </w:rPr>
      </w:pPr>
    </w:p>
    <w:p w14:paraId="18C819D9">
      <w:pPr>
        <w:pStyle w:val="2"/>
        <w:rPr>
          <w:rFonts w:hint="default" w:ascii="Times New Roman" w:hAnsi="Times New Roman" w:cs="Times New Roman"/>
          <w:kern w:val="0"/>
          <w:sz w:val="24"/>
          <w:szCs w:val="24"/>
          <w:highlight w:val="none"/>
          <w:lang w:val="en-US" w:eastAsia="zh-CN"/>
        </w:rPr>
      </w:pPr>
    </w:p>
    <w:p w14:paraId="60D06300">
      <w:pPr>
        <w:pStyle w:val="2"/>
        <w:rPr>
          <w:rFonts w:hint="default" w:ascii="Times New Roman" w:hAnsi="Times New Roman" w:cs="Times New Roman"/>
          <w:kern w:val="0"/>
          <w:sz w:val="24"/>
          <w:szCs w:val="24"/>
          <w:highlight w:val="none"/>
          <w:lang w:val="en-US" w:eastAsia="zh-CN"/>
        </w:rPr>
      </w:pPr>
    </w:p>
    <w:p w14:paraId="4034E6AC">
      <w:pPr>
        <w:pStyle w:val="2"/>
        <w:rPr>
          <w:rFonts w:hint="default" w:ascii="Times New Roman" w:hAnsi="Times New Roman" w:cs="Times New Roman"/>
          <w:kern w:val="0"/>
          <w:sz w:val="24"/>
          <w:szCs w:val="24"/>
          <w:highlight w:val="none"/>
          <w:lang w:val="en-US" w:eastAsia="zh-CN"/>
        </w:rPr>
      </w:pPr>
    </w:p>
    <w:p w14:paraId="37B48F8B">
      <w:pPr>
        <w:pStyle w:val="2"/>
        <w:rPr>
          <w:rFonts w:hint="default" w:ascii="Times New Roman" w:hAnsi="Times New Roman" w:cs="Times New Roman"/>
          <w:kern w:val="0"/>
          <w:sz w:val="24"/>
          <w:szCs w:val="24"/>
          <w:highlight w:val="none"/>
          <w:lang w:val="en-US" w:eastAsia="zh-CN"/>
        </w:rPr>
      </w:pPr>
    </w:p>
    <w:p w14:paraId="54C35DF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14:paraId="4D96AB8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F6E982E">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34BE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14:paraId="52CBC6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31D950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7E4B0BA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FABE87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1C0D97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B7D0AB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6D32D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B04C2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39B4C8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2593D45">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00DF6BF3">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4AEAB07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513350BF">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78AFF13">
      <w:pPr>
        <w:pStyle w:val="6"/>
        <w:jc w:val="center"/>
        <w:rPr>
          <w:rFonts w:hint="default" w:ascii="Times New Roman" w:hAnsi="Times New Roman" w:cs="Times New Roman"/>
        </w:rPr>
      </w:pPr>
      <w:bookmarkStart w:id="501" w:name="_Toc247527827"/>
      <w:bookmarkStart w:id="502" w:name="_Toc152042576"/>
      <w:bookmarkStart w:id="503" w:name="_Toc247514246"/>
      <w:bookmarkStart w:id="504" w:name="_Toc152045787"/>
      <w:bookmarkStart w:id="505" w:name="_Toc300835209"/>
      <w:bookmarkStart w:id="506" w:name="_Toc144974856"/>
      <w:r>
        <w:rPr>
          <w:rFonts w:hint="default" w:ascii="Times New Roman" w:hAnsi="Times New Roman" w:cs="Times New Roman"/>
        </w:rPr>
        <w:t>目    录</w:t>
      </w:r>
      <w:bookmarkEnd w:id="501"/>
      <w:bookmarkEnd w:id="502"/>
      <w:bookmarkEnd w:id="503"/>
      <w:bookmarkEnd w:id="504"/>
      <w:bookmarkEnd w:id="505"/>
      <w:bookmarkEnd w:id="506"/>
    </w:p>
    <w:p w14:paraId="6746F37F">
      <w:pPr>
        <w:spacing w:line="540" w:lineRule="exact"/>
        <w:rPr>
          <w:rFonts w:hint="default" w:ascii="Times New Roman" w:hAnsi="Times New Roman" w:cs="Times New Roman"/>
        </w:rPr>
      </w:pPr>
    </w:p>
    <w:p w14:paraId="356808EC">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一、投标函</w:t>
      </w:r>
      <w:r>
        <w:rPr>
          <w:rFonts w:hint="eastAsia" w:ascii="Times New Roman" w:hAnsi="Times New Roman" w:cs="Times New Roman"/>
          <w:highlight w:val="none"/>
          <w:lang w:val="en-US" w:eastAsia="zh-CN"/>
        </w:rPr>
        <w:t>及投标函附录</w:t>
      </w:r>
    </w:p>
    <w:p w14:paraId="6262F2BD">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val="en-US" w:eastAsia="zh-CN"/>
        </w:rPr>
        <w:t>身份证明（适用于无委托代理人的情况）</w:t>
      </w:r>
    </w:p>
    <w:p w14:paraId="75236E02">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14:paraId="3669FABB">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14:paraId="7B9CCC69">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四、服务费用清单</w:t>
      </w:r>
    </w:p>
    <w:p w14:paraId="50A81965">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五、资格审查资料</w:t>
      </w:r>
    </w:p>
    <w:p w14:paraId="484C78F3">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六、服务方案</w:t>
      </w:r>
    </w:p>
    <w:p w14:paraId="4653F8B5">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14:paraId="4F0EB7F8">
      <w:pPr>
        <w:spacing w:line="540" w:lineRule="exact"/>
        <w:rPr>
          <w:rFonts w:hint="default" w:ascii="Times New Roman" w:hAnsi="Times New Roman" w:cs="Times New Roman"/>
          <w:highlight w:val="none"/>
          <w:lang w:val="en-US" w:eastAsia="zh-CN"/>
        </w:rPr>
      </w:pPr>
    </w:p>
    <w:p w14:paraId="2F0CAB12">
      <w:pPr>
        <w:spacing w:line="540" w:lineRule="exact"/>
        <w:rPr>
          <w:rFonts w:hint="default" w:ascii="Times New Roman" w:hAnsi="Times New Roman" w:cs="Times New Roman"/>
        </w:rPr>
      </w:pPr>
      <w:r>
        <w:rPr>
          <w:rFonts w:hint="default" w:ascii="Times New Roman" w:hAnsi="Times New Roman" w:cs="Times New Roman"/>
        </w:rPr>
        <w:t xml:space="preserve"> </w:t>
      </w:r>
    </w:p>
    <w:p w14:paraId="0E56F46C">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240A711E">
      <w:pPr>
        <w:pStyle w:val="6"/>
        <w:jc w:val="center"/>
        <w:rPr>
          <w:rFonts w:hint="default" w:ascii="Times New Roman" w:hAnsi="Times New Roman" w:eastAsia="黑体" w:cs="Times New Roman"/>
          <w:sz w:val="20"/>
          <w:szCs w:val="20"/>
        </w:rPr>
      </w:pPr>
      <w:bookmarkStart w:id="507" w:name="_Toc144974857"/>
      <w:bookmarkStart w:id="508" w:name="_Toc300835210"/>
      <w:bookmarkStart w:id="509" w:name="_Toc152045788"/>
      <w:bookmarkStart w:id="510" w:name="_Toc247527828"/>
      <w:bookmarkStart w:id="511" w:name="_Toc152042577"/>
      <w:bookmarkStart w:id="512" w:name="_Toc247514247"/>
      <w:r>
        <w:rPr>
          <w:rFonts w:hint="default" w:ascii="Times New Roman" w:hAnsi="Times New Roman" w:cs="Times New Roman"/>
        </w:rPr>
        <w:t>一、投标函及投标函附录</w:t>
      </w:r>
      <w:bookmarkEnd w:id="507"/>
      <w:bookmarkEnd w:id="508"/>
      <w:bookmarkEnd w:id="509"/>
      <w:bookmarkEnd w:id="510"/>
      <w:bookmarkEnd w:id="511"/>
      <w:bookmarkEnd w:id="512"/>
    </w:p>
    <w:p w14:paraId="5378FB7D">
      <w:pPr>
        <w:spacing w:line="440" w:lineRule="exact"/>
        <w:rPr>
          <w:rFonts w:hint="default" w:ascii="Times New Roman" w:hAnsi="Times New Roman" w:cs="Times New Roman" w:eastAsiaTheme="minorEastAsia"/>
          <w:sz w:val="20"/>
          <w:szCs w:val="20"/>
          <w:lang w:val="en-US" w:eastAsia="zh-CN"/>
        </w:rPr>
      </w:pPr>
      <w:bookmarkStart w:id="513" w:name="_Toc300835212"/>
      <w:bookmarkStart w:id="514" w:name="_Toc152045790"/>
      <w:bookmarkStart w:id="515" w:name="_Toc247514249"/>
      <w:bookmarkStart w:id="516" w:name="_Toc247527830"/>
      <w:bookmarkStart w:id="517" w:name="_Toc144974859"/>
      <w:bookmarkStart w:id="518" w:name="_Toc152042579"/>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一</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w:t>
      </w:r>
    </w:p>
    <w:p w14:paraId="254A1DB7">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招标人</w:t>
      </w:r>
      <w:r>
        <w:rPr>
          <w:rFonts w:hint="default" w:ascii="Times New Roman" w:hAnsi="Times New Roman" w:cs="Times New Roman"/>
          <w:szCs w:val="21"/>
        </w:rPr>
        <w:t>名称）：</w:t>
      </w:r>
    </w:p>
    <w:p w14:paraId="5799A772">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项目名称）招标项目招标文件的全部内容，愿意平台服务费以_______元/W/年（其中，增值税税率为</w:t>
      </w:r>
      <w:r>
        <w:rPr>
          <w:rFonts w:hint="default" w:ascii="Times New Roman" w:hAnsi="Times New Roman" w:cs="Times New Roman"/>
          <w:szCs w:val="21"/>
          <w:u w:val="single"/>
        </w:rPr>
        <w:t xml:space="preserve">       </w:t>
      </w:r>
      <w:r>
        <w:rPr>
          <w:rFonts w:hint="default" w:ascii="Times New Roman" w:hAnsi="Times New Roman" w:cs="Times New Roman"/>
          <w:szCs w:val="21"/>
        </w:rPr>
        <w:t>），服务期限</w:t>
      </w:r>
      <w:r>
        <w:rPr>
          <w:rFonts w:hint="eastAsia" w:ascii="Times New Roman" w:hAnsi="Times New Roman" w:cs="Times New Roman"/>
          <w:szCs w:val="21"/>
          <w:lang w:val="en-US" w:eastAsia="zh-CN"/>
        </w:rPr>
        <w:t>：</w:t>
      </w:r>
      <w:r>
        <w:rPr>
          <w:rFonts w:hint="eastAsia" w:ascii="Times New Roman" w:hAnsi="Times New Roman" w:cs="Times New Roman"/>
          <w:szCs w:val="21"/>
        </w:rPr>
        <w:t>自合同签订之日起1年，不足1年按实际服务</w:t>
      </w:r>
      <w:r>
        <w:rPr>
          <w:rFonts w:hint="eastAsia" w:ascii="Times New Roman" w:hAnsi="Times New Roman" w:cs="Times New Roman"/>
          <w:szCs w:val="21"/>
          <w:lang w:eastAsia="zh-CN"/>
        </w:rPr>
        <w:t>日历天</w:t>
      </w:r>
      <w:r>
        <w:rPr>
          <w:rFonts w:hint="eastAsia" w:ascii="Times New Roman" w:hAnsi="Times New Roman" w:cs="Times New Roman"/>
          <w:szCs w:val="21"/>
        </w:rPr>
        <w:t>计算</w:t>
      </w:r>
      <w:r>
        <w:rPr>
          <w:rFonts w:hint="eastAsia" w:ascii="Times New Roman" w:hAnsi="Times New Roman" w:cs="Times New Roman"/>
          <w:szCs w:val="21"/>
          <w:u w:val="none"/>
          <w:lang w:val="en-US" w:eastAsia="zh-CN"/>
        </w:rPr>
        <w:t>，按合同约定完成本项全部工作。</w:t>
      </w:r>
    </w:p>
    <w:p w14:paraId="67A21D5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14:paraId="01EBCF0C">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（1）投标函及投标函附录；（2）法定代表人身份证明或授权委托书；（3）联合体协议书（如有）；（4）投标保证金（如有）；（5）服务费用清单；（6）资格审查资料；（7）服务方案；（8）其他资料；.......</w:t>
      </w:r>
    </w:p>
    <w:p w14:paraId="7B2996D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14:paraId="6437F4F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3.我方承诺在招标文件规定的投标有效期内不撤销投标文件。</w:t>
      </w:r>
    </w:p>
    <w:p w14:paraId="16DCFC85">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4.如我方中标，我方承诺：</w:t>
      </w:r>
    </w:p>
    <w:p w14:paraId="186DAA95">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14:paraId="784627E9">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14:paraId="7F04590E">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14:paraId="43AA6BE4">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267EC22B">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14:paraId="4C4271C4">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A076618">
      <w:pPr>
        <w:spacing w:line="440" w:lineRule="exact"/>
        <w:rPr>
          <w:rFonts w:hint="default" w:ascii="Times New Roman" w:hAnsi="Times New Roman" w:cs="Times New Roman"/>
          <w:szCs w:val="21"/>
        </w:rPr>
      </w:pPr>
    </w:p>
    <w:p w14:paraId="24A2439E">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7C287D53">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161A6810">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2F47CB1">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02FE515">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75073F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59DAFEB7">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D7B6AC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513"/>
    <w:bookmarkEnd w:id="514"/>
    <w:bookmarkEnd w:id="515"/>
    <w:bookmarkEnd w:id="516"/>
    <w:bookmarkEnd w:id="517"/>
    <w:bookmarkEnd w:id="518"/>
    <w:p w14:paraId="6C739C55">
      <w:pPr>
        <w:rPr>
          <w:rFonts w:hint="eastAsia" w:ascii="黑体" w:hAnsi="黑体" w:eastAsia="黑体" w:cs="黑体"/>
          <w:b w:val="0"/>
          <w:bCs w:val="0"/>
          <w:sz w:val="28"/>
          <w:szCs w:val="28"/>
          <w:lang w:eastAsia="zh-CN"/>
        </w:rPr>
      </w:pPr>
      <w:r>
        <w:rPr>
          <w:rFonts w:hint="eastAsia" w:ascii="黑体" w:hAnsi="黑体" w:eastAsia="黑体" w:cs="黑体"/>
          <w:b w:val="0"/>
          <w:bCs w:val="0"/>
          <w:sz w:val="28"/>
          <w:szCs w:val="28"/>
          <w:lang w:eastAsia="zh-CN"/>
        </w:rPr>
        <w:br w:type="page"/>
      </w:r>
    </w:p>
    <w:p w14:paraId="53EEE0C6">
      <w:pPr>
        <w:spacing w:line="440" w:lineRule="exact"/>
        <w:rPr>
          <w:rFonts w:hint="default" w:ascii="黑体" w:hAnsi="黑体" w:eastAsia="黑体" w:cs="黑体"/>
          <w:b w:val="0"/>
          <w:bCs w:val="0"/>
          <w:sz w:val="28"/>
          <w:szCs w:val="28"/>
          <w:lang w:val="en-US" w:eastAsia="zh-CN"/>
        </w:rPr>
      </w:pP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二</w:t>
      </w:r>
      <w:r>
        <w:rPr>
          <w:rFonts w:hint="eastAsia" w:ascii="黑体" w:hAnsi="黑体" w:eastAsia="黑体" w:cs="黑体"/>
          <w:b w:val="0"/>
          <w:bCs w:val="0"/>
          <w:sz w:val="28"/>
          <w:szCs w:val="28"/>
          <w:lang w:eastAsia="zh-CN"/>
        </w:rPr>
        <w:t>）</w:t>
      </w:r>
      <w:r>
        <w:rPr>
          <w:rFonts w:hint="eastAsia" w:ascii="黑体" w:hAnsi="黑体" w:eastAsia="黑体" w:cs="黑体"/>
          <w:b w:val="0"/>
          <w:bCs w:val="0"/>
          <w:sz w:val="28"/>
          <w:szCs w:val="28"/>
          <w:lang w:val="en-US" w:eastAsia="zh-CN"/>
        </w:rPr>
        <w:t>投标函附录</w:t>
      </w:r>
    </w:p>
    <w:p w14:paraId="238836A8">
      <w:pPr>
        <w:spacing w:line="440" w:lineRule="exact"/>
        <w:rPr>
          <w:rFonts w:hint="eastAsia" w:ascii="Times New Roman" w:hAnsi="Times New Roman" w:cs="Times New Roman" w:eastAsiaTheme="minorEastAsia"/>
          <w:sz w:val="20"/>
          <w:szCs w:val="20"/>
          <w:lang w:eastAsia="zh-CN"/>
        </w:rPr>
      </w:pP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984"/>
        <w:gridCol w:w="1984"/>
        <w:gridCol w:w="3702"/>
      </w:tblGrid>
      <w:tr w14:paraId="2A4F56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7D7D33C">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序号</w:t>
            </w:r>
          </w:p>
        </w:tc>
        <w:tc>
          <w:tcPr>
            <w:tcW w:w="1984" w:type="dxa"/>
            <w:vAlign w:val="center"/>
          </w:tcPr>
          <w:p w14:paraId="0E355D7D">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条款名称</w:t>
            </w:r>
          </w:p>
        </w:tc>
        <w:tc>
          <w:tcPr>
            <w:tcW w:w="1984" w:type="dxa"/>
            <w:vAlign w:val="center"/>
          </w:tcPr>
          <w:p w14:paraId="7CDC3C85">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约定内容</w:t>
            </w:r>
          </w:p>
        </w:tc>
        <w:tc>
          <w:tcPr>
            <w:tcW w:w="3702" w:type="dxa"/>
            <w:vAlign w:val="center"/>
          </w:tcPr>
          <w:p w14:paraId="6CBBCAD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备注</w:t>
            </w:r>
          </w:p>
        </w:tc>
      </w:tr>
      <w:tr w14:paraId="661571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7F940F22">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1</w:t>
            </w:r>
          </w:p>
        </w:tc>
        <w:tc>
          <w:tcPr>
            <w:tcW w:w="1984" w:type="dxa"/>
            <w:vAlign w:val="center"/>
          </w:tcPr>
          <w:p w14:paraId="66DC5969">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项目负责人</w:t>
            </w:r>
          </w:p>
        </w:tc>
        <w:tc>
          <w:tcPr>
            <w:tcW w:w="1984" w:type="dxa"/>
            <w:vAlign w:val="center"/>
          </w:tcPr>
          <w:p w14:paraId="63B27A9E">
            <w:pPr>
              <w:spacing w:line="440" w:lineRule="exact"/>
              <w:jc w:val="both"/>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姓名：</w:t>
            </w:r>
          </w:p>
          <w:p w14:paraId="16ABC307">
            <w:pPr>
              <w:spacing w:line="440" w:lineRule="exact"/>
              <w:jc w:val="both"/>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身份证号：</w:t>
            </w:r>
          </w:p>
        </w:tc>
        <w:tc>
          <w:tcPr>
            <w:tcW w:w="3702" w:type="dxa"/>
            <w:vAlign w:val="center"/>
          </w:tcPr>
          <w:p w14:paraId="3685D5B3">
            <w:pPr>
              <w:spacing w:line="440" w:lineRule="exact"/>
              <w:jc w:val="center"/>
              <w:rPr>
                <w:rFonts w:hint="eastAsia" w:ascii="Times New Roman" w:hAnsi="Times New Roman" w:cs="Times New Roman" w:eastAsiaTheme="minorEastAsia"/>
                <w:sz w:val="20"/>
                <w:szCs w:val="20"/>
                <w:vertAlign w:val="baseline"/>
                <w:lang w:eastAsia="zh-CN"/>
              </w:rPr>
            </w:pPr>
          </w:p>
        </w:tc>
      </w:tr>
      <w:tr w14:paraId="4FCBE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210094C0">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2</w:t>
            </w:r>
          </w:p>
        </w:tc>
        <w:tc>
          <w:tcPr>
            <w:tcW w:w="1984" w:type="dxa"/>
            <w:vAlign w:val="center"/>
          </w:tcPr>
          <w:p w14:paraId="1571E9F8">
            <w:pPr>
              <w:spacing w:line="440" w:lineRule="exact"/>
              <w:jc w:val="center"/>
              <w:rPr>
                <w:rFonts w:hint="default" w:ascii="Times New Roman" w:hAnsi="Times New Roman" w:cs="Times New Roman" w:eastAsiaTheme="minorEastAsia"/>
                <w:sz w:val="20"/>
                <w:szCs w:val="20"/>
                <w:vertAlign w:val="baseline"/>
                <w:lang w:val="en-US" w:eastAsia="zh-CN"/>
              </w:rPr>
            </w:pPr>
            <w:r>
              <w:rPr>
                <w:rFonts w:hint="eastAsia" w:ascii="Times New Roman" w:hAnsi="Times New Roman" w:cs="Times New Roman"/>
                <w:sz w:val="20"/>
                <w:szCs w:val="20"/>
                <w:vertAlign w:val="baseline"/>
                <w:lang w:val="en-US" w:eastAsia="zh-CN"/>
              </w:rPr>
              <w:t>服务期限</w:t>
            </w:r>
          </w:p>
        </w:tc>
        <w:tc>
          <w:tcPr>
            <w:tcW w:w="1984" w:type="dxa"/>
            <w:vAlign w:val="center"/>
          </w:tcPr>
          <w:p w14:paraId="742E30F3">
            <w:pPr>
              <w:spacing w:line="440" w:lineRule="exact"/>
              <w:jc w:val="both"/>
              <w:rPr>
                <w:rFonts w:hint="default" w:ascii="Times New Roman" w:hAnsi="Times New Roman" w:cs="Times New Roman" w:eastAsiaTheme="minorEastAsia"/>
                <w:sz w:val="20"/>
                <w:szCs w:val="20"/>
                <w:u w:val="none"/>
                <w:vertAlign w:val="baseline"/>
                <w:lang w:val="en-US" w:eastAsia="zh-CN"/>
              </w:rPr>
            </w:pPr>
            <w:r>
              <w:rPr>
                <w:rFonts w:hint="eastAsia" w:ascii="Times New Roman" w:hAnsi="Times New Roman" w:cs="Times New Roman"/>
                <w:szCs w:val="21"/>
              </w:rPr>
              <w:t>自合同签订之日起1年，不足1年按实际服务</w:t>
            </w:r>
            <w:r>
              <w:rPr>
                <w:rFonts w:hint="eastAsia" w:ascii="Times New Roman" w:hAnsi="Times New Roman" w:cs="Times New Roman"/>
                <w:szCs w:val="21"/>
                <w:lang w:eastAsia="zh-CN"/>
              </w:rPr>
              <w:t>日历天</w:t>
            </w:r>
            <w:r>
              <w:rPr>
                <w:rFonts w:hint="eastAsia" w:ascii="Times New Roman" w:hAnsi="Times New Roman" w:cs="Times New Roman"/>
                <w:szCs w:val="21"/>
              </w:rPr>
              <w:t>计算</w:t>
            </w:r>
          </w:p>
        </w:tc>
        <w:tc>
          <w:tcPr>
            <w:tcW w:w="3702" w:type="dxa"/>
            <w:vAlign w:val="center"/>
          </w:tcPr>
          <w:p w14:paraId="5BC89FED">
            <w:pPr>
              <w:spacing w:line="440" w:lineRule="exact"/>
              <w:jc w:val="center"/>
              <w:rPr>
                <w:rFonts w:hint="eastAsia" w:ascii="Times New Roman" w:hAnsi="Times New Roman" w:cs="Times New Roman" w:eastAsiaTheme="minorEastAsia"/>
                <w:sz w:val="20"/>
                <w:szCs w:val="20"/>
                <w:vertAlign w:val="baseline"/>
                <w:lang w:eastAsia="zh-CN"/>
              </w:rPr>
            </w:pPr>
          </w:p>
        </w:tc>
      </w:tr>
      <w:tr w14:paraId="6508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14:paraId="411ACB87">
            <w:pPr>
              <w:spacing w:line="440" w:lineRule="exact"/>
              <w:jc w:val="center"/>
              <w:rPr>
                <w:rFonts w:hint="default"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5A58B3BB">
            <w:pPr>
              <w:spacing w:line="440" w:lineRule="exact"/>
              <w:jc w:val="center"/>
              <w:rPr>
                <w:rFonts w:hint="eastAsia" w:ascii="Times New Roman" w:hAnsi="Times New Roman" w:cs="Times New Roman"/>
                <w:sz w:val="20"/>
                <w:szCs w:val="20"/>
                <w:vertAlign w:val="baseline"/>
                <w:lang w:val="en-US" w:eastAsia="zh-CN"/>
              </w:rPr>
            </w:pPr>
            <w:r>
              <w:rPr>
                <w:rFonts w:hint="eastAsia" w:ascii="Times New Roman" w:hAnsi="Times New Roman" w:cs="Times New Roman"/>
                <w:sz w:val="20"/>
                <w:szCs w:val="20"/>
                <w:vertAlign w:val="baseline"/>
                <w:lang w:val="en-US" w:eastAsia="zh-CN"/>
              </w:rPr>
              <w:t>......</w:t>
            </w:r>
          </w:p>
        </w:tc>
        <w:tc>
          <w:tcPr>
            <w:tcW w:w="1984" w:type="dxa"/>
            <w:vAlign w:val="center"/>
          </w:tcPr>
          <w:p w14:paraId="2BBDCAA9">
            <w:pPr>
              <w:spacing w:line="440" w:lineRule="exact"/>
              <w:jc w:val="center"/>
              <w:rPr>
                <w:rFonts w:hint="eastAsia" w:ascii="Times New Roman" w:hAnsi="Times New Roman" w:cs="Times New Roman" w:eastAsiaTheme="minorEastAsia"/>
                <w:sz w:val="20"/>
                <w:szCs w:val="20"/>
                <w:vertAlign w:val="baseline"/>
                <w:lang w:eastAsia="zh-CN"/>
              </w:rPr>
            </w:pPr>
            <w:r>
              <w:rPr>
                <w:rFonts w:hint="eastAsia" w:ascii="Times New Roman" w:hAnsi="Times New Roman" w:cs="Times New Roman"/>
                <w:sz w:val="20"/>
                <w:szCs w:val="20"/>
                <w:vertAlign w:val="baseline"/>
                <w:lang w:val="en-US" w:eastAsia="zh-CN"/>
              </w:rPr>
              <w:t>......</w:t>
            </w:r>
          </w:p>
        </w:tc>
        <w:tc>
          <w:tcPr>
            <w:tcW w:w="3702" w:type="dxa"/>
            <w:vAlign w:val="center"/>
          </w:tcPr>
          <w:p w14:paraId="65E73961">
            <w:pPr>
              <w:spacing w:line="440" w:lineRule="exact"/>
              <w:jc w:val="center"/>
              <w:rPr>
                <w:rFonts w:hint="eastAsia" w:ascii="Times New Roman" w:hAnsi="Times New Roman" w:cs="Times New Roman" w:eastAsiaTheme="minorEastAsia"/>
                <w:sz w:val="20"/>
                <w:szCs w:val="20"/>
                <w:vertAlign w:val="baseline"/>
                <w:lang w:eastAsia="zh-CN"/>
              </w:rPr>
            </w:pPr>
          </w:p>
        </w:tc>
      </w:tr>
    </w:tbl>
    <w:p w14:paraId="1AC9351A">
      <w:pPr>
        <w:spacing w:line="440" w:lineRule="exact"/>
        <w:rPr>
          <w:rFonts w:hint="eastAsia" w:ascii="Times New Roman" w:hAnsi="Times New Roman" w:cs="Times New Roman" w:eastAsiaTheme="minorEastAsia"/>
          <w:sz w:val="20"/>
          <w:szCs w:val="20"/>
          <w:lang w:eastAsia="zh-CN"/>
        </w:rPr>
      </w:pPr>
    </w:p>
    <w:p w14:paraId="59E342B3">
      <w:pPr>
        <w:spacing w:line="440" w:lineRule="exact"/>
        <w:rPr>
          <w:rFonts w:hint="eastAsia" w:ascii="Times New Roman" w:hAnsi="Times New Roman" w:cs="Times New Roman" w:eastAsiaTheme="minorEastAsia"/>
          <w:sz w:val="20"/>
          <w:szCs w:val="20"/>
          <w:lang w:eastAsia="zh-CN"/>
        </w:rPr>
      </w:pPr>
    </w:p>
    <w:p w14:paraId="2668C46F">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5CE0B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0A590267">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E780B46">
      <w:pPr>
        <w:spacing w:line="440" w:lineRule="exact"/>
        <w:rPr>
          <w:rFonts w:hint="eastAsia" w:ascii="Times New Roman" w:hAnsi="Times New Roman" w:cs="Times New Roman" w:eastAsiaTheme="minorEastAsia"/>
          <w:sz w:val="20"/>
          <w:szCs w:val="20"/>
          <w:lang w:eastAsia="zh-CN"/>
        </w:rPr>
      </w:pPr>
    </w:p>
    <w:p w14:paraId="2E11EF1B">
      <w:pPr>
        <w:spacing w:line="440" w:lineRule="exact"/>
        <w:rPr>
          <w:rFonts w:hint="default" w:ascii="Times New Roman" w:hAnsi="Times New Roman" w:cs="Times New Roman"/>
          <w:szCs w:val="21"/>
        </w:rPr>
      </w:pPr>
    </w:p>
    <w:p w14:paraId="798551B6">
      <w:pPr>
        <w:rPr>
          <w:rFonts w:hint="default" w:ascii="Times New Roman" w:hAnsi="Times New Roman" w:cs="Times New Roman"/>
        </w:rPr>
      </w:pPr>
      <w:bookmarkStart w:id="519" w:name="_Toc152045791"/>
      <w:bookmarkStart w:id="520" w:name="_Toc152042580"/>
      <w:bookmarkStart w:id="521" w:name="_Toc247527831"/>
      <w:bookmarkStart w:id="522" w:name="_Toc300835213"/>
      <w:bookmarkStart w:id="523" w:name="_Toc247514283"/>
      <w:bookmarkStart w:id="524" w:name="_Toc144974860"/>
      <w:r>
        <w:rPr>
          <w:rFonts w:hint="default" w:ascii="Times New Roman" w:hAnsi="Times New Roman" w:cs="Times New Roman"/>
        </w:rPr>
        <w:br w:type="page"/>
      </w:r>
    </w:p>
    <w:p w14:paraId="0F25B13F">
      <w:pPr>
        <w:pStyle w:val="6"/>
        <w:jc w:val="center"/>
        <w:rPr>
          <w:rFonts w:hint="default" w:ascii="Times New Roman" w:hAnsi="Times New Roman" w:cs="Times New Roman"/>
        </w:rPr>
      </w:pPr>
      <w:r>
        <w:rPr>
          <w:rFonts w:hint="default" w:ascii="Times New Roman" w:hAnsi="Times New Roman" w:cs="Times New Roman"/>
        </w:rPr>
        <w:t>二、法定代表人身份证明</w:t>
      </w:r>
      <w:bookmarkEnd w:id="519"/>
      <w:bookmarkEnd w:id="520"/>
      <w:bookmarkEnd w:id="521"/>
      <w:bookmarkEnd w:id="522"/>
      <w:bookmarkEnd w:id="523"/>
      <w:bookmarkEnd w:id="524"/>
    </w:p>
    <w:p w14:paraId="23BD8E33">
      <w:pPr>
        <w:spacing w:line="440" w:lineRule="exact"/>
        <w:rPr>
          <w:rFonts w:hint="default" w:ascii="Times New Roman" w:hAnsi="Times New Roman" w:cs="Times New Roman"/>
          <w:sz w:val="20"/>
          <w:szCs w:val="20"/>
        </w:rPr>
      </w:pPr>
    </w:p>
    <w:p w14:paraId="32121991">
      <w:pPr>
        <w:spacing w:line="440" w:lineRule="exact"/>
        <w:rPr>
          <w:rFonts w:hint="default" w:ascii="Times New Roman" w:hAnsi="Times New Roman" w:cs="Times New Roman"/>
          <w:szCs w:val="21"/>
        </w:rPr>
      </w:pPr>
    </w:p>
    <w:p w14:paraId="152623A6">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6D980A22">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4072E9A">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14:paraId="35F79391">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7065F488">
      <w:pPr>
        <w:spacing w:line="440" w:lineRule="exact"/>
        <w:rPr>
          <w:rFonts w:hint="default" w:ascii="Times New Roman" w:hAnsi="Times New Roman" w:cs="Times New Roman"/>
          <w:szCs w:val="21"/>
        </w:rPr>
      </w:pPr>
    </w:p>
    <w:p w14:paraId="5D79E89A">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48673803">
      <w:pPr>
        <w:spacing w:line="440" w:lineRule="exact"/>
        <w:rPr>
          <w:rFonts w:hint="default" w:ascii="Times New Roman" w:hAnsi="Times New Roman" w:cs="Times New Roman"/>
          <w:szCs w:val="21"/>
        </w:rPr>
      </w:pPr>
    </w:p>
    <w:p w14:paraId="216CBA52">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14:paraId="05F94CC4">
      <w:pPr>
        <w:spacing w:line="440" w:lineRule="exact"/>
        <w:rPr>
          <w:rFonts w:hint="eastAsia" w:ascii="Times New Roman" w:hAnsi="Times New Roman" w:cs="Times New Roman"/>
          <w:szCs w:val="21"/>
          <w:lang w:val="en-US" w:eastAsia="zh-CN"/>
        </w:rPr>
      </w:pPr>
    </w:p>
    <w:p w14:paraId="1C0D64D2">
      <w:pPr>
        <w:spacing w:line="440" w:lineRule="exact"/>
        <w:rPr>
          <w:rFonts w:hint="default" w:ascii="Times New Roman" w:hAnsi="Times New Roman" w:cs="Times New Roman"/>
          <w:szCs w:val="21"/>
          <w:lang w:val="en-US" w:eastAsia="zh-CN"/>
        </w:rPr>
      </w:pPr>
    </w:p>
    <w:p w14:paraId="021F963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127D502">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2DBD823">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4EBF7137">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DB30B57">
      <w:pPr>
        <w:pStyle w:val="6"/>
        <w:jc w:val="center"/>
        <w:rPr>
          <w:rFonts w:hint="default" w:ascii="Times New Roman" w:hAnsi="Times New Roman" w:cs="Times New Roman"/>
        </w:rPr>
      </w:pPr>
      <w:bookmarkStart w:id="525" w:name="_Toc247514284"/>
      <w:bookmarkStart w:id="526" w:name="_Toc247527832"/>
      <w:bookmarkStart w:id="527" w:name="_Toc144974861"/>
      <w:bookmarkStart w:id="528" w:name="_Toc152045792"/>
      <w:bookmarkStart w:id="529" w:name="_Toc152042581"/>
      <w:bookmarkStart w:id="530" w:name="_Toc300835214"/>
      <w:r>
        <w:rPr>
          <w:rFonts w:hint="default" w:ascii="Times New Roman" w:hAnsi="Times New Roman" w:cs="Times New Roman"/>
        </w:rPr>
        <w:t>二、授权委托书</w:t>
      </w:r>
      <w:bookmarkEnd w:id="525"/>
      <w:bookmarkEnd w:id="526"/>
      <w:bookmarkEnd w:id="527"/>
      <w:bookmarkEnd w:id="528"/>
      <w:bookmarkEnd w:id="529"/>
      <w:bookmarkEnd w:id="530"/>
    </w:p>
    <w:p w14:paraId="3615DC1F">
      <w:pPr>
        <w:spacing w:line="440" w:lineRule="exact"/>
        <w:rPr>
          <w:rFonts w:hint="default" w:ascii="Times New Roman" w:hAnsi="Times New Roman" w:eastAsia="黑体" w:cs="Times New Roman"/>
          <w:szCs w:val="21"/>
        </w:rPr>
      </w:pPr>
    </w:p>
    <w:p w14:paraId="29CE044E">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确认、递交、撤回、修改招标项目投标文件、签订合同和处理有关事宜，</w:t>
      </w:r>
      <w:r>
        <w:rPr>
          <w:rFonts w:hint="default" w:ascii="Times New Roman" w:hAnsi="Times New Roman" w:cs="Times New Roman"/>
          <w:szCs w:val="21"/>
        </w:rPr>
        <w:t>其法律后果由我方承担。</w:t>
      </w:r>
    </w:p>
    <w:p w14:paraId="11DA808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2E95DA2C">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0C38CC28">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证复印件、委托代理人身份证复印件、委托代理人2024年1月起</w:t>
      </w:r>
      <w:r>
        <w:rPr>
          <w:rFonts w:hint="eastAsia" w:ascii="Times New Roman" w:hAnsi="Times New Roman" w:cs="Times New Roman"/>
          <w:szCs w:val="21"/>
        </w:rPr>
        <w:t>任意连续3个月及以上养老保险证明</w:t>
      </w:r>
      <w:r>
        <w:rPr>
          <w:rFonts w:hint="eastAsia" w:ascii="Times New Roman" w:hAnsi="Times New Roman" w:cs="Times New Roman"/>
          <w:szCs w:val="21"/>
          <w:lang w:eastAsia="zh-CN"/>
        </w:rPr>
        <w:t>。</w:t>
      </w:r>
    </w:p>
    <w:p w14:paraId="093DD19A">
      <w:pPr>
        <w:spacing w:line="440" w:lineRule="exact"/>
        <w:ind w:firstLine="420" w:firstLineChars="200"/>
        <w:rPr>
          <w:rFonts w:hint="eastAsia" w:ascii="Times New Roman" w:hAnsi="Times New Roman" w:cs="Times New Roman"/>
          <w:szCs w:val="21"/>
          <w:lang w:val="en-US" w:eastAsia="zh-CN"/>
        </w:rPr>
      </w:pPr>
    </w:p>
    <w:p w14:paraId="1BF383F7">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注：本授权委托书需由投标人加盖单位公章并由其法定代表人和委托代理人签字。</w:t>
      </w:r>
    </w:p>
    <w:p w14:paraId="174ED4A1">
      <w:pPr>
        <w:spacing w:line="440" w:lineRule="exact"/>
        <w:rPr>
          <w:rFonts w:hint="default" w:ascii="Times New Roman" w:hAnsi="Times New Roman" w:cs="Times New Roman"/>
          <w:szCs w:val="21"/>
        </w:rPr>
      </w:pPr>
    </w:p>
    <w:p w14:paraId="379DAD50">
      <w:pPr>
        <w:spacing w:line="440" w:lineRule="exact"/>
        <w:rPr>
          <w:rFonts w:hint="default" w:ascii="Times New Roman" w:hAnsi="Times New Roman" w:cs="Times New Roman"/>
          <w:szCs w:val="21"/>
        </w:rPr>
      </w:pPr>
    </w:p>
    <w:p w14:paraId="49C9929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投</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标</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470995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 xml:space="preserve">） </w:t>
      </w:r>
    </w:p>
    <w:p w14:paraId="3D9C1FA0">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4207E44">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14:paraId="5CB90A1B">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7B57550">
      <w:pPr>
        <w:spacing w:line="440" w:lineRule="exact"/>
        <w:rPr>
          <w:rFonts w:hint="default" w:ascii="Times New Roman" w:hAnsi="Times New Roman" w:cs="Times New Roman"/>
          <w:szCs w:val="21"/>
        </w:rPr>
      </w:pPr>
    </w:p>
    <w:p w14:paraId="668B2E0F">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4C251A5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53C3BA6E">
      <w:pPr>
        <w:pStyle w:val="6"/>
        <w:jc w:val="center"/>
        <w:rPr>
          <w:rFonts w:hint="default" w:ascii="Times New Roman" w:hAnsi="Times New Roman" w:cs="Times New Roman"/>
          <w:highlight w:val="none"/>
        </w:rPr>
      </w:pPr>
      <w:bookmarkStart w:id="531" w:name="_Toc144974862"/>
      <w:bookmarkStart w:id="532" w:name="_Toc152045794"/>
      <w:bookmarkStart w:id="533" w:name="_Toc247514286"/>
      <w:bookmarkStart w:id="534" w:name="_Toc300835216"/>
      <w:bookmarkStart w:id="535" w:name="_Toc247527834"/>
      <w:bookmarkStart w:id="536" w:name="_Toc152042583"/>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531"/>
      <w:bookmarkEnd w:id="532"/>
      <w:bookmarkEnd w:id="533"/>
      <w:bookmarkEnd w:id="534"/>
      <w:bookmarkEnd w:id="535"/>
      <w:bookmarkEnd w:id="536"/>
    </w:p>
    <w:p w14:paraId="2B4B96A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53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D6C0FB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30D4D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07B096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47346CB">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5799D44">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37521EB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E4F804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D359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215BCA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A5EFE8">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4C8121B1">
      <w:pPr>
        <w:spacing w:line="440" w:lineRule="exact"/>
        <w:rPr>
          <w:rFonts w:hint="default" w:ascii="Times New Roman" w:hAnsi="Times New Roman" w:cs="Times New Roman"/>
          <w:b/>
          <w:bCs/>
        </w:rPr>
      </w:pPr>
    </w:p>
    <w:bookmarkEnd w:id="537"/>
    <w:p w14:paraId="1CBDC468">
      <w:pPr>
        <w:rPr>
          <w:rFonts w:hint="default" w:ascii="Times New Roman" w:hAnsi="Times New Roman" w:cs="Times New Roman"/>
        </w:rPr>
      </w:pPr>
      <w:bookmarkStart w:id="538" w:name="_Toc247514287"/>
      <w:bookmarkStart w:id="539" w:name="_Toc144974863"/>
      <w:bookmarkStart w:id="540" w:name="_Toc247527835"/>
      <w:bookmarkStart w:id="541" w:name="_Toc152045795"/>
      <w:bookmarkStart w:id="542" w:name="_Toc300835218"/>
      <w:bookmarkStart w:id="543" w:name="_Toc152042584"/>
      <w:r>
        <w:rPr>
          <w:rFonts w:hint="default" w:ascii="Times New Roman" w:hAnsi="Times New Roman" w:cs="Times New Roman"/>
        </w:rPr>
        <w:br w:type="page"/>
      </w:r>
    </w:p>
    <w:p w14:paraId="25083289">
      <w:pPr>
        <w:pStyle w:val="6"/>
        <w:jc w:val="center"/>
        <w:rPr>
          <w:rFonts w:hint="eastAsia" w:ascii="Times New Roman" w:hAnsi="Times New Roman"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538"/>
      <w:bookmarkEnd w:id="539"/>
      <w:bookmarkEnd w:id="540"/>
      <w:bookmarkEnd w:id="541"/>
      <w:bookmarkEnd w:id="542"/>
      <w:bookmarkEnd w:id="543"/>
      <w:r>
        <w:rPr>
          <w:rFonts w:hint="eastAsia" w:ascii="Times New Roman" w:hAnsi="Times New Roman" w:cs="Times New Roman"/>
          <w:lang w:val="en-US" w:eastAsia="zh-CN"/>
        </w:rPr>
        <w:t>服务费用清单</w:t>
      </w:r>
    </w:p>
    <w:p w14:paraId="213D7DA2">
      <w:pPr>
        <w:ind w:firstLine="420" w:firstLineChars="200"/>
        <w:rPr>
          <w:rFonts w:hint="eastAsia" w:ascii="Times New Roman" w:hAnsi="Times New Roman" w:cs="Times New Roman"/>
          <w:lang w:val="en-US" w:eastAsia="zh-CN"/>
        </w:rPr>
      </w:pPr>
      <w:r>
        <w:rPr>
          <w:rFonts w:hint="eastAsia" w:ascii="Times New Roman" w:hAnsi="Times New Roman" w:cs="Times New Roman"/>
          <w:lang w:val="en-US" w:eastAsia="zh-CN"/>
        </w:rPr>
        <w:t>1.服务费用清单说明</w:t>
      </w:r>
    </w:p>
    <w:p w14:paraId="38C90BF2">
      <w:pPr>
        <w:rPr>
          <w:rFonts w:hint="eastAsia" w:ascii="Times New Roman" w:hAnsi="Times New Roman" w:cs="Times New Roman"/>
          <w:lang w:val="en-US" w:eastAsia="zh-CN"/>
        </w:rPr>
      </w:pPr>
    </w:p>
    <w:p w14:paraId="3F3EFF17">
      <w:pPr>
        <w:ind w:firstLine="420" w:firstLineChars="200"/>
        <w:rPr>
          <w:rFonts w:hint="default" w:ascii="Times New Roman" w:hAnsi="Times New Roman" w:cs="Times New Roman"/>
          <w:lang w:val="en-US" w:eastAsia="zh-CN"/>
        </w:rPr>
      </w:pPr>
      <w:r>
        <w:rPr>
          <w:rFonts w:hint="eastAsia" w:ascii="Times New Roman" w:hAnsi="Times New Roman" w:cs="Times New Roman"/>
          <w:lang w:val="en-US" w:eastAsia="zh-CN"/>
        </w:rPr>
        <w:t>2.服务费用清单</w:t>
      </w:r>
    </w:p>
    <w:p w14:paraId="0B37977E">
      <w:pPr>
        <w:rPr>
          <w:rFonts w:hint="default" w:ascii="Times New Roman" w:hAnsi="Times New Roman" w:cs="Times New Roman"/>
          <w:lang w:val="en-US" w:eastAsia="zh-CN"/>
        </w:rPr>
      </w:pPr>
    </w:p>
    <w:p w14:paraId="2F9AA941">
      <w:pPr>
        <w:jc w:val="right"/>
        <w:rPr>
          <w:rFonts w:hint="default" w:ascii="Times New Roman" w:hAnsi="Times New Roman" w:cs="Times New Roman"/>
          <w:lang w:val="en-US" w:eastAsia="zh-CN"/>
        </w:rPr>
      </w:pPr>
      <w:r>
        <w:rPr>
          <w:rFonts w:hint="eastAsia" w:ascii="Times New Roman" w:hAnsi="Times New Roman" w:cs="Times New Roman"/>
          <w:lang w:val="en-US" w:eastAsia="zh-CN"/>
        </w:rPr>
        <w:t>单位：人民币元</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268"/>
        <w:gridCol w:w="2268"/>
        <w:gridCol w:w="1134"/>
        <w:gridCol w:w="2001"/>
      </w:tblGrid>
      <w:tr w14:paraId="606F22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DD69D8C">
            <w:pPr>
              <w:jc w:val="center"/>
              <w:rPr>
                <w:rFonts w:hint="eastAsia" w:ascii="Times New Roman" w:hAnsi="Times New Roman" w:cs="Times New Roman" w:eastAsiaTheme="minorEastAsia"/>
                <w:b/>
                <w:bCs/>
                <w:vertAlign w:val="baseline"/>
                <w:lang w:val="en-US" w:eastAsia="zh-CN"/>
              </w:rPr>
            </w:pPr>
            <w:bookmarkStart w:id="544" w:name="_Toc300835221"/>
            <w:bookmarkStart w:id="545" w:name="_Toc247527836"/>
            <w:bookmarkStart w:id="546" w:name="_Toc152042585"/>
            <w:bookmarkStart w:id="547" w:name="_Toc144974864"/>
            <w:bookmarkStart w:id="548" w:name="_Toc247514288"/>
            <w:bookmarkStart w:id="549" w:name="_Toc152045796"/>
            <w:r>
              <w:rPr>
                <w:rFonts w:hint="eastAsia" w:ascii="Times New Roman" w:hAnsi="Times New Roman" w:cs="Times New Roman"/>
                <w:b/>
                <w:bCs/>
                <w:vertAlign w:val="baseline"/>
                <w:lang w:val="en-US" w:eastAsia="zh-CN"/>
              </w:rPr>
              <w:t>序号</w:t>
            </w:r>
          </w:p>
        </w:tc>
        <w:tc>
          <w:tcPr>
            <w:tcW w:w="2268" w:type="dxa"/>
            <w:vAlign w:val="center"/>
          </w:tcPr>
          <w:p w14:paraId="1EACFE0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服务费用分项名称</w:t>
            </w:r>
          </w:p>
        </w:tc>
        <w:tc>
          <w:tcPr>
            <w:tcW w:w="2268" w:type="dxa"/>
            <w:vAlign w:val="center"/>
          </w:tcPr>
          <w:p w14:paraId="306A4A70">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计算依据、过程和公式</w:t>
            </w:r>
          </w:p>
        </w:tc>
        <w:tc>
          <w:tcPr>
            <w:tcW w:w="1134" w:type="dxa"/>
            <w:vAlign w:val="center"/>
          </w:tcPr>
          <w:p w14:paraId="2553BA59">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金额（元）</w:t>
            </w:r>
          </w:p>
        </w:tc>
        <w:tc>
          <w:tcPr>
            <w:tcW w:w="2001" w:type="dxa"/>
            <w:vAlign w:val="center"/>
          </w:tcPr>
          <w:p w14:paraId="3092032D">
            <w:pPr>
              <w:jc w:val="center"/>
              <w:rPr>
                <w:rFonts w:hint="default" w:ascii="Times New Roman" w:hAnsi="Times New Roman" w:cs="Times New Roman"/>
                <w:b/>
                <w:bCs/>
                <w:vertAlign w:val="baseline"/>
                <w:lang w:val="en-US" w:eastAsia="zh-CN"/>
              </w:rPr>
            </w:pPr>
            <w:r>
              <w:rPr>
                <w:rFonts w:hint="eastAsia" w:ascii="Times New Roman" w:hAnsi="Times New Roman" w:cs="Times New Roman"/>
                <w:b/>
                <w:bCs/>
                <w:vertAlign w:val="baseline"/>
                <w:lang w:val="en-US" w:eastAsia="zh-CN"/>
              </w:rPr>
              <w:t>备注</w:t>
            </w:r>
          </w:p>
        </w:tc>
      </w:tr>
      <w:tr w14:paraId="63816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2691ABA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268" w:type="dxa"/>
            <w:vAlign w:val="center"/>
          </w:tcPr>
          <w:p w14:paraId="66912A7F">
            <w:pPr>
              <w:jc w:val="center"/>
              <w:rPr>
                <w:rFonts w:hint="default" w:ascii="Times New Roman" w:hAnsi="Times New Roman" w:cs="Times New Roman"/>
                <w:vertAlign w:val="baseline"/>
              </w:rPr>
            </w:pPr>
          </w:p>
        </w:tc>
        <w:tc>
          <w:tcPr>
            <w:tcW w:w="2268" w:type="dxa"/>
            <w:vAlign w:val="center"/>
          </w:tcPr>
          <w:p w14:paraId="572EE4B3">
            <w:pPr>
              <w:jc w:val="center"/>
              <w:rPr>
                <w:rFonts w:hint="default" w:ascii="Times New Roman" w:hAnsi="Times New Roman" w:cs="Times New Roman"/>
                <w:vertAlign w:val="baseline"/>
              </w:rPr>
            </w:pPr>
          </w:p>
        </w:tc>
        <w:tc>
          <w:tcPr>
            <w:tcW w:w="1134" w:type="dxa"/>
            <w:vAlign w:val="center"/>
          </w:tcPr>
          <w:p w14:paraId="4D24BE49">
            <w:pPr>
              <w:jc w:val="center"/>
              <w:rPr>
                <w:rFonts w:hint="default" w:ascii="Times New Roman" w:hAnsi="Times New Roman" w:cs="Times New Roman"/>
                <w:vertAlign w:val="baseline"/>
              </w:rPr>
            </w:pPr>
          </w:p>
        </w:tc>
        <w:tc>
          <w:tcPr>
            <w:tcW w:w="2001" w:type="dxa"/>
            <w:vAlign w:val="center"/>
          </w:tcPr>
          <w:p w14:paraId="7B2CD938">
            <w:pPr>
              <w:jc w:val="center"/>
              <w:rPr>
                <w:rFonts w:hint="default" w:ascii="Times New Roman" w:hAnsi="Times New Roman" w:cs="Times New Roman"/>
                <w:vertAlign w:val="baseline"/>
              </w:rPr>
            </w:pPr>
          </w:p>
        </w:tc>
      </w:tr>
      <w:tr w14:paraId="6C7A4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07AF06C7">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268" w:type="dxa"/>
            <w:vAlign w:val="center"/>
          </w:tcPr>
          <w:p w14:paraId="4499CFCE">
            <w:pPr>
              <w:jc w:val="center"/>
              <w:rPr>
                <w:rFonts w:hint="default" w:ascii="Times New Roman" w:hAnsi="Times New Roman" w:cs="Times New Roman"/>
                <w:vertAlign w:val="baseline"/>
              </w:rPr>
            </w:pPr>
          </w:p>
        </w:tc>
        <w:tc>
          <w:tcPr>
            <w:tcW w:w="2268" w:type="dxa"/>
            <w:vAlign w:val="center"/>
          </w:tcPr>
          <w:p w14:paraId="76663D46">
            <w:pPr>
              <w:jc w:val="center"/>
              <w:rPr>
                <w:rFonts w:hint="default" w:ascii="Times New Roman" w:hAnsi="Times New Roman" w:cs="Times New Roman"/>
                <w:vertAlign w:val="baseline"/>
              </w:rPr>
            </w:pPr>
          </w:p>
        </w:tc>
        <w:tc>
          <w:tcPr>
            <w:tcW w:w="1134" w:type="dxa"/>
            <w:vAlign w:val="center"/>
          </w:tcPr>
          <w:p w14:paraId="0097BF91">
            <w:pPr>
              <w:jc w:val="center"/>
              <w:rPr>
                <w:rFonts w:hint="default" w:ascii="Times New Roman" w:hAnsi="Times New Roman" w:cs="Times New Roman"/>
                <w:vertAlign w:val="baseline"/>
              </w:rPr>
            </w:pPr>
          </w:p>
        </w:tc>
        <w:tc>
          <w:tcPr>
            <w:tcW w:w="2001" w:type="dxa"/>
            <w:vAlign w:val="center"/>
          </w:tcPr>
          <w:p w14:paraId="1D65E695">
            <w:pPr>
              <w:jc w:val="center"/>
              <w:rPr>
                <w:rFonts w:hint="default" w:ascii="Times New Roman" w:hAnsi="Times New Roman" w:cs="Times New Roman"/>
                <w:vertAlign w:val="baseline"/>
              </w:rPr>
            </w:pPr>
          </w:p>
        </w:tc>
      </w:tr>
      <w:tr w14:paraId="55B4CB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4CD571F4">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268" w:type="dxa"/>
            <w:vAlign w:val="center"/>
          </w:tcPr>
          <w:p w14:paraId="1304D108">
            <w:pPr>
              <w:jc w:val="center"/>
              <w:rPr>
                <w:rFonts w:hint="default" w:ascii="Times New Roman" w:hAnsi="Times New Roman" w:cs="Times New Roman"/>
                <w:vertAlign w:val="baseline"/>
              </w:rPr>
            </w:pPr>
          </w:p>
        </w:tc>
        <w:tc>
          <w:tcPr>
            <w:tcW w:w="2268" w:type="dxa"/>
            <w:vAlign w:val="center"/>
          </w:tcPr>
          <w:p w14:paraId="2781462C">
            <w:pPr>
              <w:jc w:val="center"/>
              <w:rPr>
                <w:rFonts w:hint="default" w:ascii="Times New Roman" w:hAnsi="Times New Roman" w:cs="Times New Roman"/>
                <w:vertAlign w:val="baseline"/>
              </w:rPr>
            </w:pPr>
          </w:p>
        </w:tc>
        <w:tc>
          <w:tcPr>
            <w:tcW w:w="1134" w:type="dxa"/>
            <w:vAlign w:val="center"/>
          </w:tcPr>
          <w:p w14:paraId="0060EA05">
            <w:pPr>
              <w:jc w:val="center"/>
              <w:rPr>
                <w:rFonts w:hint="default" w:ascii="Times New Roman" w:hAnsi="Times New Roman" w:cs="Times New Roman"/>
                <w:vertAlign w:val="baseline"/>
              </w:rPr>
            </w:pPr>
          </w:p>
        </w:tc>
        <w:tc>
          <w:tcPr>
            <w:tcW w:w="2001" w:type="dxa"/>
            <w:vAlign w:val="center"/>
          </w:tcPr>
          <w:p w14:paraId="66953E79">
            <w:pPr>
              <w:jc w:val="center"/>
              <w:rPr>
                <w:rFonts w:hint="default" w:ascii="Times New Roman" w:hAnsi="Times New Roman" w:cs="Times New Roman"/>
                <w:vertAlign w:val="baseline"/>
              </w:rPr>
            </w:pPr>
          </w:p>
        </w:tc>
      </w:tr>
      <w:tr w14:paraId="1E75B2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60F61E9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268" w:type="dxa"/>
            <w:vAlign w:val="center"/>
          </w:tcPr>
          <w:p w14:paraId="25091FD9">
            <w:pPr>
              <w:jc w:val="center"/>
              <w:rPr>
                <w:rFonts w:hint="default" w:ascii="Times New Roman" w:hAnsi="Times New Roman" w:cs="Times New Roman"/>
                <w:vertAlign w:val="baseline"/>
              </w:rPr>
            </w:pPr>
          </w:p>
        </w:tc>
        <w:tc>
          <w:tcPr>
            <w:tcW w:w="2268" w:type="dxa"/>
            <w:vAlign w:val="center"/>
          </w:tcPr>
          <w:p w14:paraId="029BA6EC">
            <w:pPr>
              <w:jc w:val="center"/>
              <w:rPr>
                <w:rFonts w:hint="default" w:ascii="Times New Roman" w:hAnsi="Times New Roman" w:cs="Times New Roman"/>
                <w:vertAlign w:val="baseline"/>
              </w:rPr>
            </w:pPr>
          </w:p>
        </w:tc>
        <w:tc>
          <w:tcPr>
            <w:tcW w:w="1134" w:type="dxa"/>
            <w:vAlign w:val="center"/>
          </w:tcPr>
          <w:p w14:paraId="06376993">
            <w:pPr>
              <w:jc w:val="center"/>
              <w:rPr>
                <w:rFonts w:hint="default" w:ascii="Times New Roman" w:hAnsi="Times New Roman" w:cs="Times New Roman"/>
                <w:vertAlign w:val="baseline"/>
              </w:rPr>
            </w:pPr>
          </w:p>
        </w:tc>
        <w:tc>
          <w:tcPr>
            <w:tcW w:w="2001" w:type="dxa"/>
            <w:vAlign w:val="center"/>
          </w:tcPr>
          <w:p w14:paraId="58D660DF">
            <w:pPr>
              <w:jc w:val="center"/>
              <w:rPr>
                <w:rFonts w:hint="default" w:ascii="Times New Roman" w:hAnsi="Times New Roman" w:cs="Times New Roman"/>
                <w:vertAlign w:val="baseline"/>
              </w:rPr>
            </w:pPr>
          </w:p>
        </w:tc>
      </w:tr>
      <w:tr w14:paraId="306BA1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3503EEBC">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268" w:type="dxa"/>
            <w:vAlign w:val="center"/>
          </w:tcPr>
          <w:p w14:paraId="70D85914">
            <w:pPr>
              <w:jc w:val="center"/>
              <w:rPr>
                <w:rFonts w:hint="default" w:ascii="Times New Roman" w:hAnsi="Times New Roman" w:cs="Times New Roman"/>
                <w:vertAlign w:val="baseline"/>
              </w:rPr>
            </w:pPr>
          </w:p>
        </w:tc>
        <w:tc>
          <w:tcPr>
            <w:tcW w:w="2268" w:type="dxa"/>
            <w:vAlign w:val="center"/>
          </w:tcPr>
          <w:p w14:paraId="103CEA8B">
            <w:pPr>
              <w:jc w:val="center"/>
              <w:rPr>
                <w:rFonts w:hint="default" w:ascii="Times New Roman" w:hAnsi="Times New Roman" w:cs="Times New Roman"/>
                <w:vertAlign w:val="baseline"/>
              </w:rPr>
            </w:pPr>
          </w:p>
        </w:tc>
        <w:tc>
          <w:tcPr>
            <w:tcW w:w="1134" w:type="dxa"/>
            <w:vAlign w:val="center"/>
          </w:tcPr>
          <w:p w14:paraId="15EFD0F8">
            <w:pPr>
              <w:jc w:val="center"/>
              <w:rPr>
                <w:rFonts w:hint="default" w:ascii="Times New Roman" w:hAnsi="Times New Roman" w:cs="Times New Roman"/>
                <w:vertAlign w:val="baseline"/>
              </w:rPr>
            </w:pPr>
          </w:p>
        </w:tc>
        <w:tc>
          <w:tcPr>
            <w:tcW w:w="2001" w:type="dxa"/>
            <w:vAlign w:val="center"/>
          </w:tcPr>
          <w:p w14:paraId="1274BF07">
            <w:pPr>
              <w:jc w:val="center"/>
              <w:rPr>
                <w:rFonts w:hint="default" w:ascii="Times New Roman" w:hAnsi="Times New Roman" w:cs="Times New Roman"/>
                <w:vertAlign w:val="baseline"/>
              </w:rPr>
            </w:pPr>
          </w:p>
        </w:tc>
      </w:tr>
      <w:tr w14:paraId="4B91D3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14:paraId="7BE992D4">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268" w:type="dxa"/>
            <w:vAlign w:val="center"/>
          </w:tcPr>
          <w:p w14:paraId="504D3D89">
            <w:pPr>
              <w:jc w:val="center"/>
              <w:rPr>
                <w:rFonts w:hint="default" w:ascii="Times New Roman" w:hAnsi="Times New Roman" w:cs="Times New Roman"/>
                <w:vertAlign w:val="baseline"/>
              </w:rPr>
            </w:pPr>
          </w:p>
        </w:tc>
        <w:tc>
          <w:tcPr>
            <w:tcW w:w="2268" w:type="dxa"/>
            <w:vAlign w:val="center"/>
          </w:tcPr>
          <w:p w14:paraId="15DA6636">
            <w:pPr>
              <w:jc w:val="center"/>
              <w:rPr>
                <w:rFonts w:hint="default" w:ascii="Times New Roman" w:hAnsi="Times New Roman" w:cs="Times New Roman"/>
                <w:vertAlign w:val="baseline"/>
              </w:rPr>
            </w:pPr>
          </w:p>
        </w:tc>
        <w:tc>
          <w:tcPr>
            <w:tcW w:w="1134" w:type="dxa"/>
            <w:vAlign w:val="center"/>
          </w:tcPr>
          <w:p w14:paraId="1109E2AA">
            <w:pPr>
              <w:jc w:val="center"/>
              <w:rPr>
                <w:rFonts w:hint="default" w:ascii="Times New Roman" w:hAnsi="Times New Roman" w:cs="Times New Roman"/>
                <w:vertAlign w:val="baseline"/>
              </w:rPr>
            </w:pPr>
          </w:p>
        </w:tc>
        <w:tc>
          <w:tcPr>
            <w:tcW w:w="2001" w:type="dxa"/>
            <w:vAlign w:val="center"/>
          </w:tcPr>
          <w:p w14:paraId="589D8EF0">
            <w:pPr>
              <w:jc w:val="center"/>
              <w:rPr>
                <w:rFonts w:hint="default" w:ascii="Times New Roman" w:hAnsi="Times New Roman" w:cs="Times New Roman"/>
                <w:vertAlign w:val="baseline"/>
              </w:rPr>
            </w:pPr>
          </w:p>
        </w:tc>
      </w:tr>
      <w:tr w14:paraId="65D844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386" w:type="dxa"/>
            <w:gridSpan w:val="3"/>
            <w:vAlign w:val="center"/>
          </w:tcPr>
          <w:p w14:paraId="6E24EDF8">
            <w:pPr>
              <w:jc w:val="center"/>
              <w:rPr>
                <w:rFonts w:hint="default" w:ascii="Times New Roman" w:hAnsi="Times New Roman" w:cs="Times New Roman" w:eastAsiaTheme="minorEastAsia"/>
                <w:vertAlign w:val="baseline"/>
                <w:lang w:val="en-US" w:eastAsia="zh-CN"/>
              </w:rPr>
            </w:pPr>
            <w:r>
              <w:rPr>
                <w:rFonts w:hint="eastAsia" w:ascii="Times New Roman" w:hAnsi="Times New Roman" w:cs="Times New Roman"/>
                <w:b/>
                <w:bCs/>
                <w:vertAlign w:val="baseline"/>
                <w:lang w:val="en-US" w:eastAsia="zh-CN"/>
              </w:rPr>
              <w:t>合计报价</w:t>
            </w:r>
          </w:p>
        </w:tc>
        <w:tc>
          <w:tcPr>
            <w:tcW w:w="1134" w:type="dxa"/>
            <w:vAlign w:val="center"/>
          </w:tcPr>
          <w:p w14:paraId="59E753DD">
            <w:pPr>
              <w:jc w:val="center"/>
              <w:rPr>
                <w:rFonts w:hint="default" w:ascii="Times New Roman" w:hAnsi="Times New Roman" w:cs="Times New Roman"/>
                <w:vertAlign w:val="baseline"/>
              </w:rPr>
            </w:pPr>
          </w:p>
        </w:tc>
        <w:tc>
          <w:tcPr>
            <w:tcW w:w="2001" w:type="dxa"/>
            <w:vAlign w:val="center"/>
          </w:tcPr>
          <w:p w14:paraId="3184F6E8">
            <w:pPr>
              <w:jc w:val="center"/>
              <w:rPr>
                <w:rFonts w:hint="default" w:ascii="Times New Roman" w:hAnsi="Times New Roman" w:cs="Times New Roman"/>
                <w:vertAlign w:val="baseline"/>
              </w:rPr>
            </w:pPr>
          </w:p>
        </w:tc>
      </w:tr>
    </w:tbl>
    <w:p w14:paraId="3C9BA1E3">
      <w:pPr>
        <w:rPr>
          <w:rFonts w:hint="default" w:ascii="Times New Roman" w:hAnsi="Times New Roman" w:cs="Times New Roman"/>
        </w:rPr>
      </w:pPr>
    </w:p>
    <w:p w14:paraId="5D6E5E79">
      <w:pPr>
        <w:rPr>
          <w:rFonts w:hint="default" w:ascii="Times New Roman" w:hAnsi="Times New Roman" w:cs="Times New Roman"/>
        </w:rPr>
      </w:pPr>
      <w:r>
        <w:rPr>
          <w:rFonts w:hint="eastAsia" w:ascii="Times New Roman" w:hAnsi="Times New Roman" w:cs="Times New Roman"/>
          <w:lang w:val="en-US" w:eastAsia="zh-CN"/>
        </w:rPr>
        <w:t>注：投标人可根据行业具体情况及招标项目特点对上表格式进行调整。</w:t>
      </w:r>
      <w:r>
        <w:rPr>
          <w:rFonts w:hint="default" w:ascii="Times New Roman" w:hAnsi="Times New Roman" w:cs="Times New Roman"/>
        </w:rPr>
        <w:br w:type="page"/>
      </w:r>
    </w:p>
    <w:bookmarkEnd w:id="544"/>
    <w:bookmarkEnd w:id="545"/>
    <w:bookmarkEnd w:id="546"/>
    <w:bookmarkEnd w:id="547"/>
    <w:bookmarkEnd w:id="548"/>
    <w:bookmarkEnd w:id="549"/>
    <w:p w14:paraId="6813DDB5">
      <w:pPr>
        <w:pStyle w:val="6"/>
        <w:jc w:val="center"/>
        <w:rPr>
          <w:rFonts w:hint="eastAsia"/>
          <w:highlight w:val="none"/>
        </w:rPr>
      </w:pPr>
      <w:bookmarkStart w:id="550" w:name="_Toc179632823"/>
      <w:bookmarkStart w:id="551" w:name="_Toc246996369"/>
      <w:bookmarkStart w:id="552" w:name="_Toc300835224"/>
      <w:bookmarkStart w:id="553" w:name="_Toc247085887"/>
      <w:bookmarkStart w:id="554" w:name="_Toc152042597"/>
      <w:bookmarkStart w:id="555" w:name="_Toc247527848"/>
      <w:bookmarkStart w:id="556" w:name="_Toc144974871"/>
      <w:bookmarkStart w:id="557" w:name="_Toc247514300"/>
      <w:bookmarkStart w:id="558" w:name="_Toc246997112"/>
      <w:bookmarkStart w:id="559" w:name="_Toc152045803"/>
      <w:bookmarkStart w:id="560" w:name="_Toc152045808"/>
      <w:bookmarkStart w:id="561" w:name="_Toc144974876"/>
      <w:bookmarkStart w:id="562" w:name="_Toc296602614"/>
      <w:bookmarkStart w:id="563" w:name="_Toc152042592"/>
      <w:r>
        <w:rPr>
          <w:rFonts w:hint="eastAsia"/>
          <w:highlight w:val="none"/>
          <w:lang w:val="en-US" w:eastAsia="zh-CN"/>
        </w:rPr>
        <w:t>五</w:t>
      </w:r>
      <w:r>
        <w:rPr>
          <w:highlight w:val="none"/>
        </w:rPr>
        <w:t>、资格审查资料</w:t>
      </w:r>
    </w:p>
    <w:p w14:paraId="7E3E7F09">
      <w:pPr>
        <w:pStyle w:val="7"/>
        <w:jc w:val="both"/>
        <w:rPr>
          <w:rFonts w:hint="eastAsia"/>
        </w:rPr>
      </w:pPr>
      <w:r>
        <w:t>（一）基本情况表</w:t>
      </w:r>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1"/>
        <w:gridCol w:w="1134"/>
        <w:gridCol w:w="1134"/>
        <w:gridCol w:w="1134"/>
        <w:gridCol w:w="567"/>
        <w:gridCol w:w="567"/>
        <w:gridCol w:w="1134"/>
        <w:gridCol w:w="1151"/>
      </w:tblGrid>
      <w:tr w14:paraId="5417868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275702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投标人名称</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A76747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65234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right w:val="single" w:color="auto" w:sz="4" w:space="0"/>
            </w:tcBorders>
            <w:noWrap w:val="0"/>
            <w:vAlign w:val="center"/>
          </w:tcPr>
          <w:p w14:paraId="0AF5E61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注册地址</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4CBAC14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75B91A8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邮政编码</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2C70C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C98C02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restart"/>
            <w:tcBorders>
              <w:top w:val="single" w:color="auto" w:sz="4" w:space="0"/>
              <w:left w:val="single" w:color="auto" w:sz="4" w:space="0"/>
              <w:right w:val="single" w:color="auto" w:sz="4" w:space="0"/>
            </w:tcBorders>
            <w:noWrap w:val="0"/>
            <w:vAlign w:val="center"/>
          </w:tcPr>
          <w:p w14:paraId="3B968E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E117F7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联系人</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4EBB8F9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BB85AB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  话</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7D27E53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21925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vMerge w:val="continue"/>
            <w:tcBorders>
              <w:left w:val="single" w:color="auto" w:sz="4" w:space="0"/>
              <w:bottom w:val="single" w:color="auto" w:sz="4" w:space="0"/>
              <w:right w:val="single" w:color="auto" w:sz="4" w:space="0"/>
            </w:tcBorders>
            <w:noWrap w:val="0"/>
            <w:vAlign w:val="center"/>
          </w:tcPr>
          <w:p w14:paraId="5869A00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FC74B6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传  真</w:t>
            </w:r>
          </w:p>
        </w:tc>
        <w:tc>
          <w:tcPr>
            <w:tcW w:w="2268" w:type="dxa"/>
            <w:gridSpan w:val="2"/>
            <w:tcBorders>
              <w:top w:val="single" w:color="auto" w:sz="4" w:space="0"/>
              <w:left w:val="single" w:color="auto" w:sz="4" w:space="0"/>
              <w:bottom w:val="single" w:color="auto" w:sz="4" w:space="0"/>
              <w:right w:val="single" w:color="auto" w:sz="4" w:space="0"/>
            </w:tcBorders>
            <w:noWrap w:val="0"/>
            <w:vAlign w:val="center"/>
          </w:tcPr>
          <w:p w14:paraId="7AF648F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6AF3679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网  址</w:t>
            </w:r>
          </w:p>
        </w:tc>
        <w:tc>
          <w:tcPr>
            <w:tcW w:w="2285" w:type="dxa"/>
            <w:gridSpan w:val="2"/>
            <w:tcBorders>
              <w:top w:val="single" w:color="auto" w:sz="4" w:space="0"/>
              <w:left w:val="single" w:color="auto" w:sz="4" w:space="0"/>
              <w:bottom w:val="single" w:color="auto" w:sz="4" w:space="0"/>
              <w:right w:val="single" w:color="auto" w:sz="4" w:space="0"/>
            </w:tcBorders>
            <w:noWrap w:val="0"/>
            <w:vAlign w:val="center"/>
          </w:tcPr>
          <w:p w14:paraId="5C4D422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2AD1F2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06878E6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eastAsiaTheme="minorEastAsia"/>
                <w:szCs w:val="21"/>
                <w:lang w:val="en-US" w:eastAsia="zh-CN"/>
              </w:rPr>
            </w:pPr>
            <w:r>
              <w:rPr>
                <w:rFonts w:hint="eastAsia"/>
                <w:szCs w:val="21"/>
                <w:lang w:val="en-US" w:eastAsia="zh-CN"/>
              </w:rPr>
              <w:t>法定代表人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8EB0EA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eastAsiaTheme="minorEastAsia"/>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000167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1D0B8FB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0635AD2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8FBA4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9BCD718">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74BDEB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6D8AF9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27D6F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姓名</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E512D9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E2650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技术职称</w:t>
            </w:r>
          </w:p>
        </w:tc>
        <w:tc>
          <w:tcPr>
            <w:tcW w:w="1134" w:type="dxa"/>
            <w:gridSpan w:val="2"/>
            <w:tcBorders>
              <w:top w:val="single" w:color="auto" w:sz="4" w:space="0"/>
              <w:left w:val="single" w:color="auto" w:sz="4" w:space="0"/>
              <w:bottom w:val="single" w:color="auto" w:sz="4" w:space="0"/>
              <w:right w:val="single" w:color="auto" w:sz="4" w:space="0"/>
            </w:tcBorders>
            <w:noWrap w:val="0"/>
            <w:vAlign w:val="center"/>
          </w:tcPr>
          <w:p w14:paraId="385EF06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45ACA70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电话</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BF4C155">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DE84D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25EECE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企业资质证书</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1D17EB5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default"/>
                <w:szCs w:val="21"/>
                <w:lang w:val="en-US" w:eastAsia="zh-CN"/>
              </w:rPr>
            </w:pPr>
            <w:r>
              <w:rPr>
                <w:rFonts w:hint="eastAsia"/>
                <w:szCs w:val="21"/>
                <w:lang w:val="en-US" w:eastAsia="zh-CN"/>
              </w:rPr>
              <w:t>类型：                  等级：               证书号：</w:t>
            </w:r>
          </w:p>
        </w:tc>
      </w:tr>
      <w:tr w14:paraId="17CD2C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4000260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质量管理体系证书（如有）</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66AB3936">
            <w:pPr>
              <w:keepNext w:val="0"/>
              <w:keepLines w:val="0"/>
              <w:pageBreakBefore w:val="0"/>
              <w:widowControl w:val="0"/>
              <w:kinsoku/>
              <w:wordWrap/>
              <w:overflowPunct/>
              <w:topLinePunct/>
              <w:autoSpaceDE/>
              <w:autoSpaceDN/>
              <w:bidi w:val="0"/>
              <w:adjustRightInd/>
              <w:snapToGrid/>
              <w:spacing w:line="400" w:lineRule="exact"/>
              <w:jc w:val="both"/>
              <w:textAlignment w:val="auto"/>
              <w:rPr>
                <w:rFonts w:hint="eastAsia"/>
                <w:szCs w:val="21"/>
                <w:lang w:val="en-US" w:eastAsia="zh-CN"/>
              </w:rPr>
            </w:pPr>
            <w:r>
              <w:rPr>
                <w:rFonts w:hint="eastAsia"/>
                <w:szCs w:val="21"/>
                <w:lang w:val="en-US" w:eastAsia="zh-CN"/>
              </w:rPr>
              <w:t>类型：                  等级：               证书号：</w:t>
            </w:r>
          </w:p>
        </w:tc>
      </w:tr>
      <w:tr w14:paraId="33B367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6821BA2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营业执照号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4A80D2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3419" w:type="dxa"/>
            <w:gridSpan w:val="4"/>
            <w:tcBorders>
              <w:top w:val="single" w:color="auto" w:sz="4" w:space="0"/>
              <w:left w:val="single" w:color="auto" w:sz="4" w:space="0"/>
              <w:bottom w:val="single" w:color="auto" w:sz="4" w:space="0"/>
              <w:right w:val="single" w:color="auto" w:sz="4" w:space="0"/>
            </w:tcBorders>
            <w:noWrap w:val="0"/>
            <w:vAlign w:val="center"/>
          </w:tcPr>
          <w:p w14:paraId="353678C8">
            <w:pPr>
              <w:keepNext w:val="0"/>
              <w:keepLines w:val="0"/>
              <w:pageBreakBefore w:val="0"/>
              <w:widowControl w:val="0"/>
              <w:kinsoku/>
              <w:wordWrap/>
              <w:overflowPunct/>
              <w:topLinePunct/>
              <w:autoSpaceDE/>
              <w:autoSpaceDN/>
              <w:bidi w:val="0"/>
              <w:adjustRightInd/>
              <w:snapToGrid/>
              <w:spacing w:line="400" w:lineRule="exact"/>
              <w:jc w:val="left"/>
              <w:textAlignment w:val="auto"/>
              <w:rPr>
                <w:rFonts w:hint="default"/>
                <w:szCs w:val="21"/>
                <w:lang w:val="en-US" w:eastAsia="zh-CN"/>
              </w:rPr>
            </w:pPr>
            <w:r>
              <w:rPr>
                <w:rFonts w:hint="eastAsia"/>
                <w:szCs w:val="21"/>
                <w:lang w:val="en-US" w:eastAsia="zh-CN"/>
              </w:rPr>
              <w:t>员工总人数：</w:t>
            </w:r>
          </w:p>
        </w:tc>
      </w:tr>
      <w:tr w14:paraId="6D74F7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3135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注册资本</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1BE2E4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restart"/>
            <w:tcBorders>
              <w:top w:val="single" w:color="auto" w:sz="4" w:space="0"/>
              <w:left w:val="single" w:color="auto" w:sz="4" w:space="0"/>
              <w:right w:val="single" w:color="auto" w:sz="4" w:space="0"/>
            </w:tcBorders>
            <w:noWrap w:val="0"/>
            <w:vAlign w:val="center"/>
          </w:tcPr>
          <w:p w14:paraId="20D9C7A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其中</w:t>
            </w: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2B2E28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高级职称人员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2C6AD56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452F5A8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4A6B88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成立日期</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0EF9C49E">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62D3E0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0B75646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中级职称人员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144D05F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6988F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D03F5E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14CBA572">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开户银行</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79324524">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56ED7349">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3488AB3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技术人员数量</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708CC770">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DE00F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31BE9F5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r>
              <w:rPr>
                <w:rFonts w:hint="eastAsia"/>
                <w:szCs w:val="21"/>
                <w:lang w:val="en-US" w:eastAsia="zh-CN"/>
              </w:rPr>
              <w:t>基本账户</w:t>
            </w:r>
          </w:p>
          <w:p w14:paraId="200CF44F">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银行账户</w:t>
            </w:r>
          </w:p>
        </w:tc>
        <w:tc>
          <w:tcPr>
            <w:tcW w:w="3402" w:type="dxa"/>
            <w:gridSpan w:val="3"/>
            <w:tcBorders>
              <w:top w:val="single" w:color="auto" w:sz="4" w:space="0"/>
              <w:left w:val="single" w:color="auto" w:sz="4" w:space="0"/>
              <w:bottom w:val="single" w:color="auto" w:sz="4" w:space="0"/>
              <w:right w:val="single" w:color="auto" w:sz="4" w:space="0"/>
            </w:tcBorders>
            <w:noWrap w:val="0"/>
            <w:vAlign w:val="center"/>
          </w:tcPr>
          <w:p w14:paraId="66A25FDC">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567" w:type="dxa"/>
            <w:vMerge w:val="continue"/>
            <w:tcBorders>
              <w:left w:val="single" w:color="auto" w:sz="4" w:space="0"/>
              <w:right w:val="single" w:color="auto" w:sz="4" w:space="0"/>
            </w:tcBorders>
            <w:noWrap w:val="0"/>
            <w:vAlign w:val="center"/>
          </w:tcPr>
          <w:p w14:paraId="2BBFDCA3">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c>
          <w:tcPr>
            <w:tcW w:w="1701" w:type="dxa"/>
            <w:gridSpan w:val="2"/>
            <w:tcBorders>
              <w:top w:val="single" w:color="auto" w:sz="4" w:space="0"/>
              <w:left w:val="single" w:color="auto" w:sz="4" w:space="0"/>
              <w:bottom w:val="single" w:color="auto" w:sz="4" w:space="0"/>
              <w:right w:val="single" w:color="auto" w:sz="4" w:space="0"/>
            </w:tcBorders>
            <w:noWrap w:val="0"/>
            <w:vAlign w:val="center"/>
          </w:tcPr>
          <w:p w14:paraId="51BE449A">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各类注册人员</w:t>
            </w:r>
          </w:p>
        </w:tc>
        <w:tc>
          <w:tcPr>
            <w:tcW w:w="1151" w:type="dxa"/>
            <w:tcBorders>
              <w:top w:val="single" w:color="auto" w:sz="4" w:space="0"/>
              <w:left w:val="single" w:color="auto" w:sz="4" w:space="0"/>
              <w:bottom w:val="single" w:color="auto" w:sz="4" w:space="0"/>
              <w:right w:val="single" w:color="auto" w:sz="4" w:space="0"/>
            </w:tcBorders>
            <w:noWrap w:val="0"/>
            <w:vAlign w:val="center"/>
          </w:tcPr>
          <w:p w14:paraId="488E258B">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748AE3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28898651">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经营范围</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5937F0B6">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3223FB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168DE1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投标人关联企业情况（包括但不限于与投标人法定代表人为同一人或者存在控股、管理关系的不同单位）</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33C6F40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r w14:paraId="03920CD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701" w:type="dxa"/>
            <w:tcBorders>
              <w:top w:val="single" w:color="auto" w:sz="4" w:space="0"/>
              <w:left w:val="single" w:color="auto" w:sz="4" w:space="0"/>
              <w:bottom w:val="single" w:color="auto" w:sz="4" w:space="0"/>
              <w:right w:val="single" w:color="auto" w:sz="4" w:space="0"/>
            </w:tcBorders>
            <w:noWrap w:val="0"/>
            <w:vAlign w:val="center"/>
          </w:tcPr>
          <w:p w14:paraId="56C229ED">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default"/>
                <w:szCs w:val="21"/>
                <w:lang w:val="en-US" w:eastAsia="zh-CN"/>
              </w:rPr>
            </w:pPr>
            <w:r>
              <w:rPr>
                <w:rFonts w:hint="eastAsia"/>
                <w:szCs w:val="21"/>
                <w:lang w:val="en-US" w:eastAsia="zh-CN"/>
              </w:rPr>
              <w:t>备注</w:t>
            </w:r>
          </w:p>
        </w:tc>
        <w:tc>
          <w:tcPr>
            <w:tcW w:w="6821" w:type="dxa"/>
            <w:gridSpan w:val="7"/>
            <w:tcBorders>
              <w:top w:val="single" w:color="auto" w:sz="4" w:space="0"/>
              <w:left w:val="single" w:color="auto" w:sz="4" w:space="0"/>
              <w:bottom w:val="single" w:color="auto" w:sz="4" w:space="0"/>
              <w:right w:val="single" w:color="auto" w:sz="4" w:space="0"/>
            </w:tcBorders>
            <w:noWrap w:val="0"/>
            <w:vAlign w:val="center"/>
          </w:tcPr>
          <w:p w14:paraId="476FBCB7">
            <w:pPr>
              <w:keepNext w:val="0"/>
              <w:keepLines w:val="0"/>
              <w:pageBreakBefore w:val="0"/>
              <w:widowControl w:val="0"/>
              <w:kinsoku/>
              <w:wordWrap/>
              <w:overflowPunct/>
              <w:topLinePunct/>
              <w:autoSpaceDE/>
              <w:autoSpaceDN/>
              <w:bidi w:val="0"/>
              <w:adjustRightInd/>
              <w:snapToGrid/>
              <w:spacing w:line="400" w:lineRule="exact"/>
              <w:jc w:val="center"/>
              <w:textAlignment w:val="auto"/>
              <w:rPr>
                <w:rFonts w:hint="eastAsia"/>
                <w:szCs w:val="21"/>
                <w:lang w:val="en-US" w:eastAsia="zh-CN"/>
              </w:rPr>
            </w:pPr>
          </w:p>
        </w:tc>
      </w:tr>
    </w:tbl>
    <w:p w14:paraId="66CD0267">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eastAsia" w:ascii="Times New Roman" w:hAnsi="Times New Roman" w:cs="Times New Roman"/>
          <w:lang w:val="en-US" w:eastAsia="zh-CN"/>
        </w:rPr>
      </w:pPr>
      <w:r>
        <w:rPr>
          <w:rFonts w:hint="eastAsia" w:ascii="Times New Roman" w:hAnsi="Times New Roman" w:cs="Times New Roman"/>
          <w:lang w:val="en-US" w:eastAsia="zh-CN"/>
        </w:rPr>
        <w:t>注：</w:t>
      </w:r>
      <w:r>
        <w:rPr>
          <w:rFonts w:hint="default" w:ascii="Times New Roman" w:hAnsi="Times New Roman" w:cs="Times New Roman"/>
          <w:lang w:val="en-US" w:eastAsia="zh-CN"/>
        </w:rPr>
        <w:t>投标人应根据投标人须知</w:t>
      </w:r>
      <w:r>
        <w:rPr>
          <w:rFonts w:hint="default" w:ascii="Times New Roman" w:hAnsi="Times New Roman" w:cs="Times New Roman"/>
          <w:highlight w:val="none"/>
          <w:lang w:val="en-US" w:eastAsia="zh-CN"/>
        </w:rPr>
        <w:t>第3.5.1项的要求在</w:t>
      </w:r>
      <w:r>
        <w:rPr>
          <w:rFonts w:hint="default" w:ascii="Times New Roman" w:hAnsi="Times New Roman" w:cs="Times New Roman"/>
          <w:lang w:val="en-US" w:eastAsia="zh-CN"/>
        </w:rPr>
        <w:t>本表后附相关证明材料</w:t>
      </w:r>
      <w:r>
        <w:rPr>
          <w:rFonts w:hint="eastAsia" w:ascii="Times New Roman" w:hAnsi="Times New Roman" w:cs="Times New Roman"/>
          <w:lang w:val="en-US" w:eastAsia="zh-CN"/>
        </w:rPr>
        <w:t>。</w:t>
      </w:r>
    </w:p>
    <w:p w14:paraId="36C42BCC">
      <w:pPr>
        <w:keepNext w:val="0"/>
        <w:keepLines w:val="0"/>
        <w:pageBreakBefore w:val="0"/>
        <w:widowControl w:val="0"/>
        <w:kinsoku/>
        <w:wordWrap/>
        <w:overflowPunct/>
        <w:topLinePunct w:val="0"/>
        <w:autoSpaceDE/>
        <w:autoSpaceDN/>
        <w:bidi w:val="0"/>
        <w:adjustRightInd/>
        <w:snapToGrid/>
        <w:spacing w:line="40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附：3.5.1 “投标人基本情况表”应附投标人营业执照和组织机构代码证的复印件（按照“三证合一”或“五证合一”登记制度进行登记的，可仅提供营业执照复印件）、投标人资质证书副本（如有）等材料的复印件。</w:t>
      </w:r>
    </w:p>
    <w:p w14:paraId="03B3C9AA">
      <w:pPr>
        <w:rPr>
          <w:rFonts w:hint="eastAsia"/>
        </w:rPr>
      </w:pPr>
      <w:r>
        <w:rPr>
          <w:rFonts w:hint="eastAsia"/>
        </w:rPr>
        <w:br w:type="page"/>
      </w:r>
    </w:p>
    <w:p w14:paraId="3E44F3AE">
      <w:pPr>
        <w:pStyle w:val="7"/>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14:paraId="25F1CD20">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投标人应根据投标人须知第3.5.2项的要求在本表后附相关证明材料。</w:t>
      </w:r>
    </w:p>
    <w:p w14:paraId="14272816">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color w:val="auto"/>
          <w:highlight w:val="none"/>
        </w:rPr>
      </w:pPr>
      <w:r>
        <w:rPr>
          <w:rFonts w:hint="eastAsia" w:ascii="Times New Roman" w:hAnsi="Times New Roman" w:cs="Times New Roman"/>
          <w:color w:val="auto"/>
          <w:highlight w:val="none"/>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14:paraId="54FB0286">
      <w:pPr>
        <w:rPr>
          <w:rFonts w:hint="eastAsia"/>
        </w:rPr>
      </w:pPr>
      <w:r>
        <w:rPr>
          <w:rFonts w:hint="eastAsia"/>
        </w:rPr>
        <w:br w:type="page"/>
      </w:r>
    </w:p>
    <w:p w14:paraId="32213593">
      <w:pPr>
        <w:pStyle w:val="7"/>
        <w:rPr>
          <w:rFonts w:hint="default" w:ascii="Times New Roman" w:hAnsi="Times New Roman" w:cs="Times New Roman"/>
        </w:rPr>
      </w:pPr>
      <w:r>
        <w:rPr>
          <w:rFonts w:hint="default" w:ascii="Times New Roman" w:hAnsi="Times New Roman" w:cs="Times New Roman"/>
        </w:rPr>
        <w:t>（三）近年完成的类似项目情况表</w:t>
      </w:r>
    </w:p>
    <w:p w14:paraId="562A3958">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5245C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51FE10E2">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14:paraId="4112FF50">
            <w:pPr>
              <w:topLinePunct/>
              <w:spacing w:line="440" w:lineRule="exact"/>
              <w:rPr>
                <w:rFonts w:hint="default" w:ascii="Times New Roman" w:hAnsi="Times New Roman" w:cs="Times New Roman"/>
                <w:szCs w:val="21"/>
                <w:highlight w:val="black"/>
              </w:rPr>
            </w:pPr>
          </w:p>
        </w:tc>
      </w:tr>
      <w:tr w14:paraId="20B97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0" w:hRule="atLeast"/>
        </w:trPr>
        <w:tc>
          <w:tcPr>
            <w:tcW w:w="2269" w:type="dxa"/>
            <w:noWrap w:val="0"/>
            <w:vAlign w:val="center"/>
          </w:tcPr>
          <w:p w14:paraId="6DAAB3D3">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项目所在地</w:t>
            </w:r>
          </w:p>
        </w:tc>
        <w:tc>
          <w:tcPr>
            <w:tcW w:w="6253" w:type="dxa"/>
            <w:noWrap w:val="0"/>
            <w:vAlign w:val="top"/>
          </w:tcPr>
          <w:p w14:paraId="5ABED394">
            <w:pPr>
              <w:topLinePunct/>
              <w:spacing w:line="440" w:lineRule="exact"/>
              <w:rPr>
                <w:rFonts w:hint="default" w:ascii="Times New Roman" w:hAnsi="Times New Roman" w:cs="Times New Roman"/>
                <w:szCs w:val="21"/>
                <w:highlight w:val="black"/>
              </w:rPr>
            </w:pPr>
          </w:p>
        </w:tc>
      </w:tr>
      <w:tr w14:paraId="26F727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60030654">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发包人名称</w:t>
            </w:r>
          </w:p>
        </w:tc>
        <w:tc>
          <w:tcPr>
            <w:tcW w:w="6253" w:type="dxa"/>
            <w:noWrap w:val="0"/>
            <w:vAlign w:val="top"/>
          </w:tcPr>
          <w:p w14:paraId="7745F383">
            <w:pPr>
              <w:topLinePunct/>
              <w:spacing w:line="440" w:lineRule="exact"/>
              <w:rPr>
                <w:rFonts w:hint="default" w:ascii="Times New Roman" w:hAnsi="Times New Roman" w:cs="Times New Roman"/>
                <w:szCs w:val="21"/>
                <w:highlight w:val="black"/>
              </w:rPr>
            </w:pPr>
          </w:p>
        </w:tc>
      </w:tr>
      <w:tr w14:paraId="66FEE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B2CB58A">
            <w:pPr>
              <w:topLinePunct/>
              <w:spacing w:line="440" w:lineRule="exact"/>
              <w:jc w:val="center"/>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发包人地址</w:t>
            </w:r>
          </w:p>
        </w:tc>
        <w:tc>
          <w:tcPr>
            <w:tcW w:w="6253" w:type="dxa"/>
            <w:noWrap w:val="0"/>
            <w:vAlign w:val="top"/>
          </w:tcPr>
          <w:p w14:paraId="3C41DCD6">
            <w:pPr>
              <w:topLinePunct/>
              <w:spacing w:line="440" w:lineRule="exact"/>
              <w:rPr>
                <w:rFonts w:hint="default" w:ascii="Times New Roman" w:hAnsi="Times New Roman" w:cs="Times New Roman"/>
                <w:szCs w:val="21"/>
                <w:highlight w:val="black"/>
              </w:rPr>
            </w:pPr>
          </w:p>
        </w:tc>
      </w:tr>
      <w:tr w14:paraId="5DDD1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0BD8213F">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发包人电话</w:t>
            </w:r>
          </w:p>
        </w:tc>
        <w:tc>
          <w:tcPr>
            <w:tcW w:w="6253" w:type="dxa"/>
            <w:noWrap w:val="0"/>
            <w:vAlign w:val="top"/>
          </w:tcPr>
          <w:p w14:paraId="7039C42B">
            <w:pPr>
              <w:topLinePunct/>
              <w:spacing w:line="440" w:lineRule="exact"/>
              <w:rPr>
                <w:rFonts w:hint="default" w:ascii="Times New Roman" w:hAnsi="Times New Roman" w:cs="Times New Roman"/>
                <w:szCs w:val="21"/>
              </w:rPr>
            </w:pPr>
          </w:p>
        </w:tc>
      </w:tr>
      <w:tr w14:paraId="34461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6C6F5F3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DB3E22A">
            <w:pPr>
              <w:topLinePunct/>
              <w:spacing w:line="440" w:lineRule="exact"/>
              <w:rPr>
                <w:rFonts w:hint="default" w:ascii="Times New Roman" w:hAnsi="Times New Roman" w:cs="Times New Roman"/>
                <w:szCs w:val="21"/>
              </w:rPr>
            </w:pPr>
          </w:p>
        </w:tc>
      </w:tr>
      <w:tr w14:paraId="77AF8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0934AD44">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服务期限</w:t>
            </w:r>
          </w:p>
        </w:tc>
        <w:tc>
          <w:tcPr>
            <w:tcW w:w="6253" w:type="dxa"/>
            <w:noWrap w:val="0"/>
            <w:vAlign w:val="top"/>
          </w:tcPr>
          <w:p w14:paraId="7E2454B0">
            <w:pPr>
              <w:topLinePunct/>
              <w:spacing w:line="440" w:lineRule="exact"/>
              <w:rPr>
                <w:rFonts w:hint="default" w:ascii="Times New Roman" w:hAnsi="Times New Roman" w:cs="Times New Roman"/>
                <w:szCs w:val="21"/>
              </w:rPr>
            </w:pPr>
          </w:p>
        </w:tc>
      </w:tr>
      <w:tr w14:paraId="35374E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0" w:hRule="atLeast"/>
        </w:trPr>
        <w:tc>
          <w:tcPr>
            <w:tcW w:w="2269" w:type="dxa"/>
            <w:noWrap w:val="0"/>
            <w:vAlign w:val="center"/>
          </w:tcPr>
          <w:p w14:paraId="10EB5E86">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服务内容</w:t>
            </w:r>
          </w:p>
        </w:tc>
        <w:tc>
          <w:tcPr>
            <w:tcW w:w="6253" w:type="dxa"/>
            <w:noWrap w:val="0"/>
            <w:vAlign w:val="top"/>
          </w:tcPr>
          <w:p w14:paraId="00FDCDC8">
            <w:pPr>
              <w:topLinePunct/>
              <w:spacing w:line="440" w:lineRule="exact"/>
              <w:rPr>
                <w:rFonts w:hint="default" w:ascii="Times New Roman" w:hAnsi="Times New Roman" w:cs="Times New Roman"/>
                <w:szCs w:val="21"/>
              </w:rPr>
            </w:pPr>
          </w:p>
        </w:tc>
      </w:tr>
      <w:tr w14:paraId="788C5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58DB89E1">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项目负责人</w:t>
            </w:r>
          </w:p>
        </w:tc>
        <w:tc>
          <w:tcPr>
            <w:tcW w:w="6253" w:type="dxa"/>
            <w:noWrap w:val="0"/>
            <w:vAlign w:val="top"/>
          </w:tcPr>
          <w:p w14:paraId="1D93646D">
            <w:pPr>
              <w:topLinePunct/>
              <w:spacing w:line="440" w:lineRule="exact"/>
              <w:rPr>
                <w:rFonts w:hint="default" w:ascii="Times New Roman" w:hAnsi="Times New Roman" w:cs="Times New Roman"/>
                <w:szCs w:val="21"/>
              </w:rPr>
            </w:pPr>
          </w:p>
        </w:tc>
      </w:tr>
      <w:tr w14:paraId="03EDD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19769DA5">
            <w:pPr>
              <w:topLinePunct/>
              <w:spacing w:line="440" w:lineRule="exact"/>
              <w:jc w:val="center"/>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描述</w:t>
            </w:r>
          </w:p>
        </w:tc>
        <w:tc>
          <w:tcPr>
            <w:tcW w:w="6253" w:type="dxa"/>
            <w:noWrap w:val="0"/>
            <w:vAlign w:val="top"/>
          </w:tcPr>
          <w:p w14:paraId="2898C864">
            <w:pPr>
              <w:topLinePunct/>
              <w:spacing w:line="440" w:lineRule="exact"/>
              <w:rPr>
                <w:rFonts w:hint="default" w:ascii="Times New Roman" w:hAnsi="Times New Roman" w:cs="Times New Roman"/>
                <w:szCs w:val="21"/>
              </w:rPr>
            </w:pPr>
          </w:p>
          <w:p w14:paraId="1747D4F0">
            <w:pPr>
              <w:topLinePunct/>
              <w:spacing w:line="440" w:lineRule="exact"/>
              <w:rPr>
                <w:rFonts w:hint="default" w:ascii="Times New Roman" w:hAnsi="Times New Roman" w:cs="Times New Roman"/>
                <w:szCs w:val="21"/>
              </w:rPr>
            </w:pPr>
          </w:p>
          <w:p w14:paraId="7CC8AA70">
            <w:pPr>
              <w:topLinePunct/>
              <w:spacing w:line="440" w:lineRule="exact"/>
              <w:rPr>
                <w:rFonts w:hint="default" w:ascii="Times New Roman" w:hAnsi="Times New Roman" w:cs="Times New Roman"/>
                <w:szCs w:val="21"/>
              </w:rPr>
            </w:pPr>
          </w:p>
          <w:p w14:paraId="1F0AFC70">
            <w:pPr>
              <w:topLinePunct/>
              <w:spacing w:line="440" w:lineRule="exact"/>
              <w:rPr>
                <w:rFonts w:hint="default" w:ascii="Times New Roman" w:hAnsi="Times New Roman" w:cs="Times New Roman"/>
                <w:szCs w:val="21"/>
              </w:rPr>
            </w:pPr>
          </w:p>
          <w:p w14:paraId="0FC46995">
            <w:pPr>
              <w:topLinePunct/>
              <w:spacing w:line="440" w:lineRule="exact"/>
              <w:rPr>
                <w:rFonts w:hint="default" w:ascii="Times New Roman" w:hAnsi="Times New Roman" w:cs="Times New Roman"/>
                <w:szCs w:val="21"/>
              </w:rPr>
            </w:pPr>
          </w:p>
          <w:p w14:paraId="7AD5D5D8">
            <w:pPr>
              <w:topLinePunct/>
              <w:spacing w:line="440" w:lineRule="exact"/>
              <w:rPr>
                <w:rFonts w:hint="default" w:ascii="Times New Roman" w:hAnsi="Times New Roman" w:cs="Times New Roman"/>
                <w:szCs w:val="21"/>
              </w:rPr>
            </w:pPr>
          </w:p>
          <w:p w14:paraId="1A7BC528">
            <w:pPr>
              <w:topLinePunct/>
              <w:spacing w:line="440" w:lineRule="exact"/>
              <w:rPr>
                <w:rFonts w:hint="default" w:ascii="Times New Roman" w:hAnsi="Times New Roman" w:cs="Times New Roman"/>
                <w:szCs w:val="21"/>
              </w:rPr>
            </w:pPr>
          </w:p>
        </w:tc>
      </w:tr>
      <w:tr w14:paraId="174F4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5482239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664BE251">
            <w:pPr>
              <w:topLinePunct/>
              <w:spacing w:line="440" w:lineRule="exact"/>
              <w:rPr>
                <w:rFonts w:hint="default" w:ascii="Times New Roman" w:hAnsi="Times New Roman" w:cs="Times New Roman"/>
                <w:szCs w:val="21"/>
              </w:rPr>
            </w:pPr>
          </w:p>
        </w:tc>
      </w:tr>
    </w:tbl>
    <w:p w14:paraId="4AD76357">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default" w:ascii="Times New Roman" w:hAnsi="Times New Roman" w:cs="Times New Roman"/>
          <w:highlight w:val="none"/>
          <w:lang w:val="en-US" w:eastAsia="zh-CN"/>
        </w:rPr>
        <w:t>注：投标人应根据投标人须知第3.5.3项的要求在本表后附相关证明材料；</w:t>
      </w:r>
    </w:p>
    <w:p w14:paraId="556C47D8">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附：3.5.3 “近年完成的类似项目情况表”应附合同协议书；具体时间要求见投标人须知前附表，每张表格只填写一个项目，并标明序号。</w:t>
      </w:r>
    </w:p>
    <w:p w14:paraId="41EDF0F7">
      <w:pPr>
        <w:rPr>
          <w:rFonts w:hint="eastAsia"/>
        </w:rPr>
      </w:pPr>
      <w:r>
        <w:rPr>
          <w:rFonts w:hint="eastAsia"/>
        </w:rPr>
        <w:br w:type="page"/>
      </w:r>
    </w:p>
    <w:p w14:paraId="353657FE">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（四）拟委任的主要人员汇总表</w:t>
      </w:r>
    </w:p>
    <w:tbl>
      <w:tblPr>
        <w:tblStyle w:val="19"/>
        <w:tblW w:w="499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3"/>
        <w:gridCol w:w="1614"/>
        <w:gridCol w:w="794"/>
        <w:gridCol w:w="794"/>
        <w:gridCol w:w="794"/>
        <w:gridCol w:w="1341"/>
        <w:gridCol w:w="794"/>
        <w:gridCol w:w="804"/>
        <w:gridCol w:w="794"/>
      </w:tblGrid>
      <w:tr w14:paraId="0DDD8A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restart"/>
            <w:vAlign w:val="center"/>
          </w:tcPr>
          <w:p w14:paraId="711EB9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序号</w:t>
            </w:r>
          </w:p>
        </w:tc>
        <w:tc>
          <w:tcPr>
            <w:tcW w:w="948" w:type="pct"/>
            <w:vMerge w:val="restart"/>
            <w:vAlign w:val="center"/>
          </w:tcPr>
          <w:p w14:paraId="5CBD47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本项目任职</w:t>
            </w:r>
          </w:p>
        </w:tc>
        <w:tc>
          <w:tcPr>
            <w:tcW w:w="466" w:type="pct"/>
            <w:vMerge w:val="restart"/>
            <w:vAlign w:val="center"/>
          </w:tcPr>
          <w:p w14:paraId="7DB4D3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姓名</w:t>
            </w:r>
          </w:p>
        </w:tc>
        <w:tc>
          <w:tcPr>
            <w:tcW w:w="466" w:type="pct"/>
            <w:vMerge w:val="restart"/>
            <w:vAlign w:val="center"/>
          </w:tcPr>
          <w:p w14:paraId="571B28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职称</w:t>
            </w:r>
          </w:p>
        </w:tc>
        <w:tc>
          <w:tcPr>
            <w:tcW w:w="466" w:type="pct"/>
            <w:vMerge w:val="restart"/>
            <w:vAlign w:val="center"/>
          </w:tcPr>
          <w:p w14:paraId="4E7C92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专业</w:t>
            </w:r>
          </w:p>
        </w:tc>
        <w:tc>
          <w:tcPr>
            <w:tcW w:w="1725" w:type="pct"/>
            <w:gridSpan w:val="3"/>
            <w:vAlign w:val="center"/>
          </w:tcPr>
          <w:p w14:paraId="5D43EE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执业或职业资格证明</w:t>
            </w:r>
          </w:p>
        </w:tc>
        <w:tc>
          <w:tcPr>
            <w:tcW w:w="466" w:type="pct"/>
            <w:vMerge w:val="restart"/>
            <w:vAlign w:val="center"/>
          </w:tcPr>
          <w:p w14:paraId="2EC7449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备注</w:t>
            </w:r>
          </w:p>
        </w:tc>
      </w:tr>
      <w:tr w14:paraId="08F6D6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Merge w:val="continue"/>
            <w:vAlign w:val="center"/>
          </w:tcPr>
          <w:p w14:paraId="0857A2D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Merge w:val="continue"/>
            <w:vAlign w:val="center"/>
          </w:tcPr>
          <w:p w14:paraId="573FBD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1DD4F5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7A1FB4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Merge w:val="continue"/>
            <w:vAlign w:val="center"/>
          </w:tcPr>
          <w:p w14:paraId="0F37473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9F61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证明名称</w:t>
            </w:r>
          </w:p>
        </w:tc>
        <w:tc>
          <w:tcPr>
            <w:tcW w:w="466" w:type="pct"/>
            <w:vAlign w:val="center"/>
          </w:tcPr>
          <w:p w14:paraId="082D53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级别</w:t>
            </w:r>
          </w:p>
        </w:tc>
        <w:tc>
          <w:tcPr>
            <w:tcW w:w="471" w:type="pct"/>
            <w:vAlign w:val="center"/>
          </w:tcPr>
          <w:p w14:paraId="60EC233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r>
              <w:rPr>
                <w:rFonts w:hint="eastAsia" w:ascii="Times New Roman" w:hAnsi="Times New Roman" w:eastAsia="宋体" w:cs="Times New Roman"/>
                <w:b w:val="0"/>
                <w:bCs w:val="0"/>
                <w:kern w:val="0"/>
                <w:sz w:val="24"/>
                <w:szCs w:val="24"/>
                <w:highlight w:val="none"/>
                <w:u w:val="none"/>
                <w:vertAlign w:val="baseline"/>
                <w:lang w:val="en-US" w:eastAsia="zh-CN" w:bidi="ar-SA"/>
              </w:rPr>
              <w:t>证号</w:t>
            </w:r>
          </w:p>
        </w:tc>
        <w:tc>
          <w:tcPr>
            <w:tcW w:w="466" w:type="pct"/>
            <w:vMerge w:val="continue"/>
            <w:vAlign w:val="center"/>
          </w:tcPr>
          <w:p w14:paraId="2CDC7A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E901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4A514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1B41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C986D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843CB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FCB31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72D839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EFC1C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81B5C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F435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B9010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9AD9D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109A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E4C4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2CD90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76C6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D92EA0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B24FD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6A31A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9597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6BAA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DF2D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45D6C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00FE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9B925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68599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77D62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D59C2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77FFEB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5D6BED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3E2D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EA4650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1391F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15FF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74D72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99A42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21E18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69A7C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4096AA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07F63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9113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14:paraId="44A493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7B23CC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C0FB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96B33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BCB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A5220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431B5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C40BB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B1085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8C12E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1C38F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4BF33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BC566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F314D9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CC79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EE4392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AB845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DE747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BD15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27955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14B4A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A699FC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915A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78F427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C978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E36F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1BBE3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D264F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3B94B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E589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844E6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C29A4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A527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F3EEC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AC6C7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380F64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1C035A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CA92F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19FE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046E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4B34FEA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DE6BF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F93F1E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0455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7CD0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C4E0D9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CBA5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82ED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5392C6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2D797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8E1F92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BE080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107967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E563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0E6AE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24FBBEB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88FC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3D47AF2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5560C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55DA3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534D2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B93BF0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66D466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CC67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6E8A1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89DC4A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A80008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1251BF7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F1280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BBCE4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5FF787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7F76384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A34E4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A1ED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93CC7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4424B5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E934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663F43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E78A31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D5F5B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24C6D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43F65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B756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2213F8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645DA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EF9D92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46434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E32E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8CFFE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66F65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F617E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394F05E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30E6F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5C4D1A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B2E11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53B7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9CAD0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E64BD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8B6F3D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DC5F1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679B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0E068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BADD11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824A7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ABD27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C65438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AFBAFD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9A94D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5F079C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811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32B87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FF00EE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00465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57041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63A2D8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ABFE3C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ED16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BF660A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7F0A01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14F9F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3C760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68BF570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E57D6E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DDFA05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8167D5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5B1C758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300F9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6B2718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24E02C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050DA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352303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57BD10D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4EE5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D1402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21F68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70B38FC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D2C4C7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075D53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1AAB36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FC76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0" w:type="pct"/>
            <w:vAlign w:val="center"/>
          </w:tcPr>
          <w:p w14:paraId="7697B0E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1F7223A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1346782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949201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5A33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1025684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E844EA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B25503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BF43E0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4A0C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13E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45EC52C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E89939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1EB285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C4F2E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0DE462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70509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67C5809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2C1B6C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3A532C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20F0FA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2D33E6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7086833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46FF89D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CFE1E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65758D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23BF62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53C2BED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8191B2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r w14:paraId="2C525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05DFB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948" w:type="pct"/>
            <w:vAlign w:val="center"/>
          </w:tcPr>
          <w:p w14:paraId="05411C6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6135AE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52949D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20552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787" w:type="pct"/>
            <w:vAlign w:val="center"/>
          </w:tcPr>
          <w:p w14:paraId="31AEDB6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3F9DC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71" w:type="pct"/>
            <w:vAlign w:val="center"/>
          </w:tcPr>
          <w:p w14:paraId="2E1BBEB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c>
          <w:tcPr>
            <w:tcW w:w="466" w:type="pct"/>
            <w:vAlign w:val="center"/>
          </w:tcPr>
          <w:p w14:paraId="0BD50DA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imes New Roman" w:hAnsi="Times New Roman" w:eastAsia="宋体" w:cs="Times New Roman"/>
                <w:b w:val="0"/>
                <w:bCs w:val="0"/>
                <w:kern w:val="0"/>
                <w:sz w:val="24"/>
                <w:szCs w:val="24"/>
                <w:highlight w:val="none"/>
                <w:u w:val="none"/>
                <w:vertAlign w:val="baseline"/>
                <w:lang w:val="en-US" w:eastAsia="zh-CN" w:bidi="ar-SA"/>
              </w:rPr>
            </w:pPr>
          </w:p>
        </w:tc>
      </w:tr>
    </w:tbl>
    <w:p w14:paraId="40DDB75E">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177D92C7">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14:paraId="77F66163">
      <w:pPr>
        <w:rPr>
          <w:rFonts w:hint="eastAsia"/>
          <w:i/>
          <w:iCs/>
          <w:color w:val="FF0000"/>
          <w:u w:val="single"/>
          <w:lang w:val="en-US" w:eastAsia="zh-CN"/>
        </w:rPr>
      </w:pPr>
    </w:p>
    <w:p w14:paraId="4A6DB06E">
      <w:pPr>
        <w:pStyle w:val="7"/>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cs="Times New Roman"/>
          <w:lang w:val="en-US" w:eastAsia="zh-CN"/>
        </w:rPr>
        <w:t>（五）主要人员简历表</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1134"/>
        <w:gridCol w:w="1134"/>
        <w:gridCol w:w="1134"/>
        <w:gridCol w:w="1701"/>
        <w:gridCol w:w="2285"/>
      </w:tblGrid>
      <w:tr w14:paraId="4F59C4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3B3050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姓名</w:t>
            </w:r>
          </w:p>
        </w:tc>
        <w:tc>
          <w:tcPr>
            <w:tcW w:w="1134" w:type="dxa"/>
            <w:vAlign w:val="center"/>
          </w:tcPr>
          <w:p w14:paraId="2A3CCC0B">
            <w:pPr>
              <w:jc w:val="center"/>
              <w:rPr>
                <w:rFonts w:hint="eastAsia"/>
                <w:i w:val="0"/>
                <w:iCs w:val="0"/>
                <w:color w:val="auto"/>
                <w:u w:val="none"/>
                <w:vertAlign w:val="baseline"/>
                <w:lang w:val="en-US" w:eastAsia="zh-CN"/>
              </w:rPr>
            </w:pPr>
          </w:p>
        </w:tc>
        <w:tc>
          <w:tcPr>
            <w:tcW w:w="1134" w:type="dxa"/>
            <w:vAlign w:val="center"/>
          </w:tcPr>
          <w:p w14:paraId="6A60276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年龄</w:t>
            </w:r>
          </w:p>
        </w:tc>
        <w:tc>
          <w:tcPr>
            <w:tcW w:w="1134" w:type="dxa"/>
            <w:vAlign w:val="center"/>
          </w:tcPr>
          <w:p w14:paraId="6732EAD0">
            <w:pPr>
              <w:jc w:val="center"/>
              <w:rPr>
                <w:rFonts w:hint="eastAsia"/>
                <w:i w:val="0"/>
                <w:iCs w:val="0"/>
                <w:color w:val="auto"/>
                <w:u w:val="none"/>
                <w:vertAlign w:val="baseline"/>
                <w:lang w:val="en-US" w:eastAsia="zh-CN"/>
              </w:rPr>
            </w:pPr>
          </w:p>
        </w:tc>
        <w:tc>
          <w:tcPr>
            <w:tcW w:w="1701" w:type="dxa"/>
            <w:vAlign w:val="center"/>
          </w:tcPr>
          <w:p w14:paraId="08F32401">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执业资格证书（或上岗证书）名称</w:t>
            </w:r>
          </w:p>
        </w:tc>
        <w:tc>
          <w:tcPr>
            <w:tcW w:w="2285" w:type="dxa"/>
            <w:vAlign w:val="center"/>
          </w:tcPr>
          <w:p w14:paraId="5D5C4843">
            <w:pPr>
              <w:jc w:val="center"/>
              <w:rPr>
                <w:rFonts w:hint="eastAsia"/>
                <w:i w:val="0"/>
                <w:iCs w:val="0"/>
                <w:color w:val="auto"/>
                <w:u w:val="none"/>
                <w:vertAlign w:val="baseline"/>
                <w:lang w:val="en-US" w:eastAsia="zh-CN"/>
              </w:rPr>
            </w:pPr>
          </w:p>
        </w:tc>
      </w:tr>
      <w:tr w14:paraId="3ECEB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386977FB">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职称</w:t>
            </w:r>
          </w:p>
        </w:tc>
        <w:tc>
          <w:tcPr>
            <w:tcW w:w="1134" w:type="dxa"/>
            <w:vAlign w:val="center"/>
          </w:tcPr>
          <w:p w14:paraId="5E1ADCEF">
            <w:pPr>
              <w:jc w:val="center"/>
              <w:rPr>
                <w:rFonts w:hint="eastAsia"/>
                <w:i w:val="0"/>
                <w:iCs w:val="0"/>
                <w:color w:val="auto"/>
                <w:u w:val="none"/>
                <w:vertAlign w:val="baseline"/>
                <w:lang w:val="en-US" w:eastAsia="zh-CN"/>
              </w:rPr>
            </w:pPr>
          </w:p>
        </w:tc>
        <w:tc>
          <w:tcPr>
            <w:tcW w:w="1134" w:type="dxa"/>
            <w:vAlign w:val="center"/>
          </w:tcPr>
          <w:p w14:paraId="3BFC66B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学历</w:t>
            </w:r>
          </w:p>
        </w:tc>
        <w:tc>
          <w:tcPr>
            <w:tcW w:w="1134" w:type="dxa"/>
            <w:vAlign w:val="center"/>
          </w:tcPr>
          <w:p w14:paraId="695C53A3">
            <w:pPr>
              <w:jc w:val="center"/>
              <w:rPr>
                <w:rFonts w:hint="eastAsia"/>
                <w:i w:val="0"/>
                <w:iCs w:val="0"/>
                <w:color w:val="auto"/>
                <w:u w:val="none"/>
                <w:vertAlign w:val="baseline"/>
                <w:lang w:val="en-US" w:eastAsia="zh-CN"/>
              </w:rPr>
            </w:pPr>
          </w:p>
        </w:tc>
        <w:tc>
          <w:tcPr>
            <w:tcW w:w="1701" w:type="dxa"/>
            <w:vAlign w:val="center"/>
          </w:tcPr>
          <w:p w14:paraId="5645A00A">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拟在本项目任职</w:t>
            </w:r>
          </w:p>
        </w:tc>
        <w:tc>
          <w:tcPr>
            <w:tcW w:w="2285" w:type="dxa"/>
            <w:vAlign w:val="center"/>
          </w:tcPr>
          <w:p w14:paraId="29E05929">
            <w:pPr>
              <w:jc w:val="center"/>
              <w:rPr>
                <w:rFonts w:hint="eastAsia"/>
                <w:i w:val="0"/>
                <w:iCs w:val="0"/>
                <w:color w:val="auto"/>
                <w:u w:val="none"/>
                <w:vertAlign w:val="baseline"/>
                <w:lang w:val="en-US" w:eastAsia="zh-CN"/>
              </w:rPr>
            </w:pPr>
          </w:p>
        </w:tc>
      </w:tr>
      <w:tr w14:paraId="1854E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DD04F55">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工作年限</w:t>
            </w:r>
          </w:p>
        </w:tc>
        <w:tc>
          <w:tcPr>
            <w:tcW w:w="3402" w:type="dxa"/>
            <w:gridSpan w:val="3"/>
            <w:vAlign w:val="center"/>
          </w:tcPr>
          <w:p w14:paraId="6EAE9614">
            <w:pPr>
              <w:jc w:val="center"/>
              <w:rPr>
                <w:rFonts w:hint="eastAsia"/>
                <w:i w:val="0"/>
                <w:iCs w:val="0"/>
                <w:color w:val="auto"/>
                <w:u w:val="none"/>
                <w:vertAlign w:val="baseline"/>
                <w:lang w:val="en-US" w:eastAsia="zh-CN"/>
              </w:rPr>
            </w:pPr>
          </w:p>
        </w:tc>
        <w:tc>
          <w:tcPr>
            <w:tcW w:w="1701" w:type="dxa"/>
            <w:vAlign w:val="center"/>
          </w:tcPr>
          <w:p w14:paraId="56956A78">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从事本项目服务工作年限</w:t>
            </w:r>
          </w:p>
        </w:tc>
        <w:tc>
          <w:tcPr>
            <w:tcW w:w="2285" w:type="dxa"/>
            <w:vAlign w:val="center"/>
          </w:tcPr>
          <w:p w14:paraId="09F32A10">
            <w:pPr>
              <w:jc w:val="center"/>
              <w:rPr>
                <w:rFonts w:hint="eastAsia"/>
                <w:i w:val="0"/>
                <w:iCs w:val="0"/>
                <w:color w:val="auto"/>
                <w:u w:val="none"/>
                <w:vertAlign w:val="baseline"/>
                <w:lang w:val="en-US" w:eastAsia="zh-CN"/>
              </w:rPr>
            </w:pPr>
          </w:p>
        </w:tc>
      </w:tr>
      <w:tr w14:paraId="055618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A19A0E6">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毕业学校</w:t>
            </w:r>
          </w:p>
        </w:tc>
        <w:tc>
          <w:tcPr>
            <w:tcW w:w="7388" w:type="dxa"/>
            <w:gridSpan w:val="5"/>
            <w:vAlign w:val="center"/>
          </w:tcPr>
          <w:p w14:paraId="1D56A361">
            <w:pPr>
              <w:jc w:val="both"/>
              <w:rPr>
                <w:rFonts w:hint="default"/>
                <w:i w:val="0"/>
                <w:iCs w:val="0"/>
                <w:color w:val="auto"/>
                <w:u w:val="none"/>
                <w:vertAlign w:val="baseline"/>
                <w:lang w:val="en-US" w:eastAsia="zh-CN"/>
              </w:rPr>
            </w:pP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年毕业于</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学校</w:t>
            </w:r>
            <w:r>
              <w:rPr>
                <w:rFonts w:hint="eastAsia"/>
                <w:i w:val="0"/>
                <w:iCs w:val="0"/>
                <w:color w:val="auto"/>
                <w:u w:val="single"/>
                <w:vertAlign w:val="baseline"/>
                <w:lang w:val="en-US" w:eastAsia="zh-CN"/>
              </w:rPr>
              <w:t xml:space="preserve">            </w:t>
            </w:r>
            <w:r>
              <w:rPr>
                <w:rFonts w:hint="eastAsia"/>
                <w:i w:val="0"/>
                <w:iCs w:val="0"/>
                <w:color w:val="auto"/>
                <w:u w:val="none"/>
                <w:vertAlign w:val="baseline"/>
                <w:lang w:val="en-US" w:eastAsia="zh-CN"/>
              </w:rPr>
              <w:t>专业</w:t>
            </w:r>
          </w:p>
        </w:tc>
      </w:tr>
      <w:tr w14:paraId="4DC31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22" w:type="dxa"/>
            <w:gridSpan w:val="6"/>
            <w:vAlign w:val="center"/>
          </w:tcPr>
          <w:p w14:paraId="3A84D971">
            <w:pPr>
              <w:jc w:val="both"/>
              <w:rPr>
                <w:rFonts w:hint="eastAsia"/>
                <w:i w:val="0"/>
                <w:iCs w:val="0"/>
                <w:color w:val="auto"/>
                <w:u w:val="none"/>
                <w:vertAlign w:val="baseline"/>
                <w:lang w:val="en-US" w:eastAsia="zh-CN"/>
              </w:rPr>
            </w:pPr>
            <w:r>
              <w:rPr>
                <w:rFonts w:hint="eastAsia"/>
                <w:i w:val="0"/>
                <w:iCs w:val="0"/>
                <w:color w:val="auto"/>
                <w:u w:val="none"/>
                <w:vertAlign w:val="baseline"/>
                <w:lang w:val="en-US" w:eastAsia="zh-CN"/>
              </w:rPr>
              <w:t>主要工作经历</w:t>
            </w:r>
          </w:p>
        </w:tc>
      </w:tr>
      <w:tr w14:paraId="5AFEB4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641D2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时间</w:t>
            </w:r>
          </w:p>
        </w:tc>
        <w:tc>
          <w:tcPr>
            <w:tcW w:w="3402" w:type="dxa"/>
            <w:gridSpan w:val="3"/>
            <w:vAlign w:val="center"/>
          </w:tcPr>
          <w:p w14:paraId="23C5FECE">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参加过的类似项目</w:t>
            </w:r>
          </w:p>
        </w:tc>
        <w:tc>
          <w:tcPr>
            <w:tcW w:w="1701" w:type="dxa"/>
            <w:vAlign w:val="center"/>
          </w:tcPr>
          <w:p w14:paraId="53EDC997">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担任职称</w:t>
            </w:r>
          </w:p>
        </w:tc>
        <w:tc>
          <w:tcPr>
            <w:tcW w:w="2285" w:type="dxa"/>
            <w:vAlign w:val="center"/>
          </w:tcPr>
          <w:p w14:paraId="3F51C7D9">
            <w:pPr>
              <w:jc w:val="center"/>
              <w:rPr>
                <w:rFonts w:hint="default"/>
                <w:i w:val="0"/>
                <w:iCs w:val="0"/>
                <w:color w:val="auto"/>
                <w:u w:val="none"/>
                <w:vertAlign w:val="baseline"/>
                <w:lang w:val="en-US" w:eastAsia="zh-CN"/>
              </w:rPr>
            </w:pPr>
            <w:r>
              <w:rPr>
                <w:rFonts w:hint="eastAsia"/>
                <w:i w:val="0"/>
                <w:iCs w:val="0"/>
                <w:color w:val="auto"/>
                <w:u w:val="none"/>
                <w:vertAlign w:val="baseline"/>
                <w:lang w:val="en-US" w:eastAsia="zh-CN"/>
              </w:rPr>
              <w:t>发包人及联系电话</w:t>
            </w:r>
          </w:p>
        </w:tc>
      </w:tr>
      <w:tr w14:paraId="002418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6A00CEC1">
            <w:pPr>
              <w:jc w:val="center"/>
              <w:rPr>
                <w:rFonts w:hint="eastAsia"/>
                <w:i w:val="0"/>
                <w:iCs w:val="0"/>
                <w:color w:val="auto"/>
                <w:u w:val="none"/>
                <w:vertAlign w:val="baseline"/>
                <w:lang w:val="en-US" w:eastAsia="zh-CN"/>
              </w:rPr>
            </w:pPr>
          </w:p>
        </w:tc>
        <w:tc>
          <w:tcPr>
            <w:tcW w:w="3402" w:type="dxa"/>
            <w:gridSpan w:val="3"/>
            <w:vAlign w:val="center"/>
          </w:tcPr>
          <w:p w14:paraId="319A5A5C">
            <w:pPr>
              <w:jc w:val="center"/>
              <w:rPr>
                <w:rFonts w:hint="eastAsia"/>
                <w:i w:val="0"/>
                <w:iCs w:val="0"/>
                <w:color w:val="auto"/>
                <w:u w:val="none"/>
                <w:vertAlign w:val="baseline"/>
                <w:lang w:val="en-US" w:eastAsia="zh-CN"/>
              </w:rPr>
            </w:pPr>
          </w:p>
        </w:tc>
        <w:tc>
          <w:tcPr>
            <w:tcW w:w="1701" w:type="dxa"/>
            <w:vAlign w:val="center"/>
          </w:tcPr>
          <w:p w14:paraId="23360D0F">
            <w:pPr>
              <w:jc w:val="center"/>
              <w:rPr>
                <w:rFonts w:hint="eastAsia"/>
                <w:i w:val="0"/>
                <w:iCs w:val="0"/>
                <w:color w:val="auto"/>
                <w:u w:val="none"/>
                <w:vertAlign w:val="baseline"/>
                <w:lang w:val="en-US" w:eastAsia="zh-CN"/>
              </w:rPr>
            </w:pPr>
          </w:p>
        </w:tc>
        <w:tc>
          <w:tcPr>
            <w:tcW w:w="2285" w:type="dxa"/>
            <w:vAlign w:val="center"/>
          </w:tcPr>
          <w:p w14:paraId="45CB367A">
            <w:pPr>
              <w:jc w:val="center"/>
              <w:rPr>
                <w:rFonts w:hint="eastAsia"/>
                <w:i w:val="0"/>
                <w:iCs w:val="0"/>
                <w:color w:val="auto"/>
                <w:u w:val="none"/>
                <w:vertAlign w:val="baseline"/>
                <w:lang w:val="en-US" w:eastAsia="zh-CN"/>
              </w:rPr>
            </w:pPr>
          </w:p>
        </w:tc>
      </w:tr>
      <w:tr w14:paraId="6F037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50A2F71">
            <w:pPr>
              <w:jc w:val="center"/>
              <w:rPr>
                <w:rFonts w:hint="eastAsia"/>
                <w:i w:val="0"/>
                <w:iCs w:val="0"/>
                <w:color w:val="auto"/>
                <w:u w:val="none"/>
                <w:vertAlign w:val="baseline"/>
                <w:lang w:val="en-US" w:eastAsia="zh-CN"/>
              </w:rPr>
            </w:pPr>
          </w:p>
        </w:tc>
        <w:tc>
          <w:tcPr>
            <w:tcW w:w="3402" w:type="dxa"/>
            <w:gridSpan w:val="3"/>
            <w:vAlign w:val="center"/>
          </w:tcPr>
          <w:p w14:paraId="7F123D67">
            <w:pPr>
              <w:jc w:val="center"/>
              <w:rPr>
                <w:rFonts w:hint="eastAsia"/>
                <w:i w:val="0"/>
                <w:iCs w:val="0"/>
                <w:color w:val="auto"/>
                <w:u w:val="none"/>
                <w:vertAlign w:val="baseline"/>
                <w:lang w:val="en-US" w:eastAsia="zh-CN"/>
              </w:rPr>
            </w:pPr>
          </w:p>
        </w:tc>
        <w:tc>
          <w:tcPr>
            <w:tcW w:w="1701" w:type="dxa"/>
            <w:vAlign w:val="center"/>
          </w:tcPr>
          <w:p w14:paraId="36F17552">
            <w:pPr>
              <w:jc w:val="center"/>
              <w:rPr>
                <w:rFonts w:hint="eastAsia"/>
                <w:i w:val="0"/>
                <w:iCs w:val="0"/>
                <w:color w:val="auto"/>
                <w:u w:val="none"/>
                <w:vertAlign w:val="baseline"/>
                <w:lang w:val="en-US" w:eastAsia="zh-CN"/>
              </w:rPr>
            </w:pPr>
          </w:p>
        </w:tc>
        <w:tc>
          <w:tcPr>
            <w:tcW w:w="2285" w:type="dxa"/>
            <w:vAlign w:val="center"/>
          </w:tcPr>
          <w:p w14:paraId="43FED520">
            <w:pPr>
              <w:jc w:val="center"/>
              <w:rPr>
                <w:rFonts w:hint="eastAsia"/>
                <w:i w:val="0"/>
                <w:iCs w:val="0"/>
                <w:color w:val="auto"/>
                <w:u w:val="none"/>
                <w:vertAlign w:val="baseline"/>
                <w:lang w:val="en-US" w:eastAsia="zh-CN"/>
              </w:rPr>
            </w:pPr>
          </w:p>
        </w:tc>
      </w:tr>
      <w:tr w14:paraId="5C2E4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1EEDF34B">
            <w:pPr>
              <w:jc w:val="center"/>
              <w:rPr>
                <w:rFonts w:hint="eastAsia"/>
                <w:i w:val="0"/>
                <w:iCs w:val="0"/>
                <w:color w:val="auto"/>
                <w:u w:val="none"/>
                <w:vertAlign w:val="baseline"/>
                <w:lang w:val="en-US" w:eastAsia="zh-CN"/>
              </w:rPr>
            </w:pPr>
          </w:p>
        </w:tc>
        <w:tc>
          <w:tcPr>
            <w:tcW w:w="3402" w:type="dxa"/>
            <w:gridSpan w:val="3"/>
            <w:vAlign w:val="center"/>
          </w:tcPr>
          <w:p w14:paraId="10BA4E34">
            <w:pPr>
              <w:jc w:val="center"/>
              <w:rPr>
                <w:rFonts w:hint="eastAsia"/>
                <w:i w:val="0"/>
                <w:iCs w:val="0"/>
                <w:color w:val="auto"/>
                <w:u w:val="none"/>
                <w:vertAlign w:val="baseline"/>
                <w:lang w:val="en-US" w:eastAsia="zh-CN"/>
              </w:rPr>
            </w:pPr>
          </w:p>
        </w:tc>
        <w:tc>
          <w:tcPr>
            <w:tcW w:w="1701" w:type="dxa"/>
            <w:vAlign w:val="center"/>
          </w:tcPr>
          <w:p w14:paraId="1B20CA44">
            <w:pPr>
              <w:jc w:val="center"/>
              <w:rPr>
                <w:rFonts w:hint="eastAsia"/>
                <w:i w:val="0"/>
                <w:iCs w:val="0"/>
                <w:color w:val="auto"/>
                <w:u w:val="none"/>
                <w:vertAlign w:val="baseline"/>
                <w:lang w:val="en-US" w:eastAsia="zh-CN"/>
              </w:rPr>
            </w:pPr>
          </w:p>
        </w:tc>
        <w:tc>
          <w:tcPr>
            <w:tcW w:w="2285" w:type="dxa"/>
            <w:vAlign w:val="center"/>
          </w:tcPr>
          <w:p w14:paraId="3C17FF41">
            <w:pPr>
              <w:jc w:val="center"/>
              <w:rPr>
                <w:rFonts w:hint="eastAsia"/>
                <w:i w:val="0"/>
                <w:iCs w:val="0"/>
                <w:color w:val="auto"/>
                <w:u w:val="none"/>
                <w:vertAlign w:val="baseline"/>
                <w:lang w:val="en-US" w:eastAsia="zh-CN"/>
              </w:rPr>
            </w:pPr>
          </w:p>
        </w:tc>
      </w:tr>
      <w:tr w14:paraId="748C9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4B95468A">
            <w:pPr>
              <w:jc w:val="center"/>
              <w:rPr>
                <w:rFonts w:hint="eastAsia"/>
                <w:i w:val="0"/>
                <w:iCs w:val="0"/>
                <w:color w:val="auto"/>
                <w:u w:val="none"/>
                <w:vertAlign w:val="baseline"/>
                <w:lang w:val="en-US" w:eastAsia="zh-CN"/>
              </w:rPr>
            </w:pPr>
          </w:p>
        </w:tc>
        <w:tc>
          <w:tcPr>
            <w:tcW w:w="3402" w:type="dxa"/>
            <w:gridSpan w:val="3"/>
            <w:vAlign w:val="center"/>
          </w:tcPr>
          <w:p w14:paraId="09C7693D">
            <w:pPr>
              <w:jc w:val="center"/>
              <w:rPr>
                <w:rFonts w:hint="eastAsia"/>
                <w:i w:val="0"/>
                <w:iCs w:val="0"/>
                <w:color w:val="auto"/>
                <w:u w:val="none"/>
                <w:vertAlign w:val="baseline"/>
                <w:lang w:val="en-US" w:eastAsia="zh-CN"/>
              </w:rPr>
            </w:pPr>
          </w:p>
        </w:tc>
        <w:tc>
          <w:tcPr>
            <w:tcW w:w="1701" w:type="dxa"/>
            <w:vAlign w:val="center"/>
          </w:tcPr>
          <w:p w14:paraId="65BDB23B">
            <w:pPr>
              <w:jc w:val="center"/>
              <w:rPr>
                <w:rFonts w:hint="eastAsia"/>
                <w:i w:val="0"/>
                <w:iCs w:val="0"/>
                <w:color w:val="auto"/>
                <w:u w:val="none"/>
                <w:vertAlign w:val="baseline"/>
                <w:lang w:val="en-US" w:eastAsia="zh-CN"/>
              </w:rPr>
            </w:pPr>
          </w:p>
        </w:tc>
        <w:tc>
          <w:tcPr>
            <w:tcW w:w="2285" w:type="dxa"/>
            <w:vAlign w:val="center"/>
          </w:tcPr>
          <w:p w14:paraId="61A8C5D1">
            <w:pPr>
              <w:jc w:val="center"/>
              <w:rPr>
                <w:rFonts w:hint="eastAsia"/>
                <w:i w:val="0"/>
                <w:iCs w:val="0"/>
                <w:color w:val="auto"/>
                <w:u w:val="none"/>
                <w:vertAlign w:val="baseline"/>
                <w:lang w:val="en-US" w:eastAsia="zh-CN"/>
              </w:rPr>
            </w:pPr>
          </w:p>
        </w:tc>
      </w:tr>
      <w:tr w14:paraId="0E789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7BA5E928">
            <w:pPr>
              <w:jc w:val="center"/>
              <w:rPr>
                <w:rFonts w:hint="eastAsia"/>
                <w:i w:val="0"/>
                <w:iCs w:val="0"/>
                <w:color w:val="auto"/>
                <w:u w:val="none"/>
                <w:vertAlign w:val="baseline"/>
                <w:lang w:val="en-US" w:eastAsia="zh-CN"/>
              </w:rPr>
            </w:pPr>
          </w:p>
        </w:tc>
        <w:tc>
          <w:tcPr>
            <w:tcW w:w="3402" w:type="dxa"/>
            <w:gridSpan w:val="3"/>
            <w:vAlign w:val="center"/>
          </w:tcPr>
          <w:p w14:paraId="2DA91C5E">
            <w:pPr>
              <w:jc w:val="center"/>
              <w:rPr>
                <w:rFonts w:hint="eastAsia"/>
                <w:i w:val="0"/>
                <w:iCs w:val="0"/>
                <w:color w:val="auto"/>
                <w:u w:val="none"/>
                <w:vertAlign w:val="baseline"/>
                <w:lang w:val="en-US" w:eastAsia="zh-CN"/>
              </w:rPr>
            </w:pPr>
          </w:p>
        </w:tc>
        <w:tc>
          <w:tcPr>
            <w:tcW w:w="1701" w:type="dxa"/>
            <w:vAlign w:val="center"/>
          </w:tcPr>
          <w:p w14:paraId="319B9591">
            <w:pPr>
              <w:jc w:val="center"/>
              <w:rPr>
                <w:rFonts w:hint="eastAsia"/>
                <w:i w:val="0"/>
                <w:iCs w:val="0"/>
                <w:color w:val="auto"/>
                <w:u w:val="none"/>
                <w:vertAlign w:val="baseline"/>
                <w:lang w:val="en-US" w:eastAsia="zh-CN"/>
              </w:rPr>
            </w:pPr>
          </w:p>
        </w:tc>
        <w:tc>
          <w:tcPr>
            <w:tcW w:w="2285" w:type="dxa"/>
            <w:vAlign w:val="center"/>
          </w:tcPr>
          <w:p w14:paraId="031F21FE">
            <w:pPr>
              <w:jc w:val="center"/>
              <w:rPr>
                <w:rFonts w:hint="eastAsia"/>
                <w:i w:val="0"/>
                <w:iCs w:val="0"/>
                <w:color w:val="auto"/>
                <w:u w:val="none"/>
                <w:vertAlign w:val="baseline"/>
                <w:lang w:val="en-US" w:eastAsia="zh-CN"/>
              </w:rPr>
            </w:pPr>
          </w:p>
        </w:tc>
      </w:tr>
      <w:tr w14:paraId="03BC6B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5E866AEC">
            <w:pPr>
              <w:jc w:val="center"/>
              <w:rPr>
                <w:rFonts w:hint="eastAsia"/>
                <w:i w:val="0"/>
                <w:iCs w:val="0"/>
                <w:color w:val="auto"/>
                <w:u w:val="none"/>
                <w:vertAlign w:val="baseline"/>
                <w:lang w:val="en-US" w:eastAsia="zh-CN"/>
              </w:rPr>
            </w:pPr>
          </w:p>
        </w:tc>
        <w:tc>
          <w:tcPr>
            <w:tcW w:w="3402" w:type="dxa"/>
            <w:gridSpan w:val="3"/>
            <w:vAlign w:val="center"/>
          </w:tcPr>
          <w:p w14:paraId="77F319CB">
            <w:pPr>
              <w:jc w:val="center"/>
              <w:rPr>
                <w:rFonts w:hint="eastAsia"/>
                <w:i w:val="0"/>
                <w:iCs w:val="0"/>
                <w:color w:val="auto"/>
                <w:u w:val="none"/>
                <w:vertAlign w:val="baseline"/>
                <w:lang w:val="en-US" w:eastAsia="zh-CN"/>
              </w:rPr>
            </w:pPr>
          </w:p>
        </w:tc>
        <w:tc>
          <w:tcPr>
            <w:tcW w:w="1701" w:type="dxa"/>
            <w:vAlign w:val="center"/>
          </w:tcPr>
          <w:p w14:paraId="269883DB">
            <w:pPr>
              <w:jc w:val="center"/>
              <w:rPr>
                <w:rFonts w:hint="eastAsia"/>
                <w:i w:val="0"/>
                <w:iCs w:val="0"/>
                <w:color w:val="auto"/>
                <w:u w:val="none"/>
                <w:vertAlign w:val="baseline"/>
                <w:lang w:val="en-US" w:eastAsia="zh-CN"/>
              </w:rPr>
            </w:pPr>
          </w:p>
        </w:tc>
        <w:tc>
          <w:tcPr>
            <w:tcW w:w="2285" w:type="dxa"/>
            <w:vAlign w:val="center"/>
          </w:tcPr>
          <w:p w14:paraId="15410B5E">
            <w:pPr>
              <w:jc w:val="center"/>
              <w:rPr>
                <w:rFonts w:hint="eastAsia"/>
                <w:i w:val="0"/>
                <w:iCs w:val="0"/>
                <w:color w:val="auto"/>
                <w:u w:val="none"/>
                <w:vertAlign w:val="baseline"/>
                <w:lang w:val="en-US" w:eastAsia="zh-CN"/>
              </w:rPr>
            </w:pPr>
          </w:p>
        </w:tc>
      </w:tr>
      <w:tr w14:paraId="3C5D2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34" w:type="dxa"/>
            <w:vAlign w:val="center"/>
          </w:tcPr>
          <w:p w14:paraId="04A26E6F">
            <w:pPr>
              <w:jc w:val="center"/>
              <w:rPr>
                <w:rFonts w:hint="eastAsia"/>
                <w:i w:val="0"/>
                <w:iCs w:val="0"/>
                <w:color w:val="auto"/>
                <w:u w:val="none"/>
                <w:vertAlign w:val="baseline"/>
                <w:lang w:val="en-US" w:eastAsia="zh-CN"/>
              </w:rPr>
            </w:pPr>
          </w:p>
        </w:tc>
        <w:tc>
          <w:tcPr>
            <w:tcW w:w="3402" w:type="dxa"/>
            <w:gridSpan w:val="3"/>
            <w:vAlign w:val="center"/>
          </w:tcPr>
          <w:p w14:paraId="4659B957">
            <w:pPr>
              <w:jc w:val="center"/>
              <w:rPr>
                <w:rFonts w:hint="eastAsia"/>
                <w:i w:val="0"/>
                <w:iCs w:val="0"/>
                <w:color w:val="auto"/>
                <w:u w:val="none"/>
                <w:vertAlign w:val="baseline"/>
                <w:lang w:val="en-US" w:eastAsia="zh-CN"/>
              </w:rPr>
            </w:pPr>
          </w:p>
        </w:tc>
        <w:tc>
          <w:tcPr>
            <w:tcW w:w="1701" w:type="dxa"/>
            <w:vAlign w:val="center"/>
          </w:tcPr>
          <w:p w14:paraId="53545000">
            <w:pPr>
              <w:jc w:val="center"/>
              <w:rPr>
                <w:rFonts w:hint="eastAsia"/>
                <w:i w:val="0"/>
                <w:iCs w:val="0"/>
                <w:color w:val="auto"/>
                <w:u w:val="none"/>
                <w:vertAlign w:val="baseline"/>
                <w:lang w:val="en-US" w:eastAsia="zh-CN"/>
              </w:rPr>
            </w:pPr>
          </w:p>
        </w:tc>
        <w:tc>
          <w:tcPr>
            <w:tcW w:w="2285" w:type="dxa"/>
            <w:vAlign w:val="center"/>
          </w:tcPr>
          <w:p w14:paraId="46AF165E">
            <w:pPr>
              <w:jc w:val="center"/>
              <w:rPr>
                <w:rFonts w:hint="eastAsia"/>
                <w:i w:val="0"/>
                <w:iCs w:val="0"/>
                <w:color w:val="auto"/>
                <w:u w:val="none"/>
                <w:vertAlign w:val="baseline"/>
                <w:lang w:val="en-US" w:eastAsia="zh-CN"/>
              </w:rPr>
            </w:pPr>
          </w:p>
        </w:tc>
      </w:tr>
    </w:tbl>
    <w:p w14:paraId="7833DCD9">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default" w:ascii="Times New Roman" w:hAnsi="Times New Roman" w:eastAsia="宋体" w:cs="Times New Roman"/>
          <w:i w:val="0"/>
          <w:iCs w:val="0"/>
          <w:color w:val="auto"/>
          <w:u w:val="none"/>
          <w:lang w:val="en-US" w:eastAsia="zh-CN"/>
        </w:rPr>
        <w:t>注：投标人应根据投标人须知第3.5.6项的要求在本表后附相关证明材料。</w:t>
      </w:r>
    </w:p>
    <w:p w14:paraId="38D859DF">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eastAsia="宋体" w:cs="Times New Roman"/>
          <w:i w:val="0"/>
          <w:iCs w:val="0"/>
          <w:color w:val="auto"/>
          <w:u w:val="none"/>
          <w:lang w:val="en-US" w:eastAsia="zh-CN"/>
        </w:rPr>
      </w:pPr>
      <w:r>
        <w:rPr>
          <w:rFonts w:hint="eastAsia" w:ascii="Times New Roman" w:hAnsi="Times New Roman" w:eastAsia="宋体" w:cs="Times New Roman"/>
          <w:i w:val="0"/>
          <w:iCs w:val="0"/>
          <w:color w:val="auto"/>
          <w:u w:val="none"/>
          <w:lang w:val="en-US" w:eastAsia="zh-CN"/>
        </w:rPr>
        <w:t>附：3.5.6 “拟委任的主要人员汇总表”应填报满足第二章投标人须知第1.4.1项规定的项目负责人和其他主要人员的相关信息。</w:t>
      </w:r>
    </w:p>
    <w:p w14:paraId="408229B7">
      <w:pPr>
        <w:rPr>
          <w:rFonts w:hint="eastAsia"/>
          <w:i/>
          <w:iCs/>
          <w:color w:val="FF0000"/>
          <w:u w:val="single"/>
          <w:lang w:val="en-US" w:eastAsia="zh-CN"/>
        </w:rPr>
      </w:pPr>
      <w:r>
        <w:rPr>
          <w:rFonts w:hint="eastAsia"/>
          <w:i/>
          <w:iCs/>
          <w:color w:val="FF0000"/>
          <w:u w:val="single"/>
          <w:lang w:val="en-US" w:eastAsia="zh-CN"/>
        </w:rPr>
        <w:br w:type="page"/>
      </w:r>
    </w:p>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p w14:paraId="10F63EE5">
      <w:pPr>
        <w:pStyle w:val="6"/>
        <w:jc w:val="center"/>
        <w:rPr>
          <w:rFonts w:hint="default" w:eastAsia="黑体"/>
          <w:highlight w:val="none"/>
          <w:lang w:val="en-US" w:eastAsia="zh-CN"/>
        </w:rPr>
      </w:pPr>
      <w:r>
        <w:rPr>
          <w:rFonts w:hint="eastAsia"/>
          <w:highlight w:val="none"/>
          <w:lang w:val="en-US" w:eastAsia="zh-CN"/>
        </w:rPr>
        <w:t>六</w:t>
      </w:r>
      <w:r>
        <w:rPr>
          <w:highlight w:val="none"/>
        </w:rPr>
        <w:t>、</w:t>
      </w:r>
      <w:r>
        <w:rPr>
          <w:rFonts w:hint="eastAsia"/>
          <w:highlight w:val="none"/>
          <w:lang w:val="en-US" w:eastAsia="zh-CN"/>
        </w:rPr>
        <w:t>服务方案</w:t>
      </w:r>
    </w:p>
    <w:p w14:paraId="36E7CDA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服务方案应包括（但不限于）下列内容：</w:t>
      </w:r>
    </w:p>
    <w:p w14:paraId="799F13F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一、项目概况；</w:t>
      </w:r>
    </w:p>
    <w:p w14:paraId="3226DA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二、服务范围、服务内容；</w:t>
      </w:r>
    </w:p>
    <w:p w14:paraId="2242493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三、工作依据、工作目标；</w:t>
      </w:r>
    </w:p>
    <w:p w14:paraId="0622204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四、机构设置（框图）、岗位职责；</w:t>
      </w:r>
    </w:p>
    <w:p w14:paraId="07A32E0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五、服务说明和服务方案；</w:t>
      </w:r>
    </w:p>
    <w:p w14:paraId="49FC6CC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六、拟投入的主要人员；</w:t>
      </w:r>
    </w:p>
    <w:p w14:paraId="7CA0580F">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七、质量、进度、保密等保证措施；</w:t>
      </w:r>
    </w:p>
    <w:p w14:paraId="1D5B6F85">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八、安全保证措施；</w:t>
      </w:r>
    </w:p>
    <w:p w14:paraId="409A771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九、工作重点、难点分析</w:t>
      </w:r>
    </w:p>
    <w:p w14:paraId="3988CC65">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十、对本项目的合理化建议。</w:t>
      </w:r>
    </w:p>
    <w:p w14:paraId="1A713CB0">
      <w:pPr>
        <w:rPr>
          <w:rFonts w:hint="default" w:ascii="Times New Roman" w:hAnsi="Times New Roman" w:cs="Times New Roman"/>
        </w:rPr>
      </w:pPr>
      <w:r>
        <w:rPr>
          <w:rFonts w:hint="default" w:ascii="Times New Roman" w:hAnsi="Times New Roman" w:cs="Times New Roman"/>
        </w:rPr>
        <w:br w:type="page"/>
      </w:r>
    </w:p>
    <w:p w14:paraId="511E16FA">
      <w:pPr>
        <w:pStyle w:val="6"/>
        <w:jc w:val="center"/>
        <w:rPr>
          <w:rFonts w:hint="default" w:ascii="Times New Roman" w:hAnsi="Times New Roman" w:cs="Times New Roman"/>
        </w:rPr>
      </w:pPr>
      <w:bookmarkStart w:id="564" w:name="_Toc271821942"/>
      <w:bookmarkStart w:id="565" w:name="_Toc300835233"/>
      <w:r>
        <w:rPr>
          <w:rFonts w:hint="eastAsia" w:ascii="Times New Roman" w:hAnsi="Times New Roman" w:cs="Times New Roman"/>
          <w:lang w:val="en-US" w:eastAsia="zh-CN"/>
        </w:rPr>
        <w:t>七</w:t>
      </w:r>
      <w:r>
        <w:rPr>
          <w:rFonts w:hint="default" w:ascii="Times New Roman" w:hAnsi="Times New Roman" w:cs="Times New Roman"/>
        </w:rPr>
        <w:t>、其他资料</w:t>
      </w:r>
      <w:bookmarkEnd w:id="564"/>
      <w:bookmarkEnd w:id="565"/>
    </w:p>
    <w:p w14:paraId="22290D6E">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1671DBBC">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2AB1840-2244-4CDD-A8E1-4972525FDAE9}"/>
  </w:font>
  <w:font w:name="Arial">
    <w:panose1 w:val="020B0604020202020204"/>
    <w:charset w:val="01"/>
    <w:family w:val="swiss"/>
    <w:pitch w:val="default"/>
    <w:sig w:usb0="E0002EFF" w:usb1="C000785B" w:usb2="00000009" w:usb3="00000000" w:csb0="400001FF" w:csb1="FFFF0000"/>
    <w:embedRegular r:id="rId2" w:fontKey="{E34904E8-F20D-48B4-89BD-BE5C04B8B87D}"/>
  </w:font>
  <w:font w:name="黑体">
    <w:panose1 w:val="02010609060101010101"/>
    <w:charset w:val="86"/>
    <w:family w:val="auto"/>
    <w:pitch w:val="default"/>
    <w:sig w:usb0="800002BF" w:usb1="38CF7CFA" w:usb2="00000016" w:usb3="00000000" w:csb0="00040001" w:csb1="00000000"/>
    <w:embedRegular r:id="rId3" w:fontKey="{43F50542-3D72-4CA1-ACA0-212D0A5D68FC}"/>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6ED431BE-0236-4714-8BA6-C31012553B5B}"/>
  </w:font>
  <w:font w:name="Calibri Light">
    <w:panose1 w:val="020F0302020204030204"/>
    <w:charset w:val="00"/>
    <w:family w:val="swiss"/>
    <w:pitch w:val="default"/>
    <w:sig w:usb0="E4002EFF" w:usb1="C000247B" w:usb2="00000009" w:usb3="00000000" w:csb0="200001FF" w:csb1="00000000"/>
  </w:font>
  <w:font w:name="DFKai-SB">
    <w:altName w:val="Microsoft JhengHei Light"/>
    <w:panose1 w:val="03000509000000000000"/>
    <w:charset w:val="88"/>
    <w:family w:val="script"/>
    <w:pitch w:val="default"/>
    <w:sig w:usb0="00000000" w:usb1="00000000" w:usb2="00000016" w:usb3="00000000" w:csb0="00100001" w:csb1="00000000"/>
  </w:font>
  <w:font w:name="仿宋_GB2312">
    <w:panose1 w:val="02010609030101010101"/>
    <w:charset w:val="86"/>
    <w:family w:val="modern"/>
    <w:pitch w:val="default"/>
    <w:sig w:usb0="00000001" w:usb1="080E0000" w:usb2="00000000" w:usb3="00000000" w:csb0="00040000" w:csb1="00000000"/>
    <w:embedRegular r:id="rId5" w:fontKey="{7861B8FE-B2A0-4121-909A-E7A7AFA9A3B4}"/>
  </w:font>
  <w:font w:name="方正小标宋简体">
    <w:panose1 w:val="03000509000000000000"/>
    <w:charset w:val="86"/>
    <w:family w:val="auto"/>
    <w:pitch w:val="default"/>
    <w:sig w:usb0="00000001" w:usb1="080E0000" w:usb2="00000000" w:usb3="00000000" w:csb0="00040000" w:csb1="00000000"/>
    <w:embedRegular r:id="rId6" w:fontKey="{86A5C555-7E3B-4291-BA5D-D6DEB0A47831}"/>
  </w:font>
  <w:font w:name="楷体">
    <w:panose1 w:val="02010609060101010101"/>
    <w:charset w:val="86"/>
    <w:family w:val="auto"/>
    <w:pitch w:val="default"/>
    <w:sig w:usb0="800002BF" w:usb1="38CF7CFA" w:usb2="00000016" w:usb3="00000000" w:csb0="00040001" w:csb1="00000000"/>
    <w:embedRegular r:id="rId7" w:fontKey="{7501E839-751D-4827-9F71-0AC9D88324DE}"/>
  </w:font>
  <w:font w:name="Wingdings 2">
    <w:panose1 w:val="05020102010507070707"/>
    <w:charset w:val="00"/>
    <w:family w:val="auto"/>
    <w:pitch w:val="default"/>
    <w:sig w:usb0="00000000" w:usb1="00000000" w:usb2="00000000" w:usb3="00000000" w:csb0="80000000" w:csb1="00000000"/>
    <w:embedRegular r:id="rId8" w:fontKey="{51CCD26F-2AA3-4CC7-BD08-88C9EBDAC71C}"/>
  </w:font>
  <w:font w:name="楷体_GB2312">
    <w:panose1 w:val="02010609030101010101"/>
    <w:charset w:val="86"/>
    <w:family w:val="modern"/>
    <w:pitch w:val="default"/>
    <w:sig w:usb0="00000001" w:usb1="080E0000" w:usb2="00000000" w:usb3="00000000" w:csb0="00040000" w:csb1="00000000"/>
    <w:embedRegular r:id="rId9" w:fontKey="{7927FD22-0515-4C61-A37D-92FC97020B89}"/>
  </w:font>
  <w:font w:name="仿宋">
    <w:panose1 w:val="02010609060101010101"/>
    <w:charset w:val="86"/>
    <w:family w:val="modern"/>
    <w:pitch w:val="default"/>
    <w:sig w:usb0="800002BF" w:usb1="38CF7CFA" w:usb2="00000016" w:usb3="00000000" w:csb0="00040001" w:csb1="00000000"/>
    <w:embedRegular r:id="rId10" w:fontKey="{2D3A561A-635F-43B6-9E5E-32FCA96AB2E3}"/>
  </w:font>
  <w:font w:name="Microsoft JhengHei Light">
    <w:panose1 w:val="020B0304030504040204"/>
    <w:charset w:val="88"/>
    <w:family w:val="auto"/>
    <w:pitch w:val="default"/>
    <w:sig w:usb0="8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924034">
    <w:pPr>
      <w:pStyle w:val="13"/>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94F364">
    <w:pPr>
      <w:pStyle w:val="13"/>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4EFB4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4EFB4F">
                    <w:pPr>
                      <w:pStyle w:val="1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08AB7">
    <w:pPr>
      <w:pStyle w:val="1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2609D3"/>
    <w:rsid w:val="002C069E"/>
    <w:rsid w:val="0040224D"/>
    <w:rsid w:val="00733B0B"/>
    <w:rsid w:val="00764376"/>
    <w:rsid w:val="00796B76"/>
    <w:rsid w:val="00850CC0"/>
    <w:rsid w:val="00B00F2F"/>
    <w:rsid w:val="00FF308E"/>
    <w:rsid w:val="011E6004"/>
    <w:rsid w:val="012704F5"/>
    <w:rsid w:val="0145105E"/>
    <w:rsid w:val="014D0B1B"/>
    <w:rsid w:val="018C519F"/>
    <w:rsid w:val="019846E3"/>
    <w:rsid w:val="01CB0CDF"/>
    <w:rsid w:val="01CD2334"/>
    <w:rsid w:val="01E140D3"/>
    <w:rsid w:val="01EE4D0C"/>
    <w:rsid w:val="01F16263"/>
    <w:rsid w:val="02016132"/>
    <w:rsid w:val="0212370C"/>
    <w:rsid w:val="021D348F"/>
    <w:rsid w:val="026E5FAB"/>
    <w:rsid w:val="02983D41"/>
    <w:rsid w:val="029F2BC9"/>
    <w:rsid w:val="02A31129"/>
    <w:rsid w:val="02A46690"/>
    <w:rsid w:val="02AC508C"/>
    <w:rsid w:val="02BE075F"/>
    <w:rsid w:val="02EA0343"/>
    <w:rsid w:val="02F4317E"/>
    <w:rsid w:val="0324584F"/>
    <w:rsid w:val="032652C7"/>
    <w:rsid w:val="033964DC"/>
    <w:rsid w:val="034877EC"/>
    <w:rsid w:val="035021B2"/>
    <w:rsid w:val="03633AA8"/>
    <w:rsid w:val="03696450"/>
    <w:rsid w:val="038E65F9"/>
    <w:rsid w:val="03C10800"/>
    <w:rsid w:val="03C96DCC"/>
    <w:rsid w:val="03FB71CD"/>
    <w:rsid w:val="04127BBC"/>
    <w:rsid w:val="041515CF"/>
    <w:rsid w:val="04210376"/>
    <w:rsid w:val="04212D24"/>
    <w:rsid w:val="042C575E"/>
    <w:rsid w:val="04382327"/>
    <w:rsid w:val="043A6EF6"/>
    <w:rsid w:val="043F5557"/>
    <w:rsid w:val="044363A4"/>
    <w:rsid w:val="045003B3"/>
    <w:rsid w:val="04510922"/>
    <w:rsid w:val="04822C07"/>
    <w:rsid w:val="04885B47"/>
    <w:rsid w:val="04A52387"/>
    <w:rsid w:val="04B54547"/>
    <w:rsid w:val="04CD15E8"/>
    <w:rsid w:val="04CF4810"/>
    <w:rsid w:val="04D63FDF"/>
    <w:rsid w:val="04EB08D2"/>
    <w:rsid w:val="04EC7DA2"/>
    <w:rsid w:val="050252F6"/>
    <w:rsid w:val="05391C88"/>
    <w:rsid w:val="0541752E"/>
    <w:rsid w:val="055625ED"/>
    <w:rsid w:val="0572490A"/>
    <w:rsid w:val="05726DA2"/>
    <w:rsid w:val="057E3D65"/>
    <w:rsid w:val="058253F2"/>
    <w:rsid w:val="05872EB9"/>
    <w:rsid w:val="05933026"/>
    <w:rsid w:val="05BA17C0"/>
    <w:rsid w:val="05D9116E"/>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5F64AC"/>
    <w:rsid w:val="086D3DA1"/>
    <w:rsid w:val="08774BE1"/>
    <w:rsid w:val="088F5820"/>
    <w:rsid w:val="08903F11"/>
    <w:rsid w:val="08932D8F"/>
    <w:rsid w:val="08E13E13"/>
    <w:rsid w:val="08ED571D"/>
    <w:rsid w:val="08F53A28"/>
    <w:rsid w:val="0922447E"/>
    <w:rsid w:val="0923288D"/>
    <w:rsid w:val="0926237D"/>
    <w:rsid w:val="092D0C4C"/>
    <w:rsid w:val="09575C1A"/>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E6829"/>
    <w:rsid w:val="0ADD0DF0"/>
    <w:rsid w:val="0AEB40E8"/>
    <w:rsid w:val="0B0C56F1"/>
    <w:rsid w:val="0B0E131B"/>
    <w:rsid w:val="0B1E2F3A"/>
    <w:rsid w:val="0B416906"/>
    <w:rsid w:val="0B5D1C2A"/>
    <w:rsid w:val="0B685C3C"/>
    <w:rsid w:val="0B7202E7"/>
    <w:rsid w:val="0B7C595C"/>
    <w:rsid w:val="0B991D46"/>
    <w:rsid w:val="0B9F686D"/>
    <w:rsid w:val="0BDE31B0"/>
    <w:rsid w:val="0C0A28A6"/>
    <w:rsid w:val="0C0B5176"/>
    <w:rsid w:val="0C110CA2"/>
    <w:rsid w:val="0C30136E"/>
    <w:rsid w:val="0C3A6343"/>
    <w:rsid w:val="0C773477"/>
    <w:rsid w:val="0C9F113B"/>
    <w:rsid w:val="0CD3448B"/>
    <w:rsid w:val="0CF072F3"/>
    <w:rsid w:val="0D2466BD"/>
    <w:rsid w:val="0D3A1668"/>
    <w:rsid w:val="0D5C2246"/>
    <w:rsid w:val="0D6A3C45"/>
    <w:rsid w:val="0D7F3B4D"/>
    <w:rsid w:val="0D84383E"/>
    <w:rsid w:val="0DA13B17"/>
    <w:rsid w:val="0DA277FF"/>
    <w:rsid w:val="0DB22432"/>
    <w:rsid w:val="0DB8057F"/>
    <w:rsid w:val="0DC57869"/>
    <w:rsid w:val="0DD331D8"/>
    <w:rsid w:val="0DDB677F"/>
    <w:rsid w:val="0E093A81"/>
    <w:rsid w:val="0E1201C4"/>
    <w:rsid w:val="0E2B5D40"/>
    <w:rsid w:val="0E35096D"/>
    <w:rsid w:val="0E3C08A3"/>
    <w:rsid w:val="0E4806A0"/>
    <w:rsid w:val="0E4A08BC"/>
    <w:rsid w:val="0E626142"/>
    <w:rsid w:val="0E6D3EE4"/>
    <w:rsid w:val="0E8168AC"/>
    <w:rsid w:val="0E9601D9"/>
    <w:rsid w:val="0EBD5965"/>
    <w:rsid w:val="0EDF4D5E"/>
    <w:rsid w:val="0EF860F0"/>
    <w:rsid w:val="0F024085"/>
    <w:rsid w:val="0F1438EF"/>
    <w:rsid w:val="0F422C9C"/>
    <w:rsid w:val="0F4548F2"/>
    <w:rsid w:val="0F463825"/>
    <w:rsid w:val="0F4B0F6A"/>
    <w:rsid w:val="0F575798"/>
    <w:rsid w:val="0F5F5CB1"/>
    <w:rsid w:val="0F6D192D"/>
    <w:rsid w:val="0F6E4AA0"/>
    <w:rsid w:val="0F886069"/>
    <w:rsid w:val="0FA819A2"/>
    <w:rsid w:val="0FCA08C0"/>
    <w:rsid w:val="0FCA14B6"/>
    <w:rsid w:val="0FCF7D7A"/>
    <w:rsid w:val="0FE42DE8"/>
    <w:rsid w:val="0FFA6EBC"/>
    <w:rsid w:val="101038A7"/>
    <w:rsid w:val="10141182"/>
    <w:rsid w:val="101E2D38"/>
    <w:rsid w:val="10256733"/>
    <w:rsid w:val="10446D2F"/>
    <w:rsid w:val="104957CA"/>
    <w:rsid w:val="104D6EF3"/>
    <w:rsid w:val="105C0433"/>
    <w:rsid w:val="1069417C"/>
    <w:rsid w:val="106C1E4B"/>
    <w:rsid w:val="108A23D3"/>
    <w:rsid w:val="1095135B"/>
    <w:rsid w:val="10D35E97"/>
    <w:rsid w:val="11114551"/>
    <w:rsid w:val="112269D1"/>
    <w:rsid w:val="11356135"/>
    <w:rsid w:val="11800917"/>
    <w:rsid w:val="118955AD"/>
    <w:rsid w:val="11970BCB"/>
    <w:rsid w:val="1197226B"/>
    <w:rsid w:val="11AA0839"/>
    <w:rsid w:val="11C42470"/>
    <w:rsid w:val="11C71895"/>
    <w:rsid w:val="11CD444A"/>
    <w:rsid w:val="11E007AF"/>
    <w:rsid w:val="11E2334D"/>
    <w:rsid w:val="11F058CE"/>
    <w:rsid w:val="11FC3F3B"/>
    <w:rsid w:val="12274A70"/>
    <w:rsid w:val="12445622"/>
    <w:rsid w:val="124D3BAD"/>
    <w:rsid w:val="125A52C4"/>
    <w:rsid w:val="12655D96"/>
    <w:rsid w:val="128E3C38"/>
    <w:rsid w:val="12BF2922"/>
    <w:rsid w:val="12C942C8"/>
    <w:rsid w:val="12DC5F5E"/>
    <w:rsid w:val="12DC7F8C"/>
    <w:rsid w:val="12E82A0B"/>
    <w:rsid w:val="131873D2"/>
    <w:rsid w:val="13274F9C"/>
    <w:rsid w:val="13417410"/>
    <w:rsid w:val="1345591E"/>
    <w:rsid w:val="134A448A"/>
    <w:rsid w:val="134F7EA7"/>
    <w:rsid w:val="135107A8"/>
    <w:rsid w:val="136066CF"/>
    <w:rsid w:val="13657E31"/>
    <w:rsid w:val="136C3340"/>
    <w:rsid w:val="1387094F"/>
    <w:rsid w:val="139C08EB"/>
    <w:rsid w:val="13A7230D"/>
    <w:rsid w:val="13D35238"/>
    <w:rsid w:val="13D81B1F"/>
    <w:rsid w:val="14061B66"/>
    <w:rsid w:val="142B5FE2"/>
    <w:rsid w:val="1433594E"/>
    <w:rsid w:val="14542872"/>
    <w:rsid w:val="147E2423"/>
    <w:rsid w:val="1487273A"/>
    <w:rsid w:val="148C28CB"/>
    <w:rsid w:val="14944440"/>
    <w:rsid w:val="14A059A0"/>
    <w:rsid w:val="14A76342"/>
    <w:rsid w:val="14B97B05"/>
    <w:rsid w:val="14BF2D1A"/>
    <w:rsid w:val="14CD31B9"/>
    <w:rsid w:val="14DA6BBE"/>
    <w:rsid w:val="14E67563"/>
    <w:rsid w:val="14F926F4"/>
    <w:rsid w:val="15021B62"/>
    <w:rsid w:val="150A21BA"/>
    <w:rsid w:val="151779D1"/>
    <w:rsid w:val="1522437E"/>
    <w:rsid w:val="15283931"/>
    <w:rsid w:val="15382F40"/>
    <w:rsid w:val="158374C1"/>
    <w:rsid w:val="15A62ECC"/>
    <w:rsid w:val="15B14179"/>
    <w:rsid w:val="15BD5E17"/>
    <w:rsid w:val="15C516BD"/>
    <w:rsid w:val="160475A2"/>
    <w:rsid w:val="166266B1"/>
    <w:rsid w:val="169528F0"/>
    <w:rsid w:val="16C724D4"/>
    <w:rsid w:val="16D411E7"/>
    <w:rsid w:val="16ED0036"/>
    <w:rsid w:val="170756D4"/>
    <w:rsid w:val="17092996"/>
    <w:rsid w:val="170F4587"/>
    <w:rsid w:val="176115DC"/>
    <w:rsid w:val="176D7525"/>
    <w:rsid w:val="17824660"/>
    <w:rsid w:val="178F2FF8"/>
    <w:rsid w:val="179121FE"/>
    <w:rsid w:val="17915931"/>
    <w:rsid w:val="17C41ABF"/>
    <w:rsid w:val="18175D56"/>
    <w:rsid w:val="18276B10"/>
    <w:rsid w:val="18930C59"/>
    <w:rsid w:val="189B5F22"/>
    <w:rsid w:val="18A70256"/>
    <w:rsid w:val="18A944F8"/>
    <w:rsid w:val="18B73074"/>
    <w:rsid w:val="18DA76F1"/>
    <w:rsid w:val="19034C2D"/>
    <w:rsid w:val="1916127C"/>
    <w:rsid w:val="193D465D"/>
    <w:rsid w:val="193D4E12"/>
    <w:rsid w:val="196C6238"/>
    <w:rsid w:val="197E233C"/>
    <w:rsid w:val="198A59D6"/>
    <w:rsid w:val="19A73D74"/>
    <w:rsid w:val="19AA5416"/>
    <w:rsid w:val="19CE7FF6"/>
    <w:rsid w:val="19D70C6D"/>
    <w:rsid w:val="19E2271F"/>
    <w:rsid w:val="19F618F8"/>
    <w:rsid w:val="1A075570"/>
    <w:rsid w:val="1A1C623A"/>
    <w:rsid w:val="1A270D5F"/>
    <w:rsid w:val="1A4D4CED"/>
    <w:rsid w:val="1A5E3C5E"/>
    <w:rsid w:val="1A797469"/>
    <w:rsid w:val="1A8850B8"/>
    <w:rsid w:val="1A9B5FFB"/>
    <w:rsid w:val="1AA066C8"/>
    <w:rsid w:val="1AD954D1"/>
    <w:rsid w:val="1ADB0B95"/>
    <w:rsid w:val="1AE94FB9"/>
    <w:rsid w:val="1AF80851"/>
    <w:rsid w:val="1B0361BC"/>
    <w:rsid w:val="1B116412"/>
    <w:rsid w:val="1B244243"/>
    <w:rsid w:val="1B262D26"/>
    <w:rsid w:val="1B2670F4"/>
    <w:rsid w:val="1B2D1E19"/>
    <w:rsid w:val="1B2D7FD6"/>
    <w:rsid w:val="1B3A5220"/>
    <w:rsid w:val="1B3B258E"/>
    <w:rsid w:val="1B570174"/>
    <w:rsid w:val="1B652C95"/>
    <w:rsid w:val="1B70155F"/>
    <w:rsid w:val="1B723039"/>
    <w:rsid w:val="1B7700FA"/>
    <w:rsid w:val="1B894EBC"/>
    <w:rsid w:val="1B8C1172"/>
    <w:rsid w:val="1B9269B7"/>
    <w:rsid w:val="1BB12BB2"/>
    <w:rsid w:val="1BB16193"/>
    <w:rsid w:val="1BCE49E9"/>
    <w:rsid w:val="1BD12722"/>
    <w:rsid w:val="1BD15865"/>
    <w:rsid w:val="1BFE7E24"/>
    <w:rsid w:val="1C100B6A"/>
    <w:rsid w:val="1C2075D6"/>
    <w:rsid w:val="1C2B6CB4"/>
    <w:rsid w:val="1C3774BA"/>
    <w:rsid w:val="1C4E114E"/>
    <w:rsid w:val="1C5D5F8B"/>
    <w:rsid w:val="1C6E241C"/>
    <w:rsid w:val="1CB07DF9"/>
    <w:rsid w:val="1CC3681B"/>
    <w:rsid w:val="1CF251D3"/>
    <w:rsid w:val="1CFF3217"/>
    <w:rsid w:val="1D0C3E62"/>
    <w:rsid w:val="1D1D0D81"/>
    <w:rsid w:val="1D5835F0"/>
    <w:rsid w:val="1D594678"/>
    <w:rsid w:val="1D8C5045"/>
    <w:rsid w:val="1D9244F8"/>
    <w:rsid w:val="1D931CEA"/>
    <w:rsid w:val="1DC177D9"/>
    <w:rsid w:val="1DE2466D"/>
    <w:rsid w:val="1E1A236E"/>
    <w:rsid w:val="1E225BB3"/>
    <w:rsid w:val="1E276524"/>
    <w:rsid w:val="1E2A6113"/>
    <w:rsid w:val="1E2D212B"/>
    <w:rsid w:val="1E2E6E13"/>
    <w:rsid w:val="1E32182A"/>
    <w:rsid w:val="1E537319"/>
    <w:rsid w:val="1E5A61EE"/>
    <w:rsid w:val="1E713E2F"/>
    <w:rsid w:val="1E970559"/>
    <w:rsid w:val="1E980FE4"/>
    <w:rsid w:val="1E984D2C"/>
    <w:rsid w:val="1EA573D8"/>
    <w:rsid w:val="1EA77665"/>
    <w:rsid w:val="1EB0513B"/>
    <w:rsid w:val="1EB72F76"/>
    <w:rsid w:val="1EC10726"/>
    <w:rsid w:val="1ED8781E"/>
    <w:rsid w:val="1EE36B2C"/>
    <w:rsid w:val="1EF342CB"/>
    <w:rsid w:val="1F020A44"/>
    <w:rsid w:val="1F041BC7"/>
    <w:rsid w:val="1F127B09"/>
    <w:rsid w:val="1F2354C8"/>
    <w:rsid w:val="1F36160E"/>
    <w:rsid w:val="1F3F33F9"/>
    <w:rsid w:val="1F5D00BF"/>
    <w:rsid w:val="1F640255"/>
    <w:rsid w:val="1F671677"/>
    <w:rsid w:val="1F722047"/>
    <w:rsid w:val="1F904945"/>
    <w:rsid w:val="1F9E2816"/>
    <w:rsid w:val="1FA7625B"/>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06010"/>
    <w:rsid w:val="209740BF"/>
    <w:rsid w:val="2099242E"/>
    <w:rsid w:val="20B0411F"/>
    <w:rsid w:val="20D658C9"/>
    <w:rsid w:val="20D95B5B"/>
    <w:rsid w:val="20DC2416"/>
    <w:rsid w:val="20EB1210"/>
    <w:rsid w:val="20F22231"/>
    <w:rsid w:val="20FC3C98"/>
    <w:rsid w:val="21015C26"/>
    <w:rsid w:val="21121083"/>
    <w:rsid w:val="211518DD"/>
    <w:rsid w:val="212B2F31"/>
    <w:rsid w:val="21327DB2"/>
    <w:rsid w:val="213A06E6"/>
    <w:rsid w:val="213D6756"/>
    <w:rsid w:val="213D7BD8"/>
    <w:rsid w:val="214C4EC5"/>
    <w:rsid w:val="2153567F"/>
    <w:rsid w:val="21592826"/>
    <w:rsid w:val="216D3F7F"/>
    <w:rsid w:val="217422B6"/>
    <w:rsid w:val="217F6677"/>
    <w:rsid w:val="2188758A"/>
    <w:rsid w:val="21A61686"/>
    <w:rsid w:val="21B7196D"/>
    <w:rsid w:val="21C13A32"/>
    <w:rsid w:val="22270787"/>
    <w:rsid w:val="224D73DD"/>
    <w:rsid w:val="22592601"/>
    <w:rsid w:val="22603DB2"/>
    <w:rsid w:val="226D7B83"/>
    <w:rsid w:val="22785ADF"/>
    <w:rsid w:val="2293123C"/>
    <w:rsid w:val="22A570EC"/>
    <w:rsid w:val="23215CC3"/>
    <w:rsid w:val="232E56FD"/>
    <w:rsid w:val="233F5F96"/>
    <w:rsid w:val="235518B2"/>
    <w:rsid w:val="235F4D23"/>
    <w:rsid w:val="236D4028"/>
    <w:rsid w:val="238A4DFC"/>
    <w:rsid w:val="23AC3728"/>
    <w:rsid w:val="24226CC5"/>
    <w:rsid w:val="242641B0"/>
    <w:rsid w:val="24312A4A"/>
    <w:rsid w:val="244A5E9A"/>
    <w:rsid w:val="244C4BB8"/>
    <w:rsid w:val="24691193"/>
    <w:rsid w:val="246C3A46"/>
    <w:rsid w:val="247152E7"/>
    <w:rsid w:val="24E94533"/>
    <w:rsid w:val="24FF7718"/>
    <w:rsid w:val="251A7612"/>
    <w:rsid w:val="25237A22"/>
    <w:rsid w:val="252E0774"/>
    <w:rsid w:val="25393FD3"/>
    <w:rsid w:val="25440C67"/>
    <w:rsid w:val="25481BCE"/>
    <w:rsid w:val="256E1E26"/>
    <w:rsid w:val="25812F8D"/>
    <w:rsid w:val="25814DB7"/>
    <w:rsid w:val="25824959"/>
    <w:rsid w:val="25987A23"/>
    <w:rsid w:val="25BC46FF"/>
    <w:rsid w:val="25C517A2"/>
    <w:rsid w:val="25CB59E7"/>
    <w:rsid w:val="25E22D30"/>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FD2518"/>
    <w:rsid w:val="26FE679C"/>
    <w:rsid w:val="272F1FA5"/>
    <w:rsid w:val="27301EDB"/>
    <w:rsid w:val="27453115"/>
    <w:rsid w:val="276C029F"/>
    <w:rsid w:val="27867E0A"/>
    <w:rsid w:val="278E34D5"/>
    <w:rsid w:val="27982DD4"/>
    <w:rsid w:val="279D4D50"/>
    <w:rsid w:val="27DD09CE"/>
    <w:rsid w:val="27EC553C"/>
    <w:rsid w:val="280C4BFC"/>
    <w:rsid w:val="2813394B"/>
    <w:rsid w:val="281C1F63"/>
    <w:rsid w:val="281C54D8"/>
    <w:rsid w:val="283610D5"/>
    <w:rsid w:val="284B4698"/>
    <w:rsid w:val="285F5293"/>
    <w:rsid w:val="28622D71"/>
    <w:rsid w:val="286E69FD"/>
    <w:rsid w:val="28A10C81"/>
    <w:rsid w:val="28C56178"/>
    <w:rsid w:val="28C669EE"/>
    <w:rsid w:val="28FA546B"/>
    <w:rsid w:val="28FE025E"/>
    <w:rsid w:val="290905B0"/>
    <w:rsid w:val="29120F71"/>
    <w:rsid w:val="29245F1A"/>
    <w:rsid w:val="29366359"/>
    <w:rsid w:val="29583A35"/>
    <w:rsid w:val="29586D7A"/>
    <w:rsid w:val="29772B51"/>
    <w:rsid w:val="29791894"/>
    <w:rsid w:val="2984235F"/>
    <w:rsid w:val="29967FD2"/>
    <w:rsid w:val="29A52D8F"/>
    <w:rsid w:val="29C56C3A"/>
    <w:rsid w:val="29D137E8"/>
    <w:rsid w:val="29D85278"/>
    <w:rsid w:val="29E1380C"/>
    <w:rsid w:val="29E85046"/>
    <w:rsid w:val="29F46DC5"/>
    <w:rsid w:val="2A017BFD"/>
    <w:rsid w:val="2A0A71F8"/>
    <w:rsid w:val="2A4913A2"/>
    <w:rsid w:val="2A9154D8"/>
    <w:rsid w:val="2AA04C57"/>
    <w:rsid w:val="2AD750C3"/>
    <w:rsid w:val="2AE77D08"/>
    <w:rsid w:val="2AEA3011"/>
    <w:rsid w:val="2AFA0B1C"/>
    <w:rsid w:val="2B150495"/>
    <w:rsid w:val="2B252D72"/>
    <w:rsid w:val="2B3E0375"/>
    <w:rsid w:val="2B492499"/>
    <w:rsid w:val="2B652A8D"/>
    <w:rsid w:val="2B6C55DB"/>
    <w:rsid w:val="2B8D5640"/>
    <w:rsid w:val="2BF4029C"/>
    <w:rsid w:val="2C1C6937"/>
    <w:rsid w:val="2C202757"/>
    <w:rsid w:val="2C270D43"/>
    <w:rsid w:val="2C6436A6"/>
    <w:rsid w:val="2C7A2A8F"/>
    <w:rsid w:val="2C9023A5"/>
    <w:rsid w:val="2C937549"/>
    <w:rsid w:val="2C9D6A04"/>
    <w:rsid w:val="2CB62598"/>
    <w:rsid w:val="2CBC136A"/>
    <w:rsid w:val="2CCB09C2"/>
    <w:rsid w:val="2CD47877"/>
    <w:rsid w:val="2CFE607B"/>
    <w:rsid w:val="2D095409"/>
    <w:rsid w:val="2D3A3199"/>
    <w:rsid w:val="2D4B38E7"/>
    <w:rsid w:val="2D5470D9"/>
    <w:rsid w:val="2D551303"/>
    <w:rsid w:val="2D772574"/>
    <w:rsid w:val="2D8D31B7"/>
    <w:rsid w:val="2D8D5835"/>
    <w:rsid w:val="2D9D235F"/>
    <w:rsid w:val="2DAB1C25"/>
    <w:rsid w:val="2DCC12FC"/>
    <w:rsid w:val="2DD66E3A"/>
    <w:rsid w:val="2DF17D73"/>
    <w:rsid w:val="2DF45CF7"/>
    <w:rsid w:val="2E0028ED"/>
    <w:rsid w:val="2E051E23"/>
    <w:rsid w:val="2E4272A0"/>
    <w:rsid w:val="2E652B8E"/>
    <w:rsid w:val="2E66167A"/>
    <w:rsid w:val="2E6C7EF1"/>
    <w:rsid w:val="2E6D69DB"/>
    <w:rsid w:val="2E6F6584"/>
    <w:rsid w:val="2E7823B0"/>
    <w:rsid w:val="2E933BCE"/>
    <w:rsid w:val="2E9C6490"/>
    <w:rsid w:val="2EA40069"/>
    <w:rsid w:val="2EAA3B87"/>
    <w:rsid w:val="2EB66E96"/>
    <w:rsid w:val="2EBC23A0"/>
    <w:rsid w:val="2ED31DB0"/>
    <w:rsid w:val="2EFA0191"/>
    <w:rsid w:val="2F436846"/>
    <w:rsid w:val="2F4556CE"/>
    <w:rsid w:val="2F6F3C93"/>
    <w:rsid w:val="2F754A27"/>
    <w:rsid w:val="2FB1448A"/>
    <w:rsid w:val="2FC802AE"/>
    <w:rsid w:val="2FFB511A"/>
    <w:rsid w:val="301C41BF"/>
    <w:rsid w:val="302369A0"/>
    <w:rsid w:val="303474C0"/>
    <w:rsid w:val="305C41A9"/>
    <w:rsid w:val="307C26FF"/>
    <w:rsid w:val="30820205"/>
    <w:rsid w:val="308E41B5"/>
    <w:rsid w:val="30952C59"/>
    <w:rsid w:val="30FF4D69"/>
    <w:rsid w:val="310E5321"/>
    <w:rsid w:val="3113559B"/>
    <w:rsid w:val="311978DB"/>
    <w:rsid w:val="312421F6"/>
    <w:rsid w:val="312522C7"/>
    <w:rsid w:val="3127420C"/>
    <w:rsid w:val="31405C69"/>
    <w:rsid w:val="31477BEB"/>
    <w:rsid w:val="315523B1"/>
    <w:rsid w:val="3198056E"/>
    <w:rsid w:val="31CD31BF"/>
    <w:rsid w:val="31D72AD0"/>
    <w:rsid w:val="31E10F55"/>
    <w:rsid w:val="31F664E1"/>
    <w:rsid w:val="320B7F80"/>
    <w:rsid w:val="3219008D"/>
    <w:rsid w:val="32215B79"/>
    <w:rsid w:val="322241F2"/>
    <w:rsid w:val="3229379D"/>
    <w:rsid w:val="32294133"/>
    <w:rsid w:val="322D5AFA"/>
    <w:rsid w:val="32514C44"/>
    <w:rsid w:val="328916BE"/>
    <w:rsid w:val="32974C7A"/>
    <w:rsid w:val="32B15ECE"/>
    <w:rsid w:val="32BB4ABE"/>
    <w:rsid w:val="32BB5035"/>
    <w:rsid w:val="32C8549C"/>
    <w:rsid w:val="32CA16D9"/>
    <w:rsid w:val="32E83928"/>
    <w:rsid w:val="32F45590"/>
    <w:rsid w:val="331C19F3"/>
    <w:rsid w:val="33380434"/>
    <w:rsid w:val="334D0383"/>
    <w:rsid w:val="33577373"/>
    <w:rsid w:val="336A419B"/>
    <w:rsid w:val="336A59CC"/>
    <w:rsid w:val="33773188"/>
    <w:rsid w:val="337E77C9"/>
    <w:rsid w:val="338F53C2"/>
    <w:rsid w:val="33925662"/>
    <w:rsid w:val="339B7AA1"/>
    <w:rsid w:val="33B7637D"/>
    <w:rsid w:val="33D4661F"/>
    <w:rsid w:val="33EB6BBC"/>
    <w:rsid w:val="33ED39C2"/>
    <w:rsid w:val="340F56DE"/>
    <w:rsid w:val="3425597D"/>
    <w:rsid w:val="342A5DF5"/>
    <w:rsid w:val="344851FD"/>
    <w:rsid w:val="349B5E0E"/>
    <w:rsid w:val="34A432B6"/>
    <w:rsid w:val="34AA020B"/>
    <w:rsid w:val="34BC17DA"/>
    <w:rsid w:val="34D015E3"/>
    <w:rsid w:val="34DB376C"/>
    <w:rsid w:val="34F85DA8"/>
    <w:rsid w:val="3509398E"/>
    <w:rsid w:val="35422B89"/>
    <w:rsid w:val="3547266B"/>
    <w:rsid w:val="3554479E"/>
    <w:rsid w:val="35645510"/>
    <w:rsid w:val="357D63E5"/>
    <w:rsid w:val="357F00D0"/>
    <w:rsid w:val="35894506"/>
    <w:rsid w:val="35A377DB"/>
    <w:rsid w:val="35A44686"/>
    <w:rsid w:val="35E7387F"/>
    <w:rsid w:val="35E81F7A"/>
    <w:rsid w:val="35EF4AF5"/>
    <w:rsid w:val="35F52BF3"/>
    <w:rsid w:val="360530D8"/>
    <w:rsid w:val="3605698A"/>
    <w:rsid w:val="361138EA"/>
    <w:rsid w:val="36162F1C"/>
    <w:rsid w:val="363277D2"/>
    <w:rsid w:val="36525CC9"/>
    <w:rsid w:val="366244D5"/>
    <w:rsid w:val="36A82C1D"/>
    <w:rsid w:val="36B34449"/>
    <w:rsid w:val="36C342D9"/>
    <w:rsid w:val="36E25286"/>
    <w:rsid w:val="370F2E93"/>
    <w:rsid w:val="370F32ED"/>
    <w:rsid w:val="371B2546"/>
    <w:rsid w:val="374E35E0"/>
    <w:rsid w:val="37560CC6"/>
    <w:rsid w:val="37857C22"/>
    <w:rsid w:val="378D0CEB"/>
    <w:rsid w:val="379A026D"/>
    <w:rsid w:val="37A2207E"/>
    <w:rsid w:val="37A2434F"/>
    <w:rsid w:val="37B70636"/>
    <w:rsid w:val="37ED6D6E"/>
    <w:rsid w:val="380C3B20"/>
    <w:rsid w:val="381039F4"/>
    <w:rsid w:val="381B27FE"/>
    <w:rsid w:val="38422CE2"/>
    <w:rsid w:val="38464281"/>
    <w:rsid w:val="386E21B0"/>
    <w:rsid w:val="38AE496C"/>
    <w:rsid w:val="38B54D45"/>
    <w:rsid w:val="38D242CD"/>
    <w:rsid w:val="393E0C7A"/>
    <w:rsid w:val="39470BCD"/>
    <w:rsid w:val="39821F75"/>
    <w:rsid w:val="398B5520"/>
    <w:rsid w:val="398C3DB7"/>
    <w:rsid w:val="39AB6275"/>
    <w:rsid w:val="39D53024"/>
    <w:rsid w:val="39E17621"/>
    <w:rsid w:val="39F227B1"/>
    <w:rsid w:val="39F23A32"/>
    <w:rsid w:val="3A151290"/>
    <w:rsid w:val="3A201663"/>
    <w:rsid w:val="3A257964"/>
    <w:rsid w:val="3A292038"/>
    <w:rsid w:val="3A4A1178"/>
    <w:rsid w:val="3A524E6B"/>
    <w:rsid w:val="3A762A49"/>
    <w:rsid w:val="3A826354"/>
    <w:rsid w:val="3A9D28F5"/>
    <w:rsid w:val="3AB57C56"/>
    <w:rsid w:val="3ACD43C9"/>
    <w:rsid w:val="3AFA0DF0"/>
    <w:rsid w:val="3AFF2C64"/>
    <w:rsid w:val="3B135A0E"/>
    <w:rsid w:val="3B194FEF"/>
    <w:rsid w:val="3B2F69DB"/>
    <w:rsid w:val="3B667011"/>
    <w:rsid w:val="3B79226F"/>
    <w:rsid w:val="3B8F1138"/>
    <w:rsid w:val="3B904834"/>
    <w:rsid w:val="3B932344"/>
    <w:rsid w:val="3B9D20F5"/>
    <w:rsid w:val="3BB33F88"/>
    <w:rsid w:val="3BC15D34"/>
    <w:rsid w:val="3BD93153"/>
    <w:rsid w:val="3BDA6996"/>
    <w:rsid w:val="3C0A3047"/>
    <w:rsid w:val="3C2E50FB"/>
    <w:rsid w:val="3C37637A"/>
    <w:rsid w:val="3C3C0578"/>
    <w:rsid w:val="3C3C71E7"/>
    <w:rsid w:val="3C4816E7"/>
    <w:rsid w:val="3C4A12AD"/>
    <w:rsid w:val="3C5125FC"/>
    <w:rsid w:val="3C690ECB"/>
    <w:rsid w:val="3C6B7ACC"/>
    <w:rsid w:val="3C860AC6"/>
    <w:rsid w:val="3C8967A4"/>
    <w:rsid w:val="3C960BC8"/>
    <w:rsid w:val="3C9848A1"/>
    <w:rsid w:val="3CA509B7"/>
    <w:rsid w:val="3CA509D1"/>
    <w:rsid w:val="3CD537E6"/>
    <w:rsid w:val="3CD93879"/>
    <w:rsid w:val="3D2571D3"/>
    <w:rsid w:val="3D65451B"/>
    <w:rsid w:val="3D7A2818"/>
    <w:rsid w:val="3D8106EA"/>
    <w:rsid w:val="3D834DF8"/>
    <w:rsid w:val="3DA352B1"/>
    <w:rsid w:val="3DBA61E7"/>
    <w:rsid w:val="3DC14624"/>
    <w:rsid w:val="3DD55956"/>
    <w:rsid w:val="3E100FFC"/>
    <w:rsid w:val="3E201534"/>
    <w:rsid w:val="3E32020A"/>
    <w:rsid w:val="3E3C1720"/>
    <w:rsid w:val="3E4660FB"/>
    <w:rsid w:val="3E651EE9"/>
    <w:rsid w:val="3E784A78"/>
    <w:rsid w:val="3E8554F5"/>
    <w:rsid w:val="3E9A1FA2"/>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297018"/>
    <w:rsid w:val="404470DB"/>
    <w:rsid w:val="404C2292"/>
    <w:rsid w:val="405D572D"/>
    <w:rsid w:val="408D1EA0"/>
    <w:rsid w:val="408E2DBF"/>
    <w:rsid w:val="409D2A1A"/>
    <w:rsid w:val="40A752D1"/>
    <w:rsid w:val="40B21FB5"/>
    <w:rsid w:val="40B95E2E"/>
    <w:rsid w:val="40C17F9E"/>
    <w:rsid w:val="40C43B66"/>
    <w:rsid w:val="40E247F7"/>
    <w:rsid w:val="40EE5966"/>
    <w:rsid w:val="410F1967"/>
    <w:rsid w:val="41182A7C"/>
    <w:rsid w:val="41335FC7"/>
    <w:rsid w:val="415978C8"/>
    <w:rsid w:val="415C1B4D"/>
    <w:rsid w:val="41741A7D"/>
    <w:rsid w:val="417843F2"/>
    <w:rsid w:val="41807B75"/>
    <w:rsid w:val="418A1799"/>
    <w:rsid w:val="41A61C3F"/>
    <w:rsid w:val="41B17185"/>
    <w:rsid w:val="41C83E54"/>
    <w:rsid w:val="41F05895"/>
    <w:rsid w:val="41F45941"/>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9A0075"/>
    <w:rsid w:val="44A72CB4"/>
    <w:rsid w:val="44DC0CFE"/>
    <w:rsid w:val="44DC4FCA"/>
    <w:rsid w:val="44FD1C6D"/>
    <w:rsid w:val="453F207E"/>
    <w:rsid w:val="454276A8"/>
    <w:rsid w:val="45465AD9"/>
    <w:rsid w:val="457C4AF8"/>
    <w:rsid w:val="459B6D2C"/>
    <w:rsid w:val="45A100BA"/>
    <w:rsid w:val="45A31600"/>
    <w:rsid w:val="45C8302C"/>
    <w:rsid w:val="45E526C2"/>
    <w:rsid w:val="45EF5694"/>
    <w:rsid w:val="45F32D75"/>
    <w:rsid w:val="45FE4441"/>
    <w:rsid w:val="46024FFD"/>
    <w:rsid w:val="460934CE"/>
    <w:rsid w:val="461F685B"/>
    <w:rsid w:val="463A35BA"/>
    <w:rsid w:val="464478D6"/>
    <w:rsid w:val="46594972"/>
    <w:rsid w:val="46763AFA"/>
    <w:rsid w:val="46A86AC5"/>
    <w:rsid w:val="46AF0ACC"/>
    <w:rsid w:val="46CD2EA3"/>
    <w:rsid w:val="46E33C2A"/>
    <w:rsid w:val="46EB5C2E"/>
    <w:rsid w:val="47191F43"/>
    <w:rsid w:val="471B210D"/>
    <w:rsid w:val="47330BB1"/>
    <w:rsid w:val="474340E1"/>
    <w:rsid w:val="474358CD"/>
    <w:rsid w:val="474C5417"/>
    <w:rsid w:val="4754737E"/>
    <w:rsid w:val="476E5DEA"/>
    <w:rsid w:val="47783CA2"/>
    <w:rsid w:val="478D50EB"/>
    <w:rsid w:val="47914A33"/>
    <w:rsid w:val="479B0044"/>
    <w:rsid w:val="479C10BC"/>
    <w:rsid w:val="47A4380D"/>
    <w:rsid w:val="47A6297A"/>
    <w:rsid w:val="47B15A25"/>
    <w:rsid w:val="47B35BF8"/>
    <w:rsid w:val="47C01A50"/>
    <w:rsid w:val="47C041C7"/>
    <w:rsid w:val="47CB4E60"/>
    <w:rsid w:val="47CD1E0C"/>
    <w:rsid w:val="47D964DB"/>
    <w:rsid w:val="47FC33A5"/>
    <w:rsid w:val="48012A31"/>
    <w:rsid w:val="481D4366"/>
    <w:rsid w:val="482A37B7"/>
    <w:rsid w:val="485803F1"/>
    <w:rsid w:val="485E2C28"/>
    <w:rsid w:val="4865215C"/>
    <w:rsid w:val="486942C4"/>
    <w:rsid w:val="487B552A"/>
    <w:rsid w:val="48842F37"/>
    <w:rsid w:val="48A34F21"/>
    <w:rsid w:val="48B05292"/>
    <w:rsid w:val="48B971DC"/>
    <w:rsid w:val="48C82D2E"/>
    <w:rsid w:val="48F556EA"/>
    <w:rsid w:val="491946D3"/>
    <w:rsid w:val="4924047E"/>
    <w:rsid w:val="49276380"/>
    <w:rsid w:val="49441489"/>
    <w:rsid w:val="4948117F"/>
    <w:rsid w:val="494B0B0D"/>
    <w:rsid w:val="497E20AD"/>
    <w:rsid w:val="49820EB7"/>
    <w:rsid w:val="499416E9"/>
    <w:rsid w:val="49A63EAD"/>
    <w:rsid w:val="49B4166E"/>
    <w:rsid w:val="49BA2C9E"/>
    <w:rsid w:val="49BC3715"/>
    <w:rsid w:val="49C56A6D"/>
    <w:rsid w:val="49D26E8C"/>
    <w:rsid w:val="49EB5DA8"/>
    <w:rsid w:val="49F72310"/>
    <w:rsid w:val="49FD2EE4"/>
    <w:rsid w:val="4A0B4FDE"/>
    <w:rsid w:val="4A343D11"/>
    <w:rsid w:val="4A497D35"/>
    <w:rsid w:val="4A8A37D8"/>
    <w:rsid w:val="4A8B4AB2"/>
    <w:rsid w:val="4AD9595B"/>
    <w:rsid w:val="4AEC1FB1"/>
    <w:rsid w:val="4AF93EAE"/>
    <w:rsid w:val="4AFC3A3A"/>
    <w:rsid w:val="4B311212"/>
    <w:rsid w:val="4B3E6720"/>
    <w:rsid w:val="4B43535A"/>
    <w:rsid w:val="4B476348"/>
    <w:rsid w:val="4B517E8D"/>
    <w:rsid w:val="4B625BF7"/>
    <w:rsid w:val="4BB00F60"/>
    <w:rsid w:val="4BB21AF4"/>
    <w:rsid w:val="4BB54107"/>
    <w:rsid w:val="4BB67EEE"/>
    <w:rsid w:val="4BD17814"/>
    <w:rsid w:val="4BDC5109"/>
    <w:rsid w:val="4BE84FA7"/>
    <w:rsid w:val="4BE97F10"/>
    <w:rsid w:val="4BF70C92"/>
    <w:rsid w:val="4BFD0513"/>
    <w:rsid w:val="4C005E77"/>
    <w:rsid w:val="4C1A02C6"/>
    <w:rsid w:val="4C2B76C1"/>
    <w:rsid w:val="4C5419A1"/>
    <w:rsid w:val="4C5429A3"/>
    <w:rsid w:val="4C645A11"/>
    <w:rsid w:val="4C804ECE"/>
    <w:rsid w:val="4C87254B"/>
    <w:rsid w:val="4CC441C3"/>
    <w:rsid w:val="4CDE4416"/>
    <w:rsid w:val="4D004DF6"/>
    <w:rsid w:val="4D1C2C8C"/>
    <w:rsid w:val="4D1E77BE"/>
    <w:rsid w:val="4D245FC5"/>
    <w:rsid w:val="4D2B3B2C"/>
    <w:rsid w:val="4D9D13E7"/>
    <w:rsid w:val="4DA943B0"/>
    <w:rsid w:val="4DC515BB"/>
    <w:rsid w:val="4DCB5984"/>
    <w:rsid w:val="4DD64458"/>
    <w:rsid w:val="4DDD4E1A"/>
    <w:rsid w:val="4DE00A28"/>
    <w:rsid w:val="4E135BFA"/>
    <w:rsid w:val="4E1B2DDB"/>
    <w:rsid w:val="4E250E8C"/>
    <w:rsid w:val="4E355E12"/>
    <w:rsid w:val="4E5D7C3A"/>
    <w:rsid w:val="4E8D762E"/>
    <w:rsid w:val="4E9B1112"/>
    <w:rsid w:val="4E9E788D"/>
    <w:rsid w:val="4EA06365"/>
    <w:rsid w:val="4EBD3915"/>
    <w:rsid w:val="4ECA3C43"/>
    <w:rsid w:val="4ECD54B1"/>
    <w:rsid w:val="4ED4046B"/>
    <w:rsid w:val="4ED432AF"/>
    <w:rsid w:val="4ED649D4"/>
    <w:rsid w:val="4EDF4B15"/>
    <w:rsid w:val="4EF43B16"/>
    <w:rsid w:val="4F0E1E8F"/>
    <w:rsid w:val="4F2B6C13"/>
    <w:rsid w:val="4F3153D3"/>
    <w:rsid w:val="4F5F3ED1"/>
    <w:rsid w:val="4F804E7C"/>
    <w:rsid w:val="4F85516A"/>
    <w:rsid w:val="4F944D8F"/>
    <w:rsid w:val="4FAD422B"/>
    <w:rsid w:val="4FC14613"/>
    <w:rsid w:val="4FCA5221"/>
    <w:rsid w:val="4FED0FB9"/>
    <w:rsid w:val="502B33A2"/>
    <w:rsid w:val="50561719"/>
    <w:rsid w:val="507410D2"/>
    <w:rsid w:val="50A4392E"/>
    <w:rsid w:val="50A97681"/>
    <w:rsid w:val="50AE3B94"/>
    <w:rsid w:val="50AF5D81"/>
    <w:rsid w:val="50AF7418"/>
    <w:rsid w:val="50E93575"/>
    <w:rsid w:val="50EE4AFC"/>
    <w:rsid w:val="50F04D4E"/>
    <w:rsid w:val="50F57385"/>
    <w:rsid w:val="50F6016F"/>
    <w:rsid w:val="50FB1FB9"/>
    <w:rsid w:val="51132FF4"/>
    <w:rsid w:val="51151213"/>
    <w:rsid w:val="513225F9"/>
    <w:rsid w:val="513F5114"/>
    <w:rsid w:val="51440384"/>
    <w:rsid w:val="51532BB1"/>
    <w:rsid w:val="515E6A1B"/>
    <w:rsid w:val="516B705C"/>
    <w:rsid w:val="5177537A"/>
    <w:rsid w:val="518806E3"/>
    <w:rsid w:val="51A1217B"/>
    <w:rsid w:val="51A47CAD"/>
    <w:rsid w:val="51BC2004"/>
    <w:rsid w:val="51C462A1"/>
    <w:rsid w:val="51CB0C5C"/>
    <w:rsid w:val="51CB74F6"/>
    <w:rsid w:val="51D13948"/>
    <w:rsid w:val="51DB0D6E"/>
    <w:rsid w:val="51EB5979"/>
    <w:rsid w:val="52195BA8"/>
    <w:rsid w:val="521A0101"/>
    <w:rsid w:val="52241967"/>
    <w:rsid w:val="52263E21"/>
    <w:rsid w:val="522D1CB6"/>
    <w:rsid w:val="52444C58"/>
    <w:rsid w:val="5263075C"/>
    <w:rsid w:val="52660A26"/>
    <w:rsid w:val="52717995"/>
    <w:rsid w:val="52727703"/>
    <w:rsid w:val="528315FB"/>
    <w:rsid w:val="52835444"/>
    <w:rsid w:val="52910142"/>
    <w:rsid w:val="52990759"/>
    <w:rsid w:val="529E42FF"/>
    <w:rsid w:val="52B87033"/>
    <w:rsid w:val="52BE5917"/>
    <w:rsid w:val="52C04276"/>
    <w:rsid w:val="52ED3633"/>
    <w:rsid w:val="52F766E2"/>
    <w:rsid w:val="531B72EC"/>
    <w:rsid w:val="531E35FC"/>
    <w:rsid w:val="531E3DBA"/>
    <w:rsid w:val="532B1547"/>
    <w:rsid w:val="532C2C22"/>
    <w:rsid w:val="533E6E17"/>
    <w:rsid w:val="5343182D"/>
    <w:rsid w:val="53552E21"/>
    <w:rsid w:val="535D3886"/>
    <w:rsid w:val="536C4A63"/>
    <w:rsid w:val="538C7248"/>
    <w:rsid w:val="539B26A9"/>
    <w:rsid w:val="53A201DA"/>
    <w:rsid w:val="53B22D34"/>
    <w:rsid w:val="53B6236C"/>
    <w:rsid w:val="53BD6F30"/>
    <w:rsid w:val="53C62500"/>
    <w:rsid w:val="540540F5"/>
    <w:rsid w:val="54231D7C"/>
    <w:rsid w:val="542913B3"/>
    <w:rsid w:val="543A39C2"/>
    <w:rsid w:val="543F18BA"/>
    <w:rsid w:val="54883400"/>
    <w:rsid w:val="54932F58"/>
    <w:rsid w:val="54A81CB5"/>
    <w:rsid w:val="54C41B11"/>
    <w:rsid w:val="54F31D20"/>
    <w:rsid w:val="550E49C6"/>
    <w:rsid w:val="55124B31"/>
    <w:rsid w:val="55674E7D"/>
    <w:rsid w:val="55683ADA"/>
    <w:rsid w:val="55A47D96"/>
    <w:rsid w:val="55C94049"/>
    <w:rsid w:val="55DA287E"/>
    <w:rsid w:val="55DD1819"/>
    <w:rsid w:val="55EE6DAD"/>
    <w:rsid w:val="56073162"/>
    <w:rsid w:val="5609127C"/>
    <w:rsid w:val="56243B92"/>
    <w:rsid w:val="563C00B7"/>
    <w:rsid w:val="563D619D"/>
    <w:rsid w:val="56413F2B"/>
    <w:rsid w:val="56537C47"/>
    <w:rsid w:val="56764C4B"/>
    <w:rsid w:val="56A010C0"/>
    <w:rsid w:val="56B96B8E"/>
    <w:rsid w:val="56C747B5"/>
    <w:rsid w:val="56D42684"/>
    <w:rsid w:val="56DD2471"/>
    <w:rsid w:val="571974A0"/>
    <w:rsid w:val="57210A6D"/>
    <w:rsid w:val="5744214A"/>
    <w:rsid w:val="574B480A"/>
    <w:rsid w:val="57543081"/>
    <w:rsid w:val="5789649C"/>
    <w:rsid w:val="57A373F0"/>
    <w:rsid w:val="57C83C57"/>
    <w:rsid w:val="57FB2FB4"/>
    <w:rsid w:val="582028C2"/>
    <w:rsid w:val="58240E03"/>
    <w:rsid w:val="582908A2"/>
    <w:rsid w:val="583D07DD"/>
    <w:rsid w:val="585F1862"/>
    <w:rsid w:val="58620D26"/>
    <w:rsid w:val="58706FB1"/>
    <w:rsid w:val="587C5983"/>
    <w:rsid w:val="588913BE"/>
    <w:rsid w:val="58E8415E"/>
    <w:rsid w:val="58ED1995"/>
    <w:rsid w:val="58FF1A45"/>
    <w:rsid w:val="591578E8"/>
    <w:rsid w:val="591C580B"/>
    <w:rsid w:val="5926497A"/>
    <w:rsid w:val="592A1893"/>
    <w:rsid w:val="595D3E12"/>
    <w:rsid w:val="59961EFB"/>
    <w:rsid w:val="59A11353"/>
    <w:rsid w:val="59B40569"/>
    <w:rsid w:val="59CD5227"/>
    <w:rsid w:val="5A0336C4"/>
    <w:rsid w:val="5A1D0D82"/>
    <w:rsid w:val="5A20315B"/>
    <w:rsid w:val="5A4C2893"/>
    <w:rsid w:val="5A5827FE"/>
    <w:rsid w:val="5A70211C"/>
    <w:rsid w:val="5AAB2A29"/>
    <w:rsid w:val="5AAB3211"/>
    <w:rsid w:val="5AAC7307"/>
    <w:rsid w:val="5AB86388"/>
    <w:rsid w:val="5ABF41C0"/>
    <w:rsid w:val="5ACA577B"/>
    <w:rsid w:val="5AD07CB2"/>
    <w:rsid w:val="5AE37CAA"/>
    <w:rsid w:val="5AEF1DC1"/>
    <w:rsid w:val="5B184523"/>
    <w:rsid w:val="5B353486"/>
    <w:rsid w:val="5B3A7E78"/>
    <w:rsid w:val="5B3D442E"/>
    <w:rsid w:val="5B412C22"/>
    <w:rsid w:val="5B4B2EB1"/>
    <w:rsid w:val="5B510D60"/>
    <w:rsid w:val="5B570332"/>
    <w:rsid w:val="5B5F0395"/>
    <w:rsid w:val="5B6300A3"/>
    <w:rsid w:val="5B6C0ED6"/>
    <w:rsid w:val="5B790B4E"/>
    <w:rsid w:val="5B7A10F7"/>
    <w:rsid w:val="5B7A2400"/>
    <w:rsid w:val="5B9307A2"/>
    <w:rsid w:val="5B9B626D"/>
    <w:rsid w:val="5BA762EC"/>
    <w:rsid w:val="5BD32897"/>
    <w:rsid w:val="5BF50A44"/>
    <w:rsid w:val="5C0F5926"/>
    <w:rsid w:val="5C295CCC"/>
    <w:rsid w:val="5C381A3A"/>
    <w:rsid w:val="5C5C135C"/>
    <w:rsid w:val="5C6E0033"/>
    <w:rsid w:val="5C872DAA"/>
    <w:rsid w:val="5C974816"/>
    <w:rsid w:val="5C9C18B0"/>
    <w:rsid w:val="5CA97228"/>
    <w:rsid w:val="5CB214C2"/>
    <w:rsid w:val="5CBA57BD"/>
    <w:rsid w:val="5CC5471C"/>
    <w:rsid w:val="5CDC5386"/>
    <w:rsid w:val="5CEE7B85"/>
    <w:rsid w:val="5CF07506"/>
    <w:rsid w:val="5CF73D69"/>
    <w:rsid w:val="5D202057"/>
    <w:rsid w:val="5D46361A"/>
    <w:rsid w:val="5D4700C2"/>
    <w:rsid w:val="5D6677C8"/>
    <w:rsid w:val="5D6C4615"/>
    <w:rsid w:val="5D7C5A81"/>
    <w:rsid w:val="5DD31E8F"/>
    <w:rsid w:val="5DDF2196"/>
    <w:rsid w:val="5DF704AE"/>
    <w:rsid w:val="5DF954B7"/>
    <w:rsid w:val="5DFF05CD"/>
    <w:rsid w:val="5E1672C2"/>
    <w:rsid w:val="5E1B6033"/>
    <w:rsid w:val="5E2612F9"/>
    <w:rsid w:val="5E534129"/>
    <w:rsid w:val="5E6E3C24"/>
    <w:rsid w:val="5E7255BD"/>
    <w:rsid w:val="5E7457CA"/>
    <w:rsid w:val="5E7E03F2"/>
    <w:rsid w:val="5E937CCC"/>
    <w:rsid w:val="5EF83794"/>
    <w:rsid w:val="5F0173CC"/>
    <w:rsid w:val="5F1A1A93"/>
    <w:rsid w:val="5F287F7E"/>
    <w:rsid w:val="5F475677"/>
    <w:rsid w:val="5F484198"/>
    <w:rsid w:val="5F567498"/>
    <w:rsid w:val="5F7D71F9"/>
    <w:rsid w:val="5F8420E2"/>
    <w:rsid w:val="5F887220"/>
    <w:rsid w:val="5F9022AB"/>
    <w:rsid w:val="5F92060B"/>
    <w:rsid w:val="5FB81E56"/>
    <w:rsid w:val="5FD85FDC"/>
    <w:rsid w:val="5FEB78D3"/>
    <w:rsid w:val="5FEC00EE"/>
    <w:rsid w:val="600734E4"/>
    <w:rsid w:val="600951D4"/>
    <w:rsid w:val="6010358A"/>
    <w:rsid w:val="60156960"/>
    <w:rsid w:val="601A25EF"/>
    <w:rsid w:val="60250EC1"/>
    <w:rsid w:val="603E7832"/>
    <w:rsid w:val="6044067F"/>
    <w:rsid w:val="604F3361"/>
    <w:rsid w:val="60793AF7"/>
    <w:rsid w:val="6099592B"/>
    <w:rsid w:val="60A13AB9"/>
    <w:rsid w:val="60A7744C"/>
    <w:rsid w:val="60CF04AB"/>
    <w:rsid w:val="60DB5486"/>
    <w:rsid w:val="60E82C1A"/>
    <w:rsid w:val="60EC0541"/>
    <w:rsid w:val="60FD245E"/>
    <w:rsid w:val="61033EA8"/>
    <w:rsid w:val="610A1613"/>
    <w:rsid w:val="610E0DD2"/>
    <w:rsid w:val="611D6D37"/>
    <w:rsid w:val="61251167"/>
    <w:rsid w:val="613170F5"/>
    <w:rsid w:val="61432D9E"/>
    <w:rsid w:val="61683AEB"/>
    <w:rsid w:val="618A70BC"/>
    <w:rsid w:val="618D5E50"/>
    <w:rsid w:val="61963F6D"/>
    <w:rsid w:val="61BD1F9D"/>
    <w:rsid w:val="61BF7DEE"/>
    <w:rsid w:val="61EA093B"/>
    <w:rsid w:val="62024DB4"/>
    <w:rsid w:val="62117D72"/>
    <w:rsid w:val="62140656"/>
    <w:rsid w:val="62210A89"/>
    <w:rsid w:val="62285DB7"/>
    <w:rsid w:val="626857C6"/>
    <w:rsid w:val="626C17E1"/>
    <w:rsid w:val="62923991"/>
    <w:rsid w:val="62966DA1"/>
    <w:rsid w:val="62F20D03"/>
    <w:rsid w:val="62F26EC0"/>
    <w:rsid w:val="62F75B83"/>
    <w:rsid w:val="63095375"/>
    <w:rsid w:val="6312135F"/>
    <w:rsid w:val="632A3D0D"/>
    <w:rsid w:val="633443AB"/>
    <w:rsid w:val="6353750E"/>
    <w:rsid w:val="635D341B"/>
    <w:rsid w:val="638857E1"/>
    <w:rsid w:val="639F57E1"/>
    <w:rsid w:val="63AB78F4"/>
    <w:rsid w:val="63C642C7"/>
    <w:rsid w:val="63C85688"/>
    <w:rsid w:val="63CD5666"/>
    <w:rsid w:val="63D01EF3"/>
    <w:rsid w:val="63D2038C"/>
    <w:rsid w:val="63E15DFA"/>
    <w:rsid w:val="63E631E1"/>
    <w:rsid w:val="63F66CE6"/>
    <w:rsid w:val="640E7E19"/>
    <w:rsid w:val="64290D0C"/>
    <w:rsid w:val="647527CB"/>
    <w:rsid w:val="648A0F84"/>
    <w:rsid w:val="648E4974"/>
    <w:rsid w:val="648F4377"/>
    <w:rsid w:val="64994927"/>
    <w:rsid w:val="649E65A7"/>
    <w:rsid w:val="64B70C4D"/>
    <w:rsid w:val="64D14920"/>
    <w:rsid w:val="64DC3A26"/>
    <w:rsid w:val="64EA382F"/>
    <w:rsid w:val="64ED3306"/>
    <w:rsid w:val="65112EA3"/>
    <w:rsid w:val="6511603A"/>
    <w:rsid w:val="652763A9"/>
    <w:rsid w:val="653B0F51"/>
    <w:rsid w:val="65434194"/>
    <w:rsid w:val="65477730"/>
    <w:rsid w:val="654912E0"/>
    <w:rsid w:val="65605444"/>
    <w:rsid w:val="656A4332"/>
    <w:rsid w:val="65733372"/>
    <w:rsid w:val="65744876"/>
    <w:rsid w:val="657845AE"/>
    <w:rsid w:val="657B62F9"/>
    <w:rsid w:val="65905D2A"/>
    <w:rsid w:val="65991D3E"/>
    <w:rsid w:val="659E280B"/>
    <w:rsid w:val="65B74A52"/>
    <w:rsid w:val="65BD55BD"/>
    <w:rsid w:val="65C53449"/>
    <w:rsid w:val="65EC2246"/>
    <w:rsid w:val="65F27286"/>
    <w:rsid w:val="6602655A"/>
    <w:rsid w:val="66037BA1"/>
    <w:rsid w:val="660D45C7"/>
    <w:rsid w:val="66155147"/>
    <w:rsid w:val="66195D1F"/>
    <w:rsid w:val="66280ABB"/>
    <w:rsid w:val="662F72F1"/>
    <w:rsid w:val="666717B3"/>
    <w:rsid w:val="6668032B"/>
    <w:rsid w:val="667C4290"/>
    <w:rsid w:val="669A0044"/>
    <w:rsid w:val="66AB481F"/>
    <w:rsid w:val="66C95898"/>
    <w:rsid w:val="66F8201A"/>
    <w:rsid w:val="671C5A04"/>
    <w:rsid w:val="6739092B"/>
    <w:rsid w:val="673F01D2"/>
    <w:rsid w:val="675D7E8D"/>
    <w:rsid w:val="676777C3"/>
    <w:rsid w:val="677D4B8A"/>
    <w:rsid w:val="67802ACE"/>
    <w:rsid w:val="67804B33"/>
    <w:rsid w:val="678673E4"/>
    <w:rsid w:val="67C40A09"/>
    <w:rsid w:val="67D020A7"/>
    <w:rsid w:val="67D600B8"/>
    <w:rsid w:val="67E4087E"/>
    <w:rsid w:val="67EC2FBF"/>
    <w:rsid w:val="6821192D"/>
    <w:rsid w:val="68337E89"/>
    <w:rsid w:val="68337EE8"/>
    <w:rsid w:val="683A6C76"/>
    <w:rsid w:val="685C5B46"/>
    <w:rsid w:val="686F1486"/>
    <w:rsid w:val="687F7F1E"/>
    <w:rsid w:val="688C0656"/>
    <w:rsid w:val="68AE1735"/>
    <w:rsid w:val="68B72950"/>
    <w:rsid w:val="68CD1043"/>
    <w:rsid w:val="68D60630"/>
    <w:rsid w:val="68F00432"/>
    <w:rsid w:val="68F8555D"/>
    <w:rsid w:val="691D712E"/>
    <w:rsid w:val="697E7396"/>
    <w:rsid w:val="69A009FE"/>
    <w:rsid w:val="69A729C5"/>
    <w:rsid w:val="69BE2739"/>
    <w:rsid w:val="69BF206E"/>
    <w:rsid w:val="69E228CC"/>
    <w:rsid w:val="69E46DF1"/>
    <w:rsid w:val="69E8174D"/>
    <w:rsid w:val="69EB7655"/>
    <w:rsid w:val="69F66247"/>
    <w:rsid w:val="69F820EF"/>
    <w:rsid w:val="69F86AAF"/>
    <w:rsid w:val="6A1F6154"/>
    <w:rsid w:val="6A2746CC"/>
    <w:rsid w:val="6A4F7CF0"/>
    <w:rsid w:val="6A5517EC"/>
    <w:rsid w:val="6A694BA1"/>
    <w:rsid w:val="6A6B466F"/>
    <w:rsid w:val="6A734205"/>
    <w:rsid w:val="6A995680"/>
    <w:rsid w:val="6ABC3292"/>
    <w:rsid w:val="6AC04F0B"/>
    <w:rsid w:val="6AD34458"/>
    <w:rsid w:val="6ADC4801"/>
    <w:rsid w:val="6ADF25FC"/>
    <w:rsid w:val="6AFA59F3"/>
    <w:rsid w:val="6B020CD0"/>
    <w:rsid w:val="6B1148AC"/>
    <w:rsid w:val="6B39651C"/>
    <w:rsid w:val="6B3E0351"/>
    <w:rsid w:val="6B42449D"/>
    <w:rsid w:val="6B4A5562"/>
    <w:rsid w:val="6B565807"/>
    <w:rsid w:val="6B7174EC"/>
    <w:rsid w:val="6B7A369F"/>
    <w:rsid w:val="6BAC2823"/>
    <w:rsid w:val="6BBD5024"/>
    <w:rsid w:val="6BF37DF1"/>
    <w:rsid w:val="6C44786E"/>
    <w:rsid w:val="6C630CE9"/>
    <w:rsid w:val="6C914CAA"/>
    <w:rsid w:val="6CB57E24"/>
    <w:rsid w:val="6CCC3665"/>
    <w:rsid w:val="6CEC0F34"/>
    <w:rsid w:val="6CF73CA4"/>
    <w:rsid w:val="6D005FF7"/>
    <w:rsid w:val="6D021C57"/>
    <w:rsid w:val="6D05105B"/>
    <w:rsid w:val="6D207FCD"/>
    <w:rsid w:val="6D280C36"/>
    <w:rsid w:val="6D286C4C"/>
    <w:rsid w:val="6D2B5B01"/>
    <w:rsid w:val="6D36363D"/>
    <w:rsid w:val="6D381497"/>
    <w:rsid w:val="6D6A2DB3"/>
    <w:rsid w:val="6D6A69AA"/>
    <w:rsid w:val="6D6F3EA8"/>
    <w:rsid w:val="6D79127B"/>
    <w:rsid w:val="6D832281"/>
    <w:rsid w:val="6DB14A8F"/>
    <w:rsid w:val="6DC237AE"/>
    <w:rsid w:val="6DF37591"/>
    <w:rsid w:val="6DF91502"/>
    <w:rsid w:val="6E01482E"/>
    <w:rsid w:val="6E0D1941"/>
    <w:rsid w:val="6E18292B"/>
    <w:rsid w:val="6E402C35"/>
    <w:rsid w:val="6E403BCF"/>
    <w:rsid w:val="6E424CF7"/>
    <w:rsid w:val="6E96703D"/>
    <w:rsid w:val="6E984122"/>
    <w:rsid w:val="6E9F50AB"/>
    <w:rsid w:val="6EC4761A"/>
    <w:rsid w:val="6ED26905"/>
    <w:rsid w:val="6ED924EF"/>
    <w:rsid w:val="6EE20566"/>
    <w:rsid w:val="6EEB6DD8"/>
    <w:rsid w:val="6EF513F6"/>
    <w:rsid w:val="6EFE46BB"/>
    <w:rsid w:val="6F1F0771"/>
    <w:rsid w:val="6F3669E2"/>
    <w:rsid w:val="6F3A0437"/>
    <w:rsid w:val="6F452492"/>
    <w:rsid w:val="6F4E1ABB"/>
    <w:rsid w:val="6F5C03A9"/>
    <w:rsid w:val="6F65489B"/>
    <w:rsid w:val="6F86274A"/>
    <w:rsid w:val="6F8A6B50"/>
    <w:rsid w:val="6F9E4E98"/>
    <w:rsid w:val="6FB40867"/>
    <w:rsid w:val="6FB536E7"/>
    <w:rsid w:val="6FC169C6"/>
    <w:rsid w:val="6FD20CED"/>
    <w:rsid w:val="700148B1"/>
    <w:rsid w:val="700708F2"/>
    <w:rsid w:val="70262445"/>
    <w:rsid w:val="70796EB7"/>
    <w:rsid w:val="70846EFD"/>
    <w:rsid w:val="70891E2B"/>
    <w:rsid w:val="709304FC"/>
    <w:rsid w:val="70960844"/>
    <w:rsid w:val="70AB3A18"/>
    <w:rsid w:val="70B21D55"/>
    <w:rsid w:val="70BA4068"/>
    <w:rsid w:val="70F06D61"/>
    <w:rsid w:val="70F36F46"/>
    <w:rsid w:val="70F52EE5"/>
    <w:rsid w:val="71214D20"/>
    <w:rsid w:val="71231B23"/>
    <w:rsid w:val="713B214A"/>
    <w:rsid w:val="714633CE"/>
    <w:rsid w:val="714A76D4"/>
    <w:rsid w:val="715C3ADF"/>
    <w:rsid w:val="718621EE"/>
    <w:rsid w:val="71894FD2"/>
    <w:rsid w:val="71946BA2"/>
    <w:rsid w:val="71A3311F"/>
    <w:rsid w:val="71AA4E1C"/>
    <w:rsid w:val="72005730"/>
    <w:rsid w:val="72280301"/>
    <w:rsid w:val="7231753D"/>
    <w:rsid w:val="72386C6E"/>
    <w:rsid w:val="723A3057"/>
    <w:rsid w:val="72400885"/>
    <w:rsid w:val="724B6026"/>
    <w:rsid w:val="724D0AFE"/>
    <w:rsid w:val="725273EA"/>
    <w:rsid w:val="725B1897"/>
    <w:rsid w:val="72603689"/>
    <w:rsid w:val="726C47BC"/>
    <w:rsid w:val="726C5429"/>
    <w:rsid w:val="728E7595"/>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3F90F3E"/>
    <w:rsid w:val="74000D97"/>
    <w:rsid w:val="74185CCF"/>
    <w:rsid w:val="741D2E7E"/>
    <w:rsid w:val="74694C3B"/>
    <w:rsid w:val="746A6AAD"/>
    <w:rsid w:val="746C3F00"/>
    <w:rsid w:val="747A4FBC"/>
    <w:rsid w:val="748B466B"/>
    <w:rsid w:val="749018A2"/>
    <w:rsid w:val="74D94903"/>
    <w:rsid w:val="74DC7834"/>
    <w:rsid w:val="74E271F1"/>
    <w:rsid w:val="75326EC3"/>
    <w:rsid w:val="75474A77"/>
    <w:rsid w:val="7551327B"/>
    <w:rsid w:val="755F3E02"/>
    <w:rsid w:val="755F782E"/>
    <w:rsid w:val="75A16A9F"/>
    <w:rsid w:val="75BC6CCF"/>
    <w:rsid w:val="75E27D49"/>
    <w:rsid w:val="761867BE"/>
    <w:rsid w:val="76190A4A"/>
    <w:rsid w:val="76365AD0"/>
    <w:rsid w:val="76450CDE"/>
    <w:rsid w:val="765D57EA"/>
    <w:rsid w:val="76676633"/>
    <w:rsid w:val="7688585F"/>
    <w:rsid w:val="769B452E"/>
    <w:rsid w:val="76E97048"/>
    <w:rsid w:val="76F54CF0"/>
    <w:rsid w:val="76FD5906"/>
    <w:rsid w:val="77072866"/>
    <w:rsid w:val="770B684E"/>
    <w:rsid w:val="771D50F3"/>
    <w:rsid w:val="77204CB1"/>
    <w:rsid w:val="77356662"/>
    <w:rsid w:val="777C1603"/>
    <w:rsid w:val="77A14CDE"/>
    <w:rsid w:val="77AA2F7D"/>
    <w:rsid w:val="77C96BD3"/>
    <w:rsid w:val="78266CE5"/>
    <w:rsid w:val="7827421F"/>
    <w:rsid w:val="782B4A23"/>
    <w:rsid w:val="78302F8F"/>
    <w:rsid w:val="784117AB"/>
    <w:rsid w:val="78510397"/>
    <w:rsid w:val="78552936"/>
    <w:rsid w:val="786E7A1A"/>
    <w:rsid w:val="78731F0E"/>
    <w:rsid w:val="78754CBA"/>
    <w:rsid w:val="78962FA5"/>
    <w:rsid w:val="78C148AC"/>
    <w:rsid w:val="78CA1FEE"/>
    <w:rsid w:val="78CB3FEB"/>
    <w:rsid w:val="78E02DDC"/>
    <w:rsid w:val="793B5CE2"/>
    <w:rsid w:val="795C411F"/>
    <w:rsid w:val="796834B3"/>
    <w:rsid w:val="797B3C8A"/>
    <w:rsid w:val="797F45FC"/>
    <w:rsid w:val="79970647"/>
    <w:rsid w:val="799F326C"/>
    <w:rsid w:val="79D9682C"/>
    <w:rsid w:val="79DB75C0"/>
    <w:rsid w:val="79E37881"/>
    <w:rsid w:val="79E4486C"/>
    <w:rsid w:val="79E83016"/>
    <w:rsid w:val="79EA2E0E"/>
    <w:rsid w:val="79ED08FA"/>
    <w:rsid w:val="7A067AFA"/>
    <w:rsid w:val="7A0C585A"/>
    <w:rsid w:val="7A290AB6"/>
    <w:rsid w:val="7A2C7450"/>
    <w:rsid w:val="7A326B5A"/>
    <w:rsid w:val="7A553725"/>
    <w:rsid w:val="7A616D0A"/>
    <w:rsid w:val="7A623CC9"/>
    <w:rsid w:val="7A7F2C76"/>
    <w:rsid w:val="7AAC462A"/>
    <w:rsid w:val="7AF84FA0"/>
    <w:rsid w:val="7AF909C6"/>
    <w:rsid w:val="7B6273C9"/>
    <w:rsid w:val="7B6F1BD0"/>
    <w:rsid w:val="7B732126"/>
    <w:rsid w:val="7B755C15"/>
    <w:rsid w:val="7B7B20CE"/>
    <w:rsid w:val="7B8E1216"/>
    <w:rsid w:val="7B9A1345"/>
    <w:rsid w:val="7BCA6C86"/>
    <w:rsid w:val="7BDA6B4C"/>
    <w:rsid w:val="7BF22E42"/>
    <w:rsid w:val="7C003703"/>
    <w:rsid w:val="7C044DA1"/>
    <w:rsid w:val="7C0466D2"/>
    <w:rsid w:val="7C365DE1"/>
    <w:rsid w:val="7C627EFC"/>
    <w:rsid w:val="7CA33449"/>
    <w:rsid w:val="7CC876FF"/>
    <w:rsid w:val="7CCE4D69"/>
    <w:rsid w:val="7CDC58AA"/>
    <w:rsid w:val="7D0A0BA4"/>
    <w:rsid w:val="7D107AF3"/>
    <w:rsid w:val="7D11554A"/>
    <w:rsid w:val="7D4253C7"/>
    <w:rsid w:val="7D4C5341"/>
    <w:rsid w:val="7D4E5EE6"/>
    <w:rsid w:val="7D8901AD"/>
    <w:rsid w:val="7D8E577D"/>
    <w:rsid w:val="7D9A426A"/>
    <w:rsid w:val="7DA93335"/>
    <w:rsid w:val="7DD87E16"/>
    <w:rsid w:val="7E006F08"/>
    <w:rsid w:val="7E01736D"/>
    <w:rsid w:val="7E333E03"/>
    <w:rsid w:val="7E391FE6"/>
    <w:rsid w:val="7E916762"/>
    <w:rsid w:val="7EA916FD"/>
    <w:rsid w:val="7EAB552B"/>
    <w:rsid w:val="7EE53C64"/>
    <w:rsid w:val="7F0914F8"/>
    <w:rsid w:val="7F541580"/>
    <w:rsid w:val="7F590594"/>
    <w:rsid w:val="7F5A7CC7"/>
    <w:rsid w:val="7F667225"/>
    <w:rsid w:val="7F7B2EF8"/>
    <w:rsid w:val="7F806779"/>
    <w:rsid w:val="7F844A6E"/>
    <w:rsid w:val="7FAA1C29"/>
    <w:rsid w:val="7FAC4830"/>
    <w:rsid w:val="7FB659E5"/>
    <w:rsid w:val="7FB7407D"/>
    <w:rsid w:val="7FC40652"/>
    <w:rsid w:val="7FEF65CD"/>
    <w:rsid w:val="7FF06812"/>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5">
    <w:name w:val="heading 1"/>
    <w:basedOn w:val="1"/>
    <w:next w:val="1"/>
    <w:qFormat/>
    <w:uiPriority w:val="0"/>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7">
    <w:name w:val="heading 3"/>
    <w:basedOn w:val="1"/>
    <w:next w:val="1"/>
    <w:qFormat/>
    <w:uiPriority w:val="0"/>
    <w:pPr>
      <w:keepNext/>
      <w:keepLines/>
      <w:spacing w:before="260" w:after="260" w:line="416" w:lineRule="auto"/>
      <w:outlineLvl w:val="2"/>
    </w:pPr>
    <w:rPr>
      <w:b/>
      <w:bCs/>
      <w:sz w:val="32"/>
      <w:szCs w:val="32"/>
    </w:rPr>
  </w:style>
  <w:style w:type="paragraph" w:styleId="8">
    <w:name w:val="heading 4"/>
    <w:basedOn w:val="1"/>
    <w:next w:val="1"/>
    <w:semiHidden/>
    <w:unhideWhenUsed/>
    <w:qFormat/>
    <w:uiPriority w:val="0"/>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after="120" w:line="240" w:lineRule="auto"/>
      <w:ind w:left="200" w:leftChars="200" w:firstLine="100" w:firstLineChars="100"/>
      <w:jc w:val="left"/>
    </w:pPr>
    <w:rPr>
      <w:rFonts w:ascii="DFKai-SB" w:hAnsi="DFKai-SB" w:eastAsia="DFKai-SB"/>
      <w:spacing w:val="-8"/>
    </w:rPr>
  </w:style>
  <w:style w:type="paragraph" w:styleId="3">
    <w:name w:val="Body Text Indent"/>
    <w:basedOn w:val="1"/>
    <w:next w:val="4"/>
    <w:qFormat/>
    <w:uiPriority w:val="0"/>
    <w:pPr>
      <w:spacing w:after="120" w:afterLines="0"/>
      <w:ind w:left="420" w:leftChars="200"/>
    </w:pPr>
  </w:style>
  <w:style w:type="paragraph" w:styleId="4">
    <w:name w:val="envelope return"/>
    <w:basedOn w:val="1"/>
    <w:qFormat/>
    <w:uiPriority w:val="0"/>
    <w:pPr>
      <w:snapToGrid w:val="0"/>
    </w:pPr>
    <w:rPr>
      <w:rFonts w:ascii="Arial" w:hAnsi="Arial"/>
      <w:sz w:val="24"/>
    </w:rPr>
  </w:style>
  <w:style w:type="paragraph" w:styleId="9">
    <w:name w:val="annotation text"/>
    <w:basedOn w:val="1"/>
    <w:qFormat/>
    <w:uiPriority w:val="0"/>
    <w:pPr>
      <w:jc w:val="left"/>
    </w:pPr>
    <w:rPr>
      <w:rFonts w:eastAsia="宋体"/>
      <w:kern w:val="2"/>
      <w:sz w:val="21"/>
      <w:szCs w:val="24"/>
      <w:lang w:val="en-US" w:eastAsia="zh-CN" w:bidi="ar-SA"/>
    </w:rPr>
  </w:style>
  <w:style w:type="paragraph" w:styleId="10">
    <w:name w:val="Body Text 3"/>
    <w:basedOn w:val="1"/>
    <w:qFormat/>
    <w:uiPriority w:val="0"/>
    <w:rPr>
      <w:rFonts w:ascii="宋体"/>
      <w:sz w:val="24"/>
      <w:szCs w:val="20"/>
    </w:rPr>
  </w:style>
  <w:style w:type="paragraph" w:styleId="11">
    <w:name w:val="Body Text"/>
    <w:basedOn w:val="1"/>
    <w:qFormat/>
    <w:uiPriority w:val="0"/>
    <w:pPr>
      <w:spacing w:after="120"/>
    </w:pPr>
  </w:style>
  <w:style w:type="paragraph" w:styleId="12">
    <w:name w:val="Plain Text"/>
    <w:basedOn w:val="1"/>
    <w:qFormat/>
    <w:uiPriority w:val="0"/>
    <w:rPr>
      <w:rFonts w:ascii="宋体" w:hAnsi="Courier New"/>
      <w:szCs w:val="20"/>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5">
    <w:name w:val="toc 1"/>
    <w:basedOn w:val="1"/>
    <w:next w:val="1"/>
    <w:semiHidden/>
    <w:qFormat/>
    <w:uiPriority w:val="0"/>
    <w:pPr>
      <w:spacing w:line="440" w:lineRule="exact"/>
      <w:jc w:val="center"/>
    </w:pPr>
  </w:style>
  <w:style w:type="paragraph" w:styleId="16">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7">
    <w:name w:val="Body Text First Indent"/>
    <w:basedOn w:val="11"/>
    <w:qFormat/>
    <w:uiPriority w:val="0"/>
    <w:pPr>
      <w:ind w:firstLine="420" w:firstLineChars="100"/>
    </w:p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6"/>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7"/>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Table Text"/>
    <w:basedOn w:val="1"/>
    <w:semiHidden/>
    <w:qFormat/>
    <w:uiPriority w:val="0"/>
    <w:rPr>
      <w:rFonts w:ascii="宋体" w:hAnsi="宋体" w:eastAsia="宋体" w:cs="宋体"/>
      <w:sz w:val="21"/>
      <w:szCs w:val="21"/>
      <w:lang w:val="en-US" w:eastAsia="en-US" w:bidi="ar-SA"/>
    </w:rPr>
  </w:style>
  <w:style w:type="paragraph" w:styleId="32">
    <w:name w:val="List Paragraph"/>
    <w:basedOn w:val="1"/>
    <w:qFormat/>
    <w:uiPriority w:val="1"/>
    <w:pPr>
      <w:ind w:firstLine="420" w:firstLineChars="200"/>
    </w:pPr>
    <w:rPr>
      <w:rFonts w:ascii="Calibri" w:hAnsi="Calibri"/>
      <w:sz w:val="24"/>
      <w:szCs w:val="22"/>
    </w:rPr>
  </w:style>
  <w:style w:type="paragraph" w:customStyle="1" w:styleId="33">
    <w:name w:val="列表段落1"/>
    <w:basedOn w:val="1"/>
    <w:qFormat/>
    <w:uiPriority w:val="34"/>
    <w:pPr>
      <w:ind w:firstLine="420" w:firstLineChars="200"/>
    </w:pPr>
    <w:rPr>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61</Pages>
  <Words>29916</Words>
  <Characters>32176</Characters>
  <Lines>0</Lines>
  <Paragraphs>0</Paragraphs>
  <TotalTime>2</TotalTime>
  <ScaleCrop>false</ScaleCrop>
  <LinksUpToDate>false</LinksUpToDate>
  <CharactersWithSpaces>33783</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2024-08-29T08:07:00Z</cp:lastPrinted>
  <dcterms:modified xsi:type="dcterms:W3CDTF">2024-08-30T00:06:49Z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DA6188B870E44006BD5A74E6028CE172_13</vt:lpwstr>
  </property>
</Properties>
</file>