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53B12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9677A5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亳州新能源发展有限公司15MW光伏发电和10MWh储能项目监理</w:t>
      </w:r>
    </w:p>
    <w:p w14:paraId="1B9A424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593E03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790F9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18036FA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3413C82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4E1A965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558A1F6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D7DAC3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BZJK-2024-059号</w:t>
      </w:r>
    </w:p>
    <w:p w14:paraId="433E8AD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91C05D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3FDF00E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D01AD28">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亳州新能源发展有限公司</w:t>
      </w:r>
    </w:p>
    <w:p w14:paraId="60EC2A8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2024年8月14日</w:t>
      </w:r>
    </w:p>
    <w:p w14:paraId="0664F034">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6E6CFCC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309710A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C7C268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14:paraId="27305AF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4A34C6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1F8A4D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14:paraId="68B7FEA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14:paraId="6A3C0DB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14:paraId="46C7E3C8">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5F2198E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3E9C6B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B9EDA4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D2CAB4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92396E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D5C332A">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8743AD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98562B1">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6ADA35DA">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4B136B3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612ACD2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18C8CE2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亳州新能源发展有限公司15MW光伏发电和10MWh储能项目监理</w:t>
      </w:r>
      <w:r>
        <w:rPr>
          <w:rFonts w:hint="eastAsia" w:ascii="Times New Roman" w:hAnsi="Times New Roman" w:eastAsia="黑体" w:cs="Times New Roman"/>
          <w:sz w:val="28"/>
          <w:szCs w:val="28"/>
          <w:highlight w:val="none"/>
          <w:lang w:val="en-US" w:eastAsia="zh-CN"/>
        </w:rPr>
        <w:t>招标公告</w:t>
      </w:r>
    </w:p>
    <w:p w14:paraId="19CAE77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246996909"/>
      <w:bookmarkStart w:id="2" w:name="_Toc296602410"/>
      <w:bookmarkStart w:id="3" w:name="_Toc152042295"/>
      <w:bookmarkStart w:id="4" w:name="_Toc144974487"/>
      <w:bookmarkStart w:id="5" w:name="_Toc247085680"/>
      <w:bookmarkStart w:id="6" w:name="_Toc152045519"/>
      <w:bookmarkStart w:id="7" w:name="_Toc246996166"/>
    </w:p>
    <w:bookmarkEnd w:id="0"/>
    <w:bookmarkEnd w:id="1"/>
    <w:bookmarkEnd w:id="2"/>
    <w:bookmarkEnd w:id="3"/>
    <w:bookmarkEnd w:id="4"/>
    <w:bookmarkEnd w:id="5"/>
    <w:bookmarkEnd w:id="6"/>
    <w:bookmarkEnd w:id="7"/>
    <w:p w14:paraId="154C99B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14:paraId="2B431A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lang w:val="zh-CN" w:eastAsia="zh-CN"/>
        </w:rPr>
      </w:pPr>
      <w:bookmarkStart w:id="8" w:name="_Toc247085681"/>
      <w:bookmarkStart w:id="9" w:name="_Toc296602411"/>
      <w:bookmarkStart w:id="10" w:name="_Toc152045520"/>
      <w:bookmarkStart w:id="11" w:name="_Toc246996167"/>
      <w:bookmarkStart w:id="12" w:name="_Toc144974488"/>
      <w:bookmarkStart w:id="13" w:name="_Toc179632537"/>
      <w:bookmarkStart w:id="14" w:name="_Toc152042296"/>
      <w:bookmarkStart w:id="15" w:name="_Toc24699691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 xml:space="preserve">项目名称： </w:t>
      </w:r>
      <w:r>
        <w:rPr>
          <w:rFonts w:hint="eastAsia" w:asciiTheme="minorEastAsia" w:hAnsiTheme="minorEastAsia" w:cstheme="minorEastAsia"/>
          <w:sz w:val="28"/>
          <w:szCs w:val="28"/>
          <w:lang w:val="zh-CN"/>
        </w:rPr>
        <w:t>亳州新能源发展有限公司15MW光伏发电和10MWh储能项目</w:t>
      </w:r>
      <w:r>
        <w:rPr>
          <w:rFonts w:hint="eastAsia" w:asciiTheme="minorEastAsia" w:hAnsiTheme="minorEastAsia" w:cstheme="minorEastAsia"/>
          <w:sz w:val="28"/>
          <w:szCs w:val="28"/>
          <w:lang w:val="en-US" w:eastAsia="zh-CN"/>
        </w:rPr>
        <w:t>监理</w:t>
      </w:r>
    </w:p>
    <w:p w14:paraId="754B13F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r>
        <w:rPr>
          <w:rFonts w:ascii="Times New Roman" w:hAnsi="Times New Roman" w:eastAsia="楷体" w:cs="Times New Roman"/>
          <w:kern w:val="0"/>
          <w:sz w:val="28"/>
          <w:szCs w:val="28"/>
        </w:rPr>
        <w:t>BZJK-20</w:t>
      </w:r>
      <w:r>
        <w:rPr>
          <w:rFonts w:hint="eastAsia" w:ascii="Times New Roman" w:hAnsi="Times New Roman" w:eastAsia="楷体" w:cs="Times New Roman"/>
          <w:kern w:val="0"/>
          <w:sz w:val="28"/>
          <w:szCs w:val="28"/>
        </w:rPr>
        <w:t>2</w:t>
      </w:r>
      <w:r>
        <w:rPr>
          <w:rFonts w:hint="eastAsia" w:ascii="Times New Roman" w:hAnsi="Times New Roman" w:eastAsia="楷体" w:cs="Times New Roman"/>
          <w:kern w:val="0"/>
          <w:sz w:val="28"/>
          <w:szCs w:val="28"/>
          <w:lang w:val="en-US" w:eastAsia="zh-CN"/>
        </w:rPr>
        <w:t>4</w:t>
      </w:r>
      <w:r>
        <w:rPr>
          <w:rFonts w:ascii="Times New Roman" w:hAnsi="Times New Roman" w:eastAsia="楷体" w:cs="Times New Roman"/>
          <w:kern w:val="0"/>
          <w:sz w:val="28"/>
          <w:szCs w:val="28"/>
        </w:rPr>
        <w:t>-</w:t>
      </w:r>
      <w:r>
        <w:rPr>
          <w:rFonts w:hint="eastAsia" w:ascii="Times New Roman" w:hAnsi="Times New Roman" w:eastAsia="楷体" w:cs="Times New Roman"/>
          <w:kern w:val="0"/>
          <w:sz w:val="28"/>
          <w:szCs w:val="28"/>
          <w:u w:val="single"/>
          <w:lang w:val="en-US" w:eastAsia="zh-CN"/>
        </w:rPr>
        <w:t>059</w:t>
      </w:r>
      <w:r>
        <w:rPr>
          <w:rFonts w:ascii="Times New Roman" w:hAnsi="Times New Roman" w:eastAsia="楷体" w:cs="Times New Roman"/>
          <w:kern w:val="0"/>
          <w:sz w:val="28"/>
          <w:szCs w:val="28"/>
        </w:rPr>
        <w:t>号</w:t>
      </w:r>
    </w:p>
    <w:p w14:paraId="66C5DC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r>
        <w:rPr>
          <w:rFonts w:hint="eastAsia" w:asciiTheme="minorEastAsia" w:hAnsiTheme="minorEastAsia" w:cstheme="minorEastAsia"/>
          <w:sz w:val="28"/>
          <w:szCs w:val="28"/>
          <w:lang w:val="en-US" w:eastAsia="zh-CN"/>
        </w:rPr>
        <w:t>自筹资金</w:t>
      </w:r>
    </w:p>
    <w:p w14:paraId="0D70E85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r>
        <w:rPr>
          <w:rFonts w:hint="eastAsia" w:asciiTheme="minorEastAsia" w:hAnsiTheme="minorEastAsia" w:cstheme="minorEastAsia"/>
          <w:sz w:val="28"/>
          <w:szCs w:val="28"/>
          <w:lang w:val="en-US" w:eastAsia="zh-CN"/>
        </w:rPr>
        <w:t>亳州新能源发展有限公司</w:t>
      </w:r>
    </w:p>
    <w:p w14:paraId="05A7E3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14:paraId="27614B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7A84B7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lang w:val="en-US" w:eastAsia="zh-CN"/>
        </w:rPr>
      </w:pPr>
      <w:r>
        <w:rPr>
          <w:rFonts w:hint="eastAsia" w:asciiTheme="minorEastAsia" w:hAnsiTheme="minorEastAsia" w:eastAsiaTheme="minorEastAsia" w:cstheme="minorEastAsia"/>
          <w:sz w:val="28"/>
          <w:szCs w:val="28"/>
          <w:highlight w:val="none"/>
          <w:lang w:val="en-US" w:eastAsia="zh-CN"/>
        </w:rPr>
        <w:t>（一）项目概况：</w:t>
      </w:r>
      <w:r>
        <w:rPr>
          <w:rFonts w:hint="eastAsia" w:asciiTheme="minorEastAsia" w:hAnsiTheme="minorEastAsia" w:cstheme="minorEastAsia"/>
          <w:sz w:val="28"/>
          <w:szCs w:val="28"/>
          <w:lang w:val="zh-CN" w:eastAsia="zh-CN"/>
        </w:rPr>
        <w:t>亳州新能源发展有限公司15MW光伏发电和10MWh储能项目</w:t>
      </w:r>
      <w:r>
        <w:rPr>
          <w:rFonts w:hint="eastAsia" w:asciiTheme="minorEastAsia" w:hAnsiTheme="minorEastAsia" w:cstheme="minorEastAsia"/>
          <w:sz w:val="28"/>
          <w:szCs w:val="28"/>
          <w:lang w:val="en-US" w:eastAsia="zh-CN"/>
        </w:rPr>
        <w:t>监理</w:t>
      </w:r>
      <w:r>
        <w:rPr>
          <w:rFonts w:hint="eastAsia" w:asciiTheme="minorEastAsia" w:hAnsiTheme="minorEastAsia" w:cstheme="minorEastAsia"/>
          <w:sz w:val="28"/>
          <w:szCs w:val="28"/>
          <w:lang w:val="zh-CN" w:eastAsia="zh-CN"/>
        </w:rPr>
        <w:t>服务，包括学校、自来水厂、医院、工业厂房等分布式光伏项目</w:t>
      </w:r>
      <w:r>
        <w:rPr>
          <w:rFonts w:hint="eastAsia" w:asciiTheme="minorEastAsia" w:hAnsiTheme="minorEastAsia" w:cstheme="minorEastAsia"/>
          <w:sz w:val="28"/>
          <w:szCs w:val="28"/>
          <w:lang w:val="en-US" w:eastAsia="zh-CN"/>
        </w:rPr>
        <w:t>监理</w:t>
      </w:r>
      <w:r>
        <w:rPr>
          <w:rFonts w:hint="eastAsia" w:asciiTheme="minorEastAsia" w:hAnsiTheme="minorEastAsia" w:cstheme="minorEastAsia"/>
          <w:color w:val="000000" w:themeColor="text1"/>
          <w:sz w:val="28"/>
          <w:szCs w:val="28"/>
          <w:lang w:val="en-US" w:eastAsia="zh-CN"/>
          <w14:textFill>
            <w14:solidFill>
              <w14:schemeClr w14:val="tx1"/>
            </w14:solidFill>
          </w14:textFill>
        </w:rPr>
        <w:t>服</w:t>
      </w:r>
      <w:r>
        <w:rPr>
          <w:rFonts w:hint="eastAsia" w:asciiTheme="minorEastAsia" w:hAnsiTheme="minorEastAsia" w:cstheme="minorEastAsia"/>
          <w:color w:val="auto"/>
          <w:sz w:val="28"/>
          <w:szCs w:val="28"/>
          <w:shd w:val="clear" w:color="auto" w:fill="auto"/>
          <w:lang w:val="en-US" w:eastAsia="zh-CN"/>
        </w:rPr>
        <w:t>务，合计预算约50万元</w:t>
      </w:r>
      <w:r>
        <w:rPr>
          <w:rFonts w:hint="eastAsia" w:asciiTheme="minorEastAsia" w:hAnsiTheme="minorEastAsia" w:cstheme="minorEastAsia"/>
          <w:color w:val="auto"/>
          <w:sz w:val="28"/>
          <w:szCs w:val="28"/>
          <w:shd w:val="clear" w:color="auto" w:fill="auto"/>
          <w:lang w:val="zh-CN" w:eastAsia="zh-CN"/>
        </w:rPr>
        <w:t>。</w:t>
      </w:r>
      <w:r>
        <w:rPr>
          <w:rFonts w:hint="eastAsia" w:asciiTheme="minorEastAsia" w:hAnsiTheme="minorEastAsia" w:cstheme="minorEastAsia"/>
          <w:sz w:val="28"/>
          <w:szCs w:val="28"/>
          <w:lang w:val="en-US" w:eastAsia="zh-CN"/>
        </w:rPr>
        <w:t xml:space="preserve"> </w:t>
      </w:r>
    </w:p>
    <w:p w14:paraId="3F905C0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r>
        <w:rPr>
          <w:rFonts w:hint="eastAsia" w:asciiTheme="minorEastAsia" w:hAnsiTheme="minorEastAsia" w:cstheme="minorEastAsia"/>
          <w:sz w:val="28"/>
          <w:szCs w:val="28"/>
          <w:lang w:val="en-US" w:eastAsia="zh-CN"/>
        </w:rPr>
        <w:t>负责具体实施项目的安全、质量、进度、投资控制、合同等</w:t>
      </w:r>
      <w:r>
        <w:rPr>
          <w:rFonts w:hint="eastAsia" w:asciiTheme="minorEastAsia" w:hAnsiTheme="minorEastAsia" w:cstheme="minorEastAsia"/>
          <w:sz w:val="28"/>
          <w:szCs w:val="28"/>
          <w:lang w:val="zh-CN" w:eastAsia="zh-CN"/>
        </w:rPr>
        <w:t>施工全过程阶段的建设监理及保修阶段的监理</w:t>
      </w:r>
      <w:r>
        <w:rPr>
          <w:rFonts w:hint="eastAsia" w:asciiTheme="minorEastAsia" w:hAnsiTheme="minorEastAsia" w:cstheme="minorEastAsia"/>
          <w:sz w:val="28"/>
          <w:szCs w:val="28"/>
          <w:lang w:val="en-US" w:eastAsia="zh-CN"/>
        </w:rPr>
        <w:t>。</w:t>
      </w:r>
    </w:p>
    <w:p w14:paraId="52CCED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标准：符合国家、地方、行业现行相关规范合格标准</w:t>
      </w:r>
      <w:r>
        <w:rPr>
          <w:rFonts w:hint="eastAsia" w:asciiTheme="minorEastAsia" w:hAnsiTheme="minorEastAsia" w:cstheme="minorEastAsia"/>
          <w:sz w:val="28"/>
          <w:szCs w:val="28"/>
          <w:highlight w:val="none"/>
          <w:lang w:val="en-US" w:eastAsia="zh-CN"/>
        </w:rPr>
        <w:t>。</w:t>
      </w:r>
    </w:p>
    <w:p w14:paraId="67E584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single"/>
          <w:lang w:val="en-US" w:eastAsia="zh-CN"/>
        </w:rPr>
        <w:t>2025</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eastAsiaTheme="minorEastAsia" w:cstheme="minorEastAsia"/>
          <w:sz w:val="28"/>
          <w:szCs w:val="28"/>
          <w:highlight w:val="none"/>
          <w:u w:val="none"/>
          <w:lang w:val="en-US" w:eastAsia="zh-CN"/>
        </w:rPr>
        <w:t>年</w:t>
      </w:r>
      <w:r>
        <w:rPr>
          <w:rFonts w:hint="eastAsia" w:asciiTheme="minorEastAsia" w:hAnsiTheme="minorEastAsia" w:cstheme="minorEastAsia"/>
          <w:sz w:val="28"/>
          <w:szCs w:val="28"/>
          <w:highlight w:val="none"/>
          <w:u w:val="none"/>
          <w:lang w:val="en-US" w:eastAsia="zh-CN"/>
        </w:rPr>
        <w:t>12月31日</w:t>
      </w:r>
      <w:r>
        <w:rPr>
          <w:rFonts w:hint="eastAsia" w:asciiTheme="minorEastAsia" w:hAnsiTheme="minorEastAsia" w:eastAsiaTheme="minorEastAsia" w:cstheme="minorEastAsia"/>
          <w:sz w:val="28"/>
          <w:szCs w:val="28"/>
          <w:highlight w:val="none"/>
          <w:u w:val="none"/>
          <w:lang w:val="en-US" w:eastAsia="zh-CN"/>
        </w:rPr>
        <w:t>。</w:t>
      </w:r>
    </w:p>
    <w:p w14:paraId="6EA4A2F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r>
        <w:rPr>
          <w:rFonts w:hint="eastAsia" w:asciiTheme="minorEastAsia" w:hAnsiTheme="minorEastAsia" w:cstheme="minorEastAsia"/>
          <w:color w:val="FF0000"/>
          <w:sz w:val="28"/>
          <w:szCs w:val="28"/>
          <w:highlight w:val="none"/>
          <w:lang w:val="en-US" w:eastAsia="zh-CN"/>
        </w:rPr>
        <w:t>（含税：6 %）</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lang w:val="zh-CN" w:eastAsia="zh-CN"/>
        </w:rPr>
        <w:t>按照</w:t>
      </w:r>
      <w:r>
        <w:rPr>
          <w:rFonts w:hint="eastAsia" w:asciiTheme="minorEastAsia" w:hAnsiTheme="minorEastAsia" w:cstheme="minorEastAsia"/>
          <w:sz w:val="28"/>
          <w:szCs w:val="28"/>
          <w:lang w:val="en-US" w:eastAsia="zh-CN"/>
        </w:rPr>
        <w:t>单个</w:t>
      </w:r>
      <w:r>
        <w:rPr>
          <w:rFonts w:hint="eastAsia" w:asciiTheme="minorEastAsia" w:hAnsiTheme="minorEastAsia" w:cstheme="minorEastAsia"/>
          <w:sz w:val="28"/>
          <w:szCs w:val="28"/>
          <w:lang w:val="zh-CN" w:eastAsia="zh-CN"/>
        </w:rPr>
        <w:t>项目施工总承包竣工结算审定</w:t>
      </w:r>
      <w:r>
        <w:rPr>
          <w:rFonts w:hint="eastAsia" w:asciiTheme="minorEastAsia" w:hAnsiTheme="minorEastAsia" w:cstheme="minorEastAsia"/>
          <w:sz w:val="28"/>
          <w:szCs w:val="28"/>
          <w:lang w:val="en-US" w:eastAsia="zh-CN"/>
        </w:rPr>
        <w:t>金额</w:t>
      </w:r>
      <w:r>
        <w:rPr>
          <w:rFonts w:hint="eastAsia" w:asciiTheme="minorEastAsia" w:hAnsiTheme="minorEastAsia" w:cstheme="minorEastAsia"/>
          <w:sz w:val="28"/>
          <w:szCs w:val="28"/>
          <w:lang w:val="zh-CN" w:eastAsia="zh-CN"/>
        </w:rPr>
        <w:t>为基数，监理</w:t>
      </w:r>
      <w:r>
        <w:rPr>
          <w:rFonts w:hint="eastAsia" w:asciiTheme="minorEastAsia" w:hAnsiTheme="minorEastAsia" w:cstheme="minorEastAsia"/>
          <w:color w:val="auto"/>
          <w:sz w:val="28"/>
          <w:szCs w:val="28"/>
          <w:lang w:val="en-US" w:eastAsia="zh-CN"/>
        </w:rPr>
        <w:t>服务投标</w:t>
      </w:r>
      <w:r>
        <w:rPr>
          <w:rFonts w:hint="eastAsia" w:asciiTheme="minorEastAsia" w:hAnsiTheme="minorEastAsia" w:cstheme="minorEastAsia"/>
          <w:sz w:val="28"/>
          <w:szCs w:val="28"/>
          <w:lang w:val="zh-CN" w:eastAsia="zh-CN"/>
        </w:rPr>
        <w:t>费率不</w:t>
      </w:r>
      <w:r>
        <w:rPr>
          <w:rFonts w:hint="eastAsia" w:asciiTheme="minorEastAsia" w:hAnsiTheme="minorEastAsia" w:cstheme="minorEastAsia"/>
          <w:sz w:val="28"/>
          <w:szCs w:val="28"/>
          <w:lang w:val="en-US" w:eastAsia="zh-CN"/>
        </w:rPr>
        <w:t>得</w:t>
      </w:r>
      <w:r>
        <w:rPr>
          <w:rFonts w:hint="eastAsia" w:asciiTheme="minorEastAsia" w:hAnsiTheme="minorEastAsia" w:cstheme="minorEastAsia"/>
          <w:sz w:val="28"/>
          <w:szCs w:val="28"/>
          <w:lang w:val="zh-CN" w:eastAsia="zh-CN"/>
        </w:rPr>
        <w:t>高于</w:t>
      </w:r>
      <w:r>
        <w:rPr>
          <w:rFonts w:hint="eastAsia" w:asciiTheme="minorEastAsia" w:hAnsiTheme="minorEastAsia" w:cstheme="minorEastAsia"/>
          <w:color w:val="auto"/>
          <w:sz w:val="28"/>
          <w:szCs w:val="28"/>
          <w:lang w:val="en-US" w:eastAsia="zh-CN"/>
        </w:rPr>
        <w:t>基数</w:t>
      </w:r>
      <w:r>
        <w:rPr>
          <w:rFonts w:hint="eastAsia" w:asciiTheme="minorEastAsia" w:hAnsiTheme="minorEastAsia" w:cstheme="minorEastAsia"/>
          <w:sz w:val="28"/>
          <w:szCs w:val="28"/>
          <w:lang w:val="en-US" w:eastAsia="zh-CN"/>
        </w:rPr>
        <w:t>的0.9</w:t>
      </w:r>
      <w:r>
        <w:rPr>
          <w:rFonts w:hint="eastAsia" w:asciiTheme="minorEastAsia" w:hAnsiTheme="minorEastAsia" w:cstheme="minorEastAsia"/>
          <w:sz w:val="28"/>
          <w:szCs w:val="28"/>
          <w:lang w:val="zh-CN" w:eastAsia="zh-CN"/>
        </w:rPr>
        <w:t>%。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r>
        <w:rPr>
          <w:rFonts w:hint="eastAsia" w:asciiTheme="minorEastAsia" w:hAnsiTheme="minorEastAsia" w:eastAsiaTheme="minorEastAsia" w:cstheme="minorEastAsia"/>
          <w:sz w:val="28"/>
          <w:szCs w:val="28"/>
          <w:highlight w:val="none"/>
          <w:lang w:val="en-US" w:eastAsia="zh-CN"/>
        </w:rPr>
        <w:t>。</w:t>
      </w:r>
    </w:p>
    <w:p w14:paraId="2FB943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6FB07D7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具有独立法人资格，并在人员、设备、资金等方面具有承担本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42EA243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color w:val="000000" w:themeColor="text1"/>
          <w:sz w:val="28"/>
          <w:szCs w:val="28"/>
          <w:highlight w:val="none"/>
          <w:lang w:val="zh-CN" w:eastAsia="zh-CN"/>
          <w14:textFill>
            <w14:solidFill>
              <w14:schemeClr w14:val="tx1"/>
            </w14:solidFill>
          </w14:textFill>
        </w:rPr>
        <w:t>具有住建部颁发的有效的工程监理电力工程专业乙级及以上资质或工程监理综合资质；</w:t>
      </w:r>
    </w:p>
    <w:p w14:paraId="3DFFEF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r>
        <w:rPr>
          <w:rFonts w:hint="eastAsia" w:asciiTheme="minorEastAsia" w:hAnsiTheme="minorEastAsia" w:cstheme="minorEastAsia"/>
          <w:sz w:val="28"/>
          <w:szCs w:val="28"/>
          <w:lang w:val="zh-CN" w:eastAsia="zh-CN"/>
        </w:rPr>
        <w:t>国家注册监理工程师</w:t>
      </w:r>
      <w:r>
        <w:rPr>
          <w:rFonts w:hint="eastAsia" w:asciiTheme="minorEastAsia" w:hAnsiTheme="minorEastAsia" w:cstheme="minorEastAsia"/>
          <w:sz w:val="28"/>
          <w:szCs w:val="28"/>
          <w:lang w:val="zh-CN"/>
        </w:rPr>
        <w:t>执业资格（</w:t>
      </w:r>
      <w:r>
        <w:rPr>
          <w:rFonts w:hint="eastAsia" w:asciiTheme="minorEastAsia" w:hAnsiTheme="minorEastAsia" w:cstheme="minorEastAsia"/>
          <w:sz w:val="28"/>
          <w:szCs w:val="28"/>
          <w:lang w:val="en-US" w:eastAsia="zh-CN"/>
        </w:rPr>
        <w:t>土木建筑工程专业</w:t>
      </w:r>
      <w:r>
        <w:rPr>
          <w:rFonts w:hint="eastAsia" w:asciiTheme="minorEastAsia" w:hAnsiTheme="minorEastAsia" w:cstheme="minorEastAsia"/>
          <w:sz w:val="28"/>
          <w:szCs w:val="28"/>
          <w:lang w:val="zh-CN"/>
        </w:rPr>
        <w:t>）</w:t>
      </w:r>
      <w:r>
        <w:rPr>
          <w:rFonts w:hint="eastAsia" w:asciiTheme="minorEastAsia" w:hAnsiTheme="minorEastAsia" w:cstheme="minorEastAsia"/>
          <w:color w:val="auto"/>
          <w:sz w:val="28"/>
          <w:szCs w:val="28"/>
          <w:lang w:val="zh-CN" w:eastAsia="zh-CN"/>
        </w:rPr>
        <w:t>，</w:t>
      </w:r>
      <w:r>
        <w:rPr>
          <w:rFonts w:hint="eastAsia" w:asciiTheme="minorEastAsia" w:hAnsiTheme="minorEastAsia" w:cstheme="minorEastAsia"/>
          <w:sz w:val="28"/>
          <w:szCs w:val="28"/>
          <w:lang w:val="zh-CN" w:eastAsia="zh-CN"/>
        </w:rPr>
        <w:t>且必须是本单位人员（招标公告中要求的注册证书注册单位应当与投标人名称一致，提供投标人所属社保机构出具的拟委任的总监理工程师</w:t>
      </w:r>
      <w:r>
        <w:rPr>
          <w:rFonts w:hint="eastAsia" w:asciiTheme="minorEastAsia" w:hAnsiTheme="minorEastAsia" w:cstheme="minorEastAsia"/>
          <w:color w:val="auto"/>
          <w:sz w:val="28"/>
          <w:szCs w:val="28"/>
          <w:lang w:val="zh-CN" w:eastAsia="zh-CN"/>
        </w:rPr>
        <w:t>202</w:t>
      </w:r>
      <w:r>
        <w:rPr>
          <w:rFonts w:hint="eastAsia" w:asciiTheme="minorEastAsia" w:hAnsiTheme="minorEastAsia" w:cstheme="minorEastAsia"/>
          <w:color w:val="auto"/>
          <w:sz w:val="28"/>
          <w:szCs w:val="28"/>
          <w:lang w:val="en-US" w:eastAsia="zh-CN"/>
        </w:rPr>
        <w:t>4</w:t>
      </w:r>
      <w:r>
        <w:rPr>
          <w:rFonts w:hint="eastAsia" w:asciiTheme="minorEastAsia" w:hAnsiTheme="minorEastAsia" w:cstheme="minorEastAsia"/>
          <w:color w:val="auto"/>
          <w:sz w:val="28"/>
          <w:szCs w:val="28"/>
          <w:lang w:val="zh-CN" w:eastAsia="zh-CN"/>
        </w:rPr>
        <w:t>年</w:t>
      </w:r>
      <w:r>
        <w:rPr>
          <w:rFonts w:hint="eastAsia" w:asciiTheme="minorEastAsia" w:hAnsiTheme="minorEastAsia" w:cstheme="minorEastAsia"/>
          <w:color w:val="auto"/>
          <w:sz w:val="28"/>
          <w:szCs w:val="28"/>
          <w:lang w:val="en-US" w:eastAsia="zh-CN"/>
        </w:rPr>
        <w:t>1</w:t>
      </w:r>
      <w:r>
        <w:rPr>
          <w:rFonts w:hint="eastAsia" w:asciiTheme="minorEastAsia" w:hAnsiTheme="minorEastAsia" w:cstheme="minorEastAsia"/>
          <w:color w:val="auto"/>
          <w:sz w:val="28"/>
          <w:szCs w:val="28"/>
          <w:lang w:val="zh-CN" w:eastAsia="zh-CN"/>
        </w:rPr>
        <w:t>月</w:t>
      </w:r>
      <w:r>
        <w:rPr>
          <w:rFonts w:hint="eastAsia" w:asciiTheme="minorEastAsia" w:hAnsiTheme="minorEastAsia" w:cstheme="minorEastAsia"/>
          <w:sz w:val="28"/>
          <w:szCs w:val="28"/>
          <w:lang w:val="zh-CN" w:eastAsia="zh-CN"/>
        </w:rPr>
        <w:t>以来任意连续3个月的</w:t>
      </w:r>
      <w:r>
        <w:rPr>
          <w:rFonts w:hint="eastAsia" w:asciiTheme="minorEastAsia" w:hAnsiTheme="minorEastAsia" w:eastAsiaTheme="minorEastAsia" w:cstheme="minorEastAsia"/>
          <w:b w:val="0"/>
          <w:bCs w:val="0"/>
          <w:color w:val="auto"/>
          <w:kern w:val="2"/>
          <w:sz w:val="28"/>
          <w:szCs w:val="28"/>
          <w:lang w:val="zh-CN" w:eastAsia="zh-CN" w:bidi="ar"/>
        </w:rPr>
        <w:t>养老保险</w:t>
      </w:r>
      <w:r>
        <w:rPr>
          <w:rFonts w:hint="eastAsia" w:asciiTheme="minorEastAsia" w:hAnsiTheme="minorEastAsia" w:cstheme="minorEastAsia"/>
          <w:b w:val="0"/>
          <w:bCs w:val="0"/>
          <w:color w:val="auto"/>
          <w:kern w:val="2"/>
          <w:sz w:val="28"/>
          <w:szCs w:val="28"/>
          <w:lang w:val="en-US" w:eastAsia="zh-CN" w:bidi="ar"/>
        </w:rPr>
        <w:t>证明</w:t>
      </w:r>
      <w:r>
        <w:rPr>
          <w:rFonts w:hint="eastAsia" w:asciiTheme="minorEastAsia" w:hAnsiTheme="minorEastAsia" w:cstheme="minorEastAsia"/>
          <w:sz w:val="28"/>
          <w:szCs w:val="28"/>
          <w:lang w:val="zh-CN" w:eastAsia="zh-CN"/>
        </w:rPr>
        <w:t>，总监理工程师的社保缴纳单位应当是投标人或者投标人不具备独立法人资格的分支机构）</w:t>
      </w:r>
      <w:r>
        <w:rPr>
          <w:rFonts w:hint="eastAsia" w:asciiTheme="minorEastAsia" w:hAnsiTheme="minorEastAsia" w:cstheme="minorEastAsia"/>
          <w:sz w:val="28"/>
          <w:szCs w:val="28"/>
          <w:highlight w:val="none"/>
          <w:lang w:val="en-US" w:eastAsia="zh-CN"/>
        </w:rPr>
        <w:t>；</w:t>
      </w:r>
    </w:p>
    <w:p w14:paraId="442D746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lang w:val="zh-CN" w:eastAsia="zh-CN"/>
        </w:rPr>
        <w:t>提供2021年至今企业类似项目业绩1个，以合同签订时间为准。类似业绩指单项合同装机容量不少于3MW的光伏项目监理业绩；</w:t>
      </w:r>
    </w:p>
    <w:p w14:paraId="402061F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lang w:val="zh-CN" w:eastAsia="zh-CN"/>
        </w:rPr>
        <w:t>提供业绩合同、</w:t>
      </w:r>
      <w:r>
        <w:rPr>
          <w:rFonts w:hint="eastAsia" w:asciiTheme="minorEastAsia" w:hAnsiTheme="minorEastAsia" w:cstheme="minorEastAsia"/>
          <w:sz w:val="28"/>
          <w:szCs w:val="28"/>
          <w:lang w:val="en-US" w:eastAsia="zh-CN"/>
        </w:rPr>
        <w:t>竣工验收报告</w:t>
      </w:r>
      <w:r>
        <w:rPr>
          <w:rFonts w:hint="eastAsia" w:asciiTheme="minorEastAsia" w:hAnsiTheme="minorEastAsia" w:cstheme="minorEastAsia"/>
          <w:sz w:val="28"/>
          <w:szCs w:val="28"/>
          <w:lang w:val="zh-CN" w:eastAsia="zh-CN"/>
        </w:rPr>
        <w:t>复印件或扫描件装订入投标文件中</w:t>
      </w:r>
      <w:r>
        <w:rPr>
          <w:rFonts w:hint="default" w:asciiTheme="minorEastAsia" w:hAnsiTheme="minorEastAsia" w:eastAsiaTheme="minorEastAsia" w:cstheme="minorEastAsia"/>
          <w:sz w:val="28"/>
          <w:szCs w:val="28"/>
          <w:highlight w:val="none"/>
          <w:lang w:val="en-US" w:eastAsia="zh-CN"/>
        </w:rPr>
        <w:t>。</w:t>
      </w:r>
    </w:p>
    <w:p w14:paraId="606FF26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14:paraId="2693EA7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14:paraId="742D48B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14:paraId="19EE5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14:paraId="249081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488EC3D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14:paraId="2AC0EC2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r>
        <w:rPr>
          <w:rFonts w:hint="eastAsia" w:asciiTheme="minorEastAsia" w:hAnsiTheme="minorEastAsia" w:eastAsiaTheme="minorEastAsia" w:cstheme="minorEastAsia"/>
          <w:color w:val="FF0000"/>
          <w:sz w:val="28"/>
          <w:szCs w:val="28"/>
          <w:highlight w:val="none"/>
          <w:lang w:val="en-US" w:eastAsia="zh-CN"/>
        </w:rPr>
        <w:t>不接受</w:t>
      </w:r>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0886333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连续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3个月及以上养老保险证明，否则按无效投标处理。</w:t>
      </w:r>
    </w:p>
    <w:p w14:paraId="3150056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543F94AA">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14:paraId="0AF412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6B7E293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single"/>
          <w:lang w:val="en-US" w:eastAsia="zh-CN"/>
        </w:rPr>
        <w:t>2024</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8</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eastAsiaTheme="minorEastAsia" w:cstheme="minorEastAsia"/>
          <w:sz w:val="28"/>
          <w:szCs w:val="28"/>
          <w:highlight w:val="none"/>
          <w:lang w:val="en-US" w:eastAsia="zh-CN"/>
        </w:rPr>
        <w:t>月</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22</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eastAsiaTheme="minorEastAsia" w:cstheme="minorEastAsia"/>
          <w:sz w:val="28"/>
          <w:szCs w:val="28"/>
          <w:highlight w:val="none"/>
          <w:lang w:val="en-US" w:eastAsia="zh-CN"/>
        </w:rPr>
        <w:t>日9时00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1B08755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3839543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741791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r>
        <w:rPr>
          <w:rFonts w:hint="eastAsia" w:asciiTheme="minorEastAsia" w:hAnsiTheme="minorEastAsia" w:cstheme="minorEastAsia"/>
          <w:color w:val="FF0000"/>
          <w:sz w:val="28"/>
          <w:szCs w:val="28"/>
          <w:highlight w:val="none"/>
          <w:lang w:val="en-US" w:eastAsia="zh-CN"/>
        </w:rPr>
        <w:t>不允许</w:t>
      </w:r>
      <w:r>
        <w:rPr>
          <w:rFonts w:hint="default" w:asciiTheme="minorEastAsia" w:hAnsiTheme="minorEastAsia" w:eastAsiaTheme="minorEastAsia" w:cstheme="minorEastAsia"/>
          <w:sz w:val="28"/>
          <w:szCs w:val="28"/>
          <w:highlight w:val="none"/>
          <w:lang w:val="en-US" w:eastAsia="zh-CN"/>
        </w:rPr>
        <w:t>投标人以邮寄方式递交投标文件。</w:t>
      </w:r>
    </w:p>
    <w:p w14:paraId="415026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5FC1DAE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（人民币），缴纳方式详见招标文件。</w:t>
      </w:r>
    </w:p>
    <w:p w14:paraId="46FEB8B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43B1DBC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sz w:val="28"/>
          <w:szCs w:val="28"/>
          <w:lang w:val="en-US" w:eastAsia="zh-CN"/>
        </w:rPr>
        <w:t>亳州新能源发展有限公司</w:t>
      </w:r>
    </w:p>
    <w:p w14:paraId="00E7AC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sz w:val="28"/>
          <w:szCs w:val="28"/>
          <w:lang w:val="en-US" w:eastAsia="zh-CN"/>
        </w:rPr>
        <w:t>亳州市谯城区药都路1289号15楼新能源公司</w:t>
      </w:r>
      <w:r>
        <w:rPr>
          <w:rFonts w:hint="eastAsia" w:asciiTheme="minorEastAsia" w:hAnsiTheme="minorEastAsia" w:cstheme="minorEastAsia"/>
          <w:sz w:val="28"/>
          <w:szCs w:val="28"/>
          <w:highlight w:val="none"/>
          <w:lang w:val="en-US" w:eastAsia="zh-CN"/>
        </w:rPr>
        <w:t xml:space="preserve"> </w:t>
      </w:r>
    </w:p>
    <w:p w14:paraId="45536BA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 xml:space="preserve"> 邓鹏 </w:t>
      </w:r>
    </w:p>
    <w:p w14:paraId="12DC361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 xml:space="preserve"> 18156793829 </w:t>
      </w:r>
    </w:p>
    <w:p w14:paraId="524BE0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29C94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7E5D13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0D5EDCD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0B77D40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52B826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50C4B6E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2E97F39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EF61E3">
      <w:pPr>
        <w:wordWrap w:val="0"/>
        <w:spacing w:line="480" w:lineRule="exact"/>
        <w:ind w:firstLine="560" w:firstLineChars="200"/>
        <w:jc w:val="right"/>
        <w:rPr>
          <w:rFonts w:asciiTheme="minorEastAsia" w:hAnsiTheme="minorEastAsia" w:cstheme="minorEastAsia"/>
          <w:color w:val="FF0000"/>
          <w:sz w:val="28"/>
          <w:szCs w:val="28"/>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lang w:val="en-US" w:eastAsia="zh-CN"/>
        </w:rPr>
        <w:t>亳州新能源发展有限公司</w:t>
      </w:r>
    </w:p>
    <w:p w14:paraId="640109A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lang w:val="en-US" w:eastAsia="zh-CN"/>
        </w:rPr>
        <w:t xml:space="preserve">                                </w:t>
      </w:r>
      <w:r>
        <w:rPr>
          <w:rFonts w:hint="eastAsia" w:asciiTheme="minorEastAsia" w:hAnsiTheme="minorEastAsia" w:cstheme="minorEastAsia"/>
          <w:color w:val="auto"/>
          <w:sz w:val="28"/>
          <w:szCs w:val="28"/>
        </w:rPr>
        <w:t>202</w:t>
      </w:r>
      <w:r>
        <w:rPr>
          <w:rFonts w:hint="eastAsia" w:asciiTheme="minorEastAsia" w:hAnsiTheme="minorEastAsia" w:cstheme="minorEastAsia"/>
          <w:color w:val="auto"/>
          <w:sz w:val="28"/>
          <w:szCs w:val="28"/>
          <w:lang w:val="en-US" w:eastAsia="zh-CN"/>
        </w:rPr>
        <w:t>4</w:t>
      </w:r>
      <w:r>
        <w:rPr>
          <w:rFonts w:hint="eastAsia" w:asciiTheme="minorEastAsia" w:hAnsiTheme="minorEastAsia" w:cstheme="minorEastAsia"/>
          <w:color w:val="auto"/>
          <w:sz w:val="28"/>
          <w:szCs w:val="28"/>
        </w:rPr>
        <w:t>年</w:t>
      </w:r>
      <w:r>
        <w:rPr>
          <w:rFonts w:hint="eastAsia" w:asciiTheme="minorEastAsia" w:hAnsiTheme="minorEastAsia" w:cstheme="minorEastAsia"/>
          <w:color w:val="auto"/>
          <w:sz w:val="28"/>
          <w:szCs w:val="28"/>
          <w:lang w:val="en-US" w:eastAsia="zh-CN"/>
        </w:rPr>
        <w:t>8</w:t>
      </w:r>
      <w:r>
        <w:rPr>
          <w:rFonts w:hint="eastAsia" w:asciiTheme="minorEastAsia" w:hAnsiTheme="minorEastAsia" w:cstheme="minorEastAsia"/>
          <w:color w:val="auto"/>
          <w:sz w:val="28"/>
          <w:szCs w:val="28"/>
        </w:rPr>
        <w:t>月</w:t>
      </w:r>
      <w:r>
        <w:rPr>
          <w:rFonts w:hint="eastAsia" w:asciiTheme="minorEastAsia" w:hAnsiTheme="minorEastAsia" w:cstheme="minorEastAsia"/>
          <w:color w:val="auto"/>
          <w:sz w:val="28"/>
          <w:szCs w:val="28"/>
          <w:lang w:val="en-US" w:eastAsia="zh-CN"/>
        </w:rPr>
        <w:t>14</w:t>
      </w:r>
      <w:r>
        <w:rPr>
          <w:rFonts w:hint="eastAsia" w:asciiTheme="minorEastAsia" w:hAnsiTheme="minorEastAsia" w:cstheme="minorEastAsia"/>
          <w:color w:val="auto"/>
          <w:sz w:val="28"/>
          <w:szCs w:val="28"/>
        </w:rPr>
        <w:t>日</w:t>
      </w:r>
      <w:r>
        <w:rPr>
          <w:rFonts w:hint="default" w:ascii="Times New Roman" w:hAnsi="Times New Roman" w:eastAsia="仿宋_GB2312" w:cs="Times New Roman"/>
          <w:kern w:val="0"/>
          <w:sz w:val="32"/>
          <w:szCs w:val="32"/>
          <w:highlight w:val="none"/>
          <w:lang w:val="en-US" w:eastAsia="zh-CN"/>
        </w:rPr>
        <w:br w:type="page"/>
      </w:r>
    </w:p>
    <w:p w14:paraId="354B538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4819F37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40AFD68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14:paraId="66622E4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62785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200B2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9A5447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7C054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62502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17AD5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E23145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09EBAB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5402E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BCA85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45DFE5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B17245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6054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A1BAF1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B73D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A09DB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78ACA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821B4C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23C4B0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AFE45E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0ABEB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F06AB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3BF5C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5410E8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2840D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F0BAF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9E6E47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D52FD9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721A2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0825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53DABE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6CB31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75866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723C0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E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F67859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5B32E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4BC70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814039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B5E90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321F9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C65EF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682743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4D1B7D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464E4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7F85B9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2BF554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F0EB63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3CC96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05460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943A98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2F74BD">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14:paraId="23107C5D">
            <w:pPr>
              <w:autoSpaceDE w:val="0"/>
              <w:autoSpaceDN w:val="0"/>
              <w:adjustRightInd w:val="0"/>
              <w:snapToGrid w:val="0"/>
              <w:spacing w:line="440" w:lineRule="exact"/>
              <w:jc w:val="left"/>
              <w:rPr>
                <w:rFonts w:hint="eastAsia" w:hAnsi="宋体"/>
                <w:color w:val="FF0000"/>
                <w:szCs w:val="21"/>
              </w:rPr>
            </w:pPr>
            <w:r>
              <w:rPr>
                <w:rFonts w:hint="eastAsia" w:hAnsi="宋体"/>
                <w:color w:val="FF0000"/>
                <w:szCs w:val="21"/>
                <w:lang w:val="en-US" w:eastAsia="zh-CN"/>
              </w:rPr>
              <w:t>2</w:t>
            </w:r>
            <w:r>
              <w:rPr>
                <w:rFonts w:hint="eastAsia" w:hAnsi="宋体"/>
                <w:color w:val="FF0000"/>
                <w:szCs w:val="21"/>
              </w:rPr>
              <w:t>、财务要求：</w:t>
            </w:r>
          </w:p>
          <w:p w14:paraId="7DE23372">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14:paraId="1E769A39">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 w14:paraId="2AFEA93B">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14:paraId="00EE0FC0">
            <w:pPr>
              <w:keepNext w:val="0"/>
              <w:keepLines w:val="0"/>
              <w:widowControl/>
              <w:numPr>
                <w:ilvl w:val="-1"/>
                <w:numId w:val="0"/>
              </w:numPr>
              <w:suppressLineNumbers w:val="0"/>
              <w:ind w:leftChars="200" w:firstLine="0" w:firstLineChars="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其他主要人员最低要求：</w:t>
            </w:r>
          </w:p>
          <w:p w14:paraId="1095CF81">
            <w:pPr>
              <w:keepNext w:val="0"/>
              <w:keepLines w:val="0"/>
              <w:widowControl/>
              <w:numPr>
                <w:ilvl w:val="-1"/>
                <w:numId w:val="0"/>
              </w:numPr>
              <w:suppressLineNumbers w:val="0"/>
              <w:ind w:firstLine="0" w:firstLineChars="0"/>
              <w:jc w:val="left"/>
              <w:rPr>
                <w:rFonts w:hint="eastAsia" w:asciiTheme="minorHAnsi" w:hAnsiTheme="minorHAnsi" w:eastAsiaTheme="minorEastAsia" w:cstheme="minorBidi"/>
                <w:color w:val="FF0000"/>
                <w:kern w:val="2"/>
                <w:sz w:val="21"/>
                <w:szCs w:val="24"/>
                <w:lang w:val="en-US" w:eastAsia="zh-CN" w:bidi="ar-SA"/>
              </w:rPr>
            </w:pPr>
            <w:r>
              <w:rPr>
                <w:rFonts w:hint="eastAsia" w:asciiTheme="minorHAnsi" w:hAnsiTheme="minorHAnsi" w:cstheme="minorBidi"/>
                <w:color w:val="FF0000"/>
                <w:sz w:val="21"/>
                <w:szCs w:val="24"/>
                <w:lang w:val="en-US" w:eastAsia="zh-CN"/>
              </w:rPr>
              <w:t>1</w:t>
            </w:r>
            <w:r>
              <w:rPr>
                <w:rFonts w:hint="eastAsia" w:asciiTheme="minorHAnsi" w:hAnsiTheme="minorHAnsi" w:eastAsiaTheme="minorEastAsia" w:cstheme="minorBidi"/>
                <w:color w:val="FF0000"/>
                <w:kern w:val="2"/>
                <w:sz w:val="21"/>
                <w:szCs w:val="24"/>
                <w:lang w:val="en-US" w:eastAsia="zh-CN" w:bidi="ar-SA"/>
              </w:rPr>
              <w:t>.专业监理工程师</w:t>
            </w:r>
            <w:r>
              <w:rPr>
                <w:rFonts w:hint="eastAsia" w:cstheme="minorBidi"/>
                <w:color w:val="FF0000"/>
                <w:kern w:val="2"/>
                <w:sz w:val="21"/>
                <w:szCs w:val="24"/>
                <w:lang w:val="en-US" w:eastAsia="zh-CN" w:bidi="ar-SA"/>
              </w:rPr>
              <w:t>2</w:t>
            </w:r>
            <w:r>
              <w:rPr>
                <w:rFonts w:hint="eastAsia" w:asciiTheme="minorHAnsi" w:hAnsiTheme="minorHAnsi" w:eastAsiaTheme="minorEastAsia" w:cstheme="minorBidi"/>
                <w:color w:val="FF0000"/>
                <w:kern w:val="2"/>
                <w:sz w:val="21"/>
                <w:szCs w:val="24"/>
                <w:lang w:val="en-US" w:eastAsia="zh-CN" w:bidi="ar-SA"/>
              </w:rPr>
              <w:t>名</w:t>
            </w:r>
            <w:r>
              <w:rPr>
                <w:rFonts w:hint="eastAsia" w:cstheme="minorBidi"/>
                <w:color w:val="FF0000"/>
                <w:kern w:val="2"/>
                <w:sz w:val="21"/>
                <w:szCs w:val="24"/>
                <w:lang w:val="en-US" w:eastAsia="zh-CN" w:bidi="ar-SA"/>
              </w:rPr>
              <w:t>（电力</w:t>
            </w:r>
            <w:r>
              <w:rPr>
                <w:rFonts w:hint="eastAsia" w:asciiTheme="minorHAnsi" w:hAnsiTheme="minorHAnsi" w:eastAsiaTheme="minorEastAsia" w:cstheme="minorBidi"/>
                <w:color w:val="FF0000"/>
                <w:kern w:val="2"/>
                <w:sz w:val="21"/>
                <w:szCs w:val="24"/>
                <w:lang w:val="en-US" w:eastAsia="zh-CN" w:bidi="ar-SA"/>
              </w:rPr>
              <w:t>工程专业</w:t>
            </w:r>
            <w:r>
              <w:rPr>
                <w:rFonts w:hint="eastAsia" w:cstheme="minorBidi"/>
                <w:color w:val="FF0000"/>
                <w:kern w:val="2"/>
                <w:sz w:val="21"/>
                <w:szCs w:val="24"/>
                <w:lang w:val="en-US" w:eastAsia="zh-CN" w:bidi="ar-SA"/>
              </w:rPr>
              <w:t>、建筑</w:t>
            </w:r>
            <w:r>
              <w:rPr>
                <w:rFonts w:hint="eastAsia" w:asciiTheme="minorHAnsi" w:hAnsiTheme="minorHAnsi" w:eastAsiaTheme="minorEastAsia" w:cstheme="minorBidi"/>
                <w:color w:val="FF0000"/>
                <w:kern w:val="2"/>
                <w:sz w:val="21"/>
                <w:szCs w:val="24"/>
                <w:lang w:val="en-US" w:eastAsia="zh-CN" w:bidi="ar-SA"/>
              </w:rPr>
              <w:t>工程专业</w:t>
            </w:r>
            <w:r>
              <w:rPr>
                <w:rFonts w:hint="eastAsia" w:cstheme="minorBidi"/>
                <w:color w:val="FF0000"/>
                <w:kern w:val="2"/>
                <w:sz w:val="21"/>
                <w:szCs w:val="24"/>
                <w:lang w:val="en-US" w:eastAsia="zh-CN" w:bidi="ar-SA"/>
              </w:rPr>
              <w:t>各1名）</w:t>
            </w:r>
            <w:r>
              <w:rPr>
                <w:rFonts w:hint="eastAsia" w:asciiTheme="minorHAnsi" w:hAnsiTheme="minorHAnsi" w:eastAsiaTheme="minorEastAsia" w:cstheme="minorBidi"/>
                <w:color w:val="FF0000"/>
                <w:kern w:val="2"/>
                <w:sz w:val="21"/>
                <w:szCs w:val="24"/>
                <w:lang w:val="en-US" w:eastAsia="zh-CN" w:bidi="ar-SA"/>
              </w:rPr>
              <w:t>。</w:t>
            </w:r>
          </w:p>
          <w:p w14:paraId="2911C0A2">
            <w:pPr>
              <w:keepNext w:val="0"/>
              <w:keepLines w:val="0"/>
              <w:widowControl/>
              <w:numPr>
                <w:ilvl w:val="-1"/>
                <w:numId w:val="0"/>
              </w:numPr>
              <w:suppressLineNumbers w:val="0"/>
              <w:ind w:firstLine="0" w:firstLineChars="0"/>
              <w:jc w:val="left"/>
              <w:rPr>
                <w:rFonts w:hint="eastAsia" w:asciiTheme="minorHAnsi" w:hAnsiTheme="minorHAnsi" w:eastAsiaTheme="minorEastAsia" w:cstheme="minorBidi"/>
                <w:color w:val="FF0000"/>
                <w:kern w:val="2"/>
                <w:sz w:val="21"/>
                <w:szCs w:val="24"/>
                <w:lang w:val="en-US" w:eastAsia="zh-CN" w:bidi="ar-SA"/>
              </w:rPr>
            </w:pPr>
            <w:r>
              <w:rPr>
                <w:rFonts w:hint="eastAsia" w:asciiTheme="minorHAnsi" w:hAnsiTheme="minorHAnsi" w:cstheme="minorBidi"/>
                <w:color w:val="FF0000"/>
                <w:kern w:val="2"/>
                <w:sz w:val="21"/>
                <w:szCs w:val="24"/>
                <w:lang w:val="en-US" w:eastAsia="zh-CN" w:bidi="ar-SA"/>
              </w:rPr>
              <w:t>2.</w:t>
            </w:r>
            <w:r>
              <w:rPr>
                <w:rFonts w:hint="eastAsia" w:asciiTheme="minorHAnsi" w:hAnsiTheme="minorHAnsi" w:eastAsiaTheme="minorEastAsia" w:cstheme="minorBidi"/>
                <w:color w:val="FF0000"/>
                <w:kern w:val="2"/>
                <w:sz w:val="21"/>
                <w:szCs w:val="24"/>
                <w:lang w:val="en-US" w:eastAsia="zh-CN" w:bidi="ar-SA"/>
              </w:rPr>
              <w:t>监理员：</w:t>
            </w:r>
            <w:r>
              <w:rPr>
                <w:rFonts w:hint="eastAsia" w:cstheme="minorBidi"/>
                <w:color w:val="FF0000"/>
                <w:kern w:val="2"/>
                <w:sz w:val="21"/>
                <w:szCs w:val="24"/>
                <w:lang w:val="en-US" w:eastAsia="zh-CN" w:bidi="ar-SA"/>
              </w:rPr>
              <w:t>至少1</w:t>
            </w:r>
            <w:r>
              <w:rPr>
                <w:rFonts w:hint="eastAsia" w:asciiTheme="minorHAnsi" w:hAnsiTheme="minorHAnsi" w:eastAsiaTheme="minorEastAsia" w:cstheme="minorBidi"/>
                <w:color w:val="FF0000"/>
                <w:kern w:val="2"/>
                <w:sz w:val="21"/>
                <w:szCs w:val="24"/>
                <w:lang w:val="en-US" w:eastAsia="zh-CN" w:bidi="ar-SA"/>
              </w:rPr>
              <w:t>人。</w:t>
            </w:r>
          </w:p>
          <w:p w14:paraId="4ACFA24A">
            <w:pPr>
              <w:pStyle w:val="7"/>
              <w:topLinePunct/>
              <w:spacing w:line="440" w:lineRule="exact"/>
              <w:ind w:firstLine="402" w:firstLineChars="200"/>
              <w:rPr>
                <w:rFonts w:hint="default" w:ascii="Times New Roman" w:hAnsi="Times New Roman" w:cs="Times New Roman"/>
                <w:szCs w:val="21"/>
                <w:highlight w:val="none"/>
              </w:rPr>
            </w:pPr>
            <w:r>
              <w:rPr>
                <w:rFonts w:hint="eastAsia" w:ascii="宋体" w:hAnsi="宋体" w:eastAsia="宋体" w:cs="宋体"/>
                <w:b/>
                <w:bCs/>
                <w:color w:val="auto"/>
                <w:kern w:val="0"/>
                <w:sz w:val="20"/>
                <w:szCs w:val="20"/>
                <w:lang w:val="en-US" w:eastAsia="zh-CN" w:bidi="ar"/>
              </w:rPr>
              <w:t>投标人应提供上表中人员的相关证书扫描件，并提供投标人所属社保机构出具的拟委任的人员 202</w:t>
            </w:r>
            <w:r>
              <w:rPr>
                <w:rFonts w:hint="eastAsia" w:hAnsi="宋体" w:eastAsia="宋体" w:cs="宋体"/>
                <w:b/>
                <w:bCs/>
                <w:color w:val="auto"/>
                <w:kern w:val="0"/>
                <w:sz w:val="20"/>
                <w:szCs w:val="20"/>
                <w:lang w:val="en-US" w:eastAsia="zh-CN" w:bidi="ar"/>
              </w:rPr>
              <w:t>4</w:t>
            </w:r>
            <w:r>
              <w:rPr>
                <w:rFonts w:hint="eastAsia" w:ascii="宋体" w:hAnsi="宋体" w:eastAsia="宋体" w:cs="宋体"/>
                <w:b/>
                <w:bCs/>
                <w:color w:val="auto"/>
                <w:kern w:val="0"/>
                <w:sz w:val="20"/>
                <w:szCs w:val="20"/>
                <w:lang w:val="en-US" w:eastAsia="zh-CN" w:bidi="ar"/>
              </w:rPr>
              <w:t>年1月（含）以来任意连续3个月的养老保险证明，社会保险的缴纳单位应当是投标人或者投标人不具备独立法人资格的分支机构。</w:t>
            </w:r>
          </w:p>
        </w:tc>
      </w:tr>
      <w:tr w14:paraId="419EF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8F59C0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0976C6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143E05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
        </w:tc>
      </w:tr>
      <w:tr w14:paraId="0C447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C5C6E2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1816C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B3069B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r>
              <w:rPr>
                <w:rFonts w:hint="eastAsia" w:hAnsi="宋体"/>
                <w:sz w:val="21"/>
                <w:szCs w:val="21"/>
                <w:lang w:val="en-US" w:eastAsia="zh-CN"/>
              </w:rPr>
              <w:t xml:space="preserve">        /           </w:t>
            </w:r>
          </w:p>
        </w:tc>
      </w:tr>
      <w:tr w14:paraId="52BAE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02327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4CB751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C01D0AC">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4CEE2938">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tr w14:paraId="52811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92A56C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F2138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B62675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tr w14:paraId="4E815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7DD66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973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F16E919">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73980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5F6A4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B7986D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DF35CD4">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081F9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E299E4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1710B3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37028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0B58865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14:paraId="3877A89C">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14:paraId="5031C936">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
        </w:tc>
      </w:tr>
      <w:tr w14:paraId="1B199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A3A1C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41539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0CBB83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color w:val="FF0000"/>
                <w:szCs w:val="21"/>
                <w:highlight w:val="none"/>
              </w:rPr>
              <w:t xml:space="preserve">详见第一章招标公告、第四章合同条款及格式、第五章发包人要求。 </w:t>
            </w:r>
          </w:p>
        </w:tc>
      </w:tr>
      <w:tr w14:paraId="6E40B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B5BD5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B6A39C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BD3539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14:paraId="099A3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14:paraId="1F023AC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14:paraId="4C5AC6B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81CA4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14:paraId="67BAD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6902976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30C497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DA9754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14:paraId="69C7B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3B1944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5C80A2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7D77EF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14:paraId="5DA47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2AA5F34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14:paraId="685C54A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695C45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14:paraId="79FDB9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15F52C4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008D9B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D9D1D9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4E425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9D8CA9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425AB4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37C26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14:paraId="26936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3F93D1F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14:paraId="63BFCDE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41C9C9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14:paraId="34F78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09358A9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524E011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43021F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4C48F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678304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0909FA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0BF117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14:paraId="7A606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98E5A4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8337E8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338432A">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14:paraId="39F03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B8A318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9C8AFA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9AC74F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3BEBA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E85E7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DB8D8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F30742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rPr>
              <w:t>详见第一章招标公告。</w:t>
            </w:r>
          </w:p>
        </w:tc>
      </w:tr>
      <w:tr w14:paraId="70050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F838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DD4BE4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33E0A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27140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07F2C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54FB7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B2AD0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04ABE7BA">
            <w:pPr>
              <w:autoSpaceDE w:val="0"/>
              <w:autoSpaceDN w:val="0"/>
              <w:adjustRightInd w:val="0"/>
              <w:snapToGrid w:val="0"/>
              <w:spacing w:line="440" w:lineRule="exact"/>
              <w:ind w:firstLine="308" w:firstLineChars="147"/>
              <w:jc w:val="left"/>
              <w:rPr>
                <w:rFonts w:hint="eastAsia" w:hAnsi="宋体"/>
                <w:color w:val="FF0000"/>
                <w:szCs w:val="21"/>
                <w:lang w:val="en-US" w:eastAsia="zh-CN"/>
              </w:rPr>
            </w:pPr>
            <w:r>
              <w:rPr>
                <w:rFonts w:hint="eastAsia" w:hAnsi="宋体"/>
                <w:color w:val="FF0000"/>
                <w:szCs w:val="21"/>
              </w:rPr>
              <w:t>不需要</w:t>
            </w:r>
            <w:r>
              <w:rPr>
                <w:rFonts w:hint="eastAsia" w:hAnsi="宋体"/>
                <w:color w:val="FF0000"/>
                <w:szCs w:val="21"/>
              </w:rPr>
              <w:sym w:font="Wingdings 2" w:char="00A3"/>
            </w:r>
          </w:p>
          <w:p w14:paraId="09DAB46E">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 w14:paraId="6349DBD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r>
              <w:rPr>
                <w:rFonts w:hint="default" w:ascii="Times New Roman" w:hAnsi="Times New Roman" w:cs="Times New Roman"/>
                <w:color w:val="FF0000"/>
                <w:szCs w:val="21"/>
                <w:highlight w:val="none"/>
              </w:rPr>
              <w:t>银行汇款或转账</w:t>
            </w:r>
          </w:p>
          <w:p w14:paraId="35E52D0B">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r>
              <w:rPr>
                <w:rFonts w:hint="eastAsia" w:ascii="Times New Roman" w:hAnsi="Times New Roman" w:cs="Times New Roman"/>
                <w:color w:val="auto"/>
                <w:szCs w:val="21"/>
                <w:highlight w:val="none"/>
                <w:u w:val="single"/>
                <w:lang w:val="en-US" w:eastAsia="zh-CN"/>
              </w:rPr>
              <w:t>10000元</w:t>
            </w:r>
          </w:p>
          <w:p w14:paraId="5D48E14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095DE1B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42FA1AE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86FE6C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7F0AECE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1928A63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BZJK-2024-059号保证金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42A3A88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4C173AA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4B41F4E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4877D47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w:t>
            </w:r>
            <w:r>
              <w:rPr>
                <w:rFonts w:hint="eastAsia" w:ascii="Times New Roman" w:hAnsi="Times New Roman" w:cs="Times New Roman"/>
                <w:szCs w:val="21"/>
                <w:highlight w:val="none"/>
                <w:lang w:eastAsia="zh-CN"/>
              </w:rPr>
              <w:t>候选人</w:t>
            </w:r>
            <w:r>
              <w:rPr>
                <w:rFonts w:hint="default" w:ascii="Times New Roman" w:hAnsi="Times New Roman" w:cs="Times New Roman"/>
                <w:szCs w:val="21"/>
                <w:highlight w:val="none"/>
              </w:rPr>
              <w:t>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C80C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2A186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21BEAF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B5315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6ABF69A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70A844E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28427F7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14:paraId="603B9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C5C2810">
            <w:pPr>
              <w:spacing w:line="382" w:lineRule="auto"/>
              <w:jc w:val="center"/>
              <w:rPr>
                <w:rFonts w:ascii="Arial"/>
                <w:sz w:val="21"/>
              </w:rPr>
            </w:pPr>
          </w:p>
          <w:p w14:paraId="2FA7AFC0">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A8E3BA9">
            <w:pPr>
              <w:pStyle w:val="29"/>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531F4E68">
            <w:pPr>
              <w:pStyle w:val="29"/>
              <w:spacing w:before="152" w:line="227" w:lineRule="auto"/>
              <w:ind w:left="129"/>
            </w:pPr>
            <w:r>
              <w:rPr>
                <w:rFonts w:hint="eastAsia" w:ascii="Times New Roman" w:hAnsi="Times New Roman" w:eastAsia="宋体" w:cs="Times New Roman"/>
                <w:spacing w:val="-9"/>
                <w:sz w:val="31"/>
                <w:szCs w:val="31"/>
                <w:lang w:eastAsia="zh-CN"/>
              </w:rPr>
              <w:t>☑</w:t>
            </w:r>
            <w:r>
              <w:rPr>
                <w:spacing w:val="-9"/>
              </w:rPr>
              <w:t>无</w:t>
            </w:r>
          </w:p>
          <w:p w14:paraId="66DD9B79">
            <w:pPr>
              <w:pStyle w:val="29"/>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
        </w:tc>
      </w:tr>
      <w:tr w14:paraId="10B2D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314553">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B2F5D78">
            <w:pPr>
              <w:pStyle w:val="29"/>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57C517A3">
            <w:pPr>
              <w:spacing w:line="335" w:lineRule="auto"/>
              <w:rPr>
                <w:rFonts w:ascii="Arial"/>
                <w:sz w:val="21"/>
              </w:rPr>
            </w:pPr>
          </w:p>
          <w:p w14:paraId="2528558F">
            <w:pPr>
              <w:pStyle w:val="29"/>
              <w:tabs>
                <w:tab w:val="left" w:pos="663"/>
              </w:tabs>
              <w:spacing w:before="69" w:line="221" w:lineRule="auto"/>
              <w:ind w:left="0" w:leftChars="0"/>
              <w:rPr>
                <w:rFonts w:hint="eastAsia" w:ascii="Times New Roman" w:hAnsi="Times New Roman" w:cs="Times New Roman"/>
                <w:szCs w:val="21"/>
                <w:highlight w:val="none"/>
                <w:lang w:val="en-US" w:eastAsia="zh-CN"/>
              </w:rPr>
            </w:pPr>
            <w:r>
              <w:rPr>
                <w:rFonts w:hint="eastAsia"/>
                <w:u w:val="single" w:color="auto"/>
                <w:lang w:val="en-US" w:eastAsia="zh-CN"/>
              </w:rPr>
              <w:t>/</w:t>
            </w:r>
            <w:r>
              <w:rPr>
                <w:spacing w:val="-3"/>
              </w:rPr>
              <w:t>年至</w:t>
            </w:r>
            <w:r>
              <w:rPr>
                <w:rFonts w:hint="eastAsia"/>
                <w:spacing w:val="6"/>
                <w:u w:val="single" w:color="auto"/>
                <w:lang w:val="en-US" w:eastAsia="zh-CN"/>
              </w:rPr>
              <w:t>/</w:t>
            </w:r>
            <w:r>
              <w:rPr>
                <w:spacing w:val="-3"/>
              </w:rPr>
              <w:t>年</w:t>
            </w:r>
          </w:p>
        </w:tc>
      </w:tr>
      <w:tr w14:paraId="401FB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1BBD5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83E45D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6A4901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19193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E1DEBE5">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40660C">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900D1D2">
            <w:pPr>
              <w:spacing w:before="60" w:line="187" w:lineRule="auto"/>
              <w:ind w:firstLine="0" w:firstLineChars="0"/>
              <w:jc w:val="left"/>
              <w:rPr>
                <w:rFonts w:hint="eastAsia" w:ascii="Times New Roman" w:hAnsi="Times New Roman" w:eastAsia="Times New Roman" w:cs="Times New Roman"/>
                <w:spacing w:val="-1"/>
                <w:sz w:val="21"/>
                <w:szCs w:val="21"/>
                <w:lang w:val="en-US" w:eastAsia="zh-CN"/>
              </w:rPr>
            </w:pPr>
            <w:r>
              <w:rPr>
                <w:rFonts w:hint="eastAsia"/>
                <w:spacing w:val="6"/>
                <w:u w:val="single" w:color="auto"/>
                <w:lang w:val="en-US" w:eastAsia="zh-CN"/>
              </w:rPr>
              <w:t>/</w:t>
            </w:r>
            <w:r>
              <w:rPr>
                <w:spacing w:val="-3"/>
              </w:rPr>
              <w:t>年至</w:t>
            </w:r>
            <w:r>
              <w:rPr>
                <w:rFonts w:hint="eastAsia"/>
                <w:spacing w:val="6"/>
                <w:u w:val="single" w:color="auto"/>
                <w:lang w:val="en-US" w:eastAsia="zh-CN"/>
              </w:rPr>
              <w:t>/</w:t>
            </w:r>
            <w:r>
              <w:rPr>
                <w:spacing w:val="-3"/>
              </w:rPr>
              <w:t>年</w:t>
            </w:r>
          </w:p>
        </w:tc>
      </w:tr>
      <w:tr w14:paraId="64011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0A8A49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A6718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72852B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
        </w:tc>
      </w:tr>
      <w:tr w14:paraId="6DE36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0FCE38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68B2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F0A1C8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w:t>
            </w:r>
            <w:r>
              <w:rPr>
                <w:rFonts w:hint="eastAsia" w:ascii="Times New Roman" w:hAnsi="Times New Roman" w:cs="Times New Roman"/>
                <w:szCs w:val="21"/>
                <w:highlight w:val="none"/>
                <w:lang w:eastAsia="zh-CN"/>
              </w:rPr>
              <w:t>使用其他</w:t>
            </w:r>
            <w:r>
              <w:rPr>
                <w:rFonts w:hint="default" w:ascii="Times New Roman" w:hAnsi="Times New Roman" w:cs="Times New Roman"/>
                <w:szCs w:val="21"/>
                <w:highlight w:val="none"/>
              </w:rPr>
              <w:t>如带有“专用章”、“合同章”、“财务章”、“业务章”、下属单位或分支机构印章代替，否则其投标无效；</w:t>
            </w:r>
          </w:p>
          <w:p w14:paraId="7CE254B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14:paraId="7233E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69A5A6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B1D90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FC77B0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14:paraId="5A41B0A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6C1D440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
          <w:p w14:paraId="4E63021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0757671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14:paraId="2F1C5C0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14:paraId="5AD11C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14:paraId="16CBE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5D4582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046A3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FF005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14:paraId="7899ECC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
        </w:tc>
      </w:tr>
      <w:tr w14:paraId="15EEE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BE6A1D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EFCFB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4E0C20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14:paraId="5574B58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招标人：亳州新能源发展有限公司</w:t>
            </w:r>
          </w:p>
          <w:p w14:paraId="01BF3BC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亳州新能源发展有限公司15MW光伏发电和10MWh储能项目监理</w:t>
            </w:r>
            <w:r>
              <w:rPr>
                <w:rFonts w:hint="eastAsia" w:ascii="Times New Roman" w:hAnsi="Times New Roman" w:cs="Times New Roman"/>
                <w:color w:val="FF0000"/>
                <w:szCs w:val="21"/>
                <w:highlight w:val="none"/>
                <w:lang w:val="en-US" w:eastAsia="zh-CN"/>
              </w:rPr>
              <w:t>投标文件</w:t>
            </w:r>
          </w:p>
          <w:p w14:paraId="3B81493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项目编号：BZJK-2024-059号</w:t>
            </w:r>
          </w:p>
          <w:p w14:paraId="7FCA726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
        </w:tc>
      </w:tr>
      <w:tr w14:paraId="3BF04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913535">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CA84188">
            <w:pPr>
              <w:pStyle w:val="29"/>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194D6C7">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46BC0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D9DC4F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BA136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155A3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0CAE7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9860C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C46F2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DB3D9A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4903E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2BA48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B99C3E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9C2E1C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0CF1ABB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1125808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14:paraId="1F753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92D314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42C803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525F0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14:paraId="14AFF0B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14:paraId="67FB1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A4E61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A05E71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0EBB8B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14:paraId="662E3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6CD71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6482B5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F0C98A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14:paraId="549FD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CB2784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53099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D9EF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14:paraId="15C735A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7D095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85671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FA1E6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5E72FC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09B45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F9F73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C4A9DC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D12CA9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14:paraId="1DF59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051B9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C3ECF6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21A153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01DFD55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1810FFB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 w14:paraId="2C04523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
          <w:p w14:paraId="46F59D7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40000元</w:t>
            </w:r>
          </w:p>
          <w:p w14:paraId="4DDFBAD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
        </w:tc>
      </w:tr>
      <w:tr w14:paraId="2DF66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14:paraId="2904DD0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14:paraId="15689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131E4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3C22327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48057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09E263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21B7C9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F66435A">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58984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6AC1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994B6E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C3E09BC">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24E26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58C37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8DD70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0AFB8F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14:paraId="0EFEF1B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14:paraId="7E867BC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14:paraId="6BF53CC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14:paraId="028F7CC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14:paraId="6A1C150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14:paraId="4027CD7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211C58A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569443C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14:paraId="2E445DE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03281D3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18D7E56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7004091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42208B8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5E4E17B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43FC3D3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14:paraId="509A9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5EDE8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080EF3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28E64F81">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1186436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79632546"/>
      <w:bookmarkStart w:id="17" w:name="_Toc152042305"/>
      <w:bookmarkStart w:id="18" w:name="_Toc247085689"/>
      <w:bookmarkStart w:id="19" w:name="_Toc296602420"/>
      <w:bookmarkStart w:id="20" w:name="_Toc246996918"/>
      <w:bookmarkStart w:id="21" w:name="_Toc246996175"/>
      <w:bookmarkStart w:id="22" w:name="_Toc152045529"/>
      <w:bookmarkStart w:id="23" w:name="_Toc144974497"/>
      <w:r>
        <w:rPr>
          <w:rFonts w:hint="eastAsia"/>
        </w:rPr>
        <w:t>1. 总则</w:t>
      </w:r>
      <w:bookmarkEnd w:id="16"/>
      <w:bookmarkEnd w:id="17"/>
      <w:bookmarkEnd w:id="18"/>
      <w:bookmarkEnd w:id="19"/>
      <w:bookmarkEnd w:id="20"/>
      <w:bookmarkEnd w:id="21"/>
      <w:bookmarkEnd w:id="22"/>
      <w:bookmarkEnd w:id="23"/>
    </w:p>
    <w:p w14:paraId="13F76CE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919"/>
      <w:bookmarkStart w:id="25" w:name="_Toc179632547"/>
      <w:bookmarkStart w:id="26" w:name="_Toc152045530"/>
      <w:bookmarkStart w:id="27" w:name="_Toc246996176"/>
      <w:bookmarkStart w:id="28" w:name="_Toc247085690"/>
      <w:bookmarkStart w:id="29" w:name="_Toc296602421"/>
      <w:bookmarkStart w:id="30" w:name="_Toc152042306"/>
      <w:bookmarkStart w:id="31" w:name="_Toc144974498"/>
      <w:r>
        <w:rPr>
          <w:rFonts w:hint="eastAsia"/>
        </w:rPr>
        <w:t>1.1 项目概况</w:t>
      </w:r>
      <w:bookmarkEnd w:id="24"/>
      <w:bookmarkEnd w:id="25"/>
      <w:bookmarkEnd w:id="26"/>
      <w:bookmarkEnd w:id="27"/>
      <w:bookmarkEnd w:id="28"/>
      <w:bookmarkEnd w:id="29"/>
      <w:bookmarkEnd w:id="30"/>
      <w:bookmarkEnd w:id="31"/>
    </w:p>
    <w:p w14:paraId="688094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14:paraId="4A851A6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14:paraId="25482AD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14:paraId="518F653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14:paraId="3472A6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14:paraId="4282A1D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14:paraId="0647C6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14:paraId="26B6548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177"/>
      <w:bookmarkStart w:id="33" w:name="_Toc247085691"/>
      <w:bookmarkStart w:id="34" w:name="_Toc179632548"/>
      <w:bookmarkStart w:id="35" w:name="_Toc144974499"/>
      <w:bookmarkStart w:id="36" w:name="_Toc152045531"/>
      <w:bookmarkStart w:id="37" w:name="_Toc152042307"/>
      <w:bookmarkStart w:id="38" w:name="_Toc296602422"/>
      <w:bookmarkStart w:id="39" w:name="_Toc246996920"/>
      <w:r>
        <w:rPr>
          <w:rFonts w:hint="eastAsia"/>
        </w:rPr>
        <w:t>1.2 资金来源和落实情况</w:t>
      </w:r>
      <w:bookmarkEnd w:id="32"/>
      <w:bookmarkEnd w:id="33"/>
      <w:bookmarkEnd w:id="34"/>
      <w:bookmarkEnd w:id="35"/>
      <w:bookmarkEnd w:id="36"/>
      <w:bookmarkEnd w:id="37"/>
      <w:bookmarkEnd w:id="38"/>
      <w:bookmarkEnd w:id="39"/>
    </w:p>
    <w:p w14:paraId="1F322F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14:paraId="18531BD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14:paraId="271BAFF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96602423"/>
      <w:bookmarkStart w:id="41" w:name="_Toc246996921"/>
      <w:bookmarkStart w:id="42" w:name="_Toc179632549"/>
      <w:bookmarkStart w:id="43" w:name="_Toc246996178"/>
      <w:bookmarkStart w:id="44" w:name="_Toc152045532"/>
      <w:bookmarkStart w:id="45" w:name="_Toc144974500"/>
      <w:bookmarkStart w:id="46" w:name="_Toc247085692"/>
      <w:bookmarkStart w:id="47" w:name="_Toc152042308"/>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14:paraId="759232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14:paraId="0E0276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14:paraId="6A7720F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14:paraId="6561AD0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922"/>
      <w:bookmarkStart w:id="49" w:name="_Toc144974502"/>
      <w:bookmarkStart w:id="50" w:name="_Toc246996179"/>
      <w:bookmarkStart w:id="51" w:name="_Toc152042310"/>
      <w:bookmarkStart w:id="52" w:name="_Toc247085693"/>
      <w:bookmarkStart w:id="53" w:name="_Toc179632551"/>
      <w:bookmarkStart w:id="54" w:name="_Toc152045534"/>
      <w:bookmarkStart w:id="55" w:name="_Toc296602424"/>
      <w:r>
        <w:rPr>
          <w:rFonts w:hint="eastAsia"/>
        </w:rPr>
        <w:t>1.4 投标人资格要求</w:t>
      </w:r>
      <w:bookmarkEnd w:id="48"/>
      <w:bookmarkEnd w:id="49"/>
      <w:bookmarkEnd w:id="50"/>
      <w:bookmarkEnd w:id="51"/>
      <w:bookmarkEnd w:id="52"/>
      <w:bookmarkEnd w:id="53"/>
      <w:bookmarkEnd w:id="54"/>
      <w:bookmarkEnd w:id="55"/>
    </w:p>
    <w:p w14:paraId="2138BF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14:paraId="7E63CE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14:paraId="21ACB26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14:paraId="269FCF6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14:paraId="2820E5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14:paraId="4407558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14:paraId="54C4B70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14:paraId="3DB91BB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14:paraId="6458D2F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14:paraId="5D1E18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14:paraId="0C6D1FA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14:paraId="38E525C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14:paraId="339AD15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14:paraId="78B5AD1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14:paraId="351DBF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14:paraId="4576633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14:paraId="2D464A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14:paraId="4D83A9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14:paraId="255682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14:paraId="0C94F1D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14:paraId="776322D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14:paraId="690FF81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14:paraId="2DEBC0F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（10）投标时（以投标截止时间为准），无被亳州市市本级及县区各行业主管部门或公共资源交易监管部门限制投标的不良行为记录（有效期内）；</w:t>
      </w:r>
    </w:p>
    <w:p w14:paraId="0309946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r>
        <w:rPr>
          <w:rFonts w:hint="eastAsia"/>
          <w:lang w:eastAsia="zh-CN"/>
        </w:rPr>
        <w:t>/</w:t>
      </w:r>
    </w:p>
    <w:p w14:paraId="6F10DBF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14:paraId="082157A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79632552"/>
      <w:bookmarkStart w:id="57" w:name="_Toc296602425"/>
      <w:bookmarkStart w:id="58" w:name="_Toc144974503"/>
      <w:bookmarkStart w:id="59" w:name="_Toc246996923"/>
      <w:bookmarkStart w:id="60" w:name="_Toc246996180"/>
      <w:bookmarkStart w:id="61" w:name="_Toc152042311"/>
      <w:bookmarkStart w:id="62" w:name="_Toc247085694"/>
      <w:bookmarkStart w:id="63" w:name="_Toc152045535"/>
      <w:r>
        <w:rPr>
          <w:rFonts w:hint="eastAsia"/>
        </w:rPr>
        <w:t>1.5 费用承担</w:t>
      </w:r>
      <w:bookmarkEnd w:id="56"/>
      <w:bookmarkEnd w:id="57"/>
      <w:bookmarkEnd w:id="58"/>
      <w:bookmarkEnd w:id="59"/>
      <w:bookmarkEnd w:id="60"/>
      <w:bookmarkEnd w:id="61"/>
      <w:bookmarkEnd w:id="62"/>
      <w:bookmarkEnd w:id="63"/>
    </w:p>
    <w:p w14:paraId="10C55EF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14:paraId="1D6CAAB7">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44974504"/>
      <w:bookmarkStart w:id="65" w:name="_Toc179632553"/>
      <w:bookmarkStart w:id="66" w:name="_Toc247085695"/>
      <w:bookmarkStart w:id="67" w:name="_Toc296602426"/>
      <w:bookmarkStart w:id="68" w:name="_Toc152042312"/>
      <w:bookmarkStart w:id="69" w:name="_Toc246996924"/>
      <w:bookmarkStart w:id="70" w:name="_Toc152045536"/>
      <w:bookmarkStart w:id="71" w:name="_Toc246996181"/>
      <w:r>
        <w:rPr>
          <w:rFonts w:hint="eastAsia"/>
        </w:rPr>
        <w:t>1.6 保密</w:t>
      </w:r>
      <w:bookmarkEnd w:id="64"/>
      <w:bookmarkEnd w:id="65"/>
      <w:bookmarkEnd w:id="66"/>
      <w:bookmarkEnd w:id="67"/>
      <w:bookmarkEnd w:id="68"/>
      <w:bookmarkEnd w:id="69"/>
      <w:bookmarkEnd w:id="70"/>
      <w:bookmarkEnd w:id="71"/>
    </w:p>
    <w:p w14:paraId="7BF64F0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14:paraId="4556C59A">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6996182"/>
      <w:bookmarkStart w:id="74" w:name="_Toc296602427"/>
      <w:bookmarkStart w:id="75" w:name="_Toc246996925"/>
      <w:bookmarkStart w:id="76" w:name="_Toc152045537"/>
      <w:bookmarkStart w:id="77" w:name="_Toc152042313"/>
      <w:bookmarkStart w:id="78" w:name="_Toc179632554"/>
      <w:bookmarkStart w:id="79" w:name="_Toc247085696"/>
      <w:r>
        <w:rPr>
          <w:rFonts w:hint="eastAsia"/>
        </w:rPr>
        <w:t>1.7 语言</w:t>
      </w:r>
      <w:bookmarkEnd w:id="72"/>
      <w:r>
        <w:rPr>
          <w:rFonts w:hint="eastAsia"/>
        </w:rPr>
        <w:t>文字</w:t>
      </w:r>
      <w:bookmarkEnd w:id="73"/>
      <w:bookmarkEnd w:id="74"/>
      <w:bookmarkEnd w:id="75"/>
      <w:bookmarkEnd w:id="76"/>
      <w:bookmarkEnd w:id="77"/>
      <w:bookmarkEnd w:id="78"/>
      <w:bookmarkEnd w:id="79"/>
    </w:p>
    <w:p w14:paraId="07C2BA3F">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44974506"/>
      <w:bookmarkStart w:id="81" w:name="_Toc152045538"/>
      <w:bookmarkStart w:id="82" w:name="_Toc246996183"/>
      <w:bookmarkStart w:id="83" w:name="_Toc152042314"/>
      <w:bookmarkStart w:id="84" w:name="_Toc179632555"/>
      <w:bookmarkStart w:id="85" w:name="_Toc246996926"/>
      <w:bookmarkStart w:id="86" w:name="_Toc247085697"/>
      <w:r>
        <w:rPr>
          <w:rFonts w:hint="eastAsia"/>
        </w:rPr>
        <w:t>招标投标文件使用的语言文字为中文。专用术语使用外文的，应附有中文注释。</w:t>
      </w:r>
    </w:p>
    <w:p w14:paraId="306051D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14:paraId="7909E8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14:paraId="3DC2AA0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13962"/>
      <w:bookmarkStart w:id="89" w:name="_Toc247527563"/>
      <w:bookmarkStart w:id="90" w:name="_Toc152045539"/>
      <w:bookmarkStart w:id="91" w:name="_Toc247592876"/>
      <w:bookmarkStart w:id="92" w:name="_Toc152042315"/>
      <w:bookmarkStart w:id="93" w:name="_Toc296602429"/>
      <w:bookmarkStart w:id="94" w:name="_Toc144974507"/>
      <w:r>
        <w:rPr>
          <w:rFonts w:hint="eastAsia"/>
        </w:rPr>
        <w:t>1.9 踏勘现场</w:t>
      </w:r>
      <w:bookmarkEnd w:id="88"/>
      <w:bookmarkEnd w:id="89"/>
      <w:bookmarkEnd w:id="90"/>
      <w:bookmarkEnd w:id="91"/>
      <w:bookmarkEnd w:id="92"/>
      <w:bookmarkEnd w:id="93"/>
      <w:bookmarkEnd w:id="94"/>
    </w:p>
    <w:p w14:paraId="2D2493E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14:paraId="5F18D1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14:paraId="01627E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14:paraId="004A1A2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14:paraId="0AA9DDB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27564"/>
      <w:bookmarkStart w:id="96" w:name="_Toc296602430"/>
      <w:bookmarkStart w:id="97" w:name="_Toc152042316"/>
      <w:bookmarkStart w:id="98" w:name="_Toc144974508"/>
      <w:bookmarkStart w:id="99" w:name="_Toc152045540"/>
      <w:bookmarkStart w:id="100" w:name="_Toc247592877"/>
      <w:bookmarkStart w:id="101" w:name="_Toc247513963"/>
      <w:r>
        <w:rPr>
          <w:rFonts w:hint="eastAsia"/>
        </w:rPr>
        <w:t>1.10 投标预备会</w:t>
      </w:r>
      <w:bookmarkEnd w:id="95"/>
      <w:bookmarkEnd w:id="96"/>
      <w:bookmarkEnd w:id="97"/>
      <w:bookmarkEnd w:id="98"/>
      <w:bookmarkEnd w:id="99"/>
      <w:bookmarkEnd w:id="100"/>
      <w:bookmarkEnd w:id="101"/>
    </w:p>
    <w:p w14:paraId="78B2E1D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14:paraId="4ECE55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14:paraId="7B2966B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14:paraId="6709377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14:paraId="0DECBB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w:t>
      </w:r>
      <w:r>
        <w:rPr>
          <w:rFonts w:hint="eastAsia"/>
          <w:lang w:eastAsia="zh-CN"/>
        </w:rPr>
        <w:t>候选</w:t>
      </w:r>
      <w:r>
        <w:rPr>
          <w:rFonts w:hint="eastAsia"/>
        </w:rPr>
        <w:t>名单及其相应资料。</w:t>
      </w:r>
    </w:p>
    <w:p w14:paraId="5A48353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w:t>
      </w:r>
      <w:r>
        <w:rPr>
          <w:rFonts w:hint="eastAsia"/>
          <w:lang w:val="en-US" w:eastAsia="zh-CN"/>
        </w:rPr>
        <w:t>监理</w:t>
      </w:r>
      <w:r>
        <w:rPr>
          <w:rFonts w:hint="eastAsia"/>
        </w:rPr>
        <w:t>工作外，其他工作不得分包。中标人不得向他人转让中标项目，接受分包的人不得再次分包。中标人应当就分包项目向招标人负责，接受分包的人就分包项目承担连带责任。</w:t>
      </w:r>
    </w:p>
    <w:p w14:paraId="048F501E">
      <w:pPr>
        <w:pStyle w:val="5"/>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14:paraId="3AFD941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14:paraId="6CD87B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14:paraId="1283A8C8">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14:paraId="4825FD8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14:paraId="017F400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187"/>
      <w:bookmarkStart w:id="104" w:name="_Toc144974510"/>
      <w:bookmarkStart w:id="105" w:name="_Toc152042318"/>
      <w:bookmarkStart w:id="106" w:name="_Toc246996930"/>
      <w:bookmarkStart w:id="107" w:name="_Toc296602432"/>
      <w:bookmarkStart w:id="108" w:name="_Toc179632560"/>
      <w:bookmarkStart w:id="109" w:name="_Toc152045542"/>
      <w:bookmarkStart w:id="110" w:name="_Toc247085701"/>
      <w:r>
        <w:rPr>
          <w:rFonts w:hint="eastAsia"/>
        </w:rPr>
        <w:t>2. 招标文件</w:t>
      </w:r>
      <w:bookmarkEnd w:id="103"/>
      <w:bookmarkEnd w:id="104"/>
      <w:bookmarkEnd w:id="105"/>
      <w:bookmarkEnd w:id="106"/>
      <w:bookmarkEnd w:id="107"/>
      <w:bookmarkEnd w:id="108"/>
      <w:bookmarkEnd w:id="109"/>
      <w:bookmarkEnd w:id="110"/>
    </w:p>
    <w:p w14:paraId="281EFDF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96602433"/>
      <w:bookmarkStart w:id="112" w:name="_Toc144974511"/>
      <w:bookmarkStart w:id="113" w:name="_Toc247085702"/>
      <w:bookmarkStart w:id="114" w:name="_Toc152045543"/>
      <w:bookmarkStart w:id="115" w:name="_Toc152042319"/>
      <w:bookmarkStart w:id="116" w:name="_Toc246996931"/>
      <w:bookmarkStart w:id="117" w:name="_Toc179632561"/>
      <w:bookmarkStart w:id="118" w:name="_Toc246996188"/>
      <w:r>
        <w:rPr>
          <w:rFonts w:hint="eastAsia"/>
        </w:rPr>
        <w:t>2.1 招标文件的组成</w:t>
      </w:r>
      <w:bookmarkEnd w:id="111"/>
      <w:bookmarkEnd w:id="112"/>
      <w:bookmarkEnd w:id="113"/>
      <w:bookmarkEnd w:id="114"/>
      <w:bookmarkEnd w:id="115"/>
      <w:bookmarkEnd w:id="116"/>
      <w:bookmarkEnd w:id="117"/>
      <w:bookmarkEnd w:id="118"/>
    </w:p>
    <w:p w14:paraId="6740A9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14:paraId="6EA7B2E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14:paraId="5C2F3A4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14:paraId="6277DE6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14:paraId="6667C86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14:paraId="2433922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14:paraId="30CBA37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14:paraId="05ABB94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w:t>
      </w:r>
      <w:r>
        <w:rPr>
          <w:rFonts w:hint="eastAsia"/>
          <w:lang w:eastAsia="zh-CN"/>
        </w:rPr>
        <w:t>做</w:t>
      </w:r>
      <w:r>
        <w:rPr>
          <w:rFonts w:hint="eastAsia"/>
        </w:rPr>
        <w:t>的澄清、修改，构成招标文件的组成部分。</w:t>
      </w:r>
    </w:p>
    <w:p w14:paraId="195A763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96602434"/>
      <w:bookmarkStart w:id="120" w:name="_Toc179632562"/>
      <w:bookmarkStart w:id="121" w:name="_Toc144974512"/>
      <w:bookmarkStart w:id="122" w:name="_Toc246996189"/>
      <w:bookmarkStart w:id="123" w:name="_Toc246996932"/>
      <w:bookmarkStart w:id="124" w:name="_Toc152045544"/>
      <w:bookmarkStart w:id="125" w:name="_Toc247085703"/>
      <w:bookmarkStart w:id="126" w:name="_Toc152042320"/>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14:paraId="15C27DA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14:paraId="044A1E3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14:paraId="2BF5020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14:paraId="2407C12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933"/>
      <w:bookmarkStart w:id="128" w:name="_Toc247085704"/>
      <w:bookmarkStart w:id="129" w:name="_Toc152042321"/>
      <w:bookmarkStart w:id="130" w:name="_Toc246996190"/>
      <w:bookmarkStart w:id="131" w:name="_Toc144974513"/>
      <w:bookmarkStart w:id="132" w:name="_Toc179632563"/>
      <w:bookmarkStart w:id="133" w:name="_Toc152045545"/>
      <w:bookmarkStart w:id="134" w:name="_Toc296602435"/>
      <w:r>
        <w:rPr>
          <w:rFonts w:hint="eastAsia"/>
        </w:rPr>
        <w:t>2.3 招标文件的修改</w:t>
      </w:r>
      <w:bookmarkEnd w:id="127"/>
      <w:bookmarkEnd w:id="128"/>
      <w:bookmarkEnd w:id="129"/>
      <w:bookmarkEnd w:id="130"/>
      <w:bookmarkEnd w:id="131"/>
      <w:bookmarkEnd w:id="132"/>
      <w:bookmarkEnd w:id="133"/>
      <w:bookmarkEnd w:id="134"/>
    </w:p>
    <w:p w14:paraId="7F50DD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14:paraId="6B67BF0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14:paraId="461F2D0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191"/>
      <w:bookmarkStart w:id="136" w:name="_Toc179632564"/>
      <w:bookmarkStart w:id="137" w:name="_Toc152045546"/>
      <w:bookmarkStart w:id="138" w:name="_Toc246996934"/>
      <w:bookmarkStart w:id="139" w:name="_Toc296602436"/>
      <w:bookmarkStart w:id="140" w:name="_Toc152042322"/>
      <w:bookmarkStart w:id="141" w:name="_Toc247085705"/>
      <w:bookmarkStart w:id="142" w:name="_Toc144974514"/>
      <w:r>
        <w:rPr>
          <w:rFonts w:hint="eastAsia"/>
        </w:rPr>
        <w:t>3. 投标文件</w:t>
      </w:r>
      <w:bookmarkEnd w:id="135"/>
      <w:bookmarkEnd w:id="136"/>
      <w:bookmarkEnd w:id="137"/>
      <w:bookmarkEnd w:id="138"/>
      <w:bookmarkEnd w:id="139"/>
      <w:bookmarkEnd w:id="140"/>
      <w:bookmarkEnd w:id="141"/>
      <w:bookmarkEnd w:id="142"/>
    </w:p>
    <w:p w14:paraId="00CECA6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96602437"/>
      <w:bookmarkStart w:id="144" w:name="_Toc246996192"/>
      <w:bookmarkStart w:id="145" w:name="_Toc152045547"/>
      <w:bookmarkStart w:id="146" w:name="_Toc179632565"/>
      <w:bookmarkStart w:id="147" w:name="_Toc152042323"/>
      <w:bookmarkStart w:id="148" w:name="_Toc246996935"/>
      <w:bookmarkStart w:id="149" w:name="_Toc144974515"/>
      <w:bookmarkStart w:id="150" w:name="_Toc247085706"/>
      <w:r>
        <w:rPr>
          <w:rFonts w:hint="eastAsia"/>
        </w:rPr>
        <w:t>3.1 投标文件的组成</w:t>
      </w:r>
      <w:bookmarkEnd w:id="143"/>
      <w:bookmarkEnd w:id="144"/>
      <w:bookmarkEnd w:id="145"/>
      <w:bookmarkEnd w:id="146"/>
      <w:bookmarkEnd w:id="147"/>
      <w:bookmarkEnd w:id="148"/>
      <w:bookmarkEnd w:id="149"/>
      <w:bookmarkEnd w:id="150"/>
    </w:p>
    <w:p w14:paraId="41DB448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14:paraId="78A7237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14:paraId="0EA42F0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14:paraId="370E308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14:paraId="32EE170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14:paraId="41AB632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14:paraId="12F158C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14:paraId="23F224F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14:paraId="182C66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14:paraId="6FFBDF2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14:paraId="4C9B058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14:paraId="75590C9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w:t>
      </w:r>
      <w:r>
        <w:rPr>
          <w:rFonts w:hint="eastAsia"/>
          <w:lang w:eastAsia="zh-CN"/>
        </w:rPr>
        <w:t>）项</w:t>
      </w:r>
      <w:r>
        <w:rPr>
          <w:rFonts w:hint="eastAsia"/>
        </w:rPr>
        <w:t>目所指的投标保证金。</w:t>
      </w:r>
    </w:p>
    <w:p w14:paraId="00BD8D53">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79632566"/>
      <w:bookmarkStart w:id="152" w:name="_Toc296602438"/>
      <w:bookmarkStart w:id="153" w:name="_Toc152045548"/>
      <w:bookmarkStart w:id="154" w:name="_Toc246996936"/>
      <w:bookmarkStart w:id="155" w:name="_Toc144974516"/>
      <w:bookmarkStart w:id="156" w:name="_Toc152042324"/>
      <w:bookmarkStart w:id="157" w:name="_Toc247085707"/>
      <w:bookmarkStart w:id="158" w:name="_Toc246996193"/>
      <w:r>
        <w:rPr>
          <w:rFonts w:hint="eastAsia"/>
        </w:rPr>
        <w:t>3.2 投标报价</w:t>
      </w:r>
      <w:bookmarkEnd w:id="151"/>
      <w:bookmarkEnd w:id="152"/>
      <w:bookmarkEnd w:id="153"/>
      <w:bookmarkEnd w:id="154"/>
      <w:bookmarkEnd w:id="155"/>
      <w:bookmarkEnd w:id="156"/>
      <w:bookmarkEnd w:id="157"/>
      <w:bookmarkEnd w:id="158"/>
    </w:p>
    <w:p w14:paraId="246AF48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2325"/>
      <w:bookmarkStart w:id="160" w:name="_Toc144974517"/>
      <w:bookmarkStart w:id="161" w:name="_Toc179632567"/>
      <w:bookmarkStart w:id="162" w:name="_Toc152045549"/>
      <w:r>
        <w:rPr>
          <w:rFonts w:hint="eastAsia"/>
        </w:rPr>
        <w:t>3.2.1 投标报价应包括国家规定的增值税税金， 除投标人须知前附表另有规定外， 增值税税 金按一般计税方法计算。投标人应按第六章“投标文件格式” 的要求在投标函中进行报价并填写</w:t>
      </w:r>
      <w:r>
        <w:rPr>
          <w:rFonts w:hint="eastAsia"/>
          <w:lang w:val="en-US" w:eastAsia="zh-CN"/>
        </w:rPr>
        <w:t>监理</w:t>
      </w:r>
      <w:r>
        <w:rPr>
          <w:rFonts w:hint="eastAsia"/>
        </w:rPr>
        <w:t>费用清单。</w:t>
      </w:r>
    </w:p>
    <w:p w14:paraId="56C0082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14:paraId="5B36B20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14:paraId="6580710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14:paraId="10E334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14:paraId="64C73FD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6996194"/>
      <w:bookmarkStart w:id="165" w:name="_Toc246996937"/>
      <w:bookmarkStart w:id="166" w:name="_Toc247085708"/>
      <w:r>
        <w:rPr>
          <w:rFonts w:hint="eastAsia"/>
        </w:rPr>
        <w:t>3.3 投标有效期</w:t>
      </w:r>
      <w:bookmarkEnd w:id="159"/>
      <w:bookmarkEnd w:id="160"/>
      <w:bookmarkEnd w:id="161"/>
      <w:bookmarkEnd w:id="162"/>
      <w:bookmarkEnd w:id="163"/>
      <w:bookmarkEnd w:id="164"/>
      <w:bookmarkEnd w:id="165"/>
      <w:bookmarkEnd w:id="166"/>
    </w:p>
    <w:p w14:paraId="33A8523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14:paraId="161DFF1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14:paraId="13DD95B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3B934EF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7085709"/>
      <w:bookmarkStart w:id="168" w:name="_Toc246996195"/>
      <w:bookmarkStart w:id="169" w:name="_Toc246996938"/>
      <w:bookmarkStart w:id="170" w:name="_Toc144974518"/>
      <w:bookmarkStart w:id="171" w:name="_Toc296602440"/>
      <w:bookmarkStart w:id="172" w:name="_Toc179632568"/>
      <w:bookmarkStart w:id="173" w:name="_Toc152042326"/>
      <w:bookmarkStart w:id="174" w:name="_Toc152045550"/>
      <w:r>
        <w:rPr>
          <w:rFonts w:hint="eastAsia"/>
        </w:rPr>
        <w:t>3.4 投标保证金</w:t>
      </w:r>
      <w:bookmarkEnd w:id="167"/>
      <w:bookmarkEnd w:id="168"/>
      <w:bookmarkEnd w:id="169"/>
      <w:bookmarkEnd w:id="170"/>
      <w:bookmarkEnd w:id="171"/>
      <w:bookmarkEnd w:id="172"/>
      <w:bookmarkEnd w:id="173"/>
      <w:bookmarkEnd w:id="174"/>
    </w:p>
    <w:p w14:paraId="63DB33B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14:paraId="5DD4B59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14:paraId="3F43FFA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14:paraId="252A5B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14:paraId="4ECA33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14:paraId="72223EF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14:paraId="0902D7F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14:paraId="16426E8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44974520"/>
      <w:bookmarkStart w:id="176" w:name="_Toc246996939"/>
      <w:bookmarkStart w:id="177" w:name="_Toc152042328"/>
      <w:bookmarkStart w:id="178" w:name="_Toc179632570"/>
      <w:bookmarkStart w:id="179" w:name="_Toc247085710"/>
      <w:bookmarkStart w:id="180" w:name="_Toc246996196"/>
      <w:bookmarkStart w:id="181" w:name="_Toc152045552"/>
      <w:bookmarkStart w:id="182" w:name="_Toc296602441"/>
      <w:r>
        <w:rPr>
          <w:rFonts w:hint="eastAsia"/>
        </w:rPr>
        <w:t>3.5 资格审查资料</w:t>
      </w:r>
      <w:bookmarkEnd w:id="175"/>
      <w:bookmarkEnd w:id="176"/>
      <w:bookmarkEnd w:id="177"/>
      <w:bookmarkEnd w:id="178"/>
      <w:bookmarkEnd w:id="179"/>
      <w:bookmarkEnd w:id="180"/>
      <w:bookmarkEnd w:id="181"/>
      <w:bookmarkEnd w:id="182"/>
    </w:p>
    <w:p w14:paraId="1DAF3EC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14:paraId="703EE06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14:paraId="2921063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14:paraId="0C9667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14:paraId="6DB3154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14:paraId="5C20A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14:paraId="693C498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14:paraId="39DADD00">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14:paraId="5D19B2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14:paraId="72E7197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14:paraId="4674EB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14:paraId="4BF4082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46996197"/>
      <w:bookmarkStart w:id="184" w:name="_Toc296602442"/>
      <w:bookmarkStart w:id="185" w:name="_Toc247085711"/>
      <w:bookmarkStart w:id="186" w:name="_Toc246996940"/>
      <w:bookmarkStart w:id="187" w:name="_Toc152045553"/>
      <w:bookmarkStart w:id="188" w:name="_Toc179632571"/>
      <w:bookmarkStart w:id="189" w:name="_Toc152042329"/>
      <w:bookmarkStart w:id="190" w:name="_Toc144974521"/>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179632573"/>
      <w:bookmarkStart w:id="192" w:name="_Toc247085713"/>
      <w:bookmarkStart w:id="193" w:name="_Toc246996199"/>
      <w:bookmarkStart w:id="194" w:name="_Toc144974523"/>
      <w:bookmarkStart w:id="195" w:name="_Toc152042331"/>
      <w:bookmarkStart w:id="196" w:name="_Toc152045555"/>
      <w:bookmarkStart w:id="197" w:name="_Toc246996942"/>
    </w:p>
    <w:p w14:paraId="38DB7C5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14:paraId="313D65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14:paraId="2FCD236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14:paraId="1B16FF8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14:paraId="0C88F6B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14:paraId="1674A17B">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14:paraId="46B88441">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6996943"/>
      <w:bookmarkStart w:id="200" w:name="_Toc179632574"/>
      <w:bookmarkStart w:id="201" w:name="_Toc152042332"/>
      <w:bookmarkStart w:id="202" w:name="_Toc296602444"/>
      <w:bookmarkStart w:id="203" w:name="_Toc247085714"/>
      <w:bookmarkStart w:id="204" w:name="_Toc152045556"/>
      <w:bookmarkStart w:id="205" w:name="_Toc144974524"/>
      <w:bookmarkStart w:id="206" w:name="_Toc246996200"/>
      <w:r>
        <w:rPr>
          <w:rFonts w:hint="eastAsia"/>
        </w:rPr>
        <w:t>4.1 投标文件的密封和标记</w:t>
      </w:r>
      <w:bookmarkEnd w:id="199"/>
      <w:bookmarkEnd w:id="200"/>
      <w:bookmarkEnd w:id="201"/>
      <w:bookmarkEnd w:id="202"/>
      <w:bookmarkEnd w:id="203"/>
      <w:bookmarkEnd w:id="204"/>
      <w:bookmarkEnd w:id="205"/>
      <w:bookmarkEnd w:id="206"/>
    </w:p>
    <w:p w14:paraId="380B557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246996944"/>
      <w:bookmarkStart w:id="208" w:name="_Toc144974525"/>
      <w:bookmarkStart w:id="209" w:name="_Toc247085715"/>
      <w:bookmarkStart w:id="210" w:name="_Toc179632575"/>
      <w:bookmarkStart w:id="211" w:name="_Toc152045557"/>
      <w:bookmarkStart w:id="212" w:name="_Toc152042333"/>
      <w:bookmarkStart w:id="213" w:name="_Toc246996201"/>
      <w:r>
        <w:rPr>
          <w:rFonts w:hint="eastAsia"/>
        </w:rPr>
        <w:t>4.1.1 投标文件应密封包装，并在封套的封口处加盖投标人单位章或由投标人的法定代表人或其授权的代理人签字。</w:t>
      </w:r>
    </w:p>
    <w:p w14:paraId="43C1363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14:paraId="534DF083">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14:paraId="1DA36C23">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14:paraId="0D326D6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14:paraId="6A9DBC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14:paraId="151DB8E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14:paraId="074585F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14:paraId="40075F9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7085716"/>
      <w:bookmarkStart w:id="216" w:name="_Toc144974526"/>
      <w:bookmarkStart w:id="217" w:name="_Toc179632576"/>
      <w:bookmarkStart w:id="218" w:name="_Toc152042334"/>
      <w:bookmarkStart w:id="219" w:name="_Toc296602446"/>
      <w:bookmarkStart w:id="220" w:name="_Toc246996202"/>
      <w:bookmarkStart w:id="221" w:name="_Toc152045558"/>
      <w:bookmarkStart w:id="222" w:name="_Toc246996945"/>
      <w:r>
        <w:rPr>
          <w:rFonts w:hint="eastAsia"/>
        </w:rPr>
        <w:t>4.3 投标文件的修改与撤回</w:t>
      </w:r>
      <w:bookmarkEnd w:id="215"/>
      <w:bookmarkEnd w:id="216"/>
      <w:bookmarkEnd w:id="217"/>
      <w:bookmarkEnd w:id="218"/>
      <w:bookmarkEnd w:id="219"/>
      <w:bookmarkEnd w:id="220"/>
      <w:bookmarkEnd w:id="221"/>
      <w:bookmarkEnd w:id="222"/>
    </w:p>
    <w:p w14:paraId="262ED0B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14:paraId="27A3D39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14:paraId="0FE3F17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14:paraId="28395FF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14:paraId="271114B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96602447"/>
      <w:bookmarkStart w:id="224" w:name="_Toc144974527"/>
      <w:bookmarkStart w:id="225" w:name="_Toc246996203"/>
      <w:bookmarkStart w:id="226" w:name="_Toc246996946"/>
      <w:bookmarkStart w:id="227" w:name="_Toc152045559"/>
      <w:bookmarkStart w:id="228" w:name="_Toc152042335"/>
      <w:bookmarkStart w:id="229" w:name="_Toc247085717"/>
      <w:bookmarkStart w:id="230" w:name="_Toc179632577"/>
      <w:r>
        <w:rPr>
          <w:rFonts w:hint="eastAsia"/>
        </w:rPr>
        <w:t>5. 开标</w:t>
      </w:r>
      <w:bookmarkEnd w:id="223"/>
      <w:bookmarkEnd w:id="224"/>
      <w:bookmarkEnd w:id="225"/>
      <w:bookmarkEnd w:id="226"/>
      <w:bookmarkEnd w:id="227"/>
      <w:bookmarkEnd w:id="228"/>
      <w:bookmarkEnd w:id="229"/>
      <w:bookmarkEnd w:id="230"/>
    </w:p>
    <w:p w14:paraId="5543A7A4">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52042336"/>
      <w:bookmarkStart w:id="232" w:name="_Toc246996204"/>
      <w:bookmarkStart w:id="233" w:name="_Toc247085718"/>
      <w:bookmarkStart w:id="234" w:name="_Toc152045560"/>
      <w:bookmarkStart w:id="235" w:name="_Toc144974528"/>
      <w:bookmarkStart w:id="236" w:name="_Toc296602448"/>
      <w:bookmarkStart w:id="237" w:name="_Toc246996947"/>
      <w:bookmarkStart w:id="238" w:name="_Toc179632578"/>
      <w:r>
        <w:rPr>
          <w:rFonts w:hint="eastAsia"/>
        </w:rPr>
        <w:t>5.1 开标时间和地点</w:t>
      </w:r>
      <w:bookmarkEnd w:id="231"/>
      <w:bookmarkEnd w:id="232"/>
      <w:bookmarkEnd w:id="233"/>
      <w:bookmarkEnd w:id="234"/>
      <w:bookmarkEnd w:id="235"/>
      <w:bookmarkEnd w:id="236"/>
      <w:bookmarkEnd w:id="237"/>
      <w:bookmarkEnd w:id="238"/>
    </w:p>
    <w:p w14:paraId="33DF695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14:paraId="09B569E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7085719"/>
      <w:bookmarkStart w:id="240" w:name="_Toc152042337"/>
      <w:bookmarkStart w:id="241" w:name="_Toc246996948"/>
      <w:bookmarkStart w:id="242" w:name="_Toc246996205"/>
      <w:bookmarkStart w:id="243" w:name="_Toc152045561"/>
      <w:bookmarkStart w:id="244" w:name="_Toc179632579"/>
      <w:bookmarkStart w:id="245" w:name="_Toc296602449"/>
      <w:bookmarkStart w:id="246" w:name="_Toc144974529"/>
      <w:r>
        <w:rPr>
          <w:rFonts w:hint="eastAsia"/>
        </w:rPr>
        <w:t>5.2 开标程序</w:t>
      </w:r>
      <w:bookmarkEnd w:id="239"/>
      <w:bookmarkEnd w:id="240"/>
      <w:bookmarkEnd w:id="241"/>
      <w:bookmarkEnd w:id="242"/>
      <w:bookmarkEnd w:id="243"/>
      <w:bookmarkEnd w:id="244"/>
      <w:bookmarkEnd w:id="245"/>
      <w:bookmarkEnd w:id="246"/>
    </w:p>
    <w:p w14:paraId="4D132D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14:paraId="0E23A9F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14:paraId="312B33E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14:paraId="4B64316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14:paraId="490754A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14:paraId="7B73A5A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14:paraId="444BC59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14:paraId="3176DD6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14:paraId="42AFD34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14:paraId="7F3469B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14:paraId="5199125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206"/>
      <w:bookmarkStart w:id="249" w:name="_Toc152042338"/>
      <w:bookmarkStart w:id="250" w:name="_Toc247085720"/>
      <w:bookmarkStart w:id="251" w:name="_Toc246996949"/>
      <w:bookmarkStart w:id="252" w:name="_Toc152045562"/>
      <w:bookmarkStart w:id="253" w:name="_Toc179632580"/>
      <w:bookmarkStart w:id="254" w:name="_Toc296602451"/>
      <w:bookmarkStart w:id="255" w:name="_Toc144974530"/>
      <w:r>
        <w:rPr>
          <w:rFonts w:hint="eastAsia"/>
        </w:rPr>
        <w:t>6. 评标</w:t>
      </w:r>
      <w:bookmarkEnd w:id="248"/>
      <w:bookmarkEnd w:id="249"/>
      <w:bookmarkEnd w:id="250"/>
      <w:bookmarkEnd w:id="251"/>
      <w:bookmarkEnd w:id="252"/>
      <w:bookmarkEnd w:id="253"/>
      <w:bookmarkEnd w:id="254"/>
      <w:bookmarkEnd w:id="255"/>
    </w:p>
    <w:p w14:paraId="6D0856C6">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6996950"/>
      <w:bookmarkStart w:id="257" w:name="_Toc247085721"/>
      <w:bookmarkStart w:id="258" w:name="_Toc296602452"/>
      <w:bookmarkStart w:id="259" w:name="_Toc144974531"/>
      <w:bookmarkStart w:id="260" w:name="_Toc152045563"/>
      <w:bookmarkStart w:id="261" w:name="_Toc246996207"/>
      <w:bookmarkStart w:id="262" w:name="_Toc179632581"/>
      <w:bookmarkStart w:id="263" w:name="_Toc152042339"/>
      <w:r>
        <w:rPr>
          <w:rFonts w:hint="eastAsia"/>
        </w:rPr>
        <w:t>6.1 评标委员会</w:t>
      </w:r>
      <w:bookmarkEnd w:id="256"/>
      <w:bookmarkEnd w:id="257"/>
      <w:bookmarkEnd w:id="258"/>
      <w:bookmarkEnd w:id="259"/>
      <w:bookmarkEnd w:id="260"/>
      <w:bookmarkEnd w:id="261"/>
      <w:bookmarkEnd w:id="262"/>
      <w:bookmarkEnd w:id="263"/>
    </w:p>
    <w:p w14:paraId="50917F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6B9533B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14:paraId="4E07E56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14:paraId="7AEFE37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14:paraId="7B95CC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14:paraId="4C8CAC3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14:paraId="58A8920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14:paraId="5D17918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6996951"/>
      <w:bookmarkStart w:id="265" w:name="_Toc152042340"/>
      <w:bookmarkStart w:id="266" w:name="_Toc144974532"/>
      <w:bookmarkStart w:id="267" w:name="_Toc247085722"/>
      <w:bookmarkStart w:id="268" w:name="_Toc179632582"/>
      <w:bookmarkStart w:id="269" w:name="_Toc296602453"/>
      <w:bookmarkStart w:id="270" w:name="_Toc246996208"/>
      <w:bookmarkStart w:id="271" w:name="_Toc152045564"/>
      <w:r>
        <w:rPr>
          <w:rFonts w:hint="eastAsia"/>
        </w:rPr>
        <w:t>6.2 评标原则</w:t>
      </w:r>
      <w:bookmarkEnd w:id="264"/>
      <w:bookmarkEnd w:id="265"/>
      <w:bookmarkEnd w:id="266"/>
      <w:bookmarkEnd w:id="267"/>
      <w:bookmarkEnd w:id="268"/>
      <w:bookmarkEnd w:id="269"/>
      <w:bookmarkEnd w:id="270"/>
      <w:bookmarkEnd w:id="271"/>
    </w:p>
    <w:p w14:paraId="7AADC7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14:paraId="563617FA">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5565"/>
      <w:bookmarkStart w:id="273" w:name="_Toc246996952"/>
      <w:bookmarkStart w:id="274" w:name="_Toc152042341"/>
      <w:bookmarkStart w:id="275" w:name="_Toc179632583"/>
      <w:bookmarkStart w:id="276" w:name="_Toc246996209"/>
      <w:bookmarkStart w:id="277" w:name="_Toc296602454"/>
      <w:bookmarkStart w:id="278" w:name="_Toc144974533"/>
      <w:bookmarkStart w:id="279" w:name="_Toc247085723"/>
      <w:r>
        <w:rPr>
          <w:rFonts w:hint="eastAsia"/>
        </w:rPr>
        <w:t>6.3 评标</w:t>
      </w:r>
      <w:bookmarkEnd w:id="272"/>
      <w:bookmarkEnd w:id="273"/>
      <w:bookmarkEnd w:id="274"/>
      <w:bookmarkEnd w:id="275"/>
      <w:bookmarkEnd w:id="276"/>
      <w:bookmarkEnd w:id="277"/>
      <w:bookmarkEnd w:id="278"/>
      <w:bookmarkEnd w:id="279"/>
    </w:p>
    <w:p w14:paraId="5B3AD36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14:paraId="719BB03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14:paraId="434295C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14:paraId="02AF394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5566"/>
      <w:bookmarkStart w:id="281" w:name="_Toc179632584"/>
      <w:bookmarkStart w:id="282" w:name="_Toc246996953"/>
      <w:bookmarkStart w:id="283" w:name="_Toc247085724"/>
      <w:bookmarkStart w:id="284" w:name="_Toc296602455"/>
      <w:bookmarkStart w:id="285" w:name="_Toc152042342"/>
      <w:bookmarkStart w:id="286" w:name="_Toc144974534"/>
      <w:bookmarkStart w:id="287" w:name="_Toc246996210"/>
      <w:r>
        <w:rPr>
          <w:rFonts w:hint="eastAsia"/>
        </w:rPr>
        <w:t>7. 合同授予</w:t>
      </w:r>
      <w:bookmarkEnd w:id="280"/>
      <w:bookmarkEnd w:id="281"/>
      <w:bookmarkEnd w:id="282"/>
      <w:bookmarkEnd w:id="283"/>
      <w:bookmarkEnd w:id="284"/>
      <w:bookmarkEnd w:id="285"/>
      <w:bookmarkEnd w:id="286"/>
      <w:bookmarkEnd w:id="287"/>
    </w:p>
    <w:p w14:paraId="102C116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79632585"/>
      <w:bookmarkStart w:id="289" w:name="_Toc152045567"/>
      <w:bookmarkStart w:id="290" w:name="_Toc246996954"/>
      <w:bookmarkStart w:id="291" w:name="_Toc296602456"/>
      <w:bookmarkStart w:id="292" w:name="_Toc152042343"/>
      <w:bookmarkStart w:id="293" w:name="_Toc246996211"/>
      <w:bookmarkStart w:id="294" w:name="_Toc144974535"/>
      <w:bookmarkStart w:id="295" w:name="_Toc247085725"/>
      <w:r>
        <w:rPr>
          <w:rFonts w:hint="eastAsia"/>
        </w:rPr>
        <w:t>7.1中标候选人公示</w:t>
      </w:r>
      <w:bookmarkEnd w:id="288"/>
      <w:bookmarkEnd w:id="289"/>
      <w:bookmarkEnd w:id="290"/>
      <w:bookmarkEnd w:id="291"/>
      <w:bookmarkEnd w:id="292"/>
      <w:bookmarkEnd w:id="293"/>
      <w:bookmarkEnd w:id="294"/>
      <w:bookmarkEnd w:id="295"/>
    </w:p>
    <w:p w14:paraId="5F4A81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14:paraId="409E9C47">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14:paraId="69EC750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14:paraId="11FE2C6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14:paraId="30956E5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14:paraId="3869E153">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14:paraId="1CDAEE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14:paraId="1667225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144974536"/>
      <w:bookmarkStart w:id="297" w:name="_Toc247085726"/>
      <w:bookmarkStart w:id="298" w:name="_Toc152042344"/>
      <w:bookmarkStart w:id="299" w:name="_Toc179632586"/>
      <w:bookmarkStart w:id="300" w:name="_Toc246996212"/>
      <w:bookmarkStart w:id="301" w:name="_Toc246996955"/>
      <w:bookmarkStart w:id="302" w:name="_Toc296602458"/>
      <w:bookmarkStart w:id="303" w:name="_Toc152045568"/>
      <w:r>
        <w:rPr>
          <w:rFonts w:hint="eastAsia"/>
        </w:rPr>
        <w:t>7.5 中标通知</w:t>
      </w:r>
      <w:bookmarkEnd w:id="296"/>
      <w:bookmarkEnd w:id="297"/>
      <w:bookmarkEnd w:id="298"/>
      <w:bookmarkEnd w:id="299"/>
      <w:bookmarkEnd w:id="300"/>
      <w:bookmarkEnd w:id="301"/>
      <w:bookmarkEnd w:id="302"/>
      <w:bookmarkEnd w:id="303"/>
    </w:p>
    <w:p w14:paraId="1D6B704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14:paraId="21B6051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179632587"/>
      <w:bookmarkStart w:id="305" w:name="_Toc152042345"/>
      <w:bookmarkStart w:id="306" w:name="_Toc246996956"/>
      <w:bookmarkStart w:id="307" w:name="_Toc246996213"/>
      <w:bookmarkStart w:id="308" w:name="_Toc247085727"/>
      <w:bookmarkStart w:id="309" w:name="_Toc152045569"/>
      <w:bookmarkStart w:id="310" w:name="_Toc296602459"/>
      <w:bookmarkStart w:id="311" w:name="_Toc144974537"/>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14:paraId="1E0E923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w:t>
      </w:r>
      <w:r>
        <w:rPr>
          <w:rFonts w:hint="eastAsia"/>
          <w:lang w:eastAsia="zh-CN"/>
        </w:rPr>
        <w:t>保证金</w:t>
      </w:r>
      <w:r>
        <w:rPr>
          <w:rFonts w:hint="eastAsia"/>
        </w:rPr>
        <w:t>。除投标人须知前附表另有规定外，履约保证金为中标合同金额的 10%。联合体中标的， 其履约保证金以联合体各方或者联合体中牵头人的名义提交。</w:t>
      </w:r>
    </w:p>
    <w:p w14:paraId="233770D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14:paraId="03C5A5DB">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152045570"/>
      <w:bookmarkStart w:id="313" w:name="_Toc152042346"/>
      <w:bookmarkStart w:id="314" w:name="_Toc144974538"/>
      <w:bookmarkStart w:id="315" w:name="_Toc179632588"/>
      <w:bookmarkStart w:id="316" w:name="_Toc296602460"/>
      <w:bookmarkStart w:id="317" w:name="_Toc247085728"/>
      <w:bookmarkStart w:id="318" w:name="_Toc246996214"/>
      <w:bookmarkStart w:id="319" w:name="_Toc246996957"/>
      <w:r>
        <w:rPr>
          <w:rFonts w:hint="eastAsia"/>
        </w:rPr>
        <w:t>7.8 签订合同</w:t>
      </w:r>
      <w:bookmarkEnd w:id="312"/>
      <w:bookmarkEnd w:id="313"/>
      <w:bookmarkEnd w:id="314"/>
      <w:bookmarkEnd w:id="315"/>
      <w:bookmarkEnd w:id="316"/>
      <w:bookmarkEnd w:id="317"/>
      <w:bookmarkEnd w:id="318"/>
      <w:bookmarkEnd w:id="319"/>
    </w:p>
    <w:p w14:paraId="6434C4F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14:paraId="2E8ECB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14:paraId="5AF66A3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14:paraId="7BC7AB77">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14:paraId="017E0056">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47085733"/>
      <w:bookmarkStart w:id="322" w:name="_Toc296590983"/>
      <w:bookmarkStart w:id="323" w:name="_Toc152042351"/>
      <w:bookmarkStart w:id="324" w:name="_Toc246996219"/>
      <w:bookmarkStart w:id="325" w:name="_Toc144974543"/>
      <w:bookmarkStart w:id="326" w:name="_Toc246996962"/>
      <w:bookmarkStart w:id="327" w:name="_Toc179632593"/>
      <w:bookmarkStart w:id="328" w:name="_Toc296602462"/>
      <w:bookmarkStart w:id="329" w:name="_Toc152045575"/>
      <w:r>
        <w:rPr>
          <w:rFonts w:hint="eastAsia"/>
        </w:rPr>
        <w:t>8.1 对招标人的纪律要求</w:t>
      </w:r>
      <w:bookmarkEnd w:id="321"/>
      <w:bookmarkEnd w:id="322"/>
      <w:bookmarkEnd w:id="323"/>
      <w:bookmarkEnd w:id="324"/>
      <w:bookmarkEnd w:id="325"/>
      <w:bookmarkEnd w:id="326"/>
      <w:bookmarkEnd w:id="327"/>
      <w:bookmarkEnd w:id="328"/>
      <w:bookmarkEnd w:id="329"/>
    </w:p>
    <w:p w14:paraId="61709F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w:t>
      </w:r>
      <w:r>
        <w:rPr>
          <w:rFonts w:hint="eastAsia"/>
          <w:lang w:eastAsia="zh-CN"/>
        </w:rPr>
        <w:t>泄露</w:t>
      </w:r>
      <w:r>
        <w:rPr>
          <w:rFonts w:hint="eastAsia"/>
        </w:rPr>
        <w:t>招标投标活动中应当保密的情况和资料，不得与投标人串通损害国家利益、社会公共利益或者他人合法权益。</w:t>
      </w:r>
    </w:p>
    <w:p w14:paraId="79FC2471">
      <w:pPr>
        <w:pStyle w:val="4"/>
        <w:bidi w:val="0"/>
        <w:rPr>
          <w:rFonts w:hint="eastAsia"/>
        </w:rPr>
      </w:pPr>
      <w:bookmarkStart w:id="330" w:name="_Toc179632594"/>
      <w:bookmarkStart w:id="331" w:name="_Toc246996220"/>
      <w:bookmarkStart w:id="332" w:name="_Toc246996963"/>
      <w:bookmarkStart w:id="333" w:name="_Toc152042352"/>
      <w:bookmarkStart w:id="334" w:name="_Toc247085734"/>
      <w:bookmarkStart w:id="335" w:name="_Toc144974544"/>
      <w:bookmarkStart w:id="336" w:name="_Toc152045576"/>
      <w:bookmarkStart w:id="337" w:name="_Toc296602463"/>
      <w:r>
        <w:rPr>
          <w:rFonts w:hint="eastAsia"/>
        </w:rPr>
        <w:t>8.2 对投标人的纪律要求</w:t>
      </w:r>
      <w:bookmarkEnd w:id="330"/>
      <w:bookmarkEnd w:id="331"/>
      <w:bookmarkEnd w:id="332"/>
      <w:bookmarkEnd w:id="333"/>
      <w:bookmarkEnd w:id="334"/>
      <w:bookmarkEnd w:id="335"/>
      <w:bookmarkEnd w:id="336"/>
      <w:bookmarkEnd w:id="337"/>
    </w:p>
    <w:p w14:paraId="2B01338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7C399C6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247085735"/>
      <w:bookmarkStart w:id="339" w:name="_Toc296602464"/>
      <w:bookmarkStart w:id="340" w:name="_Toc144974545"/>
      <w:bookmarkStart w:id="341" w:name="_Toc152045577"/>
      <w:bookmarkStart w:id="342" w:name="_Toc246996221"/>
      <w:bookmarkStart w:id="343" w:name="_Toc152042353"/>
      <w:bookmarkStart w:id="344" w:name="_Toc179632595"/>
      <w:bookmarkStart w:id="345" w:name="_Toc246996964"/>
      <w:r>
        <w:rPr>
          <w:rFonts w:hint="eastAsia"/>
        </w:rPr>
        <w:t>8.3 对评标委员会成员的纪律要求</w:t>
      </w:r>
      <w:bookmarkEnd w:id="338"/>
      <w:bookmarkEnd w:id="339"/>
      <w:bookmarkEnd w:id="340"/>
      <w:bookmarkEnd w:id="341"/>
      <w:bookmarkEnd w:id="342"/>
      <w:bookmarkEnd w:id="343"/>
      <w:bookmarkEnd w:id="344"/>
      <w:bookmarkEnd w:id="345"/>
    </w:p>
    <w:p w14:paraId="188936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w:t>
      </w:r>
      <w:r>
        <w:rPr>
          <w:rFonts w:hint="eastAsia"/>
          <w:lang w:eastAsia="zh-CN"/>
        </w:rPr>
        <w:t>透露</w:t>
      </w:r>
      <w:r>
        <w:rPr>
          <w:rFonts w:hint="eastAsia"/>
        </w:rPr>
        <w:t>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6A1569E3">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296602465"/>
      <w:bookmarkStart w:id="347" w:name="_Toc247085736"/>
      <w:bookmarkStart w:id="348" w:name="_Toc246996965"/>
      <w:bookmarkStart w:id="349" w:name="_Toc152045578"/>
      <w:bookmarkStart w:id="350" w:name="_Toc246996222"/>
      <w:bookmarkStart w:id="351" w:name="_Toc152042354"/>
      <w:bookmarkStart w:id="352" w:name="_Toc179632596"/>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14:paraId="4C616A6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w:t>
      </w:r>
      <w:r>
        <w:rPr>
          <w:rFonts w:hint="eastAsia"/>
          <w:lang w:eastAsia="zh-CN"/>
        </w:rPr>
        <w:t>透露</w:t>
      </w:r>
      <w:r>
        <w:rPr>
          <w:rFonts w:hint="eastAsia"/>
        </w:rPr>
        <w:t>对投标文件的评审和比较、中标候选人的推荐情况以及评标有关的其他情况。在评标活动中，与评标活动有关的工作人员不得擅离职守，影响评标程序正常进行。</w:t>
      </w:r>
      <w:bookmarkEnd w:id="354"/>
    </w:p>
    <w:p w14:paraId="3137D92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46996966"/>
      <w:bookmarkStart w:id="356" w:name="_Toc246996223"/>
      <w:bookmarkStart w:id="357" w:name="_Toc152045579"/>
      <w:bookmarkStart w:id="358" w:name="_Toc296602466"/>
      <w:bookmarkStart w:id="359" w:name="_Toc247085737"/>
      <w:bookmarkStart w:id="360" w:name="_Toc179632597"/>
      <w:bookmarkStart w:id="361" w:name="_Toc152042356"/>
      <w:r>
        <w:rPr>
          <w:rFonts w:hint="eastAsia"/>
        </w:rPr>
        <w:t>8.5 投诉</w:t>
      </w:r>
      <w:bookmarkEnd w:id="353"/>
      <w:bookmarkEnd w:id="355"/>
      <w:bookmarkEnd w:id="356"/>
      <w:bookmarkEnd w:id="357"/>
      <w:bookmarkEnd w:id="358"/>
      <w:bookmarkEnd w:id="359"/>
      <w:bookmarkEnd w:id="360"/>
      <w:bookmarkEnd w:id="361"/>
    </w:p>
    <w:p w14:paraId="6FF107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14:paraId="20C21AF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14:paraId="24519FD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14:paraId="62F6AB5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44974547"/>
      <w:bookmarkStart w:id="364" w:name="_Toc152042357"/>
      <w:bookmarkStart w:id="365" w:name="_Toc152045580"/>
      <w:bookmarkStart w:id="366" w:name="_Toc179632598"/>
      <w:bookmarkStart w:id="367" w:name="_Toc246996224"/>
      <w:bookmarkStart w:id="368" w:name="_Toc296602467"/>
      <w:bookmarkStart w:id="369" w:name="_Toc247085738"/>
      <w:bookmarkStart w:id="370" w:name="_Toc246996967"/>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14:paraId="686092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14:paraId="0AC69EDD">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6AB2085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14:paraId="0EDB0BA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7521C6A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6EBD75F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3AE2AB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3DDD3B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F198D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2C3C6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3C64CD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06671EB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716436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FD3B6C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AD0E2E0">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745D8C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2CA506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41C3F78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7F1CE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A2C1A25">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14:paraId="241D17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0B24BE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2DC3BF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6379A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E22A0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35F231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6B55AD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1503937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A526F5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71213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4032BC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6E73F2F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2C78F47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1308D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C5F6C8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14D3DC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B66A5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05100E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49B99E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6BEA26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7C805A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D4BB4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467F6A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5C908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B92B28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614D09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5DFB1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1CDA42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0D8F3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D9DA2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7FE487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19B6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721206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AD301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2FDE3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301C2E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2FFCD57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34499A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3C509B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EAE53B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14:paraId="1F6D6A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703A7F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539AE9A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04B416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781382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14:paraId="36405A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49DDEEC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4BE896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593C0B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C834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14:paraId="463352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6C9E84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3E46758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76D34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A31A0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78A132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5A8ADBB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5117FA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964FA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7654A3E">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14:paraId="5C171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702EAA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48FF84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ABA9F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273FA3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14:paraId="579377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47C07F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4812728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F7BB7A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C168C1B">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14:paraId="73AEA1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343812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7EF16D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07AD73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6C6DA4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14:paraId="45D306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AE1EE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2433376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A86F3F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CA4FF2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14:paraId="0C622E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2F6B9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76C12AF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63D47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F076C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14:paraId="0EA151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A7941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2069A15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90F71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C90565E">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tr w14:paraId="5BB2C7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0D53BD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14:paraId="6613F6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22501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C519C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tr w14:paraId="39366F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06F23C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1" w:name="_Toc144974556"/>
            <w:bookmarkStart w:id="372" w:name="_Toc246996232"/>
            <w:bookmarkStart w:id="373" w:name="_Toc246996975"/>
            <w:bookmarkStart w:id="374" w:name="_Toc247085747"/>
            <w:bookmarkStart w:id="375" w:name="_Toc152045589"/>
            <w:bookmarkStart w:id="376" w:name="_Toc152042366"/>
            <w:bookmarkStart w:id="377" w:name="_Toc296602477"/>
            <w:bookmarkStart w:id="378" w:name="_Toc17963260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4C966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31F0F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14:paraId="65DFE6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79C2DDD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F63CF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14:paraId="707568D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7941D">
            <w:pPr>
              <w:keepNext w:val="0"/>
              <w:keepLines w:val="0"/>
              <w:widowControl/>
              <w:suppressLineNumbers w:val="0"/>
              <w:wordWrap w:val="0"/>
              <w:spacing w:line="440" w:lineRule="exact"/>
              <w:jc w:val="left"/>
              <w:rPr>
                <w:rFonts w:ascii="Times New Roman" w:hAnsi="Times New Roman" w:cs="Times New Roman"/>
                <w:kern w:val="0"/>
                <w:sz w:val="24"/>
              </w:rPr>
            </w:pPr>
            <w:r>
              <w:rPr>
                <w:rFonts w:hint="default" w:ascii="Times New Roman" w:hAnsi="Times New Roman" w:cs="Times New Roman" w:eastAsiaTheme="minorEastAsia"/>
                <w:color w:val="auto"/>
                <w:kern w:val="0"/>
                <w:sz w:val="24"/>
                <w:szCs w:val="24"/>
                <w:lang w:val="en-US" w:eastAsia="zh-CN" w:bidi="ar"/>
              </w:rPr>
              <w:t>监理大纲</w:t>
            </w:r>
            <w:r>
              <w:rPr>
                <w:rFonts w:hint="eastAsia" w:ascii="Times New Roman" w:hAnsi="Times New Roman" w:cs="Times New Roman"/>
                <w:kern w:val="0"/>
                <w:sz w:val="24"/>
              </w:rPr>
              <w:t>：</w:t>
            </w:r>
            <w:r>
              <w:rPr>
                <w:rFonts w:hint="default" w:ascii="Times New Roman" w:hAnsi="Times New Roman" w:cs="Times New Roman"/>
                <w:kern w:val="0"/>
                <w:sz w:val="24"/>
                <w:u w:val="none"/>
                <w:lang w:val="en-US" w:eastAsia="zh-CN"/>
              </w:rPr>
              <w:t>20</w:t>
            </w:r>
            <w:r>
              <w:rPr>
                <w:rFonts w:ascii="Times New Roman" w:hAnsi="Times New Roman" w:cs="Times New Roman"/>
                <w:kern w:val="0"/>
                <w:sz w:val="24"/>
              </w:rPr>
              <w:t>分</w:t>
            </w:r>
          </w:p>
          <w:p w14:paraId="04EAE251">
            <w:pPr>
              <w:wordWrap w:val="0"/>
              <w:spacing w:line="440" w:lineRule="exact"/>
              <w:jc w:val="left"/>
              <w:rPr>
                <w:rFonts w:hint="eastAsia" w:ascii="Times New Roman" w:hAnsi="Times New Roman" w:cs="Times New Roman"/>
                <w:kern w:val="0"/>
                <w:sz w:val="24"/>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eastAsia" w:ascii="Times New Roman" w:hAnsi="Times New Roman" w:cs="Times New Roman"/>
                <w:kern w:val="0"/>
                <w:sz w:val="24"/>
              </w:rPr>
              <w:t>：</w:t>
            </w:r>
            <w:r>
              <w:rPr>
                <w:rFonts w:hint="default" w:ascii="Times New Roman" w:hAnsi="Times New Roman" w:cs="Times New Roman"/>
                <w:kern w:val="0"/>
                <w:sz w:val="24"/>
                <w:u w:val="none"/>
                <w:lang w:val="en-US" w:eastAsia="zh-CN"/>
              </w:rPr>
              <w:t>20</w:t>
            </w:r>
            <w:r>
              <w:rPr>
                <w:rFonts w:hint="eastAsia" w:ascii="Times New Roman" w:hAnsi="Times New Roman" w:cs="Times New Roman"/>
                <w:kern w:val="0"/>
                <w:sz w:val="24"/>
              </w:rPr>
              <w:t>分</w:t>
            </w:r>
          </w:p>
          <w:p w14:paraId="300F4F25">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kern w:val="0"/>
                <w:sz w:val="24"/>
              </w:rPr>
              <w:t>价格分：</w:t>
            </w:r>
            <w:r>
              <w:rPr>
                <w:rFonts w:hint="default" w:ascii="Times New Roman" w:hAnsi="Times New Roman" w:cs="Times New Roman"/>
                <w:kern w:val="0"/>
                <w:sz w:val="24"/>
                <w:u w:val="none"/>
                <w:lang w:val="en-US" w:eastAsia="zh-CN"/>
              </w:rPr>
              <w:t>60</w:t>
            </w:r>
            <w:r>
              <w:rPr>
                <w:rFonts w:hint="eastAsia" w:ascii="Times New Roman" w:hAnsi="Times New Roman" w:cs="Times New Roman"/>
                <w:kern w:val="0"/>
                <w:sz w:val="24"/>
              </w:rPr>
              <w:t>分</w:t>
            </w:r>
          </w:p>
        </w:tc>
      </w:tr>
      <w:tr w14:paraId="121B7F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4022F93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83C24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DC411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single"/>
                <w:lang w:val="en-US" w:eastAsia="zh-CN"/>
              </w:rPr>
              <w:t>以通过初步评审的投标人的投标报价的算术平均值作为评标基准价。</w:t>
            </w:r>
          </w:p>
        </w:tc>
      </w:tr>
      <w:tr w14:paraId="3533EA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462346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25673A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3A84B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
        </w:tc>
      </w:tr>
      <w:tr w14:paraId="389CDE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441D7D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3621F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554AF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14:paraId="05186E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5F03BF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14:paraId="61547C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14:paraId="4281CE74">
            <w:pPr>
              <w:keepNext w:val="0"/>
              <w:keepLines w:val="0"/>
              <w:widowControl/>
              <w:suppressLineNumbers w:val="0"/>
              <w:jc w:val="left"/>
              <w:rPr>
                <w:rFonts w:hint="default" w:ascii="Times New Roman" w:hAnsi="Times New Roman" w:cs="Times New Roman"/>
                <w:kern w:val="0"/>
                <w:sz w:val="24"/>
                <w:szCs w:val="24"/>
                <w:highlight w:val="none"/>
                <w:lang w:val="en-US" w:eastAsia="zh-CN"/>
              </w:rPr>
            </w:pPr>
            <w:r>
              <w:rPr>
                <w:rFonts w:hint="eastAsia" w:ascii="宋体" w:hAnsi="宋体" w:eastAsia="宋体" w:cs="宋体"/>
                <w:color w:val="000000"/>
                <w:kern w:val="0"/>
                <w:sz w:val="21"/>
                <w:szCs w:val="21"/>
                <w:lang w:val="en-US" w:eastAsia="zh-CN" w:bidi="ar"/>
              </w:rPr>
              <w:t xml:space="preserve">监理大纲标准 （满分 </w:t>
            </w:r>
            <w:r>
              <w:rPr>
                <w:rFonts w:hint="eastAsia" w:ascii="Times New Roman" w:hAnsi="Times New Roman" w:eastAsia="宋体" w:cs="Times New Roman"/>
                <w:color w:val="000000"/>
                <w:kern w:val="0"/>
                <w:sz w:val="21"/>
                <w:szCs w:val="21"/>
                <w:lang w:val="en-US" w:eastAsia="zh-CN" w:bidi="ar"/>
              </w:rPr>
              <w:t>20</w:t>
            </w:r>
            <w:r>
              <w:rPr>
                <w:rFonts w:hint="eastAsia" w:ascii="宋体" w:hAnsi="宋体" w:eastAsia="宋体" w:cs="宋体"/>
                <w:color w:val="000000"/>
                <w:kern w:val="0"/>
                <w:sz w:val="21"/>
                <w:szCs w:val="21"/>
                <w:lang w:val="en-US" w:eastAsia="zh-CN" w:bidi="ar"/>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AD7D8BE">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监理工程概况、范围、监理内容</w:t>
            </w:r>
            <w:r>
              <w:rPr>
                <w:rFonts w:hint="default" w:ascii="宋体" w:hAnsi="宋体" w:eastAsia="宋体" w:cs="宋体"/>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 xml:space="preserve"> 2</w:t>
            </w:r>
            <w:r>
              <w:rPr>
                <w:rFonts w:hint="default" w:ascii="宋体" w:hAnsi="宋体" w:eastAsia="宋体" w:cs="宋体"/>
                <w:color w:val="000000"/>
                <w:kern w:val="0"/>
                <w:sz w:val="21"/>
                <w:szCs w:val="21"/>
                <w:lang w:val="en-US" w:eastAsia="zh-CN" w:bidi="ar"/>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4475DA">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宋体"/>
                <w:color w:val="000000"/>
                <w:kern w:val="0"/>
                <w:sz w:val="21"/>
                <w:szCs w:val="21"/>
                <w:lang w:val="en-US" w:eastAsia="zh-CN" w:bidi="ar"/>
              </w:rPr>
              <w:t>根据监理工程概况、范围、监理内容表述是否清晰明确，完整，具有较强的针对性。</w:t>
            </w:r>
            <w:r>
              <w:rPr>
                <w:rFonts w:hint="eastAsia" w:ascii="宋体" w:hAnsi="宋体" w:eastAsia="宋体" w:cs="宋体"/>
                <w:color w:val="000000"/>
                <w:kern w:val="0"/>
                <w:szCs w:val="21"/>
                <w:lang w:eastAsia="zh-CN" w:bidi="ar"/>
              </w:rPr>
              <w:t xml:space="preserve"> </w:t>
            </w:r>
            <w:r>
              <w:rPr>
                <w:rFonts w:hint="eastAsia"/>
                <w:szCs w:val="21"/>
                <w:lang w:val="en-US" w:eastAsia="zh-CN"/>
              </w:rPr>
              <w:t>酌情打0-2分</w:t>
            </w:r>
          </w:p>
        </w:tc>
      </w:tr>
      <w:tr w14:paraId="3C3E79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3603A8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39069CB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2D680B">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监理依据、监理工作目标</w:t>
            </w:r>
            <w:r>
              <w:rPr>
                <w:rFonts w:hint="default" w:ascii="宋体" w:hAnsi="宋体" w:eastAsia="宋体" w:cs="宋体"/>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 xml:space="preserve"> 2 </w:t>
            </w:r>
            <w:r>
              <w:rPr>
                <w:rFonts w:hint="default" w:ascii="宋体" w:hAnsi="宋体" w:eastAsia="宋体" w:cs="宋体"/>
                <w:color w:val="000000"/>
                <w:kern w:val="0"/>
                <w:sz w:val="21"/>
                <w:szCs w:val="21"/>
                <w:lang w:val="en-US" w:eastAsia="zh-CN" w:bidi="ar"/>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5DB5F3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宋体"/>
                <w:color w:val="000000"/>
                <w:kern w:val="0"/>
                <w:sz w:val="21"/>
                <w:szCs w:val="21"/>
                <w:lang w:val="en-US" w:eastAsia="zh-CN" w:bidi="ar"/>
              </w:rPr>
              <w:t>根据监理依据是否符合国家行业规范要求，监理工作目标是否明确。</w:t>
            </w:r>
            <w:r>
              <w:rPr>
                <w:rFonts w:hint="eastAsia" w:ascii="宋体" w:hAnsi="宋体" w:eastAsia="宋体" w:cs="宋体"/>
                <w:color w:val="000000"/>
                <w:kern w:val="0"/>
                <w:szCs w:val="21"/>
                <w:lang w:eastAsia="zh-CN" w:bidi="ar"/>
              </w:rPr>
              <w:t xml:space="preserve"> </w:t>
            </w:r>
            <w:r>
              <w:rPr>
                <w:rFonts w:hint="eastAsia"/>
                <w:szCs w:val="21"/>
                <w:lang w:val="en-US" w:eastAsia="zh-CN"/>
              </w:rPr>
              <w:t>酌情打0-2分</w:t>
            </w:r>
          </w:p>
        </w:tc>
      </w:tr>
      <w:tr w14:paraId="4B0A50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62644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07DDD07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896C50D">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监理机构设置和岗位职责</w:t>
            </w:r>
            <w:r>
              <w:rPr>
                <w:rFonts w:hint="default" w:ascii="宋体" w:hAnsi="宋体" w:eastAsia="宋体" w:cs="宋体"/>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 xml:space="preserve"> 2 </w:t>
            </w:r>
            <w:r>
              <w:rPr>
                <w:rFonts w:hint="default" w:ascii="宋体" w:hAnsi="宋体" w:eastAsia="宋体" w:cs="宋体"/>
                <w:color w:val="000000"/>
                <w:kern w:val="0"/>
                <w:sz w:val="21"/>
                <w:szCs w:val="21"/>
                <w:lang w:val="en-US" w:eastAsia="zh-CN" w:bidi="ar"/>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767D351">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宋体"/>
                <w:color w:val="000000"/>
                <w:kern w:val="0"/>
                <w:sz w:val="21"/>
                <w:szCs w:val="21"/>
                <w:lang w:val="en-US" w:eastAsia="zh-CN" w:bidi="ar"/>
              </w:rPr>
              <w:t>根据是否有明确的组织形式，项目监理班子人员结构、岗位职责任务是否明确。</w:t>
            </w:r>
            <w:r>
              <w:rPr>
                <w:rFonts w:hint="eastAsia" w:ascii="宋体" w:hAnsi="宋体" w:eastAsia="宋体" w:cs="宋体"/>
                <w:color w:val="000000"/>
                <w:kern w:val="0"/>
                <w:szCs w:val="21"/>
                <w:lang w:eastAsia="zh-CN" w:bidi="ar"/>
              </w:rPr>
              <w:t xml:space="preserve"> </w:t>
            </w:r>
            <w:r>
              <w:rPr>
                <w:rFonts w:hint="eastAsia"/>
                <w:szCs w:val="21"/>
                <w:lang w:val="en-US" w:eastAsia="zh-CN"/>
              </w:rPr>
              <w:t>酌情打0-2分</w:t>
            </w:r>
          </w:p>
        </w:tc>
      </w:tr>
      <w:tr w14:paraId="186FBE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2EF688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14F6CF9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02ED3B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监理程序、方法和制度</w:t>
            </w:r>
            <w:r>
              <w:rPr>
                <w:rFonts w:hint="default" w:ascii="宋体" w:hAnsi="宋体" w:eastAsia="宋体" w:cs="宋体"/>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 xml:space="preserve"> 2 </w:t>
            </w:r>
            <w:r>
              <w:rPr>
                <w:rFonts w:hint="default" w:ascii="宋体" w:hAnsi="宋体" w:eastAsia="宋体" w:cs="宋体"/>
                <w:color w:val="000000"/>
                <w:kern w:val="0"/>
                <w:sz w:val="21"/>
                <w:szCs w:val="21"/>
                <w:lang w:val="en-US" w:eastAsia="zh-CN" w:bidi="ar"/>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DD39B1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宋体"/>
                <w:color w:val="000000"/>
                <w:kern w:val="0"/>
                <w:sz w:val="21"/>
                <w:szCs w:val="21"/>
                <w:lang w:val="en-US" w:eastAsia="zh-CN" w:bidi="ar"/>
              </w:rPr>
              <w:t>根据监理程序、方法是否得当可行，监理工作制度是否完善。</w:t>
            </w:r>
            <w:r>
              <w:rPr>
                <w:rFonts w:hint="eastAsia" w:ascii="宋体" w:hAnsi="宋体" w:eastAsia="宋体" w:cs="宋体"/>
                <w:color w:val="000000"/>
                <w:kern w:val="0"/>
                <w:szCs w:val="21"/>
                <w:lang w:eastAsia="zh-CN" w:bidi="ar"/>
              </w:rPr>
              <w:t xml:space="preserve"> </w:t>
            </w:r>
            <w:r>
              <w:rPr>
                <w:rFonts w:hint="eastAsia"/>
                <w:szCs w:val="21"/>
                <w:lang w:val="en-US" w:eastAsia="zh-CN"/>
              </w:rPr>
              <w:t>酌情打0-2分</w:t>
            </w:r>
          </w:p>
        </w:tc>
      </w:tr>
      <w:tr w14:paraId="326048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E6041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0864F8B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3AA477">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拟投入的监理人员、试验检测仪器设备</w:t>
            </w:r>
            <w:r>
              <w:rPr>
                <w:rFonts w:hint="default" w:ascii="宋体" w:hAnsi="宋体" w:eastAsia="宋体" w:cs="宋体"/>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 xml:space="preserve"> 2 </w:t>
            </w:r>
            <w:r>
              <w:rPr>
                <w:rFonts w:hint="default" w:ascii="宋体" w:hAnsi="宋体" w:eastAsia="宋体" w:cs="宋体"/>
                <w:color w:val="000000"/>
                <w:kern w:val="0"/>
                <w:sz w:val="21"/>
                <w:szCs w:val="21"/>
                <w:lang w:val="en-US" w:eastAsia="zh-CN" w:bidi="ar"/>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E1C9541">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宋体" w:hAnsi="宋体" w:eastAsia="宋体" w:cs="宋体"/>
                <w:color w:val="000000"/>
                <w:kern w:val="0"/>
                <w:sz w:val="21"/>
                <w:szCs w:val="21"/>
                <w:lang w:val="en-US" w:eastAsia="zh-CN" w:bidi="ar"/>
              </w:rPr>
              <w:t>根据监理人员、测量、试验检测仪器设备配备是否齐全、合理。</w:t>
            </w:r>
            <w:r>
              <w:rPr>
                <w:rFonts w:hint="eastAsia" w:ascii="宋体" w:hAnsi="宋体" w:eastAsia="宋体" w:cs="宋体"/>
                <w:color w:val="000000"/>
                <w:kern w:val="0"/>
                <w:szCs w:val="21"/>
                <w:lang w:eastAsia="zh-CN" w:bidi="ar"/>
              </w:rPr>
              <w:t xml:space="preserve"> </w:t>
            </w:r>
            <w:r>
              <w:rPr>
                <w:rFonts w:hint="eastAsia"/>
                <w:szCs w:val="21"/>
                <w:lang w:val="en-US" w:eastAsia="zh-CN"/>
              </w:rPr>
              <w:t>酌情打0-2分</w:t>
            </w:r>
          </w:p>
        </w:tc>
      </w:tr>
      <w:tr w14:paraId="144F5B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908CD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3CA2E9B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3DDB617">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质量、进度、造价控制措施</w:t>
            </w:r>
            <w:r>
              <w:rPr>
                <w:rFonts w:hint="default" w:ascii="宋体" w:hAnsi="宋体" w:eastAsia="宋体" w:cs="宋体"/>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 xml:space="preserve"> 2 </w:t>
            </w:r>
            <w:r>
              <w:rPr>
                <w:rFonts w:hint="default" w:ascii="宋体" w:hAnsi="宋体" w:eastAsia="宋体" w:cs="宋体"/>
                <w:color w:val="000000"/>
                <w:kern w:val="0"/>
                <w:sz w:val="21"/>
                <w:szCs w:val="21"/>
                <w:lang w:val="en-US" w:eastAsia="zh-CN" w:bidi="ar"/>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45905DE">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宋体" w:hAnsi="宋体" w:eastAsia="宋体" w:cs="宋体"/>
                <w:color w:val="000000"/>
                <w:kern w:val="0"/>
                <w:sz w:val="21"/>
                <w:szCs w:val="21"/>
                <w:lang w:val="en-US" w:eastAsia="zh-CN" w:bidi="ar"/>
              </w:rPr>
              <w:t>根据质量、进度、造价控制措施是否具体有效，目标是否明确，关键部位考虑是否周到细致，预控措施、方法是否切实可行。</w:t>
            </w:r>
            <w:r>
              <w:rPr>
                <w:rFonts w:hint="eastAsia" w:ascii="宋体" w:hAnsi="宋体" w:eastAsia="宋体" w:cs="宋体"/>
                <w:color w:val="000000"/>
                <w:kern w:val="0"/>
                <w:szCs w:val="21"/>
                <w:lang w:eastAsia="zh-CN" w:bidi="ar"/>
              </w:rPr>
              <w:t xml:space="preserve"> </w:t>
            </w:r>
            <w:r>
              <w:rPr>
                <w:rFonts w:hint="eastAsia"/>
                <w:szCs w:val="21"/>
                <w:lang w:val="en-US" w:eastAsia="zh-CN"/>
              </w:rPr>
              <w:t>酌情打0-2分</w:t>
            </w:r>
          </w:p>
        </w:tc>
      </w:tr>
      <w:tr w14:paraId="5CE766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0BF9C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6A03657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5DABD06">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安全、环保监理措施</w:t>
            </w:r>
            <w:r>
              <w:rPr>
                <w:rFonts w:hint="default" w:ascii="宋体" w:hAnsi="宋体" w:eastAsia="宋体" w:cs="宋体"/>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 xml:space="preserve"> 2 </w:t>
            </w:r>
            <w:r>
              <w:rPr>
                <w:rFonts w:hint="default" w:ascii="宋体" w:hAnsi="宋体" w:eastAsia="宋体" w:cs="宋体"/>
                <w:color w:val="000000"/>
                <w:kern w:val="0"/>
                <w:sz w:val="21"/>
                <w:szCs w:val="21"/>
                <w:lang w:val="en-US" w:eastAsia="zh-CN" w:bidi="ar"/>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BA93F2F">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宋体" w:hAnsi="宋体" w:eastAsia="宋体" w:cs="宋体"/>
                <w:color w:val="000000"/>
                <w:kern w:val="0"/>
                <w:sz w:val="21"/>
                <w:szCs w:val="21"/>
                <w:lang w:val="en-US" w:eastAsia="zh-CN" w:bidi="ar"/>
              </w:rPr>
              <w:t>根据安全、环保监理措施是否具体有效，方法是否切实可行。</w:t>
            </w:r>
            <w:r>
              <w:rPr>
                <w:rFonts w:hint="eastAsia" w:ascii="宋体" w:hAnsi="宋体" w:eastAsia="宋体" w:cs="宋体"/>
                <w:color w:val="000000"/>
                <w:kern w:val="0"/>
                <w:szCs w:val="21"/>
                <w:lang w:eastAsia="zh-CN" w:bidi="ar"/>
              </w:rPr>
              <w:t xml:space="preserve"> </w:t>
            </w:r>
            <w:r>
              <w:rPr>
                <w:rFonts w:hint="eastAsia"/>
                <w:szCs w:val="21"/>
                <w:lang w:val="en-US" w:eastAsia="zh-CN"/>
              </w:rPr>
              <w:t>酌情打0-2分</w:t>
            </w:r>
          </w:p>
        </w:tc>
      </w:tr>
      <w:tr w14:paraId="6D0DD1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1186E5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14:paraId="58B727C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A3D3131">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合同、信息管理方案</w:t>
            </w:r>
            <w:r>
              <w:rPr>
                <w:rFonts w:hint="default" w:ascii="宋体" w:hAnsi="宋体" w:eastAsia="宋体" w:cs="宋体"/>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 xml:space="preserve"> 2 </w:t>
            </w:r>
            <w:r>
              <w:rPr>
                <w:rFonts w:hint="default" w:ascii="宋体" w:hAnsi="宋体" w:eastAsia="宋体" w:cs="宋体"/>
                <w:color w:val="000000"/>
                <w:kern w:val="0"/>
                <w:sz w:val="21"/>
                <w:szCs w:val="21"/>
                <w:lang w:val="en-US" w:eastAsia="zh-CN" w:bidi="ar"/>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A3AAFEE">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rPr>
            </w:pPr>
            <w:r>
              <w:rPr>
                <w:rFonts w:hint="eastAsia" w:ascii="宋体" w:hAnsi="宋体" w:eastAsia="宋体" w:cs="宋体"/>
                <w:color w:val="000000"/>
                <w:kern w:val="0"/>
                <w:sz w:val="21"/>
                <w:szCs w:val="21"/>
                <w:lang w:val="en-US" w:eastAsia="zh-CN" w:bidi="ar"/>
              </w:rPr>
              <w:t>根据合同、信息管理的措施是否详细合理齐全、针对性强。</w:t>
            </w:r>
            <w:r>
              <w:rPr>
                <w:rFonts w:hint="eastAsia" w:ascii="宋体" w:hAnsi="宋体" w:eastAsia="宋体" w:cs="宋体"/>
                <w:color w:val="000000"/>
                <w:kern w:val="0"/>
                <w:szCs w:val="21"/>
                <w:lang w:eastAsia="zh-CN" w:bidi="ar"/>
              </w:rPr>
              <w:t xml:space="preserve"> </w:t>
            </w:r>
            <w:r>
              <w:rPr>
                <w:rFonts w:hint="eastAsia"/>
                <w:szCs w:val="21"/>
                <w:lang w:val="en-US" w:eastAsia="zh-CN"/>
              </w:rPr>
              <w:t>酌情打0-2分</w:t>
            </w:r>
          </w:p>
        </w:tc>
      </w:tr>
      <w:tr w14:paraId="1E2C32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right w:val="single" w:color="auto" w:sz="4" w:space="0"/>
            </w:tcBorders>
            <w:noWrap w:val="0"/>
            <w:vAlign w:val="center"/>
          </w:tcPr>
          <w:p w14:paraId="3F59E7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restart"/>
            <w:tcBorders>
              <w:right w:val="single" w:color="auto" w:sz="4" w:space="0"/>
            </w:tcBorders>
            <w:noWrap w:val="0"/>
            <w:vAlign w:val="center"/>
          </w:tcPr>
          <w:p w14:paraId="726B789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4A5F84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组织协调内容及措施</w:t>
            </w:r>
            <w:r>
              <w:rPr>
                <w:rFonts w:hint="default" w:ascii="宋体" w:hAnsi="宋体" w:eastAsia="宋体" w:cs="宋体"/>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 xml:space="preserve"> 2 </w:t>
            </w:r>
            <w:r>
              <w:rPr>
                <w:rFonts w:hint="default" w:ascii="宋体" w:hAnsi="宋体" w:eastAsia="宋体" w:cs="宋体"/>
                <w:color w:val="000000"/>
                <w:kern w:val="0"/>
                <w:sz w:val="21"/>
                <w:szCs w:val="21"/>
                <w:lang w:val="en-US" w:eastAsia="zh-CN" w:bidi="ar"/>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A1A111">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根据组织沟通、协调措施是否详细可行。</w:t>
            </w:r>
            <w:r>
              <w:rPr>
                <w:rFonts w:hint="eastAsia" w:ascii="宋体" w:hAnsi="宋体" w:eastAsia="宋体" w:cs="宋体"/>
                <w:color w:val="000000"/>
                <w:kern w:val="0"/>
                <w:szCs w:val="21"/>
                <w:lang w:eastAsia="zh-CN" w:bidi="ar"/>
              </w:rPr>
              <w:t xml:space="preserve"> </w:t>
            </w:r>
            <w:r>
              <w:rPr>
                <w:rFonts w:hint="eastAsia"/>
                <w:szCs w:val="21"/>
                <w:lang w:val="en-US" w:eastAsia="zh-CN"/>
              </w:rPr>
              <w:t>酌情打0-2分</w:t>
            </w:r>
          </w:p>
        </w:tc>
      </w:tr>
      <w:tr w14:paraId="5328A0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44A223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1812877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shd w:val="clear"/>
            <w:noWrap w:val="0"/>
            <w:vAlign w:val="center"/>
          </w:tcPr>
          <w:p w14:paraId="1982F56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监理工作重点、难点分析、合理化建议</w:t>
            </w:r>
            <w:r>
              <w:rPr>
                <w:rFonts w:hint="default" w:ascii="宋体" w:hAnsi="宋体" w:eastAsia="宋体" w:cs="宋体"/>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 xml:space="preserve"> 2 </w:t>
            </w:r>
            <w:r>
              <w:rPr>
                <w:rFonts w:hint="default" w:ascii="宋体" w:hAnsi="宋体" w:eastAsia="宋体" w:cs="宋体"/>
                <w:color w:val="000000"/>
                <w:kern w:val="0"/>
                <w:sz w:val="21"/>
                <w:szCs w:val="21"/>
                <w:lang w:val="en-US" w:eastAsia="zh-CN" w:bidi="ar"/>
              </w:rPr>
              <w:t>分）</w:t>
            </w:r>
          </w:p>
        </w:tc>
        <w:tc>
          <w:tcPr>
            <w:tcW w:w="4836" w:type="dxa"/>
            <w:tcBorders>
              <w:top w:val="single" w:color="auto" w:sz="4" w:space="0"/>
              <w:left w:val="single" w:color="auto" w:sz="4" w:space="0"/>
              <w:bottom w:val="single" w:color="auto" w:sz="4" w:space="0"/>
              <w:right w:val="single" w:color="auto" w:sz="4" w:space="0"/>
            </w:tcBorders>
            <w:shd w:val="clear"/>
            <w:noWrap w:val="0"/>
            <w:vAlign w:val="center"/>
          </w:tcPr>
          <w:p w14:paraId="6D4C35B7">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根据监理重点、难点对策分析是否针对性强，是否有合理化建议，解决方案是否切实可行，符合工程特点。</w:t>
            </w:r>
            <w:r>
              <w:rPr>
                <w:rFonts w:hint="eastAsia" w:ascii="宋体" w:hAnsi="宋体" w:eastAsia="宋体" w:cs="宋体"/>
                <w:color w:val="000000"/>
                <w:kern w:val="0"/>
                <w:szCs w:val="21"/>
                <w:lang w:eastAsia="zh-CN" w:bidi="ar"/>
              </w:rPr>
              <w:t xml:space="preserve"> </w:t>
            </w:r>
            <w:r>
              <w:rPr>
                <w:rFonts w:hint="eastAsia"/>
                <w:szCs w:val="21"/>
                <w:lang w:val="en-US" w:eastAsia="zh-CN"/>
              </w:rPr>
              <w:t>酌情打0-2分</w:t>
            </w:r>
          </w:p>
        </w:tc>
      </w:tr>
      <w:tr w14:paraId="48000F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5E5377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14:paraId="799BC23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6820" w:type="dxa"/>
            <w:gridSpan w:val="2"/>
            <w:tcBorders>
              <w:top w:val="single" w:color="auto" w:sz="4" w:space="0"/>
              <w:left w:val="single" w:color="auto" w:sz="4" w:space="0"/>
              <w:bottom w:val="single" w:color="auto" w:sz="4" w:space="0"/>
              <w:right w:val="single" w:color="auto" w:sz="4" w:space="0"/>
            </w:tcBorders>
            <w:noWrap w:val="0"/>
            <w:vAlign w:val="center"/>
          </w:tcPr>
          <w:p w14:paraId="6A3FC66A">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kern w:val="0"/>
                <w:sz w:val="21"/>
                <w:szCs w:val="21"/>
                <w:lang w:val="en-US" w:eastAsia="zh-CN" w:bidi="ar"/>
              </w:rPr>
            </w:pPr>
            <w:r>
              <w:rPr>
                <w:rFonts w:hint="eastAsia" w:eastAsiaTheme="minorEastAsia"/>
                <w:color w:val="FF0000"/>
                <w:szCs w:val="21"/>
                <w:lang w:eastAsia="zh-CN"/>
              </w:rPr>
              <w:t>注：</w:t>
            </w:r>
            <w:r>
              <w:rPr>
                <w:rFonts w:hint="eastAsia"/>
                <w:color w:val="FF0000"/>
                <w:szCs w:val="21"/>
                <w:lang w:val="en-US" w:eastAsia="zh-CN"/>
              </w:rPr>
              <w:t>监理大纲</w:t>
            </w:r>
            <w:bookmarkStart w:id="492" w:name="_GoBack"/>
            <w:bookmarkEnd w:id="492"/>
            <w:r>
              <w:rPr>
                <w:rFonts w:hint="eastAsia" w:eastAsiaTheme="minorEastAsia"/>
                <w:color w:val="FF0000"/>
                <w:szCs w:val="21"/>
                <w:lang w:eastAsia="zh-CN"/>
              </w:rPr>
              <w:t>原则上不得超过200页，否则酌情扣分。</w:t>
            </w:r>
          </w:p>
        </w:tc>
      </w:tr>
      <w:tr w14:paraId="487CBB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346363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14:paraId="2FC1D0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14:paraId="41A6B94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lang w:val="en-US" w:eastAsia="zh-CN"/>
              </w:rPr>
              <w:t>资信业绩</w:t>
            </w:r>
            <w:r>
              <w:rPr>
                <w:rFonts w:hint="eastAsia"/>
              </w:rPr>
              <w:t>（满分</w:t>
            </w:r>
            <w:r>
              <w:rPr>
                <w:rFonts w:hint="eastAsia"/>
                <w:lang w:val="en-US" w:eastAsia="zh-CN"/>
              </w:rPr>
              <w:t>20</w:t>
            </w:r>
            <w:r>
              <w:rPr>
                <w:rFonts w:hint="eastAsia"/>
              </w:rPr>
              <w:t>分</w:t>
            </w:r>
            <w:r>
              <w:rPr>
                <w:rFonts w:hint="eastAsia"/>
                <w:lang w:eastAsia="zh-CN"/>
              </w:rPr>
              <w:t>）</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E52F27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投标人业绩</w:t>
            </w:r>
          </w:p>
          <w:p w14:paraId="53D4046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FC3AF7">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kern w:val="0"/>
                <w:sz w:val="24"/>
                <w:szCs w:val="24"/>
                <w:highlight w:val="none"/>
                <w:lang w:val="en-US" w:eastAsia="zh-CN"/>
              </w:rPr>
            </w:pPr>
            <w:r>
              <w:rPr>
                <w:rFonts w:hint="eastAsia"/>
              </w:rPr>
              <w:t>在满足招标公告类似项目业绩要求的基础上，企业</w:t>
            </w:r>
            <w:r>
              <w:rPr>
                <w:rFonts w:hint="eastAsia"/>
                <w:color w:val="auto"/>
                <w:lang w:val="en-US" w:eastAsia="zh-CN"/>
              </w:rPr>
              <w:t>每额外</w:t>
            </w:r>
            <w:r>
              <w:rPr>
                <w:rFonts w:hint="eastAsia"/>
              </w:rPr>
              <w:t>提供1个单项合同</w:t>
            </w:r>
            <w:r>
              <w:rPr>
                <w:rFonts w:hint="eastAsia"/>
                <w:u w:val="single"/>
                <w:lang w:val="en-US" w:eastAsia="zh-CN"/>
              </w:rPr>
              <w:t>3MW</w:t>
            </w:r>
            <w:r>
              <w:rPr>
                <w:rFonts w:hint="eastAsia"/>
              </w:rPr>
              <w:t>及以上的</w:t>
            </w:r>
            <w:r>
              <w:rPr>
                <w:rFonts w:hint="eastAsia" w:ascii="宋体" w:hAnsi="宋体" w:eastAsia="宋体" w:cs="宋体"/>
                <w:color w:val="000000"/>
                <w:kern w:val="0"/>
                <w:sz w:val="20"/>
                <w:szCs w:val="20"/>
                <w:lang w:val="en-US" w:eastAsia="zh-CN" w:bidi="ar"/>
              </w:rPr>
              <w:t>光伏发电工程监理</w:t>
            </w:r>
            <w:r>
              <w:rPr>
                <w:rFonts w:hint="eastAsia" w:ascii="宋体" w:hAnsi="宋体" w:eastAsia="宋体" w:cs="宋体"/>
                <w:b/>
                <w:bCs/>
                <w:color w:val="000000"/>
                <w:kern w:val="0"/>
                <w:sz w:val="20"/>
                <w:szCs w:val="20"/>
                <w:lang w:val="en-US" w:eastAsia="zh-CN" w:bidi="ar"/>
              </w:rPr>
              <w:t>业绩</w:t>
            </w:r>
            <w:r>
              <w:rPr>
                <w:rFonts w:hint="eastAsia"/>
                <w:lang w:val="en-US" w:eastAsia="zh-CN"/>
              </w:rPr>
              <w:t>得5分</w:t>
            </w:r>
            <w:r>
              <w:rPr>
                <w:rFonts w:hint="eastAsia"/>
              </w:rPr>
              <w:t>，满分</w:t>
            </w:r>
            <w:r>
              <w:rPr>
                <w:rFonts w:hint="eastAsia"/>
                <w:lang w:val="en-US" w:eastAsia="zh-CN"/>
              </w:rPr>
              <w:t>10</w:t>
            </w:r>
            <w:r>
              <w:rPr>
                <w:rFonts w:hint="eastAsia"/>
              </w:rPr>
              <w:t>分</w:t>
            </w:r>
          </w:p>
        </w:tc>
      </w:tr>
      <w:tr w14:paraId="72C9D9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202587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2E8A872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AE46A7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w:t>
            </w:r>
          </w:p>
          <w:p w14:paraId="54D49A6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05AFF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szCs w:val="21"/>
              </w:rPr>
              <w:t>20</w:t>
            </w:r>
            <w:r>
              <w:rPr>
                <w:rFonts w:hint="eastAsia"/>
                <w:szCs w:val="21"/>
                <w:lang w:val="en-US" w:eastAsia="zh-CN"/>
              </w:rPr>
              <w:t>21</w:t>
            </w:r>
            <w:r>
              <w:rPr>
                <w:rFonts w:hint="eastAsia"/>
                <w:szCs w:val="21"/>
              </w:rPr>
              <w:t>年1月1日以来投标人</w:t>
            </w:r>
            <w:r>
              <w:rPr>
                <w:rFonts w:hint="eastAsia"/>
                <w:szCs w:val="21"/>
                <w:lang w:val="en-US" w:eastAsia="zh-CN"/>
              </w:rPr>
              <w:t>获得</w:t>
            </w:r>
            <w:r>
              <w:rPr>
                <w:rFonts w:hint="eastAsia"/>
                <w:szCs w:val="21"/>
              </w:rPr>
              <w:t>省级</w:t>
            </w:r>
            <w:r>
              <w:rPr>
                <w:rFonts w:hint="eastAsia"/>
                <w:szCs w:val="21"/>
                <w:lang w:val="en-US" w:eastAsia="zh-CN"/>
              </w:rPr>
              <w:t>及以上</w:t>
            </w:r>
            <w:r>
              <w:rPr>
                <w:rFonts w:hint="eastAsia"/>
                <w:szCs w:val="21"/>
              </w:rPr>
              <w:t>优秀工程监理企业的得</w:t>
            </w:r>
            <w:r>
              <w:rPr>
                <w:rFonts w:hint="eastAsia"/>
                <w:szCs w:val="21"/>
                <w:lang w:val="en-US" w:eastAsia="zh-CN"/>
              </w:rPr>
              <w:t>6</w:t>
            </w:r>
            <w:r>
              <w:rPr>
                <w:rFonts w:hint="eastAsia"/>
                <w:szCs w:val="21"/>
              </w:rPr>
              <w:t>分，</w:t>
            </w:r>
            <w:r>
              <w:rPr>
                <w:rFonts w:hint="eastAsia"/>
                <w:szCs w:val="21"/>
                <w:lang w:val="en-US" w:eastAsia="zh-CN"/>
              </w:rPr>
              <w:t>获得</w:t>
            </w:r>
            <w:r>
              <w:rPr>
                <w:rFonts w:hint="eastAsia"/>
                <w:lang w:val="en-US" w:eastAsia="zh-CN"/>
              </w:rPr>
              <w:t>市级优秀工程监理企业的，得3分。本项</w:t>
            </w:r>
            <w:r>
              <w:rPr>
                <w:rFonts w:hint="eastAsia"/>
                <w:szCs w:val="21"/>
                <w:lang w:val="en-US" w:eastAsia="zh-CN"/>
              </w:rPr>
              <w:t>满分6</w:t>
            </w:r>
            <w:r>
              <w:rPr>
                <w:rFonts w:hint="eastAsia"/>
                <w:szCs w:val="21"/>
              </w:rPr>
              <w:t>分。</w:t>
            </w:r>
          </w:p>
        </w:tc>
      </w:tr>
      <w:tr w14:paraId="21444D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2B7D08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40F8BAE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B88C58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lang w:val="en-US" w:eastAsia="zh-CN"/>
              </w:rPr>
              <w:t>拟任项目负责人业绩</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DA60D5B">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lang w:val="en-US" w:eastAsia="zh-CN"/>
              </w:rPr>
              <w:t>拟派项目负责人以总监理工程师身份所监理的工程总装机规模不低于</w:t>
            </w:r>
            <w:r>
              <w:rPr>
                <w:rFonts w:hint="eastAsia"/>
                <w:color w:val="FF0000"/>
                <w:lang w:val="en-US" w:eastAsia="zh-CN"/>
              </w:rPr>
              <w:t>3MW</w:t>
            </w:r>
            <w:r>
              <w:rPr>
                <w:rFonts w:hint="eastAsia"/>
              </w:rPr>
              <w:t>光伏发电工程监理</w:t>
            </w:r>
            <w:r>
              <w:rPr>
                <w:rFonts w:hint="eastAsia"/>
                <w:lang w:val="en-US" w:eastAsia="zh-CN"/>
              </w:rPr>
              <w:t>业绩，每提供1个得4分。满分4分</w:t>
            </w:r>
          </w:p>
        </w:tc>
      </w:tr>
      <w:tr w14:paraId="2F924D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05879F6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14:paraId="047D80D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6820" w:type="dxa"/>
            <w:gridSpan w:val="2"/>
            <w:tcBorders>
              <w:top w:val="single" w:color="auto" w:sz="4" w:space="0"/>
              <w:left w:val="single" w:color="auto" w:sz="4" w:space="0"/>
              <w:bottom w:val="single" w:color="auto" w:sz="4" w:space="0"/>
              <w:right w:val="single" w:color="auto" w:sz="4" w:space="0"/>
            </w:tcBorders>
            <w:noWrap w:val="0"/>
            <w:vAlign w:val="center"/>
          </w:tcPr>
          <w:p w14:paraId="48DD01DB">
            <w:pPr>
              <w:keepNext w:val="0"/>
              <w:keepLines w:val="0"/>
              <w:widowControl/>
              <w:suppressLineNumbers w:val="0"/>
              <w:jc w:val="left"/>
              <w:rPr>
                <w:rFonts w:hint="default"/>
                <w:lang w:val="en-US"/>
              </w:rPr>
            </w:pPr>
            <w:r>
              <w:rPr>
                <w:rFonts w:hint="eastAsia" w:ascii="宋体" w:hAnsi="宋体" w:eastAsia="宋体" w:cs="宋体"/>
                <w:b/>
                <w:bCs/>
                <w:color w:val="000000"/>
                <w:kern w:val="0"/>
                <w:sz w:val="20"/>
                <w:szCs w:val="20"/>
                <w:lang w:val="en-US" w:eastAsia="zh-CN" w:bidi="ar"/>
              </w:rPr>
              <w:t>注</w:t>
            </w:r>
            <w:r>
              <w:rPr>
                <w:rFonts w:hint="eastAsia" w:ascii="宋体" w:hAnsi="宋体" w:eastAsia="宋体" w:cs="宋体"/>
                <w:color w:val="000000"/>
                <w:kern w:val="0"/>
                <w:sz w:val="20"/>
                <w:szCs w:val="20"/>
                <w:lang w:val="en-US" w:eastAsia="zh-CN" w:bidi="ar"/>
              </w:rPr>
              <w:t>：①企业、拟派项目负责人</w:t>
            </w:r>
            <w:r>
              <w:rPr>
                <w:rFonts w:hint="eastAsia" w:ascii="宋体" w:hAnsi="宋体" w:eastAsia="宋体" w:cs="宋体"/>
                <w:b/>
                <w:bCs/>
                <w:color w:val="000000"/>
                <w:kern w:val="0"/>
                <w:sz w:val="20"/>
                <w:szCs w:val="20"/>
                <w:lang w:val="en-US" w:eastAsia="zh-CN" w:bidi="ar"/>
              </w:rPr>
              <w:t>类似项目业绩</w:t>
            </w:r>
            <w:r>
              <w:rPr>
                <w:rFonts w:hint="eastAsia" w:ascii="宋体" w:hAnsi="宋体" w:eastAsia="宋体" w:cs="宋体"/>
                <w:color w:val="000000"/>
                <w:kern w:val="0"/>
                <w:sz w:val="20"/>
                <w:szCs w:val="20"/>
                <w:lang w:val="en-US" w:eastAsia="zh-CN" w:bidi="ar"/>
              </w:rPr>
              <w:t xml:space="preserve">：投标文件中须提供合同协议书、竣工验收报告，否则不加分。 </w:t>
            </w:r>
          </w:p>
          <w:p w14:paraId="1C531A45">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②以</w:t>
            </w:r>
            <w:r>
              <w:rPr>
                <w:rFonts w:hint="eastAsia" w:ascii="宋体" w:hAnsi="宋体" w:eastAsia="宋体" w:cs="宋体"/>
                <w:b/>
                <w:bCs/>
                <w:color w:val="000000"/>
                <w:kern w:val="0"/>
                <w:sz w:val="20"/>
                <w:szCs w:val="20"/>
                <w:lang w:val="en-US" w:eastAsia="zh-CN" w:bidi="ar"/>
              </w:rPr>
              <w:t>上类似项目业绩是指投标人自 2021 年1月1日起至今承接的光伏发电工程监理业绩，业绩时间以合同签订时间为准。</w:t>
            </w:r>
          </w:p>
          <w:p w14:paraId="436F8FAE">
            <w:pPr>
              <w:keepNext w:val="0"/>
              <w:keepLines w:val="0"/>
              <w:widowControl/>
              <w:suppressLineNumbers w:val="0"/>
              <w:jc w:val="left"/>
              <w:rPr>
                <w:rFonts w:hint="eastAsia"/>
                <w:lang w:val="en-US" w:eastAsia="zh-CN"/>
              </w:rPr>
            </w:pPr>
            <w:r>
              <w:rPr>
                <w:rFonts w:hint="default" w:ascii="Calibri" w:hAnsi="Calibri" w:cs="Calibri"/>
                <w:sz w:val="15"/>
                <w:szCs w:val="15"/>
              </w:rPr>
              <w:t>③</w:t>
            </w:r>
            <w:r>
              <w:rPr>
                <w:rFonts w:hint="eastAsia" w:ascii="宋体" w:hAnsi="宋体" w:eastAsia="宋体" w:cs="宋体"/>
                <w:color w:val="000000"/>
                <w:kern w:val="0"/>
                <w:sz w:val="20"/>
                <w:szCs w:val="20"/>
                <w:lang w:val="en-US" w:eastAsia="zh-CN" w:bidi="ar"/>
              </w:rPr>
              <w:t>企业类似项目业绩与拟派项目负责人</w:t>
            </w:r>
            <w:r>
              <w:rPr>
                <w:rFonts w:hint="eastAsia" w:ascii="宋体" w:hAnsi="宋体" w:eastAsia="宋体" w:cs="宋体"/>
                <w:b/>
                <w:bCs/>
                <w:color w:val="000000"/>
                <w:kern w:val="0"/>
                <w:sz w:val="20"/>
                <w:szCs w:val="20"/>
                <w:lang w:val="en-US" w:eastAsia="zh-CN" w:bidi="ar"/>
              </w:rPr>
              <w:t>业绩不可以重复使用。</w:t>
            </w:r>
          </w:p>
        </w:tc>
      </w:tr>
      <w:tr w14:paraId="0E421A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14:paraId="63D5101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14:paraId="3703A7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right w:val="single" w:color="auto" w:sz="4" w:space="0"/>
            </w:tcBorders>
            <w:noWrap w:val="0"/>
            <w:vAlign w:val="center"/>
          </w:tcPr>
          <w:p w14:paraId="6D6F2BC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14:paraId="04F99B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60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5657E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价格分偏差率</w:t>
            </w:r>
          </w:p>
          <w:p w14:paraId="7FA77C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60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4A69DF8">
            <w:pPr>
              <w:keepNext w:val="0"/>
              <w:keepLines w:val="0"/>
              <w:widowControl/>
              <w:suppressLineNumbers w:val="0"/>
              <w:jc w:val="left"/>
              <w:rPr>
                <w:rFonts w:hint="eastAsia" w:ascii="宋体" w:hAnsi="宋体" w:eastAsia="宋体" w:cs="宋体"/>
                <w:b w:val="0"/>
                <w:bCs w:val="0"/>
                <w:color w:val="FF0000"/>
                <w:kern w:val="0"/>
                <w:sz w:val="20"/>
                <w:szCs w:val="20"/>
                <w:lang w:val="en-US" w:eastAsia="zh-CN" w:bidi="ar"/>
              </w:rPr>
            </w:pPr>
            <w:r>
              <w:rPr>
                <w:rFonts w:hint="eastAsia" w:ascii="宋体" w:hAnsi="宋体" w:eastAsia="宋体" w:cs="宋体"/>
                <w:b w:val="0"/>
                <w:bCs w:val="0"/>
                <w:color w:val="FF0000"/>
                <w:kern w:val="0"/>
                <w:sz w:val="20"/>
                <w:szCs w:val="20"/>
                <w:lang w:val="en-US" w:eastAsia="zh-CN" w:bidi="ar"/>
              </w:rPr>
              <w:t xml:space="preserve">评标基准价的确定： </w:t>
            </w:r>
          </w:p>
          <w:p w14:paraId="0A801527">
            <w:pPr>
              <w:pStyle w:val="6"/>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val="0"/>
                <w:bCs w:val="0"/>
                <w:color w:val="FF0000"/>
                <w:kern w:val="0"/>
                <w:sz w:val="20"/>
                <w:szCs w:val="20"/>
                <w:lang w:val="en-US" w:eastAsia="zh-CN" w:bidi="ar"/>
              </w:rPr>
              <w:t>评标基准价为各有效报价经计算后的算术平均值（保留小数点后面两位），评标基准价的计算规则如下：</w:t>
            </w:r>
            <w:r>
              <w:rPr>
                <w:rFonts w:hint="eastAsia" w:ascii="宋体" w:hAnsi="宋体" w:eastAsia="宋体" w:cs="宋体"/>
                <w:b/>
                <w:bCs/>
                <w:color w:val="000000"/>
                <w:kern w:val="0"/>
                <w:sz w:val="20"/>
                <w:szCs w:val="20"/>
                <w:lang w:val="en-US" w:eastAsia="zh-CN" w:bidi="ar"/>
              </w:rPr>
              <w:t xml:space="preserve"> </w:t>
            </w:r>
          </w:p>
          <w:p w14:paraId="0D1F0D54">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1</w:t>
            </w:r>
            <w:r>
              <w:rPr>
                <w:rFonts w:hint="eastAsia" w:ascii="宋体" w:hAnsi="宋体" w:eastAsia="宋体" w:cs="宋体"/>
                <w:b/>
                <w:bCs/>
                <w:color w:val="000000"/>
                <w:kern w:val="0"/>
                <w:sz w:val="20"/>
                <w:szCs w:val="20"/>
                <w:lang w:val="en-US" w:eastAsia="zh-CN" w:bidi="ar"/>
              </w:rPr>
              <w:t xml:space="preserve">）有效报价在 </w:t>
            </w:r>
            <w:r>
              <w:rPr>
                <w:rFonts w:hint="default" w:ascii="宋体" w:hAnsi="宋体" w:eastAsia="宋体" w:cs="宋体"/>
                <w:b/>
                <w:bCs/>
                <w:color w:val="000000"/>
                <w:kern w:val="0"/>
                <w:sz w:val="20"/>
                <w:szCs w:val="20"/>
                <w:lang w:val="en-US" w:eastAsia="zh-CN" w:bidi="ar"/>
              </w:rPr>
              <w:t xml:space="preserve">5 </w:t>
            </w:r>
            <w:r>
              <w:rPr>
                <w:rFonts w:hint="eastAsia" w:ascii="宋体" w:hAnsi="宋体" w:eastAsia="宋体" w:cs="宋体"/>
                <w:b/>
                <w:bCs/>
                <w:color w:val="000000"/>
                <w:kern w:val="0"/>
                <w:sz w:val="20"/>
                <w:szCs w:val="20"/>
                <w:lang w:val="en-US" w:eastAsia="zh-CN" w:bidi="ar"/>
              </w:rPr>
              <w:t xml:space="preserve">家（含）以下时，则直接取其算术平均值。 </w:t>
            </w:r>
          </w:p>
          <w:p w14:paraId="1EA6648E">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2</w:t>
            </w:r>
            <w:r>
              <w:rPr>
                <w:rFonts w:hint="eastAsia" w:ascii="宋体" w:hAnsi="宋体" w:eastAsia="宋体" w:cs="宋体"/>
                <w:b/>
                <w:bCs/>
                <w:color w:val="000000"/>
                <w:kern w:val="0"/>
                <w:sz w:val="20"/>
                <w:szCs w:val="20"/>
                <w:lang w:val="en-US" w:eastAsia="zh-CN" w:bidi="ar"/>
              </w:rPr>
              <w:t xml:space="preserve">）有效报价在 </w:t>
            </w:r>
            <w:r>
              <w:rPr>
                <w:rFonts w:hint="default" w:ascii="宋体" w:hAnsi="宋体" w:eastAsia="宋体" w:cs="宋体"/>
                <w:b/>
                <w:bCs/>
                <w:color w:val="000000"/>
                <w:kern w:val="0"/>
                <w:sz w:val="20"/>
                <w:szCs w:val="20"/>
                <w:lang w:val="en-US" w:eastAsia="zh-CN" w:bidi="ar"/>
              </w:rPr>
              <w:t xml:space="preserve">6 </w:t>
            </w:r>
            <w:r>
              <w:rPr>
                <w:rFonts w:hint="eastAsia" w:ascii="宋体" w:hAnsi="宋体" w:eastAsia="宋体" w:cs="宋体"/>
                <w:b/>
                <w:bCs/>
                <w:color w:val="000000"/>
                <w:kern w:val="0"/>
                <w:sz w:val="20"/>
                <w:szCs w:val="20"/>
                <w:lang w:val="en-US" w:eastAsia="zh-CN" w:bidi="ar"/>
              </w:rPr>
              <w:t xml:space="preserve">家（含）至 </w:t>
            </w:r>
            <w:r>
              <w:rPr>
                <w:rFonts w:hint="default" w:ascii="宋体" w:hAnsi="宋体" w:eastAsia="宋体" w:cs="宋体"/>
                <w:b/>
                <w:bCs/>
                <w:color w:val="000000"/>
                <w:kern w:val="0"/>
                <w:sz w:val="20"/>
                <w:szCs w:val="20"/>
                <w:lang w:val="en-US" w:eastAsia="zh-CN" w:bidi="ar"/>
              </w:rPr>
              <w:t xml:space="preserve">10 </w:t>
            </w:r>
            <w:r>
              <w:rPr>
                <w:rFonts w:hint="eastAsia" w:ascii="宋体" w:hAnsi="宋体" w:eastAsia="宋体" w:cs="宋体"/>
                <w:b/>
                <w:bCs/>
                <w:color w:val="000000"/>
                <w:kern w:val="0"/>
                <w:sz w:val="20"/>
                <w:szCs w:val="20"/>
                <w:lang w:val="en-US" w:eastAsia="zh-CN" w:bidi="ar"/>
              </w:rPr>
              <w:t>家（含）时，去掉</w:t>
            </w:r>
            <w:r>
              <w:rPr>
                <w:rFonts w:hint="default" w:ascii="宋体" w:hAnsi="宋体" w:eastAsia="宋体" w:cs="宋体"/>
                <w:b/>
                <w:bCs/>
                <w:color w:val="000000"/>
                <w:kern w:val="0"/>
                <w:sz w:val="20"/>
                <w:szCs w:val="20"/>
                <w:lang w:val="en-US" w:eastAsia="zh-CN" w:bidi="ar"/>
              </w:rPr>
              <w:t>1</w:t>
            </w:r>
            <w:r>
              <w:rPr>
                <w:rFonts w:hint="eastAsia" w:ascii="宋体" w:hAnsi="宋体" w:eastAsia="宋体" w:cs="宋体"/>
                <w:b/>
                <w:bCs/>
                <w:color w:val="000000"/>
                <w:kern w:val="0"/>
                <w:sz w:val="20"/>
                <w:szCs w:val="20"/>
                <w:lang w:val="en-US" w:eastAsia="zh-CN" w:bidi="ar"/>
              </w:rPr>
              <w:t>个最高价，</w:t>
            </w:r>
            <w:r>
              <w:rPr>
                <w:rFonts w:hint="default" w:ascii="宋体" w:hAnsi="宋体" w:eastAsia="宋体" w:cs="宋体"/>
                <w:b/>
                <w:bCs/>
                <w:color w:val="000000"/>
                <w:kern w:val="0"/>
                <w:sz w:val="20"/>
                <w:szCs w:val="20"/>
                <w:lang w:val="en-US" w:eastAsia="zh-CN" w:bidi="ar"/>
              </w:rPr>
              <w:t xml:space="preserve">1 </w:t>
            </w:r>
            <w:r>
              <w:rPr>
                <w:rFonts w:hint="eastAsia" w:ascii="宋体" w:hAnsi="宋体" w:eastAsia="宋体" w:cs="宋体"/>
                <w:b/>
                <w:bCs/>
                <w:color w:val="000000"/>
                <w:kern w:val="0"/>
                <w:sz w:val="20"/>
                <w:szCs w:val="20"/>
                <w:lang w:val="en-US" w:eastAsia="zh-CN" w:bidi="ar"/>
              </w:rPr>
              <w:t xml:space="preserve">个最低价，取余下投标人的投标报价算术平均值。 </w:t>
            </w:r>
          </w:p>
          <w:p w14:paraId="61121152">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2</w:t>
            </w:r>
            <w:r>
              <w:rPr>
                <w:rFonts w:hint="eastAsia" w:ascii="宋体" w:hAnsi="宋体" w:eastAsia="宋体" w:cs="宋体"/>
                <w:b/>
                <w:bCs/>
                <w:color w:val="000000"/>
                <w:kern w:val="0"/>
                <w:sz w:val="20"/>
                <w:szCs w:val="20"/>
                <w:lang w:val="en-US" w:eastAsia="zh-CN" w:bidi="ar"/>
              </w:rPr>
              <w:t xml:space="preserve">）有效报价为 </w:t>
            </w:r>
            <w:r>
              <w:rPr>
                <w:rFonts w:hint="default" w:ascii="宋体" w:hAnsi="宋体" w:eastAsia="宋体" w:cs="宋体"/>
                <w:b/>
                <w:bCs/>
                <w:color w:val="000000"/>
                <w:kern w:val="0"/>
                <w:sz w:val="20"/>
                <w:szCs w:val="20"/>
                <w:lang w:val="en-US" w:eastAsia="zh-CN" w:bidi="ar"/>
              </w:rPr>
              <w:t xml:space="preserve">11 </w:t>
            </w:r>
            <w:r>
              <w:rPr>
                <w:rFonts w:hint="eastAsia" w:ascii="宋体" w:hAnsi="宋体" w:eastAsia="宋体" w:cs="宋体"/>
                <w:b/>
                <w:bCs/>
                <w:color w:val="000000"/>
                <w:kern w:val="0"/>
                <w:sz w:val="20"/>
                <w:szCs w:val="20"/>
                <w:lang w:val="en-US" w:eastAsia="zh-CN" w:bidi="ar"/>
              </w:rPr>
              <w:t xml:space="preserve">家（含）至 </w:t>
            </w:r>
            <w:r>
              <w:rPr>
                <w:rFonts w:hint="default" w:ascii="宋体" w:hAnsi="宋体" w:eastAsia="宋体" w:cs="宋体"/>
                <w:b/>
                <w:bCs/>
                <w:color w:val="000000"/>
                <w:kern w:val="0"/>
                <w:sz w:val="20"/>
                <w:szCs w:val="20"/>
                <w:lang w:val="en-US" w:eastAsia="zh-CN" w:bidi="ar"/>
              </w:rPr>
              <w:t xml:space="preserve">20 </w:t>
            </w:r>
            <w:r>
              <w:rPr>
                <w:rFonts w:hint="eastAsia" w:ascii="宋体" w:hAnsi="宋体" w:eastAsia="宋体" w:cs="宋体"/>
                <w:b/>
                <w:bCs/>
                <w:color w:val="000000"/>
                <w:kern w:val="0"/>
                <w:sz w:val="20"/>
                <w:szCs w:val="20"/>
                <w:lang w:val="en-US" w:eastAsia="zh-CN" w:bidi="ar"/>
              </w:rPr>
              <w:t xml:space="preserve">家（含）时，去掉 </w:t>
            </w:r>
            <w:r>
              <w:rPr>
                <w:rFonts w:hint="default" w:ascii="宋体" w:hAnsi="宋体" w:eastAsia="宋体" w:cs="宋体"/>
                <w:b/>
                <w:bCs/>
                <w:color w:val="000000"/>
                <w:kern w:val="0"/>
                <w:sz w:val="20"/>
                <w:szCs w:val="20"/>
                <w:lang w:val="en-US" w:eastAsia="zh-CN" w:bidi="ar"/>
              </w:rPr>
              <w:t>2</w:t>
            </w:r>
            <w:r>
              <w:rPr>
                <w:rFonts w:hint="eastAsia" w:ascii="宋体" w:hAnsi="宋体" w:eastAsia="宋体" w:cs="宋体"/>
                <w:b/>
                <w:bCs/>
                <w:color w:val="000000"/>
                <w:kern w:val="0"/>
                <w:sz w:val="20"/>
                <w:szCs w:val="20"/>
                <w:lang w:val="en-US" w:eastAsia="zh-CN" w:bidi="ar"/>
              </w:rPr>
              <w:t xml:space="preserve">个最高价和 </w:t>
            </w:r>
            <w:r>
              <w:rPr>
                <w:rFonts w:hint="default" w:ascii="宋体" w:hAnsi="宋体" w:eastAsia="宋体" w:cs="宋体"/>
                <w:b/>
                <w:bCs/>
                <w:color w:val="000000"/>
                <w:kern w:val="0"/>
                <w:sz w:val="20"/>
                <w:szCs w:val="20"/>
                <w:lang w:val="en-US" w:eastAsia="zh-CN" w:bidi="ar"/>
              </w:rPr>
              <w:t xml:space="preserve">2 </w:t>
            </w:r>
            <w:r>
              <w:rPr>
                <w:rFonts w:hint="eastAsia" w:ascii="宋体" w:hAnsi="宋体" w:eastAsia="宋体" w:cs="宋体"/>
                <w:b/>
                <w:bCs/>
                <w:color w:val="000000"/>
                <w:kern w:val="0"/>
                <w:sz w:val="20"/>
                <w:szCs w:val="20"/>
                <w:lang w:val="en-US" w:eastAsia="zh-CN" w:bidi="ar"/>
              </w:rPr>
              <w:t xml:space="preserve">个最低价，取余下投标人的投标报价算术平均值。 </w:t>
            </w:r>
          </w:p>
          <w:p w14:paraId="2B408C8A">
            <w:pPr>
              <w:keepNext w:val="0"/>
              <w:keepLines w:val="0"/>
              <w:widowControl/>
              <w:suppressLineNumbers w:val="0"/>
              <w:jc w:val="left"/>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w:t>
            </w:r>
            <w:r>
              <w:rPr>
                <w:rFonts w:hint="default" w:ascii="宋体" w:hAnsi="宋体" w:eastAsia="宋体" w:cs="宋体"/>
                <w:b/>
                <w:bCs/>
                <w:color w:val="000000"/>
                <w:kern w:val="0"/>
                <w:sz w:val="20"/>
                <w:szCs w:val="20"/>
                <w:lang w:val="en-US" w:eastAsia="zh-CN" w:bidi="ar"/>
              </w:rPr>
              <w:t>3</w:t>
            </w:r>
            <w:r>
              <w:rPr>
                <w:rFonts w:hint="eastAsia" w:ascii="宋体" w:hAnsi="宋体" w:eastAsia="宋体" w:cs="宋体"/>
                <w:b/>
                <w:bCs/>
                <w:color w:val="000000"/>
                <w:kern w:val="0"/>
                <w:sz w:val="20"/>
                <w:szCs w:val="20"/>
                <w:lang w:val="en-US" w:eastAsia="zh-CN" w:bidi="ar"/>
              </w:rPr>
              <w:t xml:space="preserve">）有效报价为 </w:t>
            </w:r>
            <w:r>
              <w:rPr>
                <w:rFonts w:hint="default" w:ascii="宋体" w:hAnsi="宋体" w:eastAsia="宋体" w:cs="宋体"/>
                <w:b/>
                <w:bCs/>
                <w:color w:val="000000"/>
                <w:kern w:val="0"/>
                <w:sz w:val="20"/>
                <w:szCs w:val="20"/>
                <w:lang w:val="en-US" w:eastAsia="zh-CN" w:bidi="ar"/>
              </w:rPr>
              <w:t xml:space="preserve">20 </w:t>
            </w:r>
            <w:r>
              <w:rPr>
                <w:rFonts w:hint="eastAsia" w:ascii="宋体" w:hAnsi="宋体" w:eastAsia="宋体" w:cs="宋体"/>
                <w:b/>
                <w:bCs/>
                <w:color w:val="000000"/>
                <w:kern w:val="0"/>
                <w:sz w:val="20"/>
                <w:szCs w:val="20"/>
                <w:lang w:val="en-US" w:eastAsia="zh-CN" w:bidi="ar"/>
              </w:rPr>
              <w:t xml:space="preserve">家（不含）以上时，去掉 </w:t>
            </w:r>
            <w:r>
              <w:rPr>
                <w:rFonts w:hint="default" w:ascii="宋体" w:hAnsi="宋体" w:eastAsia="宋体" w:cs="宋体"/>
                <w:b/>
                <w:bCs/>
                <w:color w:val="000000"/>
                <w:kern w:val="0"/>
                <w:sz w:val="20"/>
                <w:szCs w:val="20"/>
                <w:lang w:val="en-US" w:eastAsia="zh-CN" w:bidi="ar"/>
              </w:rPr>
              <w:t xml:space="preserve">3 </w:t>
            </w:r>
            <w:r>
              <w:rPr>
                <w:rFonts w:hint="eastAsia" w:ascii="宋体" w:hAnsi="宋体" w:eastAsia="宋体" w:cs="宋体"/>
                <w:b/>
                <w:bCs/>
                <w:color w:val="000000"/>
                <w:kern w:val="0"/>
                <w:sz w:val="20"/>
                <w:szCs w:val="20"/>
                <w:lang w:val="en-US" w:eastAsia="zh-CN" w:bidi="ar"/>
              </w:rPr>
              <w:t xml:space="preserve">个最高价和 </w:t>
            </w:r>
            <w:r>
              <w:rPr>
                <w:rFonts w:hint="default" w:ascii="宋体" w:hAnsi="宋体" w:eastAsia="宋体" w:cs="宋体"/>
                <w:b/>
                <w:bCs/>
                <w:color w:val="000000"/>
                <w:kern w:val="0"/>
                <w:sz w:val="20"/>
                <w:szCs w:val="20"/>
                <w:lang w:val="en-US" w:eastAsia="zh-CN" w:bidi="ar"/>
              </w:rPr>
              <w:t xml:space="preserve">3 </w:t>
            </w:r>
            <w:r>
              <w:rPr>
                <w:rFonts w:hint="eastAsia" w:ascii="宋体" w:hAnsi="宋体" w:eastAsia="宋体" w:cs="宋体"/>
                <w:b/>
                <w:bCs/>
                <w:color w:val="000000"/>
                <w:kern w:val="0"/>
                <w:sz w:val="20"/>
                <w:szCs w:val="20"/>
                <w:lang w:val="en-US" w:eastAsia="zh-CN" w:bidi="ar"/>
              </w:rPr>
              <w:t xml:space="preserve">个最低价，取余下投标人的投标报价算术平均值。 </w:t>
            </w:r>
          </w:p>
          <w:p w14:paraId="7ADB5116">
            <w:pPr>
              <w:keepNext w:val="0"/>
              <w:keepLines w:val="0"/>
              <w:pageBreakBefore w:val="0"/>
              <w:widowControl w:val="0"/>
              <w:kinsoku/>
              <w:wordWrap w:val="0"/>
              <w:overflowPunct/>
              <w:topLinePunct w:val="0"/>
              <w:autoSpaceDE/>
              <w:autoSpaceDN/>
              <w:bidi w:val="0"/>
              <w:adjustRightInd/>
              <w:snapToGrid/>
              <w:spacing w:line="440" w:lineRule="exact"/>
              <w:ind w:firstLine="0" w:firstLineChars="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各投标人的投标报价得分按以下公式计算：</w:t>
            </w:r>
          </w:p>
          <w:p w14:paraId="57A9A8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（1）投标人的投标报价等于评标基准价得60分；</w:t>
            </w:r>
          </w:p>
          <w:p w14:paraId="61B7D1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（2）投标人的投标报价高于评标基准价：60-（投标人投标报价-评标基准价）/评标基准价*100*1；</w:t>
            </w:r>
          </w:p>
          <w:p w14:paraId="1F49342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（3）投标人的投标报价低于评标基准价：60+（投标人投标报价-评标基准价）/评标基准价*100*0.5；</w:t>
            </w:r>
          </w:p>
          <w:p w14:paraId="6A54851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最终计算结果四舍五入保留两位小数。</w:t>
            </w:r>
          </w:p>
        </w:tc>
      </w:tr>
    </w:tbl>
    <w:p w14:paraId="0EF0EA7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14:paraId="137A65A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3158A540">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568D68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14:paraId="6B8C536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9" w:name="_Toc152045590"/>
      <w:bookmarkStart w:id="380" w:name="_Toc144974557"/>
      <w:bookmarkStart w:id="381" w:name="_Toc246996233"/>
      <w:bookmarkStart w:id="382" w:name="_Toc247085748"/>
      <w:bookmarkStart w:id="383" w:name="_Toc296602478"/>
      <w:bookmarkStart w:id="384" w:name="_Toc179632608"/>
      <w:bookmarkStart w:id="385" w:name="_Toc152042367"/>
      <w:bookmarkStart w:id="386" w:name="_Toc246996976"/>
      <w:r>
        <w:rPr>
          <w:rFonts w:hint="default" w:ascii="Times New Roman" w:hAnsi="Times New Roman" w:cs="Times New Roman" w:eastAsiaTheme="minorEastAsia"/>
          <w:b/>
          <w:bCs/>
          <w:kern w:val="0"/>
          <w:sz w:val="28"/>
          <w:szCs w:val="28"/>
          <w:highlight w:val="none"/>
        </w:rPr>
        <w:t>2. 评审标准</w:t>
      </w:r>
      <w:bookmarkEnd w:id="379"/>
      <w:bookmarkEnd w:id="380"/>
      <w:bookmarkEnd w:id="381"/>
      <w:bookmarkEnd w:id="382"/>
      <w:bookmarkEnd w:id="383"/>
      <w:bookmarkEnd w:id="384"/>
      <w:bookmarkEnd w:id="385"/>
      <w:bookmarkEnd w:id="386"/>
    </w:p>
    <w:p w14:paraId="197DEDF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7" w:name="_Toc246996234"/>
      <w:bookmarkStart w:id="388" w:name="_Toc246996977"/>
      <w:bookmarkStart w:id="389" w:name="_Toc144974558"/>
      <w:bookmarkStart w:id="390" w:name="_Toc247085749"/>
      <w:bookmarkStart w:id="391" w:name="_Toc152042368"/>
      <w:bookmarkStart w:id="392" w:name="_Toc296602479"/>
      <w:bookmarkStart w:id="393" w:name="_Toc152045591"/>
      <w:bookmarkStart w:id="394" w:name="_Toc17963260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7"/>
      <w:bookmarkEnd w:id="388"/>
      <w:bookmarkEnd w:id="389"/>
      <w:bookmarkEnd w:id="390"/>
      <w:bookmarkEnd w:id="391"/>
      <w:bookmarkEnd w:id="392"/>
      <w:bookmarkEnd w:id="393"/>
      <w:bookmarkEnd w:id="394"/>
    </w:p>
    <w:p w14:paraId="1D9A160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04A667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35251A6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6F799BB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5" w:name="_Toc144974560"/>
      <w:bookmarkStart w:id="396" w:name="_Toc247085751"/>
      <w:bookmarkStart w:id="397" w:name="_Toc246996979"/>
      <w:bookmarkStart w:id="398" w:name="_Toc246996236"/>
      <w:bookmarkStart w:id="399" w:name="_Toc179632611"/>
      <w:bookmarkStart w:id="400" w:name="_Toc152045593"/>
      <w:bookmarkStart w:id="401" w:name="_Toc296602481"/>
      <w:bookmarkStart w:id="402" w:name="_Toc15204237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14:paraId="481BFCA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14:paraId="60982B7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default" w:ascii="Times New Roman" w:hAnsi="Times New Roman" w:cs="Times New Roman" w:eastAsiaTheme="minorEastAsia"/>
          <w:color w:val="auto"/>
          <w:kern w:val="0"/>
          <w:sz w:val="24"/>
          <w:szCs w:val="24"/>
          <w:lang w:val="en-US" w:eastAsia="zh-CN" w:bidi="ar"/>
        </w:rPr>
        <w:t>监理大纲</w:t>
      </w:r>
      <w:r>
        <w:rPr>
          <w:rFonts w:hint="default" w:ascii="Times New Roman" w:hAnsi="Times New Roman" w:cs="Times New Roman" w:eastAsiaTheme="minorEastAsia"/>
          <w:kern w:val="0"/>
          <w:sz w:val="24"/>
          <w:szCs w:val="24"/>
          <w:highlight w:val="none"/>
        </w:rPr>
        <w:t>：见评标办法前附表；</w:t>
      </w:r>
    </w:p>
    <w:p w14:paraId="73A6B910">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default" w:ascii="Times New Roman" w:hAnsi="Times New Roman" w:cs="Times New Roman" w:eastAsiaTheme="minorEastAsia"/>
          <w:kern w:val="0"/>
          <w:sz w:val="24"/>
          <w:szCs w:val="24"/>
          <w:highlight w:val="none"/>
        </w:rPr>
        <w:t>：见评标办法前附表；</w:t>
      </w:r>
    </w:p>
    <w:p w14:paraId="4B84D5B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p>
    <w:p w14:paraId="380B4DC3">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14:paraId="7F57917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14:paraId="3C055D4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14:paraId="3B7710C6">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14:paraId="7003DB2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14:paraId="33EA0A1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r>
        <w:rPr>
          <w:rFonts w:hint="default" w:ascii="Times New Roman" w:hAnsi="Times New Roman" w:cs="Times New Roman" w:eastAsiaTheme="minorEastAsia"/>
          <w:color w:val="auto"/>
          <w:kern w:val="0"/>
          <w:sz w:val="24"/>
          <w:szCs w:val="24"/>
          <w:lang w:val="en-US" w:eastAsia="zh-CN" w:bidi="ar"/>
        </w:rPr>
        <w:t>监理大纲</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45B2D2A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1D64B88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7CD1B2E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5"/>
      <w:bookmarkEnd w:id="396"/>
      <w:bookmarkEnd w:id="397"/>
      <w:bookmarkEnd w:id="398"/>
      <w:bookmarkEnd w:id="399"/>
      <w:bookmarkEnd w:id="400"/>
      <w:bookmarkEnd w:id="401"/>
      <w:bookmarkEnd w:id="402"/>
    </w:p>
    <w:p w14:paraId="738CCBE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3" w:name="_Toc152045594"/>
      <w:bookmarkStart w:id="404" w:name="_Toc179632612"/>
      <w:bookmarkStart w:id="405" w:name="_Toc246996237"/>
      <w:bookmarkStart w:id="406" w:name="_Toc144974561"/>
      <w:bookmarkStart w:id="407" w:name="_Toc247085752"/>
      <w:bookmarkStart w:id="408" w:name="_Toc296602482"/>
      <w:bookmarkStart w:id="409" w:name="_Toc152042371"/>
      <w:bookmarkStart w:id="410" w:name="_Toc246996980"/>
      <w:r>
        <w:rPr>
          <w:rFonts w:hint="default" w:ascii="Times New Roman" w:hAnsi="Times New Roman" w:cs="Times New Roman" w:eastAsiaTheme="minorEastAsia"/>
          <w:b/>
          <w:bCs/>
          <w:kern w:val="0"/>
          <w:sz w:val="28"/>
          <w:szCs w:val="28"/>
          <w:highlight w:val="none"/>
        </w:rPr>
        <w:t>3.1 初步评审</w:t>
      </w:r>
      <w:bookmarkEnd w:id="403"/>
      <w:bookmarkEnd w:id="404"/>
      <w:bookmarkEnd w:id="405"/>
      <w:bookmarkEnd w:id="406"/>
      <w:bookmarkEnd w:id="407"/>
      <w:bookmarkEnd w:id="408"/>
      <w:bookmarkEnd w:id="409"/>
      <w:bookmarkEnd w:id="410"/>
    </w:p>
    <w:p w14:paraId="2966C3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14:paraId="62CF948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14:paraId="10C4D94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5CD5E2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35D5DFD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14:paraId="3855713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797E346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7DBDA08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78107B8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1" w:name="_Toc152045595"/>
      <w:bookmarkStart w:id="412" w:name="_Toc296602483"/>
      <w:bookmarkStart w:id="413" w:name="_Toc144974562"/>
      <w:bookmarkStart w:id="414" w:name="_Toc152042372"/>
      <w:bookmarkStart w:id="415" w:name="_Toc247085753"/>
      <w:bookmarkStart w:id="416" w:name="_Toc246996238"/>
      <w:bookmarkStart w:id="417" w:name="_Toc179632613"/>
      <w:bookmarkStart w:id="418" w:name="_Toc246996981"/>
      <w:r>
        <w:rPr>
          <w:rFonts w:hint="default" w:ascii="Times New Roman" w:hAnsi="Times New Roman" w:cs="Times New Roman" w:eastAsiaTheme="minorEastAsia"/>
          <w:b/>
          <w:bCs/>
          <w:kern w:val="0"/>
          <w:sz w:val="28"/>
          <w:szCs w:val="28"/>
          <w:highlight w:val="none"/>
        </w:rPr>
        <w:t>3.2 详细评审</w:t>
      </w:r>
      <w:bookmarkEnd w:id="411"/>
      <w:bookmarkEnd w:id="412"/>
      <w:bookmarkEnd w:id="413"/>
      <w:bookmarkEnd w:id="414"/>
      <w:bookmarkEnd w:id="415"/>
      <w:bookmarkEnd w:id="416"/>
      <w:bookmarkEnd w:id="417"/>
      <w:bookmarkEnd w:id="418"/>
    </w:p>
    <w:p w14:paraId="1E23B62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9" w:name="_Toc144974563"/>
      <w:bookmarkStart w:id="420" w:name="_Toc247085754"/>
      <w:bookmarkStart w:id="421" w:name="_Toc246996239"/>
      <w:bookmarkStart w:id="422" w:name="_Toc152042373"/>
      <w:bookmarkStart w:id="423" w:name="_Toc246996982"/>
      <w:bookmarkStart w:id="424" w:name="_Toc296602484"/>
      <w:bookmarkStart w:id="425" w:name="_Toc152045596"/>
      <w:bookmarkStart w:id="426" w:name="_Toc17963261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14:paraId="369201B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kern w:val="0"/>
          <w:sz w:val="24"/>
          <w:szCs w:val="24"/>
          <w:highlight w:val="none"/>
          <w:lang w:val="en-US" w:eastAsia="zh-CN"/>
        </w:rPr>
        <w:t>计算出得分A；</w:t>
      </w:r>
    </w:p>
    <w:p w14:paraId="567B2F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资信业绩计算出得分B；</w:t>
      </w:r>
    </w:p>
    <w:p w14:paraId="0417870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第2.2.4（3）目规定的评审因素和分值对投标报价计算出得分C</w:t>
      </w:r>
      <w:r>
        <w:rPr>
          <w:rFonts w:hint="eastAsia" w:ascii="Times New Roman" w:hAnsi="Times New Roman" w:cs="Times New Roman"/>
          <w:kern w:val="0"/>
          <w:sz w:val="24"/>
          <w:szCs w:val="24"/>
          <w:highlight w:val="none"/>
          <w:lang w:val="en-US" w:eastAsia="zh-CN"/>
        </w:rPr>
        <w:t>。</w:t>
      </w:r>
    </w:p>
    <w:p w14:paraId="41F2DEC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14:paraId="4DF713F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p>
    <w:p w14:paraId="603AC31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14:paraId="0063651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9"/>
      <w:r>
        <w:rPr>
          <w:rFonts w:hint="default" w:ascii="Times New Roman" w:hAnsi="Times New Roman" w:cs="Times New Roman" w:eastAsiaTheme="minorEastAsia"/>
          <w:b/>
          <w:bCs/>
          <w:kern w:val="0"/>
          <w:sz w:val="28"/>
          <w:szCs w:val="28"/>
          <w:highlight w:val="none"/>
        </w:rPr>
        <w:t>和补正</w:t>
      </w:r>
      <w:bookmarkEnd w:id="420"/>
      <w:bookmarkEnd w:id="421"/>
      <w:bookmarkEnd w:id="422"/>
      <w:bookmarkEnd w:id="423"/>
      <w:bookmarkEnd w:id="424"/>
      <w:bookmarkEnd w:id="425"/>
      <w:bookmarkEnd w:id="426"/>
    </w:p>
    <w:p w14:paraId="26A4CBB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14:paraId="5A40E69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41F7E4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7D8EFD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57A690D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0C22217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14:paraId="790D5C0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14:paraId="4D53BBF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14:paraId="1BB2E5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14:paraId="4E0F4F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14:paraId="68BD1F3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086AAEC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7439500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7A3D30EB">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489D74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EBFCDD8">
      <w:pPr>
        <w:spacing w:before="156" w:beforeLines="50" w:after="156" w:afterLines="50" w:line="480" w:lineRule="exact"/>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rPr>
        <w:t>本项目使用《建设工程监理合同</w:t>
      </w:r>
      <w:r>
        <w:rPr>
          <w:rFonts w:hint="eastAsia" w:asciiTheme="majorEastAsia" w:hAnsiTheme="majorEastAsia" w:eastAsiaTheme="majorEastAsia" w:cstheme="majorEastAsia"/>
          <w:b/>
          <w:bCs/>
          <w:sz w:val="32"/>
          <w:szCs w:val="32"/>
          <w:lang w:eastAsia="zh-CN"/>
        </w:rPr>
        <w:t>（</w:t>
      </w:r>
      <w:r>
        <w:rPr>
          <w:rFonts w:hint="eastAsia" w:asciiTheme="majorEastAsia" w:hAnsiTheme="majorEastAsia" w:eastAsiaTheme="majorEastAsia" w:cstheme="majorEastAsia"/>
          <w:b/>
          <w:bCs/>
          <w:sz w:val="32"/>
          <w:szCs w:val="32"/>
        </w:rPr>
        <w:t>示范文本</w:t>
      </w:r>
      <w:r>
        <w:rPr>
          <w:rFonts w:hint="eastAsia" w:asciiTheme="majorEastAsia" w:hAnsiTheme="majorEastAsia" w:eastAsiaTheme="majorEastAsia" w:cstheme="majorEastAsia"/>
          <w:b/>
          <w:bCs/>
          <w:sz w:val="32"/>
          <w:szCs w:val="32"/>
          <w:lang w:eastAsia="zh-CN"/>
        </w:rPr>
        <w:t>）</w:t>
      </w:r>
      <w:r>
        <w:rPr>
          <w:rFonts w:hint="eastAsia" w:asciiTheme="majorEastAsia" w:hAnsiTheme="majorEastAsia" w:eastAsiaTheme="majorEastAsia" w:cstheme="majorEastAsia"/>
          <w:b/>
          <w:bCs/>
          <w:sz w:val="32"/>
          <w:szCs w:val="32"/>
        </w:rPr>
        <w:t xml:space="preserve"> 》 (GF-2012-0202)。</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38E2E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526D11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3A035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03C66A5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1AE3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7268D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F3947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540D5AE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heme="minorEastAsia" w:hAnsiTheme="minorEastAsia" w:cstheme="minorEastAsia"/>
                <w:sz w:val="28"/>
                <w:szCs w:val="28"/>
                <w:lang w:val="en-US" w:eastAsia="zh-CN"/>
              </w:rPr>
              <w:t>亳州新能源发展有限公司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
        </w:tc>
      </w:tr>
      <w:tr w14:paraId="5F5F3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6F975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50015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932A70E">
            <w:pPr>
              <w:widowControl/>
              <w:wordWrap/>
              <w:spacing w:line="360" w:lineRule="auto"/>
              <w:ind w:firstLine="480" w:firstLineChars="200"/>
              <w:jc w:val="both"/>
              <w:rPr>
                <w:rFonts w:hint="eastAsia" w:ascii="仿宋" w:hAnsi="仿宋" w:eastAsia="仿宋" w:cs="仿宋"/>
                <w:i w:val="0"/>
                <w:iCs w:val="0"/>
                <w:color w:val="000000"/>
                <w:kern w:val="0"/>
                <w:sz w:val="30"/>
                <w:szCs w:val="30"/>
                <w:u w:val="none"/>
                <w:lang w:bidi="ar"/>
              </w:rPr>
            </w:pPr>
            <w:r>
              <w:rPr>
                <w:rFonts w:hint="eastAsia" w:ascii="Times New Roman" w:hAnsi="Times New Roman" w:cs="Times New Roman"/>
                <w:color w:val="auto"/>
                <w:kern w:val="0"/>
                <w:sz w:val="24"/>
                <w:szCs w:val="24"/>
                <w:lang w:val="en-US" w:eastAsia="zh-CN" w:bidi="ar"/>
              </w:rPr>
              <w:t>单个项目竣工结算审核完成后，付至该项目审定监理价款的97%（监理费为工程竣工结算审定金额乘以中标费率），余款3%作为质量保证金，工程质保期满且无质量问题后无息付清。质保期自单个项目竣工验收合格之日起2年</w:t>
            </w:r>
            <w:r>
              <w:rPr>
                <w:rFonts w:hint="default" w:ascii="Times New Roman" w:hAnsi="Times New Roman" w:cs="Times New Roman"/>
                <w:color w:val="auto"/>
                <w:kern w:val="0"/>
                <w:sz w:val="24"/>
                <w:szCs w:val="24"/>
                <w:lang w:val="en-US" w:eastAsia="zh-CN" w:bidi="ar"/>
              </w:rPr>
              <w:t>。</w:t>
            </w:r>
            <w:r>
              <w:rPr>
                <w:rFonts w:hint="default" w:ascii="Times New Roman" w:hAnsi="Times New Roman" w:cs="Times New Roman" w:eastAsiaTheme="minorEastAsia"/>
                <w:color w:val="auto"/>
                <w:kern w:val="0"/>
                <w:sz w:val="24"/>
                <w:szCs w:val="24"/>
                <w:lang w:val="en-US" w:eastAsia="zh-CN" w:bidi="ar"/>
              </w:rPr>
              <w:t xml:space="preserve">  </w:t>
            </w:r>
          </w:p>
          <w:p w14:paraId="65E909DF">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注：</w:t>
            </w:r>
            <w:r>
              <w:rPr>
                <w:rFonts w:hint="default" w:ascii="Times New Roman" w:hAnsi="Times New Roman" w:cs="Times New Roman" w:eastAsiaTheme="minorEastAsia"/>
                <w:color w:val="auto"/>
                <w:kern w:val="0"/>
                <w:sz w:val="24"/>
                <w:szCs w:val="24"/>
                <w:lang w:val="en-US" w:eastAsia="zh-CN" w:bidi="ar"/>
              </w:rPr>
              <w:t>工程款凭正式增值税专用发票结算。</w:t>
            </w:r>
            <w:r>
              <w:rPr>
                <w:rFonts w:hint="eastAsia" w:ascii="Times New Roman" w:hAnsi="Times New Roman" w:cs="Times New Roman"/>
                <w:color w:val="auto"/>
                <w:kern w:val="0"/>
                <w:sz w:val="24"/>
                <w:szCs w:val="24"/>
                <w:lang w:val="en-US" w:eastAsia="zh-CN" w:bidi="ar"/>
              </w:rPr>
              <w:t>中标单位</w:t>
            </w:r>
            <w:r>
              <w:rPr>
                <w:rFonts w:hint="default" w:ascii="Times New Roman" w:hAnsi="Times New Roman" w:cs="Times New Roman" w:eastAsiaTheme="minorEastAsia"/>
                <w:color w:val="auto"/>
                <w:kern w:val="0"/>
                <w:sz w:val="24"/>
                <w:szCs w:val="24"/>
                <w:lang w:val="en-US" w:eastAsia="zh-CN" w:bidi="ar"/>
              </w:rPr>
              <w:t>应在每次付款前向</w:t>
            </w:r>
            <w:r>
              <w:rPr>
                <w:rFonts w:hint="eastAsia" w:ascii="Times New Roman" w:hAnsi="Times New Roman" w:cs="Times New Roman"/>
                <w:color w:val="auto"/>
                <w:kern w:val="0"/>
                <w:sz w:val="24"/>
                <w:szCs w:val="24"/>
                <w:lang w:val="en-US" w:eastAsia="zh-CN" w:bidi="ar"/>
              </w:rPr>
              <w:t>招标人</w:t>
            </w:r>
            <w:r>
              <w:rPr>
                <w:rFonts w:hint="default" w:ascii="Times New Roman" w:hAnsi="Times New Roman" w:cs="Times New Roman" w:eastAsiaTheme="minorEastAsia"/>
                <w:color w:val="auto"/>
                <w:kern w:val="0"/>
                <w:sz w:val="24"/>
                <w:szCs w:val="24"/>
                <w:lang w:val="en-US" w:eastAsia="zh-CN" w:bidi="ar"/>
              </w:rPr>
              <w:t>提交一份付款申请、税务发票，并附工程进度及</w:t>
            </w:r>
            <w:r>
              <w:rPr>
                <w:rFonts w:hint="eastAsia" w:ascii="Times New Roman" w:hAnsi="Times New Roman" w:cs="Times New Roman"/>
                <w:color w:val="auto"/>
                <w:kern w:val="0"/>
                <w:sz w:val="24"/>
                <w:szCs w:val="24"/>
                <w:lang w:val="en-US" w:eastAsia="zh-CN" w:bidi="ar"/>
              </w:rPr>
              <w:t>中标单位</w:t>
            </w:r>
            <w:r>
              <w:rPr>
                <w:rFonts w:hint="default" w:ascii="Times New Roman" w:hAnsi="Times New Roman" w:cs="Times New Roman" w:eastAsiaTheme="minorEastAsia"/>
                <w:color w:val="auto"/>
                <w:kern w:val="0"/>
                <w:sz w:val="24"/>
                <w:szCs w:val="24"/>
                <w:lang w:val="en-US" w:eastAsia="zh-CN" w:bidi="ar"/>
              </w:rPr>
              <w:t>按合同约定履行义务的有关证明。</w:t>
            </w:r>
            <w:r>
              <w:rPr>
                <w:rFonts w:hint="eastAsia" w:ascii="Times New Roman" w:hAnsi="Times New Roman" w:cs="Times New Roman"/>
                <w:color w:val="auto"/>
                <w:kern w:val="0"/>
                <w:sz w:val="24"/>
                <w:szCs w:val="24"/>
                <w:lang w:val="en-US" w:eastAsia="zh-CN" w:bidi="ar"/>
              </w:rPr>
              <w:t>招标人</w:t>
            </w:r>
            <w:r>
              <w:rPr>
                <w:rFonts w:hint="default" w:ascii="Times New Roman" w:hAnsi="Times New Roman" w:cs="Times New Roman" w:eastAsiaTheme="minorEastAsia"/>
                <w:color w:val="auto"/>
                <w:kern w:val="0"/>
                <w:sz w:val="24"/>
                <w:szCs w:val="24"/>
                <w:lang w:val="en-US" w:eastAsia="zh-CN" w:bidi="ar"/>
              </w:rPr>
              <w:t>审核</w:t>
            </w:r>
            <w:r>
              <w:rPr>
                <w:rFonts w:hint="eastAsia" w:ascii="Times New Roman" w:hAnsi="Times New Roman" w:cs="Times New Roman"/>
                <w:color w:val="auto"/>
                <w:kern w:val="0"/>
                <w:sz w:val="24"/>
                <w:szCs w:val="24"/>
                <w:lang w:val="en-US" w:eastAsia="zh-CN" w:bidi="ar"/>
              </w:rPr>
              <w:t>中标单位</w:t>
            </w:r>
            <w:r>
              <w:rPr>
                <w:rFonts w:hint="default" w:ascii="Times New Roman" w:hAnsi="Times New Roman" w:cs="Times New Roman" w:eastAsiaTheme="minorEastAsia"/>
                <w:color w:val="auto"/>
                <w:kern w:val="0"/>
                <w:sz w:val="24"/>
                <w:szCs w:val="24"/>
                <w:lang w:val="en-US" w:eastAsia="zh-CN" w:bidi="ar"/>
              </w:rPr>
              <w:t>的付款申请资料无误后履行付款手续。监理费</w:t>
            </w:r>
            <w:r>
              <w:rPr>
                <w:rFonts w:hint="eastAsia" w:ascii="Times New Roman" w:hAnsi="Times New Roman" w:cs="Times New Roman"/>
                <w:color w:val="auto"/>
                <w:kern w:val="0"/>
                <w:sz w:val="24"/>
                <w:szCs w:val="24"/>
                <w:lang w:val="en-US" w:eastAsia="zh-CN" w:bidi="ar"/>
              </w:rPr>
              <w:t>支</w:t>
            </w:r>
            <w:r>
              <w:rPr>
                <w:rFonts w:hint="default" w:ascii="Times New Roman" w:hAnsi="Times New Roman" w:cs="Times New Roman" w:eastAsiaTheme="minorEastAsia"/>
                <w:color w:val="auto"/>
                <w:kern w:val="0"/>
                <w:sz w:val="24"/>
                <w:szCs w:val="24"/>
                <w:lang w:val="en-US" w:eastAsia="zh-CN" w:bidi="ar"/>
              </w:rPr>
              <w:t>付至时，</w:t>
            </w:r>
            <w:r>
              <w:rPr>
                <w:rFonts w:hint="eastAsia" w:ascii="Times New Roman" w:hAnsi="Times New Roman" w:cs="Times New Roman"/>
                <w:color w:val="auto"/>
                <w:kern w:val="0"/>
                <w:sz w:val="24"/>
                <w:szCs w:val="24"/>
                <w:lang w:val="en-US" w:eastAsia="zh-CN" w:bidi="ar"/>
              </w:rPr>
              <w:t>中标单位</w:t>
            </w:r>
            <w:r>
              <w:rPr>
                <w:rFonts w:hint="default" w:ascii="Times New Roman" w:hAnsi="Times New Roman" w:cs="Times New Roman" w:eastAsiaTheme="minorEastAsia"/>
                <w:color w:val="auto"/>
                <w:kern w:val="0"/>
                <w:sz w:val="24"/>
                <w:szCs w:val="24"/>
                <w:lang w:val="en-US" w:eastAsia="zh-CN" w:bidi="ar"/>
              </w:rPr>
              <w:t>需提供全额增值税专用发票，否则</w:t>
            </w:r>
            <w:r>
              <w:rPr>
                <w:rFonts w:hint="eastAsia" w:ascii="Times New Roman" w:hAnsi="Times New Roman" w:cs="Times New Roman"/>
                <w:color w:val="auto"/>
                <w:kern w:val="0"/>
                <w:sz w:val="24"/>
                <w:szCs w:val="24"/>
                <w:lang w:val="en-US" w:eastAsia="zh-CN" w:bidi="ar"/>
              </w:rPr>
              <w:t>招标人</w:t>
            </w:r>
            <w:r>
              <w:rPr>
                <w:rFonts w:hint="default" w:ascii="Times New Roman" w:hAnsi="Times New Roman" w:cs="Times New Roman" w:eastAsiaTheme="minorEastAsia"/>
                <w:color w:val="auto"/>
                <w:kern w:val="0"/>
                <w:sz w:val="24"/>
                <w:szCs w:val="24"/>
                <w:lang w:val="en-US" w:eastAsia="zh-CN" w:bidi="ar"/>
              </w:rPr>
              <w:t>有权暂停付款。（施工工期顺延时，服务费不予调整）</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 </w:t>
            </w:r>
          </w:p>
        </w:tc>
      </w:tr>
      <w:tr w14:paraId="08B54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37B6C1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05799A4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14A4AE3E">
            <w:pPr>
              <w:keepNext w:val="0"/>
              <w:keepLines w:val="0"/>
              <w:pageBreakBefore w:val="0"/>
              <w:widowControl w:val="0"/>
              <w:kinsoku/>
              <w:wordWrap w:val="0"/>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eastAsiaTheme="minorEastAsia"/>
                <w:color w:val="auto"/>
                <w:kern w:val="0"/>
                <w:sz w:val="24"/>
                <w:szCs w:val="24"/>
                <w:lang w:val="en-US" w:eastAsia="zh-CN" w:bidi="ar"/>
              </w:rPr>
              <w:t>中标单位自行考虑风险，服务期内，本项目根据标段内的实际完成情况</w:t>
            </w:r>
            <w:r>
              <w:rPr>
                <w:rFonts w:hint="eastAsia" w:ascii="Times New Roman" w:hAnsi="Times New Roman" w:cs="Times New Roman"/>
                <w:color w:val="auto"/>
                <w:kern w:val="0"/>
                <w:sz w:val="24"/>
                <w:szCs w:val="24"/>
                <w:lang w:val="en-US" w:eastAsia="zh-CN" w:bidi="ar"/>
              </w:rPr>
              <w:t>，按中标费率据实结算</w:t>
            </w:r>
            <w:r>
              <w:rPr>
                <w:rFonts w:hint="eastAsia" w:ascii="Times New Roman" w:hAnsi="Times New Roman" w:cs="Times New Roman" w:eastAsiaTheme="minorEastAsia"/>
                <w:color w:val="auto"/>
                <w:kern w:val="0"/>
                <w:sz w:val="24"/>
                <w:szCs w:val="24"/>
                <w:lang w:val="en-US" w:eastAsia="zh-CN" w:bidi="ar"/>
              </w:rPr>
              <w:t>监理费</w:t>
            </w:r>
            <w:r>
              <w:rPr>
                <w:rFonts w:hint="eastAsia" w:ascii="Times New Roman" w:hAnsi="Times New Roman" w:cs="Times New Roman"/>
                <w:color w:val="auto"/>
                <w:kern w:val="0"/>
                <w:sz w:val="24"/>
                <w:szCs w:val="24"/>
                <w:lang w:val="en-US" w:eastAsia="zh-CN" w:bidi="ar"/>
              </w:rPr>
              <w:t>。如服务期满后，</w:t>
            </w:r>
            <w:r>
              <w:rPr>
                <w:rFonts w:hint="eastAsia" w:ascii="Times New Roman" w:hAnsi="Times New Roman" w:cs="Times New Roman" w:eastAsiaTheme="minorEastAsia"/>
                <w:color w:val="auto"/>
                <w:kern w:val="0"/>
                <w:sz w:val="24"/>
                <w:szCs w:val="24"/>
                <w:lang w:val="en-US" w:eastAsia="zh-CN" w:bidi="ar"/>
              </w:rPr>
              <w:t>未完成15MW</w:t>
            </w:r>
            <w:r>
              <w:rPr>
                <w:rFonts w:hint="eastAsia" w:ascii="Times New Roman" w:hAnsi="Times New Roman" w:cs="Times New Roman"/>
                <w:color w:val="auto"/>
                <w:kern w:val="0"/>
                <w:sz w:val="24"/>
                <w:szCs w:val="24"/>
                <w:lang w:val="en-US" w:eastAsia="zh-CN" w:bidi="ar"/>
              </w:rPr>
              <w:t>光伏发电和10MW储能项目</w:t>
            </w:r>
            <w:r>
              <w:rPr>
                <w:rFonts w:hint="eastAsia" w:ascii="Times New Roman" w:hAnsi="Times New Roman" w:cs="Times New Roman" w:eastAsiaTheme="minorEastAsia"/>
                <w:color w:val="auto"/>
                <w:kern w:val="0"/>
                <w:sz w:val="24"/>
                <w:szCs w:val="24"/>
                <w:lang w:val="en-US" w:eastAsia="zh-CN" w:bidi="ar"/>
              </w:rPr>
              <w:t>的，监理单位不得向</w:t>
            </w:r>
            <w:r>
              <w:rPr>
                <w:rFonts w:hint="eastAsia" w:ascii="Times New Roman" w:hAnsi="Times New Roman" w:cs="Times New Roman"/>
                <w:color w:val="auto"/>
                <w:kern w:val="0"/>
                <w:sz w:val="24"/>
                <w:szCs w:val="24"/>
                <w:lang w:val="en-US" w:eastAsia="zh-CN" w:bidi="ar"/>
              </w:rPr>
              <w:t>招标人</w:t>
            </w:r>
            <w:r>
              <w:rPr>
                <w:rFonts w:hint="eastAsia" w:ascii="Times New Roman" w:hAnsi="Times New Roman" w:cs="Times New Roman" w:eastAsiaTheme="minorEastAsia"/>
                <w:color w:val="auto"/>
                <w:kern w:val="0"/>
                <w:sz w:val="24"/>
                <w:szCs w:val="24"/>
                <w:lang w:val="en-US" w:eastAsia="zh-CN" w:bidi="ar"/>
              </w:rPr>
              <w:t>索赔</w:t>
            </w:r>
            <w:r>
              <w:rPr>
                <w:rFonts w:hint="eastAsia" w:ascii="Times New Roman" w:hAnsi="Times New Roman" w:cs="Times New Roman"/>
                <w:color w:val="auto"/>
                <w:kern w:val="0"/>
                <w:sz w:val="24"/>
                <w:szCs w:val="24"/>
                <w:lang w:val="en-US" w:eastAsia="zh-CN" w:bidi="ar"/>
              </w:rPr>
              <w:t>，</w:t>
            </w:r>
            <w:r>
              <w:rPr>
                <w:rFonts w:hint="eastAsia" w:ascii="Times New Roman" w:hAnsi="Times New Roman" w:cs="Times New Roman"/>
                <w:color w:val="FF0000"/>
                <w:kern w:val="0"/>
                <w:sz w:val="24"/>
                <w:highlight w:val="none"/>
                <w:shd w:val="clear" w:color="auto" w:fill="auto"/>
              </w:rPr>
              <w:t>中标</w:t>
            </w:r>
            <w:r>
              <w:rPr>
                <w:rFonts w:hint="eastAsia" w:ascii="Times New Roman" w:hAnsi="Times New Roman" w:cs="Times New Roman"/>
                <w:color w:val="FF0000"/>
                <w:kern w:val="0"/>
                <w:sz w:val="24"/>
                <w:highlight w:val="none"/>
                <w:shd w:val="clear" w:color="auto" w:fill="auto"/>
                <w:lang w:val="en-US" w:eastAsia="zh-CN"/>
              </w:rPr>
              <w:t>费率</w:t>
            </w:r>
            <w:r>
              <w:rPr>
                <w:rFonts w:hint="eastAsia" w:ascii="Times New Roman" w:hAnsi="Times New Roman" w:cs="Times New Roman"/>
                <w:color w:val="FF0000"/>
                <w:kern w:val="0"/>
                <w:sz w:val="24"/>
                <w:highlight w:val="none"/>
                <w:shd w:val="clear" w:color="auto" w:fill="auto"/>
              </w:rPr>
              <w:t>也不因此调整。</w:t>
            </w:r>
          </w:p>
        </w:tc>
      </w:tr>
    </w:tbl>
    <w:p w14:paraId="50EBDD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014105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14:paraId="2F2AC948">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716F1F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14:paraId="16C199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7F4AC2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p w14:paraId="7000CD0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15014DF2">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54C35DF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14:paraId="4D96AB8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F6E982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34BE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52CBC65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031D950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7E4B0BA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7FABE87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1C0D97D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B7D0AB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66D32DD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B04C2A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39B4C86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2593D45">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00DF6BF3">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4AEAB07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513350BF">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778AFF13">
      <w:pPr>
        <w:pStyle w:val="4"/>
        <w:jc w:val="center"/>
        <w:rPr>
          <w:rFonts w:hint="default" w:ascii="Times New Roman" w:hAnsi="Times New Roman" w:cs="Times New Roman"/>
        </w:rPr>
      </w:pPr>
      <w:bookmarkStart w:id="427" w:name="_Toc247514246"/>
      <w:bookmarkStart w:id="428" w:name="_Toc247527827"/>
      <w:bookmarkStart w:id="429" w:name="_Toc144974856"/>
      <w:bookmarkStart w:id="430" w:name="_Toc152045787"/>
      <w:bookmarkStart w:id="431" w:name="_Toc152042576"/>
      <w:bookmarkStart w:id="432" w:name="_Toc300835209"/>
      <w:r>
        <w:rPr>
          <w:rFonts w:hint="default" w:ascii="Times New Roman" w:hAnsi="Times New Roman" w:cs="Times New Roman"/>
        </w:rPr>
        <w:t>目    录</w:t>
      </w:r>
      <w:bookmarkEnd w:id="427"/>
      <w:bookmarkEnd w:id="428"/>
      <w:bookmarkEnd w:id="429"/>
      <w:bookmarkEnd w:id="430"/>
      <w:bookmarkEnd w:id="431"/>
      <w:bookmarkEnd w:id="432"/>
    </w:p>
    <w:p w14:paraId="6746F37F">
      <w:pPr>
        <w:spacing w:line="540" w:lineRule="exact"/>
        <w:rPr>
          <w:rFonts w:hint="default" w:ascii="Times New Roman" w:hAnsi="Times New Roman" w:cs="Times New Roman"/>
        </w:rPr>
      </w:pPr>
    </w:p>
    <w:p w14:paraId="356808EC">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14:paraId="6262F2BD">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14:paraId="75236E02">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14:paraId="3669FABB">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14:paraId="7B9CCC69">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14:paraId="50A81965">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14:paraId="484C78F3">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14:paraId="4653F8B5">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14:paraId="4F0EB7F8">
      <w:pPr>
        <w:spacing w:line="540" w:lineRule="exact"/>
        <w:rPr>
          <w:rFonts w:hint="default" w:ascii="Times New Roman" w:hAnsi="Times New Roman" w:cs="Times New Roman"/>
          <w:highlight w:val="none"/>
          <w:lang w:val="en-US" w:eastAsia="zh-CN"/>
        </w:rPr>
      </w:pPr>
    </w:p>
    <w:p w14:paraId="2F0CAB12">
      <w:pPr>
        <w:spacing w:line="540" w:lineRule="exact"/>
        <w:rPr>
          <w:rFonts w:hint="default" w:ascii="Times New Roman" w:hAnsi="Times New Roman" w:cs="Times New Roman"/>
        </w:rPr>
      </w:pPr>
      <w:r>
        <w:rPr>
          <w:rFonts w:hint="default" w:ascii="Times New Roman" w:hAnsi="Times New Roman" w:cs="Times New Roman"/>
        </w:rPr>
        <w:t xml:space="preserve"> </w:t>
      </w:r>
    </w:p>
    <w:p w14:paraId="0E56F46C">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240A711E">
      <w:pPr>
        <w:pStyle w:val="4"/>
        <w:jc w:val="center"/>
        <w:rPr>
          <w:rFonts w:hint="default" w:ascii="Times New Roman" w:hAnsi="Times New Roman" w:eastAsia="黑体" w:cs="Times New Roman"/>
          <w:sz w:val="20"/>
          <w:szCs w:val="20"/>
        </w:rPr>
      </w:pPr>
      <w:bookmarkStart w:id="433" w:name="_Toc247527828"/>
      <w:bookmarkStart w:id="434" w:name="_Toc300835210"/>
      <w:bookmarkStart w:id="435" w:name="_Toc152042577"/>
      <w:bookmarkStart w:id="436" w:name="_Toc152045788"/>
      <w:bookmarkStart w:id="437" w:name="_Toc144974857"/>
      <w:bookmarkStart w:id="438" w:name="_Toc247514247"/>
      <w:r>
        <w:rPr>
          <w:rFonts w:hint="default" w:ascii="Times New Roman" w:hAnsi="Times New Roman" w:cs="Times New Roman"/>
        </w:rPr>
        <w:t>一、投标函及投标函附录</w:t>
      </w:r>
      <w:bookmarkEnd w:id="433"/>
      <w:bookmarkEnd w:id="434"/>
      <w:bookmarkEnd w:id="435"/>
      <w:bookmarkEnd w:id="436"/>
      <w:bookmarkEnd w:id="437"/>
      <w:bookmarkEnd w:id="438"/>
    </w:p>
    <w:p w14:paraId="5378FB7D">
      <w:pPr>
        <w:spacing w:line="440" w:lineRule="exact"/>
        <w:rPr>
          <w:rFonts w:hint="default" w:ascii="Times New Roman" w:hAnsi="Times New Roman" w:cs="Times New Roman" w:eastAsiaTheme="minorEastAsia"/>
          <w:sz w:val="20"/>
          <w:szCs w:val="20"/>
          <w:lang w:val="en-US" w:eastAsia="zh-CN"/>
        </w:rPr>
      </w:pPr>
      <w:bookmarkStart w:id="439" w:name="_Toc152045790"/>
      <w:bookmarkStart w:id="440" w:name="_Toc247514249"/>
      <w:bookmarkStart w:id="441" w:name="_Toc247527830"/>
      <w:bookmarkStart w:id="442" w:name="_Toc300835212"/>
      <w:bookmarkStart w:id="443" w:name="_Toc152042579"/>
      <w:bookmarkStart w:id="444" w:name="_Toc144974859"/>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14:paraId="254A1DB7">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14:paraId="5799A772">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招标项目招标文件的全部内容，愿意以光伏项目施工总承包竣工结算审定金额为基数，基数的</w:t>
      </w:r>
      <w:r>
        <w:rPr>
          <w:rFonts w:ascii="Times New Roman" w:hAnsi="Times New Roman" w:cs="Times New Roman"/>
          <w:szCs w:val="21"/>
          <w:u w:val="single"/>
        </w:rPr>
        <w:t xml:space="preserve">    </w:t>
      </w:r>
      <w:r>
        <w:rPr>
          <w:rFonts w:hint="eastAsia" w:ascii="Times New Roman" w:hAnsi="Times New Roman" w:cs="Times New Roman"/>
          <w:szCs w:val="21"/>
          <w:u w:val="single"/>
          <w:lang w:eastAsia="zh-CN"/>
        </w:rPr>
        <w:t>（</w:t>
      </w:r>
      <w:r>
        <w:rPr>
          <w:rFonts w:hint="eastAsia" w:ascii="Times New Roman" w:hAnsi="Times New Roman" w:cs="Times New Roman"/>
          <w:szCs w:val="21"/>
          <w:u w:val="single"/>
          <w:lang w:val="en-US" w:eastAsia="zh-CN"/>
        </w:rPr>
        <w:t>费率</w:t>
      </w:r>
      <w:r>
        <w:rPr>
          <w:rFonts w:hint="eastAsia" w:ascii="Times New Roman" w:hAnsi="Times New Roman" w:cs="Times New Roman"/>
          <w:szCs w:val="21"/>
          <w:u w:val="single"/>
          <w:lang w:eastAsia="zh-CN"/>
        </w:rPr>
        <w:t>）</w:t>
      </w:r>
      <w:r>
        <w:rPr>
          <w:rFonts w:hint="eastAsia" w:ascii="Times New Roman" w:hAnsi="Times New Roman" w:cs="Times New Roman"/>
          <w:szCs w:val="21"/>
          <w:lang w:val="en-US" w:eastAsia="zh-CN"/>
        </w:rPr>
        <w:t>为</w:t>
      </w:r>
      <w:r>
        <w:rPr>
          <w:rFonts w:hint="eastAsia" w:ascii="Times New Roman" w:hAnsi="Times New Roman" w:cs="Times New Roman"/>
          <w:szCs w:val="21"/>
        </w:rPr>
        <w:t>投标总报价</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其中增值税税率为</w:t>
      </w:r>
      <w:r>
        <w:rPr>
          <w:rFonts w:hint="eastAsia" w:ascii="Times New Roman" w:hAnsi="Times New Roman" w:cs="Times New Roman"/>
          <w:szCs w:val="21"/>
          <w:u w:val="single"/>
          <w:lang w:val="en-US" w:eastAsia="zh-CN"/>
        </w:rPr>
        <w:t xml:space="preserve"> 6% </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，服务期限：</w:t>
      </w:r>
      <w:r>
        <w:rPr>
          <w:rFonts w:hint="eastAsia" w:ascii="Times New Roman" w:hAnsi="Times New Roman" w:cs="Times New Roman"/>
          <w:szCs w:val="21"/>
        </w:rPr>
        <w:t>自签订</w:t>
      </w:r>
      <w:r>
        <w:rPr>
          <w:rFonts w:hint="eastAsia" w:ascii="Times New Roman" w:hAnsi="Times New Roman" w:cs="Times New Roman"/>
          <w:szCs w:val="21"/>
          <w:lang w:val="en-US" w:eastAsia="zh-CN"/>
        </w:rPr>
        <w:t>监理服务</w:t>
      </w:r>
      <w:r>
        <w:rPr>
          <w:rFonts w:hint="eastAsia" w:ascii="Times New Roman" w:hAnsi="Times New Roman" w:cs="Times New Roman"/>
          <w:szCs w:val="21"/>
        </w:rPr>
        <w:t>合同之日起至</w:t>
      </w:r>
      <w:r>
        <w:rPr>
          <w:rFonts w:hint="eastAsia" w:ascii="Times New Roman" w:hAnsi="Times New Roman" w:cs="Times New Roman"/>
          <w:szCs w:val="21"/>
          <w:lang w:val="en-US" w:eastAsia="zh-CN"/>
        </w:rPr>
        <w:t>2025年12月31日</w:t>
      </w:r>
      <w:r>
        <w:rPr>
          <w:rFonts w:hint="eastAsia" w:ascii="Times New Roman" w:hAnsi="Times New Roman" w:cs="Times New Roman"/>
          <w:szCs w:val="21"/>
          <w:u w:val="none"/>
          <w:lang w:val="en-US" w:eastAsia="zh-CN"/>
        </w:rPr>
        <w:t>，按合同约定完成本项全部工作。</w:t>
      </w:r>
    </w:p>
    <w:p w14:paraId="67A21D5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14:paraId="01EBCF0C">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14:paraId="7B2996D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6437F4F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14:paraId="16DCFC85">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14:paraId="186DAA95">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14:paraId="784627E9">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14:paraId="7F04590E">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14:paraId="43AA6BE4">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267EC22B">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14:paraId="4C4271C4">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A076618">
      <w:pPr>
        <w:spacing w:line="440" w:lineRule="exact"/>
        <w:rPr>
          <w:rFonts w:hint="default" w:ascii="Times New Roman" w:hAnsi="Times New Roman" w:cs="Times New Roman"/>
          <w:szCs w:val="21"/>
        </w:rPr>
      </w:pPr>
    </w:p>
    <w:p w14:paraId="24A2439E">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7C287D53">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161A6810">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2F47CB1">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02FE515">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75073F7">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9DAFEB7">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D7B6AC0">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439"/>
    <w:bookmarkEnd w:id="440"/>
    <w:bookmarkEnd w:id="441"/>
    <w:bookmarkEnd w:id="442"/>
    <w:bookmarkEnd w:id="443"/>
    <w:bookmarkEnd w:id="444"/>
    <w:p w14:paraId="53EEE0C6">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14:paraId="238836A8">
      <w:pPr>
        <w:spacing w:line="440" w:lineRule="exact"/>
        <w:rPr>
          <w:rFonts w:hint="eastAsia" w:ascii="Times New Roman" w:hAnsi="Times New Roman" w:cs="Times New Roman" w:eastAsiaTheme="minorEastAsia"/>
          <w:sz w:val="20"/>
          <w:szCs w:val="20"/>
          <w:lang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14:paraId="2A4F5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27D7D33C">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14:paraId="0E355D7D">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14:paraId="7CDC3C85">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14:paraId="6CBBCAD2">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14:paraId="66157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F940F22">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14:paraId="66DC5969">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14:paraId="63B27A9E">
            <w:pPr>
              <w:spacing w:line="440" w:lineRule="exact"/>
              <w:jc w:val="both"/>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p w14:paraId="602505B8">
            <w:pPr>
              <w:pStyle w:val="2"/>
              <w:jc w:val="both"/>
              <w:rPr>
                <w:rFonts w:hint="default"/>
                <w:lang w:val="en-US" w:eastAsia="zh-CN"/>
              </w:rPr>
            </w:pPr>
            <w:r>
              <w:rPr>
                <w:rFonts w:hint="eastAsia" w:ascii="Times New Roman" w:hAnsi="Times New Roman" w:cs="Times New Roman"/>
                <w:sz w:val="20"/>
                <w:szCs w:val="20"/>
                <w:vertAlign w:val="baseline"/>
                <w:lang w:val="en-US" w:eastAsia="zh-CN"/>
              </w:rPr>
              <w:t>身份证号：</w:t>
            </w:r>
          </w:p>
        </w:tc>
        <w:tc>
          <w:tcPr>
            <w:tcW w:w="3702" w:type="dxa"/>
            <w:vAlign w:val="center"/>
          </w:tcPr>
          <w:p w14:paraId="3685D5B3">
            <w:pPr>
              <w:spacing w:line="440" w:lineRule="exact"/>
              <w:jc w:val="center"/>
              <w:rPr>
                <w:rFonts w:hint="eastAsia" w:ascii="Times New Roman" w:hAnsi="Times New Roman" w:cs="Times New Roman" w:eastAsiaTheme="minorEastAsia"/>
                <w:sz w:val="20"/>
                <w:szCs w:val="20"/>
                <w:vertAlign w:val="baseline"/>
                <w:lang w:eastAsia="zh-CN"/>
              </w:rPr>
            </w:pPr>
          </w:p>
        </w:tc>
      </w:tr>
      <w:tr w14:paraId="4FCBE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210094C0">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14:paraId="1571E9F8">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14:paraId="742E30F3">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szCs w:val="21"/>
              </w:rPr>
              <w:t>自签</w:t>
            </w:r>
            <w:r>
              <w:rPr>
                <w:rFonts w:hint="eastAsia" w:ascii="Times New Roman" w:hAnsi="Times New Roman" w:cs="Times New Roman"/>
                <w:szCs w:val="21"/>
                <w:lang w:val="en-US" w:eastAsia="zh-CN"/>
              </w:rPr>
              <w:t>订监理</w:t>
            </w:r>
            <w:r>
              <w:rPr>
                <w:rFonts w:hint="eastAsia" w:ascii="Times New Roman" w:hAnsi="Times New Roman" w:cs="Times New Roman"/>
                <w:szCs w:val="21"/>
              </w:rPr>
              <w:t>合同之日起至</w:t>
            </w:r>
            <w:r>
              <w:rPr>
                <w:rFonts w:hint="eastAsia" w:ascii="Times New Roman" w:hAnsi="Times New Roman" w:cs="Times New Roman"/>
                <w:szCs w:val="21"/>
                <w:lang w:val="en-US" w:eastAsia="zh-CN"/>
              </w:rPr>
              <w:t>2025年12月31日</w:t>
            </w:r>
          </w:p>
        </w:tc>
        <w:tc>
          <w:tcPr>
            <w:tcW w:w="3702" w:type="dxa"/>
            <w:vAlign w:val="center"/>
          </w:tcPr>
          <w:p w14:paraId="5BC89FED">
            <w:pPr>
              <w:spacing w:line="440" w:lineRule="exact"/>
              <w:jc w:val="center"/>
              <w:rPr>
                <w:rFonts w:hint="eastAsia" w:ascii="Times New Roman" w:hAnsi="Times New Roman" w:cs="Times New Roman" w:eastAsiaTheme="minorEastAsia"/>
                <w:sz w:val="20"/>
                <w:szCs w:val="20"/>
                <w:vertAlign w:val="baseline"/>
                <w:lang w:eastAsia="zh-CN"/>
              </w:rPr>
            </w:pPr>
          </w:p>
        </w:tc>
      </w:tr>
      <w:tr w14:paraId="01E8A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41CCC4B5">
            <w:pPr>
              <w:spacing w:line="440" w:lineRule="exact"/>
              <w:jc w:val="center"/>
              <w:rPr>
                <w:rFonts w:hint="default" w:ascii="Times New Roman" w:hAnsi="Times New Roman" w:cs="Times New Roman" w:eastAsiaTheme="minorEastAsia"/>
                <w:sz w:val="20"/>
                <w:szCs w:val="20"/>
                <w:vertAlign w:val="baseline"/>
                <w:lang w:val="en-US" w:eastAsia="zh-CN"/>
              </w:rPr>
            </w:pPr>
          </w:p>
        </w:tc>
        <w:tc>
          <w:tcPr>
            <w:tcW w:w="1984" w:type="dxa"/>
            <w:vAlign w:val="center"/>
          </w:tcPr>
          <w:p w14:paraId="726E18A7">
            <w:pPr>
              <w:spacing w:line="440" w:lineRule="exact"/>
              <w:jc w:val="center"/>
              <w:rPr>
                <w:rFonts w:hint="default" w:ascii="Times New Roman" w:hAnsi="Times New Roman" w:cs="Times New Roman" w:eastAsiaTheme="minorEastAsia"/>
                <w:sz w:val="20"/>
                <w:szCs w:val="20"/>
                <w:vertAlign w:val="baseline"/>
                <w:lang w:val="en-US" w:eastAsia="zh-CN"/>
              </w:rPr>
            </w:pPr>
          </w:p>
        </w:tc>
        <w:tc>
          <w:tcPr>
            <w:tcW w:w="1984" w:type="dxa"/>
            <w:vAlign w:val="center"/>
          </w:tcPr>
          <w:p w14:paraId="1CBA63F4">
            <w:pPr>
              <w:spacing w:line="440" w:lineRule="exact"/>
              <w:jc w:val="both"/>
              <w:rPr>
                <w:rFonts w:hint="eastAsia" w:ascii="Times New Roman" w:hAnsi="Times New Roman" w:cs="Times New Roman" w:eastAsiaTheme="minorEastAsia"/>
                <w:sz w:val="20"/>
                <w:szCs w:val="20"/>
                <w:vertAlign w:val="baseline"/>
                <w:lang w:eastAsia="zh-CN"/>
              </w:rPr>
            </w:pPr>
          </w:p>
        </w:tc>
        <w:tc>
          <w:tcPr>
            <w:tcW w:w="3702" w:type="dxa"/>
            <w:vAlign w:val="center"/>
          </w:tcPr>
          <w:p w14:paraId="1854C698">
            <w:pPr>
              <w:spacing w:line="440" w:lineRule="exact"/>
              <w:jc w:val="center"/>
              <w:rPr>
                <w:rFonts w:hint="eastAsia" w:ascii="Times New Roman" w:hAnsi="Times New Roman" w:cs="Times New Roman" w:eastAsiaTheme="minorEastAsia"/>
                <w:sz w:val="20"/>
                <w:szCs w:val="20"/>
                <w:vertAlign w:val="baseline"/>
                <w:lang w:eastAsia="zh-CN"/>
              </w:rPr>
            </w:pPr>
          </w:p>
        </w:tc>
      </w:tr>
      <w:tr w14:paraId="65088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411ACB87">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5A58B3BB">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2BBDCAA9">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14:paraId="65E73961">
            <w:pPr>
              <w:spacing w:line="440" w:lineRule="exact"/>
              <w:jc w:val="center"/>
              <w:rPr>
                <w:rFonts w:hint="eastAsia" w:ascii="Times New Roman" w:hAnsi="Times New Roman" w:cs="Times New Roman" w:eastAsiaTheme="minorEastAsia"/>
                <w:sz w:val="20"/>
                <w:szCs w:val="20"/>
                <w:vertAlign w:val="baseline"/>
                <w:lang w:eastAsia="zh-CN"/>
              </w:rPr>
            </w:pPr>
          </w:p>
        </w:tc>
      </w:tr>
      <w:tr w14:paraId="40590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945A765">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14903A1C">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1B1F6547">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14:paraId="0C624FC5">
            <w:pPr>
              <w:spacing w:line="440" w:lineRule="exact"/>
              <w:jc w:val="center"/>
              <w:rPr>
                <w:rFonts w:hint="eastAsia" w:ascii="Times New Roman" w:hAnsi="Times New Roman" w:cs="Times New Roman" w:eastAsiaTheme="minorEastAsia"/>
                <w:sz w:val="20"/>
                <w:szCs w:val="20"/>
                <w:vertAlign w:val="baseline"/>
                <w:lang w:eastAsia="zh-CN"/>
              </w:rPr>
            </w:pPr>
          </w:p>
        </w:tc>
      </w:tr>
    </w:tbl>
    <w:p w14:paraId="1AC9351A">
      <w:pPr>
        <w:spacing w:line="440" w:lineRule="exact"/>
        <w:rPr>
          <w:rFonts w:hint="eastAsia" w:ascii="Times New Roman" w:hAnsi="Times New Roman" w:cs="Times New Roman" w:eastAsiaTheme="minorEastAsia"/>
          <w:sz w:val="20"/>
          <w:szCs w:val="20"/>
          <w:lang w:eastAsia="zh-CN"/>
        </w:rPr>
      </w:pPr>
    </w:p>
    <w:p w14:paraId="59E342B3">
      <w:pPr>
        <w:spacing w:line="440" w:lineRule="exact"/>
        <w:rPr>
          <w:rFonts w:hint="eastAsia" w:ascii="Times New Roman" w:hAnsi="Times New Roman" w:cs="Times New Roman" w:eastAsiaTheme="minorEastAsia"/>
          <w:sz w:val="20"/>
          <w:szCs w:val="20"/>
          <w:lang w:eastAsia="zh-CN"/>
        </w:rPr>
      </w:pPr>
    </w:p>
    <w:p w14:paraId="2668C46F">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C5CE0B4">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0A590267">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E780B46">
      <w:pPr>
        <w:spacing w:line="440" w:lineRule="exact"/>
        <w:rPr>
          <w:rFonts w:hint="eastAsia" w:ascii="Times New Roman" w:hAnsi="Times New Roman" w:cs="Times New Roman" w:eastAsiaTheme="minorEastAsia"/>
          <w:sz w:val="20"/>
          <w:szCs w:val="20"/>
          <w:lang w:eastAsia="zh-CN"/>
        </w:rPr>
      </w:pPr>
    </w:p>
    <w:p w14:paraId="2E11EF1B">
      <w:pPr>
        <w:spacing w:line="440" w:lineRule="exact"/>
        <w:rPr>
          <w:rFonts w:hint="default" w:ascii="Times New Roman" w:hAnsi="Times New Roman" w:cs="Times New Roman"/>
          <w:szCs w:val="21"/>
        </w:rPr>
      </w:pPr>
    </w:p>
    <w:p w14:paraId="798551B6">
      <w:pPr>
        <w:rPr>
          <w:rFonts w:hint="default" w:ascii="Times New Roman" w:hAnsi="Times New Roman" w:cs="Times New Roman"/>
        </w:rPr>
      </w:pPr>
      <w:bookmarkStart w:id="445" w:name="_Toc247514283"/>
      <w:bookmarkStart w:id="446" w:name="_Toc144974860"/>
      <w:bookmarkStart w:id="447" w:name="_Toc300835213"/>
      <w:bookmarkStart w:id="448" w:name="_Toc247527831"/>
      <w:bookmarkStart w:id="449" w:name="_Toc152042580"/>
      <w:bookmarkStart w:id="450" w:name="_Toc152045791"/>
      <w:r>
        <w:rPr>
          <w:rFonts w:hint="default" w:ascii="Times New Roman" w:hAnsi="Times New Roman" w:cs="Times New Roman"/>
        </w:rPr>
        <w:br w:type="page"/>
      </w:r>
    </w:p>
    <w:p w14:paraId="0F25B13F">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445"/>
      <w:bookmarkEnd w:id="446"/>
      <w:bookmarkEnd w:id="447"/>
      <w:bookmarkEnd w:id="448"/>
      <w:bookmarkEnd w:id="449"/>
      <w:bookmarkEnd w:id="450"/>
    </w:p>
    <w:p w14:paraId="23BD8E33">
      <w:pPr>
        <w:spacing w:line="440" w:lineRule="exact"/>
        <w:rPr>
          <w:rFonts w:hint="default" w:ascii="Times New Roman" w:hAnsi="Times New Roman" w:cs="Times New Roman"/>
          <w:sz w:val="20"/>
          <w:szCs w:val="20"/>
        </w:rPr>
      </w:pPr>
    </w:p>
    <w:p w14:paraId="32121991">
      <w:pPr>
        <w:spacing w:line="440" w:lineRule="exact"/>
        <w:rPr>
          <w:rFonts w:hint="default" w:ascii="Times New Roman" w:hAnsi="Times New Roman" w:cs="Times New Roman"/>
          <w:szCs w:val="21"/>
        </w:rPr>
      </w:pPr>
    </w:p>
    <w:p w14:paraId="152623A6">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6D980A22">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4072E9A">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14:paraId="35F79391">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7065F488">
      <w:pPr>
        <w:spacing w:line="440" w:lineRule="exact"/>
        <w:rPr>
          <w:rFonts w:hint="default" w:ascii="Times New Roman" w:hAnsi="Times New Roman" w:cs="Times New Roman"/>
          <w:szCs w:val="21"/>
        </w:rPr>
      </w:pPr>
    </w:p>
    <w:p w14:paraId="5D79E89A">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48673803">
      <w:pPr>
        <w:spacing w:line="440" w:lineRule="exact"/>
        <w:rPr>
          <w:rFonts w:hint="default" w:ascii="Times New Roman" w:hAnsi="Times New Roman" w:cs="Times New Roman"/>
          <w:szCs w:val="21"/>
        </w:rPr>
      </w:pPr>
    </w:p>
    <w:p w14:paraId="216CBA52">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14:paraId="05F94CC4">
      <w:pPr>
        <w:spacing w:line="440" w:lineRule="exact"/>
        <w:rPr>
          <w:rFonts w:hint="eastAsia" w:ascii="Times New Roman" w:hAnsi="Times New Roman" w:cs="Times New Roman"/>
          <w:szCs w:val="21"/>
          <w:lang w:val="en-US" w:eastAsia="zh-CN"/>
        </w:rPr>
      </w:pPr>
    </w:p>
    <w:p w14:paraId="1C0D64D2">
      <w:pPr>
        <w:spacing w:line="440" w:lineRule="exact"/>
        <w:rPr>
          <w:rFonts w:hint="default" w:ascii="Times New Roman" w:hAnsi="Times New Roman" w:cs="Times New Roman"/>
          <w:szCs w:val="21"/>
          <w:lang w:val="en-US" w:eastAsia="zh-CN"/>
        </w:rPr>
      </w:pPr>
    </w:p>
    <w:p w14:paraId="021F963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4127D502">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2DBD823">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4EBF7137">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DB30B57">
      <w:pPr>
        <w:pStyle w:val="4"/>
        <w:jc w:val="center"/>
        <w:rPr>
          <w:rFonts w:hint="default" w:ascii="Times New Roman" w:hAnsi="Times New Roman" w:cs="Times New Roman"/>
        </w:rPr>
      </w:pPr>
      <w:bookmarkStart w:id="451" w:name="_Toc152045792"/>
      <w:bookmarkStart w:id="452" w:name="_Toc247514284"/>
      <w:bookmarkStart w:id="453" w:name="_Toc144974861"/>
      <w:bookmarkStart w:id="454" w:name="_Toc152042581"/>
      <w:bookmarkStart w:id="455" w:name="_Toc300835214"/>
      <w:bookmarkStart w:id="456" w:name="_Toc247527832"/>
      <w:r>
        <w:rPr>
          <w:rFonts w:hint="default" w:ascii="Times New Roman" w:hAnsi="Times New Roman" w:cs="Times New Roman"/>
        </w:rPr>
        <w:t>二、授权委托书</w:t>
      </w:r>
      <w:bookmarkEnd w:id="451"/>
      <w:bookmarkEnd w:id="452"/>
      <w:bookmarkEnd w:id="453"/>
      <w:bookmarkEnd w:id="454"/>
      <w:bookmarkEnd w:id="455"/>
      <w:bookmarkEnd w:id="456"/>
    </w:p>
    <w:p w14:paraId="3615DC1F">
      <w:pPr>
        <w:spacing w:line="440" w:lineRule="exact"/>
        <w:rPr>
          <w:rFonts w:hint="default" w:ascii="Times New Roman" w:hAnsi="Times New Roman" w:eastAsia="黑体" w:cs="Times New Roman"/>
          <w:szCs w:val="21"/>
        </w:rPr>
      </w:pPr>
    </w:p>
    <w:p w14:paraId="29CE044E">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14:paraId="11DA808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2E95DA2C">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0C38CC28">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证复印件、委托代理人身份证复印件、委托代理人2024年1月起任意连续3个月及以上养老保险证明。</w:t>
      </w:r>
    </w:p>
    <w:p w14:paraId="093DD19A">
      <w:pPr>
        <w:spacing w:line="440" w:lineRule="exact"/>
        <w:ind w:firstLine="420" w:firstLineChars="200"/>
        <w:rPr>
          <w:rFonts w:hint="eastAsia" w:ascii="Times New Roman" w:hAnsi="Times New Roman" w:cs="Times New Roman"/>
          <w:szCs w:val="21"/>
          <w:lang w:val="en-US" w:eastAsia="zh-CN"/>
        </w:rPr>
      </w:pPr>
    </w:p>
    <w:p w14:paraId="1BF383F7">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14:paraId="174ED4A1">
      <w:pPr>
        <w:spacing w:line="440" w:lineRule="exact"/>
        <w:rPr>
          <w:rFonts w:hint="default" w:ascii="Times New Roman" w:hAnsi="Times New Roman" w:cs="Times New Roman"/>
          <w:szCs w:val="21"/>
        </w:rPr>
      </w:pPr>
    </w:p>
    <w:p w14:paraId="379DAD50">
      <w:pPr>
        <w:spacing w:line="440" w:lineRule="exact"/>
        <w:rPr>
          <w:rFonts w:hint="default" w:ascii="Times New Roman" w:hAnsi="Times New Roman" w:cs="Times New Roman"/>
          <w:szCs w:val="21"/>
        </w:rPr>
      </w:pPr>
    </w:p>
    <w:p w14:paraId="49C9929F">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470995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14:paraId="3D9C1FA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4207E44">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5CB90A1B">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7B57550">
      <w:pPr>
        <w:spacing w:line="440" w:lineRule="exact"/>
        <w:rPr>
          <w:rFonts w:hint="default" w:ascii="Times New Roman" w:hAnsi="Times New Roman" w:cs="Times New Roman"/>
          <w:szCs w:val="21"/>
        </w:rPr>
      </w:pPr>
    </w:p>
    <w:p w14:paraId="668B2E0F">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C251A5C">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53C3BA6E">
      <w:pPr>
        <w:pStyle w:val="4"/>
        <w:jc w:val="center"/>
        <w:rPr>
          <w:rFonts w:hint="default" w:ascii="Times New Roman" w:hAnsi="Times New Roman" w:cs="Times New Roman"/>
          <w:highlight w:val="none"/>
        </w:rPr>
      </w:pPr>
      <w:bookmarkStart w:id="457" w:name="_Toc247514286"/>
      <w:bookmarkStart w:id="458" w:name="_Toc144974862"/>
      <w:bookmarkStart w:id="459" w:name="_Toc300835216"/>
      <w:bookmarkStart w:id="460" w:name="_Toc152045794"/>
      <w:bookmarkStart w:id="461" w:name="_Toc247527834"/>
      <w:bookmarkStart w:id="462" w:name="_Toc152042583"/>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57"/>
      <w:bookmarkEnd w:id="458"/>
      <w:bookmarkEnd w:id="459"/>
      <w:bookmarkEnd w:id="460"/>
      <w:bookmarkEnd w:id="461"/>
      <w:bookmarkEnd w:id="462"/>
    </w:p>
    <w:p w14:paraId="2B4B96A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6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2D6C0FB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030D4D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07B096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47346C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5799D4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37521EB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E4F804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D359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215BCA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A5EFE8">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4C8121B1">
      <w:pPr>
        <w:spacing w:line="440" w:lineRule="exact"/>
        <w:rPr>
          <w:rFonts w:hint="default" w:ascii="Times New Roman" w:hAnsi="Times New Roman" w:cs="Times New Roman"/>
          <w:b/>
          <w:bCs/>
        </w:rPr>
      </w:pPr>
    </w:p>
    <w:bookmarkEnd w:id="463"/>
    <w:p w14:paraId="1CBDC468">
      <w:pPr>
        <w:rPr>
          <w:rFonts w:hint="default" w:ascii="Times New Roman" w:hAnsi="Times New Roman" w:cs="Times New Roman"/>
        </w:rPr>
      </w:pPr>
      <w:bookmarkStart w:id="464" w:name="_Toc152045795"/>
      <w:bookmarkStart w:id="465" w:name="_Toc152042584"/>
      <w:bookmarkStart w:id="466" w:name="_Toc247527835"/>
      <w:bookmarkStart w:id="467" w:name="_Toc247514287"/>
      <w:bookmarkStart w:id="468" w:name="_Toc144974863"/>
      <w:bookmarkStart w:id="469" w:name="_Toc300835218"/>
      <w:r>
        <w:rPr>
          <w:rFonts w:hint="default" w:ascii="Times New Roman" w:hAnsi="Times New Roman" w:cs="Times New Roman"/>
        </w:rPr>
        <w:br w:type="page"/>
      </w:r>
    </w:p>
    <w:p w14:paraId="25083289">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64"/>
      <w:bookmarkEnd w:id="465"/>
      <w:bookmarkEnd w:id="466"/>
      <w:bookmarkEnd w:id="467"/>
      <w:bookmarkEnd w:id="468"/>
      <w:bookmarkEnd w:id="469"/>
      <w:r>
        <w:rPr>
          <w:rFonts w:hint="eastAsia" w:ascii="Times New Roman" w:hAnsi="Times New Roman" w:cs="Times New Roman"/>
          <w:lang w:val="en-US" w:eastAsia="zh-CN"/>
        </w:rPr>
        <w:t>服务费用清单</w:t>
      </w:r>
    </w:p>
    <w:p w14:paraId="213D7DA2">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14:paraId="38C90BF2">
      <w:pPr>
        <w:rPr>
          <w:rFonts w:hint="eastAsia" w:ascii="Times New Roman" w:hAnsi="Times New Roman" w:cs="Times New Roman"/>
          <w:lang w:val="en-US" w:eastAsia="zh-CN"/>
        </w:rPr>
      </w:pPr>
    </w:p>
    <w:p w14:paraId="3F3EFF17">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14:paraId="0B37977E">
      <w:pPr>
        <w:rPr>
          <w:rFonts w:hint="default" w:ascii="Times New Roman" w:hAnsi="Times New Roman" w:cs="Times New Roman"/>
          <w:lang w:val="en-US" w:eastAsia="zh-CN"/>
        </w:rPr>
      </w:pPr>
    </w:p>
    <w:p w14:paraId="2F9AA941">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14:paraId="606F2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DD69D8C">
            <w:pPr>
              <w:jc w:val="center"/>
              <w:rPr>
                <w:rFonts w:hint="eastAsia" w:ascii="Times New Roman" w:hAnsi="Times New Roman" w:cs="Times New Roman" w:eastAsiaTheme="minorEastAsia"/>
                <w:b/>
                <w:bCs/>
                <w:vertAlign w:val="baseline"/>
                <w:lang w:val="en-US" w:eastAsia="zh-CN"/>
              </w:rPr>
            </w:pPr>
            <w:bookmarkStart w:id="470" w:name="_Toc300835221"/>
            <w:bookmarkStart w:id="471" w:name="_Toc247514288"/>
            <w:bookmarkStart w:id="472" w:name="_Toc247527836"/>
            <w:bookmarkStart w:id="473" w:name="_Toc144974864"/>
            <w:bookmarkStart w:id="474" w:name="_Toc152045796"/>
            <w:bookmarkStart w:id="475" w:name="_Toc152042585"/>
            <w:r>
              <w:rPr>
                <w:rFonts w:hint="eastAsia" w:ascii="Times New Roman" w:hAnsi="Times New Roman" w:cs="Times New Roman"/>
                <w:b/>
                <w:bCs/>
                <w:vertAlign w:val="baseline"/>
                <w:lang w:val="en-US" w:eastAsia="zh-CN"/>
              </w:rPr>
              <w:t>序号</w:t>
            </w:r>
          </w:p>
        </w:tc>
        <w:tc>
          <w:tcPr>
            <w:tcW w:w="2268" w:type="dxa"/>
            <w:vAlign w:val="center"/>
          </w:tcPr>
          <w:p w14:paraId="1EACFE09">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14:paraId="306A4A70">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14:paraId="2553BA59">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14:paraId="3092032D">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14:paraId="63816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691ABA4">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14:paraId="66912A7F">
            <w:pPr>
              <w:jc w:val="center"/>
              <w:rPr>
                <w:rFonts w:hint="default" w:ascii="Times New Roman" w:hAnsi="Times New Roman" w:cs="Times New Roman"/>
                <w:vertAlign w:val="baseline"/>
              </w:rPr>
            </w:pPr>
          </w:p>
        </w:tc>
        <w:tc>
          <w:tcPr>
            <w:tcW w:w="2268" w:type="dxa"/>
            <w:vAlign w:val="center"/>
          </w:tcPr>
          <w:p w14:paraId="572EE4B3">
            <w:pPr>
              <w:jc w:val="center"/>
              <w:rPr>
                <w:rFonts w:hint="default" w:ascii="Times New Roman" w:hAnsi="Times New Roman" w:cs="Times New Roman"/>
                <w:vertAlign w:val="baseline"/>
              </w:rPr>
            </w:pPr>
          </w:p>
        </w:tc>
        <w:tc>
          <w:tcPr>
            <w:tcW w:w="1134" w:type="dxa"/>
            <w:vAlign w:val="center"/>
          </w:tcPr>
          <w:p w14:paraId="4D24BE49">
            <w:pPr>
              <w:jc w:val="center"/>
              <w:rPr>
                <w:rFonts w:hint="default" w:ascii="Times New Roman" w:hAnsi="Times New Roman" w:cs="Times New Roman"/>
                <w:vertAlign w:val="baseline"/>
              </w:rPr>
            </w:pPr>
          </w:p>
        </w:tc>
        <w:tc>
          <w:tcPr>
            <w:tcW w:w="2001" w:type="dxa"/>
            <w:vAlign w:val="center"/>
          </w:tcPr>
          <w:p w14:paraId="7B2CD938">
            <w:pPr>
              <w:jc w:val="center"/>
              <w:rPr>
                <w:rFonts w:hint="default" w:ascii="Times New Roman" w:hAnsi="Times New Roman" w:cs="Times New Roman"/>
                <w:vertAlign w:val="baseline"/>
              </w:rPr>
            </w:pPr>
          </w:p>
        </w:tc>
      </w:tr>
      <w:tr w14:paraId="6C7A4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07AF06C7">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14:paraId="4499CFCE">
            <w:pPr>
              <w:jc w:val="center"/>
              <w:rPr>
                <w:rFonts w:hint="default" w:ascii="Times New Roman" w:hAnsi="Times New Roman" w:cs="Times New Roman"/>
                <w:vertAlign w:val="baseline"/>
              </w:rPr>
            </w:pPr>
          </w:p>
        </w:tc>
        <w:tc>
          <w:tcPr>
            <w:tcW w:w="2268" w:type="dxa"/>
            <w:vAlign w:val="center"/>
          </w:tcPr>
          <w:p w14:paraId="76663D46">
            <w:pPr>
              <w:jc w:val="center"/>
              <w:rPr>
                <w:rFonts w:hint="default" w:ascii="Times New Roman" w:hAnsi="Times New Roman" w:cs="Times New Roman"/>
                <w:vertAlign w:val="baseline"/>
              </w:rPr>
            </w:pPr>
          </w:p>
        </w:tc>
        <w:tc>
          <w:tcPr>
            <w:tcW w:w="1134" w:type="dxa"/>
            <w:vAlign w:val="center"/>
          </w:tcPr>
          <w:p w14:paraId="0097BF91">
            <w:pPr>
              <w:jc w:val="center"/>
              <w:rPr>
                <w:rFonts w:hint="default" w:ascii="Times New Roman" w:hAnsi="Times New Roman" w:cs="Times New Roman"/>
                <w:vertAlign w:val="baseline"/>
              </w:rPr>
            </w:pPr>
          </w:p>
        </w:tc>
        <w:tc>
          <w:tcPr>
            <w:tcW w:w="2001" w:type="dxa"/>
            <w:vAlign w:val="center"/>
          </w:tcPr>
          <w:p w14:paraId="1D65E695">
            <w:pPr>
              <w:jc w:val="center"/>
              <w:rPr>
                <w:rFonts w:hint="default" w:ascii="Times New Roman" w:hAnsi="Times New Roman" w:cs="Times New Roman"/>
                <w:vertAlign w:val="baseline"/>
              </w:rPr>
            </w:pPr>
          </w:p>
        </w:tc>
      </w:tr>
      <w:tr w14:paraId="55B4C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4CD571F4">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14:paraId="1304D108">
            <w:pPr>
              <w:jc w:val="center"/>
              <w:rPr>
                <w:rFonts w:hint="default" w:ascii="Times New Roman" w:hAnsi="Times New Roman" w:cs="Times New Roman"/>
                <w:vertAlign w:val="baseline"/>
              </w:rPr>
            </w:pPr>
          </w:p>
        </w:tc>
        <w:tc>
          <w:tcPr>
            <w:tcW w:w="2268" w:type="dxa"/>
            <w:vAlign w:val="center"/>
          </w:tcPr>
          <w:p w14:paraId="2781462C">
            <w:pPr>
              <w:jc w:val="center"/>
              <w:rPr>
                <w:rFonts w:hint="default" w:ascii="Times New Roman" w:hAnsi="Times New Roman" w:cs="Times New Roman"/>
                <w:vertAlign w:val="baseline"/>
              </w:rPr>
            </w:pPr>
          </w:p>
        </w:tc>
        <w:tc>
          <w:tcPr>
            <w:tcW w:w="1134" w:type="dxa"/>
            <w:vAlign w:val="center"/>
          </w:tcPr>
          <w:p w14:paraId="0060EA05">
            <w:pPr>
              <w:jc w:val="center"/>
              <w:rPr>
                <w:rFonts w:hint="default" w:ascii="Times New Roman" w:hAnsi="Times New Roman" w:cs="Times New Roman"/>
                <w:vertAlign w:val="baseline"/>
              </w:rPr>
            </w:pPr>
          </w:p>
        </w:tc>
        <w:tc>
          <w:tcPr>
            <w:tcW w:w="2001" w:type="dxa"/>
            <w:vAlign w:val="center"/>
          </w:tcPr>
          <w:p w14:paraId="66953E79">
            <w:pPr>
              <w:jc w:val="center"/>
              <w:rPr>
                <w:rFonts w:hint="default" w:ascii="Times New Roman" w:hAnsi="Times New Roman" w:cs="Times New Roman"/>
                <w:vertAlign w:val="baseline"/>
              </w:rPr>
            </w:pPr>
          </w:p>
        </w:tc>
      </w:tr>
      <w:tr w14:paraId="1E75B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60F61E9C">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14:paraId="25091FD9">
            <w:pPr>
              <w:jc w:val="center"/>
              <w:rPr>
                <w:rFonts w:hint="default" w:ascii="Times New Roman" w:hAnsi="Times New Roman" w:cs="Times New Roman"/>
                <w:vertAlign w:val="baseline"/>
              </w:rPr>
            </w:pPr>
          </w:p>
        </w:tc>
        <w:tc>
          <w:tcPr>
            <w:tcW w:w="2268" w:type="dxa"/>
            <w:vAlign w:val="center"/>
          </w:tcPr>
          <w:p w14:paraId="029BA6EC">
            <w:pPr>
              <w:jc w:val="center"/>
              <w:rPr>
                <w:rFonts w:hint="default" w:ascii="Times New Roman" w:hAnsi="Times New Roman" w:cs="Times New Roman"/>
                <w:vertAlign w:val="baseline"/>
              </w:rPr>
            </w:pPr>
          </w:p>
        </w:tc>
        <w:tc>
          <w:tcPr>
            <w:tcW w:w="1134" w:type="dxa"/>
            <w:vAlign w:val="center"/>
          </w:tcPr>
          <w:p w14:paraId="06376993">
            <w:pPr>
              <w:jc w:val="center"/>
              <w:rPr>
                <w:rFonts w:hint="default" w:ascii="Times New Roman" w:hAnsi="Times New Roman" w:cs="Times New Roman"/>
                <w:vertAlign w:val="baseline"/>
              </w:rPr>
            </w:pPr>
          </w:p>
        </w:tc>
        <w:tc>
          <w:tcPr>
            <w:tcW w:w="2001" w:type="dxa"/>
            <w:vAlign w:val="center"/>
          </w:tcPr>
          <w:p w14:paraId="58D660DF">
            <w:pPr>
              <w:jc w:val="center"/>
              <w:rPr>
                <w:rFonts w:hint="default" w:ascii="Times New Roman" w:hAnsi="Times New Roman" w:cs="Times New Roman"/>
                <w:vertAlign w:val="baseline"/>
              </w:rPr>
            </w:pPr>
          </w:p>
        </w:tc>
      </w:tr>
      <w:tr w14:paraId="306BA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503EEBC">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14:paraId="70D85914">
            <w:pPr>
              <w:jc w:val="center"/>
              <w:rPr>
                <w:rFonts w:hint="default" w:ascii="Times New Roman" w:hAnsi="Times New Roman" w:cs="Times New Roman"/>
                <w:vertAlign w:val="baseline"/>
              </w:rPr>
            </w:pPr>
          </w:p>
        </w:tc>
        <w:tc>
          <w:tcPr>
            <w:tcW w:w="2268" w:type="dxa"/>
            <w:vAlign w:val="center"/>
          </w:tcPr>
          <w:p w14:paraId="103CEA8B">
            <w:pPr>
              <w:jc w:val="center"/>
              <w:rPr>
                <w:rFonts w:hint="default" w:ascii="Times New Roman" w:hAnsi="Times New Roman" w:cs="Times New Roman"/>
                <w:vertAlign w:val="baseline"/>
              </w:rPr>
            </w:pPr>
          </w:p>
        </w:tc>
        <w:tc>
          <w:tcPr>
            <w:tcW w:w="1134" w:type="dxa"/>
            <w:vAlign w:val="center"/>
          </w:tcPr>
          <w:p w14:paraId="15EFD0F8">
            <w:pPr>
              <w:jc w:val="center"/>
              <w:rPr>
                <w:rFonts w:hint="default" w:ascii="Times New Roman" w:hAnsi="Times New Roman" w:cs="Times New Roman"/>
                <w:vertAlign w:val="baseline"/>
              </w:rPr>
            </w:pPr>
          </w:p>
        </w:tc>
        <w:tc>
          <w:tcPr>
            <w:tcW w:w="2001" w:type="dxa"/>
            <w:vAlign w:val="center"/>
          </w:tcPr>
          <w:p w14:paraId="1274BF07">
            <w:pPr>
              <w:jc w:val="center"/>
              <w:rPr>
                <w:rFonts w:hint="default" w:ascii="Times New Roman" w:hAnsi="Times New Roman" w:cs="Times New Roman"/>
                <w:vertAlign w:val="baseline"/>
              </w:rPr>
            </w:pPr>
          </w:p>
        </w:tc>
      </w:tr>
      <w:tr w14:paraId="4B91D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BE992D4">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14:paraId="504D3D89">
            <w:pPr>
              <w:jc w:val="center"/>
              <w:rPr>
                <w:rFonts w:hint="default" w:ascii="Times New Roman" w:hAnsi="Times New Roman" w:cs="Times New Roman"/>
                <w:vertAlign w:val="baseline"/>
              </w:rPr>
            </w:pPr>
          </w:p>
        </w:tc>
        <w:tc>
          <w:tcPr>
            <w:tcW w:w="2268" w:type="dxa"/>
            <w:vAlign w:val="center"/>
          </w:tcPr>
          <w:p w14:paraId="15DA6636">
            <w:pPr>
              <w:jc w:val="center"/>
              <w:rPr>
                <w:rFonts w:hint="default" w:ascii="Times New Roman" w:hAnsi="Times New Roman" w:cs="Times New Roman"/>
                <w:vertAlign w:val="baseline"/>
              </w:rPr>
            </w:pPr>
          </w:p>
        </w:tc>
        <w:tc>
          <w:tcPr>
            <w:tcW w:w="1134" w:type="dxa"/>
            <w:vAlign w:val="center"/>
          </w:tcPr>
          <w:p w14:paraId="1109E2AA">
            <w:pPr>
              <w:jc w:val="center"/>
              <w:rPr>
                <w:rFonts w:hint="default" w:ascii="Times New Roman" w:hAnsi="Times New Roman" w:cs="Times New Roman"/>
                <w:vertAlign w:val="baseline"/>
              </w:rPr>
            </w:pPr>
          </w:p>
        </w:tc>
        <w:tc>
          <w:tcPr>
            <w:tcW w:w="2001" w:type="dxa"/>
            <w:vAlign w:val="center"/>
          </w:tcPr>
          <w:p w14:paraId="589D8EF0">
            <w:pPr>
              <w:jc w:val="center"/>
              <w:rPr>
                <w:rFonts w:hint="default" w:ascii="Times New Roman" w:hAnsi="Times New Roman" w:cs="Times New Roman"/>
                <w:vertAlign w:val="baseline"/>
              </w:rPr>
            </w:pPr>
          </w:p>
        </w:tc>
      </w:tr>
      <w:tr w14:paraId="65D84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14:paraId="6E24EDF8">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14:paraId="59E753DD">
            <w:pPr>
              <w:jc w:val="center"/>
              <w:rPr>
                <w:rFonts w:hint="default" w:ascii="Times New Roman" w:hAnsi="Times New Roman" w:cs="Times New Roman"/>
                <w:vertAlign w:val="baseline"/>
              </w:rPr>
            </w:pPr>
          </w:p>
        </w:tc>
        <w:tc>
          <w:tcPr>
            <w:tcW w:w="2001" w:type="dxa"/>
            <w:vAlign w:val="center"/>
          </w:tcPr>
          <w:p w14:paraId="3184F6E8">
            <w:pPr>
              <w:jc w:val="center"/>
              <w:rPr>
                <w:rFonts w:hint="default" w:ascii="Times New Roman" w:hAnsi="Times New Roman" w:cs="Times New Roman"/>
                <w:vertAlign w:val="baseline"/>
              </w:rPr>
            </w:pPr>
          </w:p>
        </w:tc>
      </w:tr>
    </w:tbl>
    <w:p w14:paraId="3C9BA1E3">
      <w:pPr>
        <w:rPr>
          <w:rFonts w:hint="default" w:ascii="Times New Roman" w:hAnsi="Times New Roman" w:cs="Times New Roman"/>
        </w:rPr>
      </w:pPr>
    </w:p>
    <w:p w14:paraId="5D6E5E79">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470"/>
    <w:bookmarkEnd w:id="471"/>
    <w:bookmarkEnd w:id="472"/>
    <w:bookmarkEnd w:id="473"/>
    <w:bookmarkEnd w:id="474"/>
    <w:bookmarkEnd w:id="475"/>
    <w:p w14:paraId="6813DDB5">
      <w:pPr>
        <w:pStyle w:val="4"/>
        <w:jc w:val="center"/>
        <w:rPr>
          <w:rFonts w:hint="eastAsia"/>
          <w:highlight w:val="none"/>
        </w:rPr>
      </w:pPr>
      <w:bookmarkStart w:id="476" w:name="_Toc144974871"/>
      <w:bookmarkStart w:id="477" w:name="_Toc247085887"/>
      <w:bookmarkStart w:id="478" w:name="_Toc247514300"/>
      <w:bookmarkStart w:id="479" w:name="_Toc296602614"/>
      <w:bookmarkStart w:id="480" w:name="_Toc300835224"/>
      <w:bookmarkStart w:id="481" w:name="_Toc246996369"/>
      <w:bookmarkStart w:id="482" w:name="_Toc152045803"/>
      <w:bookmarkStart w:id="483" w:name="_Toc246997112"/>
      <w:bookmarkStart w:id="484" w:name="_Toc152042597"/>
      <w:bookmarkStart w:id="485" w:name="_Toc152045808"/>
      <w:bookmarkStart w:id="486" w:name="_Toc144974876"/>
      <w:bookmarkStart w:id="487" w:name="_Toc152042592"/>
      <w:bookmarkStart w:id="488" w:name="_Toc247527848"/>
      <w:bookmarkStart w:id="489" w:name="_Toc179632823"/>
      <w:r>
        <w:rPr>
          <w:rFonts w:hint="eastAsia"/>
          <w:highlight w:val="none"/>
          <w:lang w:val="en-US" w:eastAsia="zh-CN"/>
        </w:rPr>
        <w:t>五</w:t>
      </w:r>
      <w:r>
        <w:rPr>
          <w:highlight w:val="none"/>
        </w:rPr>
        <w:t>、资格审查资料</w:t>
      </w:r>
    </w:p>
    <w:p w14:paraId="7E3E7F09">
      <w:pPr>
        <w:pStyle w:val="5"/>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14:paraId="541786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2757027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5A76747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65234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0AF5E61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4CBAC1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75B91A8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2C70C79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0C98C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14:paraId="3B968E0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E117F7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4EBB8F9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3BB85AB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7D27E53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21925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14:paraId="5869A00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FC74B6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7AF648F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6AF3679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5C4D422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2AD1F2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06878E6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8EB0EA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000167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D0B8FB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0635AD2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28FBA4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49BCD71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74BDE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6D8AF9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27D6F6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E512D9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E2650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385EF06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5ACA70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1BF4C15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0DE84D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25EECE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1D17EB56">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14:paraId="17CD2C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000260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66AB3936">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14:paraId="33B367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6821BA2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64A80D2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14:paraId="353678C8">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14:paraId="6D74F7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D31357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1BE2E48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14:paraId="20D9C7A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52B2E28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2C6AD56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52F5A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4A6B88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0EF9C49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62D3E03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0B75646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144D05F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06988F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D03F5E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14CBA57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7932452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56ED734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3488AB3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708CC77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7DE00F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1BE9F5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200CF44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66A25FD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2BBFDCA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51BE449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488E258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748AE3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889865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5937F0B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223FB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68DE1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33C6F40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03920C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6C229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476FBCB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14:paraId="66CD0267">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14:paraId="36C42BC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14:paraId="03B3C9AA">
      <w:pPr>
        <w:rPr>
          <w:rFonts w:hint="eastAsia"/>
        </w:rPr>
      </w:pPr>
      <w:r>
        <w:rPr>
          <w:rFonts w:hint="eastAsia"/>
        </w:rPr>
        <w:br w:type="page"/>
      </w:r>
    </w:p>
    <w:p w14:paraId="3E44F3AE">
      <w:pPr>
        <w:pStyle w:val="5"/>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14:paraId="25F1CD2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14:paraId="14272816">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54FB0286">
      <w:pPr>
        <w:rPr>
          <w:rFonts w:hint="eastAsia"/>
        </w:rPr>
      </w:pPr>
      <w:r>
        <w:rPr>
          <w:rFonts w:hint="eastAsia"/>
        </w:rPr>
        <w:br w:type="page"/>
      </w:r>
    </w:p>
    <w:p w14:paraId="32213593">
      <w:pPr>
        <w:pStyle w:val="5"/>
        <w:rPr>
          <w:rFonts w:hint="default" w:ascii="Times New Roman" w:hAnsi="Times New Roman" w:cs="Times New Roman"/>
        </w:rPr>
      </w:pPr>
      <w:r>
        <w:rPr>
          <w:rFonts w:hint="default" w:ascii="Times New Roman" w:hAnsi="Times New Roman" w:cs="Times New Roman"/>
        </w:rPr>
        <w:t>（三）近年完成的类似项目情况表</w:t>
      </w:r>
    </w:p>
    <w:p w14:paraId="562A3958">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5245C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51FE10E2">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14:paraId="4112FF50">
            <w:pPr>
              <w:topLinePunct/>
              <w:spacing w:line="440" w:lineRule="exact"/>
              <w:rPr>
                <w:rFonts w:hint="default" w:ascii="Times New Roman" w:hAnsi="Times New Roman" w:cs="Times New Roman"/>
                <w:szCs w:val="21"/>
                <w:highlight w:val="black"/>
              </w:rPr>
            </w:pPr>
          </w:p>
        </w:tc>
      </w:tr>
      <w:tr w14:paraId="20B97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6DAAB3D3">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14:paraId="5ABED394">
            <w:pPr>
              <w:topLinePunct/>
              <w:spacing w:line="440" w:lineRule="exact"/>
              <w:rPr>
                <w:rFonts w:hint="default" w:ascii="Times New Roman" w:hAnsi="Times New Roman" w:cs="Times New Roman"/>
                <w:szCs w:val="21"/>
                <w:highlight w:val="black"/>
              </w:rPr>
            </w:pPr>
          </w:p>
        </w:tc>
      </w:tr>
      <w:tr w14:paraId="26F72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60030654">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14:paraId="7745F383">
            <w:pPr>
              <w:topLinePunct/>
              <w:spacing w:line="440" w:lineRule="exact"/>
              <w:rPr>
                <w:rFonts w:hint="default" w:ascii="Times New Roman" w:hAnsi="Times New Roman" w:cs="Times New Roman"/>
                <w:szCs w:val="21"/>
                <w:highlight w:val="black"/>
              </w:rPr>
            </w:pPr>
          </w:p>
        </w:tc>
      </w:tr>
      <w:tr w14:paraId="66FEE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3B2CB58A">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14:paraId="3C41DCD6">
            <w:pPr>
              <w:topLinePunct/>
              <w:spacing w:line="440" w:lineRule="exact"/>
              <w:rPr>
                <w:rFonts w:hint="default" w:ascii="Times New Roman" w:hAnsi="Times New Roman" w:cs="Times New Roman"/>
                <w:szCs w:val="21"/>
                <w:highlight w:val="black"/>
              </w:rPr>
            </w:pPr>
          </w:p>
        </w:tc>
      </w:tr>
      <w:tr w14:paraId="5DDD1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0BD8213F">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14:paraId="7039C42B">
            <w:pPr>
              <w:topLinePunct/>
              <w:spacing w:line="440" w:lineRule="exact"/>
              <w:rPr>
                <w:rFonts w:hint="default" w:ascii="Times New Roman" w:hAnsi="Times New Roman" w:cs="Times New Roman"/>
                <w:szCs w:val="21"/>
              </w:rPr>
            </w:pPr>
          </w:p>
        </w:tc>
      </w:tr>
      <w:tr w14:paraId="34461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6C6F5F3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4DB3E22A">
            <w:pPr>
              <w:topLinePunct/>
              <w:spacing w:line="440" w:lineRule="exact"/>
              <w:rPr>
                <w:rFonts w:hint="default" w:ascii="Times New Roman" w:hAnsi="Times New Roman" w:cs="Times New Roman"/>
                <w:szCs w:val="21"/>
              </w:rPr>
            </w:pPr>
          </w:p>
        </w:tc>
      </w:tr>
      <w:tr w14:paraId="77AF8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0934AD44">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14:paraId="7E2454B0">
            <w:pPr>
              <w:topLinePunct/>
              <w:spacing w:line="440" w:lineRule="exact"/>
              <w:rPr>
                <w:rFonts w:hint="default" w:ascii="Times New Roman" w:hAnsi="Times New Roman" w:cs="Times New Roman"/>
                <w:szCs w:val="21"/>
              </w:rPr>
            </w:pPr>
          </w:p>
        </w:tc>
      </w:tr>
      <w:tr w14:paraId="35374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0EB5E86">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14:paraId="00FDCDC8">
            <w:pPr>
              <w:topLinePunct/>
              <w:spacing w:line="440" w:lineRule="exact"/>
              <w:rPr>
                <w:rFonts w:hint="default" w:ascii="Times New Roman" w:hAnsi="Times New Roman" w:cs="Times New Roman"/>
                <w:szCs w:val="21"/>
              </w:rPr>
            </w:pPr>
          </w:p>
        </w:tc>
      </w:tr>
      <w:tr w14:paraId="788C5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58DB89E1">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14:paraId="1D93646D">
            <w:pPr>
              <w:topLinePunct/>
              <w:spacing w:line="440" w:lineRule="exact"/>
              <w:rPr>
                <w:rFonts w:hint="default" w:ascii="Times New Roman" w:hAnsi="Times New Roman" w:cs="Times New Roman"/>
                <w:szCs w:val="21"/>
              </w:rPr>
            </w:pPr>
          </w:p>
        </w:tc>
      </w:tr>
      <w:tr w14:paraId="03EDD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19769DA5">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14:paraId="2898C864">
            <w:pPr>
              <w:topLinePunct/>
              <w:spacing w:line="440" w:lineRule="exact"/>
              <w:rPr>
                <w:rFonts w:hint="default" w:ascii="Times New Roman" w:hAnsi="Times New Roman" w:cs="Times New Roman"/>
                <w:szCs w:val="21"/>
              </w:rPr>
            </w:pPr>
          </w:p>
          <w:p w14:paraId="1747D4F0">
            <w:pPr>
              <w:topLinePunct/>
              <w:spacing w:line="440" w:lineRule="exact"/>
              <w:rPr>
                <w:rFonts w:hint="default" w:ascii="Times New Roman" w:hAnsi="Times New Roman" w:cs="Times New Roman"/>
                <w:szCs w:val="21"/>
              </w:rPr>
            </w:pPr>
          </w:p>
          <w:p w14:paraId="7CC8AA70">
            <w:pPr>
              <w:topLinePunct/>
              <w:spacing w:line="440" w:lineRule="exact"/>
              <w:rPr>
                <w:rFonts w:hint="default" w:ascii="Times New Roman" w:hAnsi="Times New Roman" w:cs="Times New Roman"/>
                <w:szCs w:val="21"/>
              </w:rPr>
            </w:pPr>
          </w:p>
          <w:p w14:paraId="1F0AFC70">
            <w:pPr>
              <w:topLinePunct/>
              <w:spacing w:line="440" w:lineRule="exact"/>
              <w:rPr>
                <w:rFonts w:hint="default" w:ascii="Times New Roman" w:hAnsi="Times New Roman" w:cs="Times New Roman"/>
                <w:szCs w:val="21"/>
              </w:rPr>
            </w:pPr>
          </w:p>
          <w:p w14:paraId="0FC46995">
            <w:pPr>
              <w:topLinePunct/>
              <w:spacing w:line="440" w:lineRule="exact"/>
              <w:rPr>
                <w:rFonts w:hint="default" w:ascii="Times New Roman" w:hAnsi="Times New Roman" w:cs="Times New Roman"/>
                <w:szCs w:val="21"/>
              </w:rPr>
            </w:pPr>
          </w:p>
          <w:p w14:paraId="7AD5D5D8">
            <w:pPr>
              <w:topLinePunct/>
              <w:spacing w:line="440" w:lineRule="exact"/>
              <w:rPr>
                <w:rFonts w:hint="default" w:ascii="Times New Roman" w:hAnsi="Times New Roman" w:cs="Times New Roman"/>
                <w:szCs w:val="21"/>
              </w:rPr>
            </w:pPr>
          </w:p>
          <w:p w14:paraId="1A7BC528">
            <w:pPr>
              <w:topLinePunct/>
              <w:spacing w:line="440" w:lineRule="exact"/>
              <w:rPr>
                <w:rFonts w:hint="default" w:ascii="Times New Roman" w:hAnsi="Times New Roman" w:cs="Times New Roman"/>
                <w:szCs w:val="21"/>
              </w:rPr>
            </w:pPr>
          </w:p>
        </w:tc>
      </w:tr>
      <w:tr w14:paraId="174F4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5482239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664BE251">
            <w:pPr>
              <w:topLinePunct/>
              <w:spacing w:line="440" w:lineRule="exact"/>
              <w:rPr>
                <w:rFonts w:hint="default" w:ascii="Times New Roman" w:hAnsi="Times New Roman" w:cs="Times New Roman"/>
                <w:szCs w:val="21"/>
              </w:rPr>
            </w:pPr>
          </w:p>
        </w:tc>
      </w:tr>
    </w:tbl>
    <w:p w14:paraId="4AD7635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14:paraId="556C47D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“近年完成的类似项目情况表”应附合同协议书、竣工验收报告；具体时间要求见投标人须知前附表，每张表格只填写一个项目，并标明序号。</w:t>
      </w:r>
    </w:p>
    <w:p w14:paraId="41EDF0F7">
      <w:pPr>
        <w:rPr>
          <w:rFonts w:hint="eastAsia"/>
        </w:rPr>
      </w:pPr>
      <w:r>
        <w:rPr>
          <w:rFonts w:hint="eastAsia"/>
        </w:rPr>
        <w:br w:type="page"/>
      </w:r>
    </w:p>
    <w:p w14:paraId="353657FE">
      <w:pPr>
        <w:pStyle w:val="5"/>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7"/>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14:paraId="0DDD8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Merge w:val="restart"/>
            <w:vAlign w:val="center"/>
          </w:tcPr>
          <w:p w14:paraId="711EB96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14:paraId="5CBD477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14:paraId="7DB4D3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14:paraId="571B28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14:paraId="4E7C923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14:paraId="5D43EE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14:paraId="2EC7449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14:paraId="08F6D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14:paraId="0857A2D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14:paraId="573FBDC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1DD4F5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7A1FB4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0F3747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9F6176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14:paraId="082D53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14:paraId="60EC233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14:paraId="2CDC7A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E901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4A5145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71B41C6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AC986D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B843CB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FCB316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72D839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EFC1CA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81B5CC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AF4350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B901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9AD9D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4109A6C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BE4C4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52CD9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2A76C6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D92EA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9B24FD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6A31A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39597D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6BAA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DF2DEA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45D6C8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C00FE0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9B925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76859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77D62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D59C22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77FFEB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5D6BE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3E2D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EA465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1391F1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E15FF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E74D72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99A429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21E180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569A7C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096AAB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07F63E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9113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44A493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7B23CC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C0FB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96B332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5BCB0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A5220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431B51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C40BB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FB1085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8C12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1C38F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44BF33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EBC566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F314D9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0CC791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EE4392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AB8459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DE7476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BD15E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2795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14B4A7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A699FC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6915A2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78F427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1C9783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E36F1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1BBE37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D264F2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3B94B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E589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844E64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C29A46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2AA52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0F3EE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AC6C7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380F64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1C035A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CA92F9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419FE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046E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4B34FEA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DE6BFC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F93F1E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504559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17CD04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C4E0D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FCBA5C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E82ED4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5392C6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2D79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E1F9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4BE0803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10796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E5633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90E6AE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24FBBEB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F88FC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3D47AF2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15560C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5DA3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534D2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B93BF0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66D466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2CC67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6E8A1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89DC4A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8000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251BF7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F12808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BBCE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5FF787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7F76384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A34E44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FA1EDD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93CC78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424B5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0E934E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663F43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E78A3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D5F5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24C6DA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743F65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B756B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2213F8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2645DA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EF9D92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464349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7E32E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B8CFFE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6F65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F617E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94F05E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F30E6F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5C4D1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0B2E11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053B70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9CAD0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E64BD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8B6F3D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DC5F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0679B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0E0682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BADD11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824A72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2ABD2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C6543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AFBAFD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9A94D8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5F079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811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32B872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FF00EE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00465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57041E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63A2D8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ABFE3C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FED164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BF660A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7F0A0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4F9F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43C760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8BF570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E57D6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DDFA05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8167D5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B1C758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300F9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6B2718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24E02C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50DA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35230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7BD10D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4EE5E7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D1402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21F68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0B38F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D2C4C7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75D53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1AAB3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FC76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697B0E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F7223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34678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49201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5A33D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025684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E844E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B25503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BF43E0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A0CA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0113E7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45EC52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E8993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1EB285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C4F2E6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DE462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705092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7C580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2C1B6C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A532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20F0F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D33E62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086833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6FF89D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FE1E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5758DF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3BF622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3C2BED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8191B2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C525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05DFB4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5411C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135AE1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2949D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F20552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1AEDB6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F9DC95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E1BBEB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BD50D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14:paraId="40DDB75E">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177D92C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77F66163">
      <w:pPr>
        <w:rPr>
          <w:rFonts w:hint="eastAsia"/>
          <w:i/>
          <w:iCs/>
          <w:color w:val="FF0000"/>
          <w:u w:val="single"/>
          <w:lang w:val="en-US" w:eastAsia="zh-CN"/>
        </w:rPr>
      </w:pPr>
    </w:p>
    <w:p w14:paraId="4A6DB06E">
      <w:pPr>
        <w:pStyle w:val="5"/>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14:paraId="4F59C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3B3050B">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14:paraId="2A3CCC0B">
            <w:pPr>
              <w:jc w:val="center"/>
              <w:rPr>
                <w:rFonts w:hint="eastAsia"/>
                <w:i w:val="0"/>
                <w:iCs w:val="0"/>
                <w:color w:val="auto"/>
                <w:u w:val="none"/>
                <w:vertAlign w:val="baseline"/>
                <w:lang w:val="en-US" w:eastAsia="zh-CN"/>
              </w:rPr>
            </w:pPr>
          </w:p>
        </w:tc>
        <w:tc>
          <w:tcPr>
            <w:tcW w:w="1134" w:type="dxa"/>
            <w:vAlign w:val="center"/>
          </w:tcPr>
          <w:p w14:paraId="6A60276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14:paraId="6732EAD0">
            <w:pPr>
              <w:jc w:val="center"/>
              <w:rPr>
                <w:rFonts w:hint="eastAsia"/>
                <w:i w:val="0"/>
                <w:iCs w:val="0"/>
                <w:color w:val="auto"/>
                <w:u w:val="none"/>
                <w:vertAlign w:val="baseline"/>
                <w:lang w:val="en-US" w:eastAsia="zh-CN"/>
              </w:rPr>
            </w:pPr>
          </w:p>
        </w:tc>
        <w:tc>
          <w:tcPr>
            <w:tcW w:w="1701" w:type="dxa"/>
            <w:vAlign w:val="center"/>
          </w:tcPr>
          <w:p w14:paraId="08F32401">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14:paraId="5D5C4843">
            <w:pPr>
              <w:jc w:val="center"/>
              <w:rPr>
                <w:rFonts w:hint="eastAsia"/>
                <w:i w:val="0"/>
                <w:iCs w:val="0"/>
                <w:color w:val="auto"/>
                <w:u w:val="none"/>
                <w:vertAlign w:val="baseline"/>
                <w:lang w:val="en-US" w:eastAsia="zh-CN"/>
              </w:rPr>
            </w:pPr>
          </w:p>
        </w:tc>
      </w:tr>
      <w:tr w14:paraId="3ECEB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386977FB">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14:paraId="5E1ADCEF">
            <w:pPr>
              <w:jc w:val="center"/>
              <w:rPr>
                <w:rFonts w:hint="eastAsia"/>
                <w:i w:val="0"/>
                <w:iCs w:val="0"/>
                <w:color w:val="auto"/>
                <w:u w:val="none"/>
                <w:vertAlign w:val="baseline"/>
                <w:lang w:val="en-US" w:eastAsia="zh-CN"/>
              </w:rPr>
            </w:pPr>
          </w:p>
        </w:tc>
        <w:tc>
          <w:tcPr>
            <w:tcW w:w="1134" w:type="dxa"/>
            <w:vAlign w:val="center"/>
          </w:tcPr>
          <w:p w14:paraId="3BFC66BE">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14:paraId="695C53A3">
            <w:pPr>
              <w:jc w:val="center"/>
              <w:rPr>
                <w:rFonts w:hint="eastAsia"/>
                <w:i w:val="0"/>
                <w:iCs w:val="0"/>
                <w:color w:val="auto"/>
                <w:u w:val="none"/>
                <w:vertAlign w:val="baseline"/>
                <w:lang w:val="en-US" w:eastAsia="zh-CN"/>
              </w:rPr>
            </w:pPr>
          </w:p>
        </w:tc>
        <w:tc>
          <w:tcPr>
            <w:tcW w:w="1701" w:type="dxa"/>
            <w:vAlign w:val="center"/>
          </w:tcPr>
          <w:p w14:paraId="5645A00A">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14:paraId="29E05929">
            <w:pPr>
              <w:jc w:val="center"/>
              <w:rPr>
                <w:rFonts w:hint="eastAsia"/>
                <w:i w:val="0"/>
                <w:iCs w:val="0"/>
                <w:color w:val="auto"/>
                <w:u w:val="none"/>
                <w:vertAlign w:val="baseline"/>
                <w:lang w:val="en-US" w:eastAsia="zh-CN"/>
              </w:rPr>
            </w:pPr>
          </w:p>
        </w:tc>
      </w:tr>
      <w:tr w14:paraId="1854E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1DD04F55">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14:paraId="6EAE9614">
            <w:pPr>
              <w:jc w:val="center"/>
              <w:rPr>
                <w:rFonts w:hint="eastAsia"/>
                <w:i w:val="0"/>
                <w:iCs w:val="0"/>
                <w:color w:val="auto"/>
                <w:u w:val="none"/>
                <w:vertAlign w:val="baseline"/>
                <w:lang w:val="en-US" w:eastAsia="zh-CN"/>
              </w:rPr>
            </w:pPr>
          </w:p>
        </w:tc>
        <w:tc>
          <w:tcPr>
            <w:tcW w:w="1701" w:type="dxa"/>
            <w:vAlign w:val="center"/>
          </w:tcPr>
          <w:p w14:paraId="56956A7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14:paraId="09F32A10">
            <w:pPr>
              <w:jc w:val="center"/>
              <w:rPr>
                <w:rFonts w:hint="eastAsia"/>
                <w:i w:val="0"/>
                <w:iCs w:val="0"/>
                <w:color w:val="auto"/>
                <w:u w:val="none"/>
                <w:vertAlign w:val="baseline"/>
                <w:lang w:val="en-US" w:eastAsia="zh-CN"/>
              </w:rPr>
            </w:pPr>
          </w:p>
        </w:tc>
      </w:tr>
      <w:tr w14:paraId="05561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1A19A0E6">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14:paraId="1D56A361">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14:paraId="4DC31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14:paraId="3A84D971">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14:paraId="5AFEB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4641D29">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14:paraId="23C5FECE">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14:paraId="53EDC997">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14:paraId="3F51C7D9">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14:paraId="00241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A00CEC1">
            <w:pPr>
              <w:jc w:val="center"/>
              <w:rPr>
                <w:rFonts w:hint="eastAsia"/>
                <w:i w:val="0"/>
                <w:iCs w:val="0"/>
                <w:color w:val="auto"/>
                <w:u w:val="none"/>
                <w:vertAlign w:val="baseline"/>
                <w:lang w:val="en-US" w:eastAsia="zh-CN"/>
              </w:rPr>
            </w:pPr>
          </w:p>
        </w:tc>
        <w:tc>
          <w:tcPr>
            <w:tcW w:w="3402" w:type="dxa"/>
            <w:gridSpan w:val="3"/>
            <w:vAlign w:val="center"/>
          </w:tcPr>
          <w:p w14:paraId="319A5A5C">
            <w:pPr>
              <w:jc w:val="center"/>
              <w:rPr>
                <w:rFonts w:hint="eastAsia"/>
                <w:i w:val="0"/>
                <w:iCs w:val="0"/>
                <w:color w:val="auto"/>
                <w:u w:val="none"/>
                <w:vertAlign w:val="baseline"/>
                <w:lang w:val="en-US" w:eastAsia="zh-CN"/>
              </w:rPr>
            </w:pPr>
          </w:p>
        </w:tc>
        <w:tc>
          <w:tcPr>
            <w:tcW w:w="1701" w:type="dxa"/>
            <w:vAlign w:val="center"/>
          </w:tcPr>
          <w:p w14:paraId="23360D0F">
            <w:pPr>
              <w:jc w:val="center"/>
              <w:rPr>
                <w:rFonts w:hint="eastAsia"/>
                <w:i w:val="0"/>
                <w:iCs w:val="0"/>
                <w:color w:val="auto"/>
                <w:u w:val="none"/>
                <w:vertAlign w:val="baseline"/>
                <w:lang w:val="en-US" w:eastAsia="zh-CN"/>
              </w:rPr>
            </w:pPr>
          </w:p>
        </w:tc>
        <w:tc>
          <w:tcPr>
            <w:tcW w:w="2285" w:type="dxa"/>
            <w:vAlign w:val="center"/>
          </w:tcPr>
          <w:p w14:paraId="45CB367A">
            <w:pPr>
              <w:jc w:val="center"/>
              <w:rPr>
                <w:rFonts w:hint="eastAsia"/>
                <w:i w:val="0"/>
                <w:iCs w:val="0"/>
                <w:color w:val="auto"/>
                <w:u w:val="none"/>
                <w:vertAlign w:val="baseline"/>
                <w:lang w:val="en-US" w:eastAsia="zh-CN"/>
              </w:rPr>
            </w:pPr>
          </w:p>
        </w:tc>
      </w:tr>
      <w:tr w14:paraId="6F037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750A2F71">
            <w:pPr>
              <w:jc w:val="center"/>
              <w:rPr>
                <w:rFonts w:hint="eastAsia"/>
                <w:i w:val="0"/>
                <w:iCs w:val="0"/>
                <w:color w:val="auto"/>
                <w:u w:val="none"/>
                <w:vertAlign w:val="baseline"/>
                <w:lang w:val="en-US" w:eastAsia="zh-CN"/>
              </w:rPr>
            </w:pPr>
          </w:p>
        </w:tc>
        <w:tc>
          <w:tcPr>
            <w:tcW w:w="3402" w:type="dxa"/>
            <w:gridSpan w:val="3"/>
            <w:vAlign w:val="center"/>
          </w:tcPr>
          <w:p w14:paraId="7F123D67">
            <w:pPr>
              <w:jc w:val="center"/>
              <w:rPr>
                <w:rFonts w:hint="eastAsia"/>
                <w:i w:val="0"/>
                <w:iCs w:val="0"/>
                <w:color w:val="auto"/>
                <w:u w:val="none"/>
                <w:vertAlign w:val="baseline"/>
                <w:lang w:val="en-US" w:eastAsia="zh-CN"/>
              </w:rPr>
            </w:pPr>
          </w:p>
        </w:tc>
        <w:tc>
          <w:tcPr>
            <w:tcW w:w="1701" w:type="dxa"/>
            <w:vAlign w:val="center"/>
          </w:tcPr>
          <w:p w14:paraId="36F17552">
            <w:pPr>
              <w:jc w:val="center"/>
              <w:rPr>
                <w:rFonts w:hint="eastAsia"/>
                <w:i w:val="0"/>
                <w:iCs w:val="0"/>
                <w:color w:val="auto"/>
                <w:u w:val="none"/>
                <w:vertAlign w:val="baseline"/>
                <w:lang w:val="en-US" w:eastAsia="zh-CN"/>
              </w:rPr>
            </w:pPr>
          </w:p>
        </w:tc>
        <w:tc>
          <w:tcPr>
            <w:tcW w:w="2285" w:type="dxa"/>
            <w:vAlign w:val="center"/>
          </w:tcPr>
          <w:p w14:paraId="43FED520">
            <w:pPr>
              <w:jc w:val="center"/>
              <w:rPr>
                <w:rFonts w:hint="eastAsia"/>
                <w:i w:val="0"/>
                <w:iCs w:val="0"/>
                <w:color w:val="auto"/>
                <w:u w:val="none"/>
                <w:vertAlign w:val="baseline"/>
                <w:lang w:val="en-US" w:eastAsia="zh-CN"/>
              </w:rPr>
            </w:pPr>
          </w:p>
        </w:tc>
      </w:tr>
      <w:tr w14:paraId="5C2E4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1EEDF34B">
            <w:pPr>
              <w:jc w:val="center"/>
              <w:rPr>
                <w:rFonts w:hint="eastAsia"/>
                <w:i w:val="0"/>
                <w:iCs w:val="0"/>
                <w:color w:val="auto"/>
                <w:u w:val="none"/>
                <w:vertAlign w:val="baseline"/>
                <w:lang w:val="en-US" w:eastAsia="zh-CN"/>
              </w:rPr>
            </w:pPr>
          </w:p>
        </w:tc>
        <w:tc>
          <w:tcPr>
            <w:tcW w:w="3402" w:type="dxa"/>
            <w:gridSpan w:val="3"/>
            <w:vAlign w:val="center"/>
          </w:tcPr>
          <w:p w14:paraId="10BA4E34">
            <w:pPr>
              <w:jc w:val="center"/>
              <w:rPr>
                <w:rFonts w:hint="eastAsia"/>
                <w:i w:val="0"/>
                <w:iCs w:val="0"/>
                <w:color w:val="auto"/>
                <w:u w:val="none"/>
                <w:vertAlign w:val="baseline"/>
                <w:lang w:val="en-US" w:eastAsia="zh-CN"/>
              </w:rPr>
            </w:pPr>
          </w:p>
        </w:tc>
        <w:tc>
          <w:tcPr>
            <w:tcW w:w="1701" w:type="dxa"/>
            <w:vAlign w:val="center"/>
          </w:tcPr>
          <w:p w14:paraId="1B20CA44">
            <w:pPr>
              <w:jc w:val="center"/>
              <w:rPr>
                <w:rFonts w:hint="eastAsia"/>
                <w:i w:val="0"/>
                <w:iCs w:val="0"/>
                <w:color w:val="auto"/>
                <w:u w:val="none"/>
                <w:vertAlign w:val="baseline"/>
                <w:lang w:val="en-US" w:eastAsia="zh-CN"/>
              </w:rPr>
            </w:pPr>
          </w:p>
        </w:tc>
        <w:tc>
          <w:tcPr>
            <w:tcW w:w="2285" w:type="dxa"/>
            <w:vAlign w:val="center"/>
          </w:tcPr>
          <w:p w14:paraId="3C17FF41">
            <w:pPr>
              <w:jc w:val="center"/>
              <w:rPr>
                <w:rFonts w:hint="eastAsia"/>
                <w:i w:val="0"/>
                <w:iCs w:val="0"/>
                <w:color w:val="auto"/>
                <w:u w:val="none"/>
                <w:vertAlign w:val="baseline"/>
                <w:lang w:val="en-US" w:eastAsia="zh-CN"/>
              </w:rPr>
            </w:pPr>
          </w:p>
        </w:tc>
      </w:tr>
      <w:tr w14:paraId="748C9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B95468A">
            <w:pPr>
              <w:jc w:val="center"/>
              <w:rPr>
                <w:rFonts w:hint="eastAsia"/>
                <w:i w:val="0"/>
                <w:iCs w:val="0"/>
                <w:color w:val="auto"/>
                <w:u w:val="none"/>
                <w:vertAlign w:val="baseline"/>
                <w:lang w:val="en-US" w:eastAsia="zh-CN"/>
              </w:rPr>
            </w:pPr>
          </w:p>
        </w:tc>
        <w:tc>
          <w:tcPr>
            <w:tcW w:w="3402" w:type="dxa"/>
            <w:gridSpan w:val="3"/>
            <w:vAlign w:val="center"/>
          </w:tcPr>
          <w:p w14:paraId="09C7693D">
            <w:pPr>
              <w:jc w:val="center"/>
              <w:rPr>
                <w:rFonts w:hint="eastAsia"/>
                <w:i w:val="0"/>
                <w:iCs w:val="0"/>
                <w:color w:val="auto"/>
                <w:u w:val="none"/>
                <w:vertAlign w:val="baseline"/>
                <w:lang w:val="en-US" w:eastAsia="zh-CN"/>
              </w:rPr>
            </w:pPr>
          </w:p>
        </w:tc>
        <w:tc>
          <w:tcPr>
            <w:tcW w:w="1701" w:type="dxa"/>
            <w:vAlign w:val="center"/>
          </w:tcPr>
          <w:p w14:paraId="65BDB23B">
            <w:pPr>
              <w:jc w:val="center"/>
              <w:rPr>
                <w:rFonts w:hint="eastAsia"/>
                <w:i w:val="0"/>
                <w:iCs w:val="0"/>
                <w:color w:val="auto"/>
                <w:u w:val="none"/>
                <w:vertAlign w:val="baseline"/>
                <w:lang w:val="en-US" w:eastAsia="zh-CN"/>
              </w:rPr>
            </w:pPr>
          </w:p>
        </w:tc>
        <w:tc>
          <w:tcPr>
            <w:tcW w:w="2285" w:type="dxa"/>
            <w:vAlign w:val="center"/>
          </w:tcPr>
          <w:p w14:paraId="61A8C5D1">
            <w:pPr>
              <w:jc w:val="center"/>
              <w:rPr>
                <w:rFonts w:hint="eastAsia"/>
                <w:i w:val="0"/>
                <w:iCs w:val="0"/>
                <w:color w:val="auto"/>
                <w:u w:val="none"/>
                <w:vertAlign w:val="baseline"/>
                <w:lang w:val="en-US" w:eastAsia="zh-CN"/>
              </w:rPr>
            </w:pPr>
          </w:p>
        </w:tc>
      </w:tr>
      <w:tr w14:paraId="0E789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7BA5E928">
            <w:pPr>
              <w:jc w:val="center"/>
              <w:rPr>
                <w:rFonts w:hint="eastAsia"/>
                <w:i w:val="0"/>
                <w:iCs w:val="0"/>
                <w:color w:val="auto"/>
                <w:u w:val="none"/>
                <w:vertAlign w:val="baseline"/>
                <w:lang w:val="en-US" w:eastAsia="zh-CN"/>
              </w:rPr>
            </w:pPr>
          </w:p>
        </w:tc>
        <w:tc>
          <w:tcPr>
            <w:tcW w:w="3402" w:type="dxa"/>
            <w:gridSpan w:val="3"/>
            <w:vAlign w:val="center"/>
          </w:tcPr>
          <w:p w14:paraId="2DA91C5E">
            <w:pPr>
              <w:jc w:val="center"/>
              <w:rPr>
                <w:rFonts w:hint="eastAsia"/>
                <w:i w:val="0"/>
                <w:iCs w:val="0"/>
                <w:color w:val="auto"/>
                <w:u w:val="none"/>
                <w:vertAlign w:val="baseline"/>
                <w:lang w:val="en-US" w:eastAsia="zh-CN"/>
              </w:rPr>
            </w:pPr>
          </w:p>
        </w:tc>
        <w:tc>
          <w:tcPr>
            <w:tcW w:w="1701" w:type="dxa"/>
            <w:vAlign w:val="center"/>
          </w:tcPr>
          <w:p w14:paraId="319B9591">
            <w:pPr>
              <w:jc w:val="center"/>
              <w:rPr>
                <w:rFonts w:hint="eastAsia"/>
                <w:i w:val="0"/>
                <w:iCs w:val="0"/>
                <w:color w:val="auto"/>
                <w:u w:val="none"/>
                <w:vertAlign w:val="baseline"/>
                <w:lang w:val="en-US" w:eastAsia="zh-CN"/>
              </w:rPr>
            </w:pPr>
          </w:p>
        </w:tc>
        <w:tc>
          <w:tcPr>
            <w:tcW w:w="2285" w:type="dxa"/>
            <w:vAlign w:val="center"/>
          </w:tcPr>
          <w:p w14:paraId="031F21FE">
            <w:pPr>
              <w:jc w:val="center"/>
              <w:rPr>
                <w:rFonts w:hint="eastAsia"/>
                <w:i w:val="0"/>
                <w:iCs w:val="0"/>
                <w:color w:val="auto"/>
                <w:u w:val="none"/>
                <w:vertAlign w:val="baseline"/>
                <w:lang w:val="en-US" w:eastAsia="zh-CN"/>
              </w:rPr>
            </w:pPr>
          </w:p>
        </w:tc>
      </w:tr>
      <w:tr w14:paraId="03BC6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E866AEC">
            <w:pPr>
              <w:jc w:val="center"/>
              <w:rPr>
                <w:rFonts w:hint="eastAsia"/>
                <w:i w:val="0"/>
                <w:iCs w:val="0"/>
                <w:color w:val="auto"/>
                <w:u w:val="none"/>
                <w:vertAlign w:val="baseline"/>
                <w:lang w:val="en-US" w:eastAsia="zh-CN"/>
              </w:rPr>
            </w:pPr>
          </w:p>
        </w:tc>
        <w:tc>
          <w:tcPr>
            <w:tcW w:w="3402" w:type="dxa"/>
            <w:gridSpan w:val="3"/>
            <w:vAlign w:val="center"/>
          </w:tcPr>
          <w:p w14:paraId="77F319CB">
            <w:pPr>
              <w:jc w:val="center"/>
              <w:rPr>
                <w:rFonts w:hint="eastAsia"/>
                <w:i w:val="0"/>
                <w:iCs w:val="0"/>
                <w:color w:val="auto"/>
                <w:u w:val="none"/>
                <w:vertAlign w:val="baseline"/>
                <w:lang w:val="en-US" w:eastAsia="zh-CN"/>
              </w:rPr>
            </w:pPr>
          </w:p>
        </w:tc>
        <w:tc>
          <w:tcPr>
            <w:tcW w:w="1701" w:type="dxa"/>
            <w:vAlign w:val="center"/>
          </w:tcPr>
          <w:p w14:paraId="269883DB">
            <w:pPr>
              <w:jc w:val="center"/>
              <w:rPr>
                <w:rFonts w:hint="eastAsia"/>
                <w:i w:val="0"/>
                <w:iCs w:val="0"/>
                <w:color w:val="auto"/>
                <w:u w:val="none"/>
                <w:vertAlign w:val="baseline"/>
                <w:lang w:val="en-US" w:eastAsia="zh-CN"/>
              </w:rPr>
            </w:pPr>
          </w:p>
        </w:tc>
        <w:tc>
          <w:tcPr>
            <w:tcW w:w="2285" w:type="dxa"/>
            <w:vAlign w:val="center"/>
          </w:tcPr>
          <w:p w14:paraId="15410B5E">
            <w:pPr>
              <w:jc w:val="center"/>
              <w:rPr>
                <w:rFonts w:hint="eastAsia"/>
                <w:i w:val="0"/>
                <w:iCs w:val="0"/>
                <w:color w:val="auto"/>
                <w:u w:val="none"/>
                <w:vertAlign w:val="baseline"/>
                <w:lang w:val="en-US" w:eastAsia="zh-CN"/>
              </w:rPr>
            </w:pPr>
          </w:p>
        </w:tc>
      </w:tr>
      <w:tr w14:paraId="3C5D2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4A26E6F">
            <w:pPr>
              <w:jc w:val="center"/>
              <w:rPr>
                <w:rFonts w:hint="eastAsia"/>
                <w:i w:val="0"/>
                <w:iCs w:val="0"/>
                <w:color w:val="auto"/>
                <w:u w:val="none"/>
                <w:vertAlign w:val="baseline"/>
                <w:lang w:val="en-US" w:eastAsia="zh-CN"/>
              </w:rPr>
            </w:pPr>
          </w:p>
        </w:tc>
        <w:tc>
          <w:tcPr>
            <w:tcW w:w="3402" w:type="dxa"/>
            <w:gridSpan w:val="3"/>
            <w:vAlign w:val="center"/>
          </w:tcPr>
          <w:p w14:paraId="4659B957">
            <w:pPr>
              <w:jc w:val="center"/>
              <w:rPr>
                <w:rFonts w:hint="eastAsia"/>
                <w:i w:val="0"/>
                <w:iCs w:val="0"/>
                <w:color w:val="auto"/>
                <w:u w:val="none"/>
                <w:vertAlign w:val="baseline"/>
                <w:lang w:val="en-US" w:eastAsia="zh-CN"/>
              </w:rPr>
            </w:pPr>
          </w:p>
        </w:tc>
        <w:tc>
          <w:tcPr>
            <w:tcW w:w="1701" w:type="dxa"/>
            <w:vAlign w:val="center"/>
          </w:tcPr>
          <w:p w14:paraId="53545000">
            <w:pPr>
              <w:jc w:val="center"/>
              <w:rPr>
                <w:rFonts w:hint="eastAsia"/>
                <w:i w:val="0"/>
                <w:iCs w:val="0"/>
                <w:color w:val="auto"/>
                <w:u w:val="none"/>
                <w:vertAlign w:val="baseline"/>
                <w:lang w:val="en-US" w:eastAsia="zh-CN"/>
              </w:rPr>
            </w:pPr>
          </w:p>
        </w:tc>
        <w:tc>
          <w:tcPr>
            <w:tcW w:w="2285" w:type="dxa"/>
            <w:vAlign w:val="center"/>
          </w:tcPr>
          <w:p w14:paraId="46AF165E">
            <w:pPr>
              <w:jc w:val="center"/>
              <w:rPr>
                <w:rFonts w:hint="eastAsia"/>
                <w:i w:val="0"/>
                <w:iCs w:val="0"/>
                <w:color w:val="auto"/>
                <w:u w:val="none"/>
                <w:vertAlign w:val="baseline"/>
                <w:lang w:val="en-US" w:eastAsia="zh-CN"/>
              </w:rPr>
            </w:pPr>
          </w:p>
        </w:tc>
      </w:tr>
    </w:tbl>
    <w:p w14:paraId="7833DCD9">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14:paraId="38D859DF">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14:paraId="408229B7">
      <w:pPr>
        <w:rPr>
          <w:rFonts w:hint="eastAsia"/>
          <w:i/>
          <w:iCs/>
          <w:color w:val="FF0000"/>
          <w:u w:val="single"/>
          <w:lang w:val="en-US" w:eastAsia="zh-CN"/>
        </w:rPr>
      </w:pPr>
      <w:r>
        <w:rPr>
          <w:rFonts w:hint="eastAsia"/>
          <w:i/>
          <w:iCs/>
          <w:color w:val="FF0000"/>
          <w:u w:val="single"/>
          <w:lang w:val="en-US" w:eastAsia="zh-CN"/>
        </w:rPr>
        <w:br w:type="page"/>
      </w:r>
    </w:p>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14:paraId="10F63EE5">
      <w:pPr>
        <w:pStyle w:val="4"/>
        <w:jc w:val="center"/>
        <w:rPr>
          <w:rFonts w:hint="eastAsia"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14:paraId="36E7CDA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监理大纲应包括（但不限于）下列内容：</w:t>
      </w:r>
    </w:p>
    <w:p w14:paraId="799F13F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一、监理工程概况；</w:t>
      </w:r>
    </w:p>
    <w:p w14:paraId="3226DA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二、监理范围、监理内容；</w:t>
      </w:r>
    </w:p>
    <w:p w14:paraId="2242493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三、监理工作依据、监理工作目标；</w:t>
      </w:r>
    </w:p>
    <w:p w14:paraId="0622204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四、监理机构设置（框图）、岗位职责；</w:t>
      </w:r>
    </w:p>
    <w:p w14:paraId="07A32E0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五、监理服务说明和方案；</w:t>
      </w:r>
    </w:p>
    <w:p w14:paraId="49FC6CC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六、拟投入的监理人员、试验检测仪器设备；</w:t>
      </w:r>
    </w:p>
    <w:p w14:paraId="7CA0580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七、质量、进度、造价等控制措施；</w:t>
      </w:r>
    </w:p>
    <w:p w14:paraId="1D5B6F85">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八、安全、环保等措施；</w:t>
      </w:r>
    </w:p>
    <w:p w14:paraId="29E9F871">
      <w:pPr>
        <w:autoSpaceDE/>
        <w:autoSpaceDN/>
        <w:adjustRightInd/>
        <w:spacing w:line="4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九、合同、信息管理方案；</w:t>
      </w:r>
    </w:p>
    <w:p w14:paraId="7A6BC82A">
      <w:pPr>
        <w:spacing w:line="4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十、组织协调内容及措施；</w:t>
      </w:r>
    </w:p>
    <w:p w14:paraId="409A771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十一、工作重点、难点分析</w:t>
      </w:r>
    </w:p>
    <w:p w14:paraId="3988CC65">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十二、对本项目的合理化建议。</w:t>
      </w:r>
    </w:p>
    <w:p w14:paraId="1A713CB0">
      <w:pPr>
        <w:rPr>
          <w:rFonts w:hint="default" w:ascii="Times New Roman" w:hAnsi="Times New Roman" w:cs="Times New Roman"/>
        </w:rPr>
      </w:pPr>
      <w:r>
        <w:rPr>
          <w:rFonts w:hint="default" w:ascii="Times New Roman" w:hAnsi="Times New Roman" w:cs="Times New Roman"/>
        </w:rPr>
        <w:br w:type="page"/>
      </w:r>
    </w:p>
    <w:p w14:paraId="511E16FA">
      <w:pPr>
        <w:pStyle w:val="4"/>
        <w:jc w:val="center"/>
        <w:rPr>
          <w:rFonts w:hint="default" w:ascii="Times New Roman" w:hAnsi="Times New Roman" w:cs="Times New Roman"/>
        </w:rPr>
      </w:pPr>
      <w:bookmarkStart w:id="490" w:name="_Toc300835233"/>
      <w:bookmarkStart w:id="491"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490"/>
      <w:bookmarkEnd w:id="491"/>
    </w:p>
    <w:p w14:paraId="22290D6E">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1671DBBC">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04C921B3-0237-4CB7-8D38-35B76CB000DF}"/>
  </w:font>
  <w:font w:name="Arial">
    <w:panose1 w:val="020B0604020202020204"/>
    <w:charset w:val="01"/>
    <w:family w:val="swiss"/>
    <w:pitch w:val="default"/>
    <w:sig w:usb0="E0002EFF" w:usb1="C000785B" w:usb2="00000009" w:usb3="00000000" w:csb0="400001FF" w:csb1="FFFF0000"/>
    <w:embedRegular r:id="rId2" w:fontKey="{06283ACF-F99C-42FF-B29C-8F48F014ECC9}"/>
  </w:font>
  <w:font w:name="黑体">
    <w:panose1 w:val="02010609060101010101"/>
    <w:charset w:val="86"/>
    <w:family w:val="auto"/>
    <w:pitch w:val="default"/>
    <w:sig w:usb0="800002BF" w:usb1="38CF7CFA" w:usb2="00000016" w:usb3="00000000" w:csb0="00040001" w:csb1="00000000"/>
    <w:embedRegular r:id="rId3" w:fontKey="{1C46DFDC-DBD2-456F-B274-D834EA72457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1950029D-1A10-43C0-8141-28178C1551DC}"/>
  </w:font>
  <w:font w:name="仿宋_GB2312">
    <w:panose1 w:val="02010609030101010101"/>
    <w:charset w:val="86"/>
    <w:family w:val="modern"/>
    <w:pitch w:val="default"/>
    <w:sig w:usb0="00000001" w:usb1="080E0000" w:usb2="00000000" w:usb3="00000000" w:csb0="00040000" w:csb1="00000000"/>
    <w:embedRegular r:id="rId5" w:fontKey="{24197711-4510-4E2A-9A13-B5506E8231E5}"/>
  </w:font>
  <w:font w:name="方正小标宋简体">
    <w:panose1 w:val="02000000000000000000"/>
    <w:charset w:val="86"/>
    <w:family w:val="auto"/>
    <w:pitch w:val="default"/>
    <w:sig w:usb0="00000001" w:usb1="08000000" w:usb2="00000000" w:usb3="00000000" w:csb0="00040000" w:csb1="00000000"/>
    <w:embedRegular r:id="rId6" w:fontKey="{3BE2468A-07C7-4213-BD81-304F295712F0}"/>
  </w:font>
  <w:font w:name="楷体">
    <w:panose1 w:val="02010609060101010101"/>
    <w:charset w:val="86"/>
    <w:family w:val="auto"/>
    <w:pitch w:val="default"/>
    <w:sig w:usb0="800002BF" w:usb1="38CF7CFA" w:usb2="00000016" w:usb3="00000000" w:csb0="00040001" w:csb1="00000000"/>
    <w:embedRegular r:id="rId7" w:fontKey="{7B398BE9-EB13-43BF-A329-4EAB74845254}"/>
  </w:font>
  <w:font w:name="Wingdings 2">
    <w:panose1 w:val="05020102010507070707"/>
    <w:charset w:val="00"/>
    <w:family w:val="auto"/>
    <w:pitch w:val="default"/>
    <w:sig w:usb0="00000000" w:usb1="00000000" w:usb2="00000000" w:usb3="00000000" w:csb0="80000000" w:csb1="00000000"/>
    <w:embedRegular r:id="rId8" w:fontKey="{1B26746A-7071-472C-BC51-E60A803A318E}"/>
  </w:font>
  <w:font w:name="楷体_GB2312">
    <w:panose1 w:val="02010609030101010101"/>
    <w:charset w:val="86"/>
    <w:family w:val="modern"/>
    <w:pitch w:val="default"/>
    <w:sig w:usb0="00000001" w:usb1="080E0000" w:usb2="00000000" w:usb3="00000000" w:csb0="00040000" w:csb1="00000000"/>
    <w:embedRegular r:id="rId9" w:fontKey="{63C27634-BE7A-4D45-852E-06F8AC2CA3F5}"/>
  </w:font>
  <w:font w:name="仿宋">
    <w:panose1 w:val="02010609060101010101"/>
    <w:charset w:val="86"/>
    <w:family w:val="modern"/>
    <w:pitch w:val="default"/>
    <w:sig w:usb0="800002BF" w:usb1="38CF7CFA" w:usb2="00000016" w:usb3="00000000" w:csb0="00040001" w:csb1="00000000"/>
    <w:embedRegular r:id="rId10" w:fontKey="{622AE68E-5571-4CD1-94A5-8FA02403839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2403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94F36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4EFB4F">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24EFB4F">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808AB7">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01AE9"/>
    <w:rsid w:val="002609D3"/>
    <w:rsid w:val="002C069E"/>
    <w:rsid w:val="0040224D"/>
    <w:rsid w:val="00733B0B"/>
    <w:rsid w:val="00764376"/>
    <w:rsid w:val="00796B76"/>
    <w:rsid w:val="00850CC0"/>
    <w:rsid w:val="00B00F2F"/>
    <w:rsid w:val="00FF308E"/>
    <w:rsid w:val="011E6004"/>
    <w:rsid w:val="012D2956"/>
    <w:rsid w:val="01423F24"/>
    <w:rsid w:val="0145105E"/>
    <w:rsid w:val="018C519F"/>
    <w:rsid w:val="019846E3"/>
    <w:rsid w:val="01CB0CDF"/>
    <w:rsid w:val="01CD2334"/>
    <w:rsid w:val="01E140D3"/>
    <w:rsid w:val="01EE4D0C"/>
    <w:rsid w:val="01F16263"/>
    <w:rsid w:val="02016132"/>
    <w:rsid w:val="02104F7F"/>
    <w:rsid w:val="0212370C"/>
    <w:rsid w:val="021D348F"/>
    <w:rsid w:val="02493090"/>
    <w:rsid w:val="026E5FAB"/>
    <w:rsid w:val="02983D41"/>
    <w:rsid w:val="029F2BC9"/>
    <w:rsid w:val="02A31129"/>
    <w:rsid w:val="02A46690"/>
    <w:rsid w:val="02AC508C"/>
    <w:rsid w:val="02BE075F"/>
    <w:rsid w:val="02C95F7F"/>
    <w:rsid w:val="02DE40B6"/>
    <w:rsid w:val="02F4317E"/>
    <w:rsid w:val="0324584F"/>
    <w:rsid w:val="032652C7"/>
    <w:rsid w:val="033964DC"/>
    <w:rsid w:val="034877EC"/>
    <w:rsid w:val="035021B2"/>
    <w:rsid w:val="03633AA8"/>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22C07"/>
    <w:rsid w:val="04885B47"/>
    <w:rsid w:val="04A52387"/>
    <w:rsid w:val="04B54547"/>
    <w:rsid w:val="04CD15E8"/>
    <w:rsid w:val="04CF4810"/>
    <w:rsid w:val="04D63FDF"/>
    <w:rsid w:val="04EB08D2"/>
    <w:rsid w:val="04EC7DA2"/>
    <w:rsid w:val="050252F6"/>
    <w:rsid w:val="05227A62"/>
    <w:rsid w:val="0541752E"/>
    <w:rsid w:val="055625ED"/>
    <w:rsid w:val="0572490A"/>
    <w:rsid w:val="057E3D65"/>
    <w:rsid w:val="058253F2"/>
    <w:rsid w:val="05872EB9"/>
    <w:rsid w:val="05933026"/>
    <w:rsid w:val="05BA17C0"/>
    <w:rsid w:val="05D9116E"/>
    <w:rsid w:val="061F0438"/>
    <w:rsid w:val="06292F58"/>
    <w:rsid w:val="063F4D83"/>
    <w:rsid w:val="06400C4E"/>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280E5C"/>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13E13"/>
    <w:rsid w:val="08ED571D"/>
    <w:rsid w:val="08F53A28"/>
    <w:rsid w:val="0922447E"/>
    <w:rsid w:val="0926237D"/>
    <w:rsid w:val="092D0C4C"/>
    <w:rsid w:val="096213E6"/>
    <w:rsid w:val="09641BD1"/>
    <w:rsid w:val="096609CC"/>
    <w:rsid w:val="0967298A"/>
    <w:rsid w:val="098F4C8F"/>
    <w:rsid w:val="099948FD"/>
    <w:rsid w:val="09A71C3D"/>
    <w:rsid w:val="09AE25F4"/>
    <w:rsid w:val="09AF2C22"/>
    <w:rsid w:val="09B32D8C"/>
    <w:rsid w:val="09C0202E"/>
    <w:rsid w:val="09C37FE6"/>
    <w:rsid w:val="09D236A1"/>
    <w:rsid w:val="09DB25D9"/>
    <w:rsid w:val="09DF226A"/>
    <w:rsid w:val="09EC69D2"/>
    <w:rsid w:val="0A074254"/>
    <w:rsid w:val="0A3B332D"/>
    <w:rsid w:val="0A466107"/>
    <w:rsid w:val="0A500304"/>
    <w:rsid w:val="0A5234C1"/>
    <w:rsid w:val="0A570314"/>
    <w:rsid w:val="0A704DEE"/>
    <w:rsid w:val="0A8B5261"/>
    <w:rsid w:val="0A8E5075"/>
    <w:rsid w:val="0AA913FB"/>
    <w:rsid w:val="0AAE6B76"/>
    <w:rsid w:val="0AB37F43"/>
    <w:rsid w:val="0AB930A2"/>
    <w:rsid w:val="0ADD0DF0"/>
    <w:rsid w:val="0AEB40E8"/>
    <w:rsid w:val="0AF12517"/>
    <w:rsid w:val="0B0E131B"/>
    <w:rsid w:val="0B246449"/>
    <w:rsid w:val="0B416906"/>
    <w:rsid w:val="0B5D1C2A"/>
    <w:rsid w:val="0B685C3C"/>
    <w:rsid w:val="0B7202E7"/>
    <w:rsid w:val="0B991D46"/>
    <w:rsid w:val="0B9F686D"/>
    <w:rsid w:val="0BDE31B0"/>
    <w:rsid w:val="0BE04A65"/>
    <w:rsid w:val="0BFC73C5"/>
    <w:rsid w:val="0C110CA2"/>
    <w:rsid w:val="0C773477"/>
    <w:rsid w:val="0C9F113B"/>
    <w:rsid w:val="0CD3448B"/>
    <w:rsid w:val="0CF072F3"/>
    <w:rsid w:val="0D2466BD"/>
    <w:rsid w:val="0D3A1668"/>
    <w:rsid w:val="0D5C2246"/>
    <w:rsid w:val="0D6A3C45"/>
    <w:rsid w:val="0D7F3B4D"/>
    <w:rsid w:val="0D84383E"/>
    <w:rsid w:val="0DA13B17"/>
    <w:rsid w:val="0DA277FF"/>
    <w:rsid w:val="0DB22432"/>
    <w:rsid w:val="0DB8057F"/>
    <w:rsid w:val="0DC57869"/>
    <w:rsid w:val="0DD331D8"/>
    <w:rsid w:val="0DD7425F"/>
    <w:rsid w:val="0DDB677F"/>
    <w:rsid w:val="0E093A81"/>
    <w:rsid w:val="0E1201C4"/>
    <w:rsid w:val="0E35096D"/>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7C63BF"/>
    <w:rsid w:val="108A23D3"/>
    <w:rsid w:val="1095135B"/>
    <w:rsid w:val="10D35E97"/>
    <w:rsid w:val="11114551"/>
    <w:rsid w:val="112269D1"/>
    <w:rsid w:val="11356135"/>
    <w:rsid w:val="11800917"/>
    <w:rsid w:val="118955AD"/>
    <w:rsid w:val="11970BCB"/>
    <w:rsid w:val="1197226B"/>
    <w:rsid w:val="11A1591C"/>
    <w:rsid w:val="11AA0839"/>
    <w:rsid w:val="11C42470"/>
    <w:rsid w:val="11C71895"/>
    <w:rsid w:val="11CD444A"/>
    <w:rsid w:val="11D308CA"/>
    <w:rsid w:val="11E2334D"/>
    <w:rsid w:val="11F058CE"/>
    <w:rsid w:val="11FC3F3B"/>
    <w:rsid w:val="12445622"/>
    <w:rsid w:val="124D3BAD"/>
    <w:rsid w:val="125A52C4"/>
    <w:rsid w:val="12655D96"/>
    <w:rsid w:val="128E3C38"/>
    <w:rsid w:val="12BE697E"/>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32033"/>
    <w:rsid w:val="14944440"/>
    <w:rsid w:val="14A059A0"/>
    <w:rsid w:val="14B97B05"/>
    <w:rsid w:val="14CD31B9"/>
    <w:rsid w:val="14DA6BBE"/>
    <w:rsid w:val="14E67563"/>
    <w:rsid w:val="14F926F4"/>
    <w:rsid w:val="15021B62"/>
    <w:rsid w:val="150A21BA"/>
    <w:rsid w:val="151779D1"/>
    <w:rsid w:val="1522437E"/>
    <w:rsid w:val="152717B5"/>
    <w:rsid w:val="15283931"/>
    <w:rsid w:val="15382F40"/>
    <w:rsid w:val="15657D89"/>
    <w:rsid w:val="158374C1"/>
    <w:rsid w:val="15A62ECC"/>
    <w:rsid w:val="15B14179"/>
    <w:rsid w:val="15C516BD"/>
    <w:rsid w:val="160475A2"/>
    <w:rsid w:val="163B40EB"/>
    <w:rsid w:val="166266B1"/>
    <w:rsid w:val="16924BAE"/>
    <w:rsid w:val="169528F0"/>
    <w:rsid w:val="16C724D4"/>
    <w:rsid w:val="16D411E7"/>
    <w:rsid w:val="16ED0036"/>
    <w:rsid w:val="170756D4"/>
    <w:rsid w:val="170F4587"/>
    <w:rsid w:val="176115DC"/>
    <w:rsid w:val="176814A3"/>
    <w:rsid w:val="176D7525"/>
    <w:rsid w:val="17824660"/>
    <w:rsid w:val="178F2FF8"/>
    <w:rsid w:val="179121FE"/>
    <w:rsid w:val="17915931"/>
    <w:rsid w:val="17A821AF"/>
    <w:rsid w:val="17C41ABF"/>
    <w:rsid w:val="18175D56"/>
    <w:rsid w:val="18276B10"/>
    <w:rsid w:val="1859624F"/>
    <w:rsid w:val="187D363C"/>
    <w:rsid w:val="18930C59"/>
    <w:rsid w:val="189B5F22"/>
    <w:rsid w:val="18A70256"/>
    <w:rsid w:val="18A944F8"/>
    <w:rsid w:val="18B73074"/>
    <w:rsid w:val="18DA76F1"/>
    <w:rsid w:val="19034C2D"/>
    <w:rsid w:val="1916127C"/>
    <w:rsid w:val="193D465D"/>
    <w:rsid w:val="193D4E12"/>
    <w:rsid w:val="196C6238"/>
    <w:rsid w:val="198A59D6"/>
    <w:rsid w:val="19A73D74"/>
    <w:rsid w:val="19AA5416"/>
    <w:rsid w:val="19B050C4"/>
    <w:rsid w:val="19CE0F6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C3E62"/>
    <w:rsid w:val="1D1D0D81"/>
    <w:rsid w:val="1D540F6D"/>
    <w:rsid w:val="1D5835F0"/>
    <w:rsid w:val="1D594678"/>
    <w:rsid w:val="1D8A1770"/>
    <w:rsid w:val="1D8C5045"/>
    <w:rsid w:val="1D9236E6"/>
    <w:rsid w:val="1D9244F8"/>
    <w:rsid w:val="1D931CEA"/>
    <w:rsid w:val="1DC177D9"/>
    <w:rsid w:val="1E1A236E"/>
    <w:rsid w:val="1E225BB3"/>
    <w:rsid w:val="1E2A6113"/>
    <w:rsid w:val="1E2D212B"/>
    <w:rsid w:val="1E2E6E13"/>
    <w:rsid w:val="1E32182A"/>
    <w:rsid w:val="1E5A61EE"/>
    <w:rsid w:val="1E713E2F"/>
    <w:rsid w:val="1E980FE4"/>
    <w:rsid w:val="1EA573D8"/>
    <w:rsid w:val="1EA77665"/>
    <w:rsid w:val="1EB0513B"/>
    <w:rsid w:val="1EB72F76"/>
    <w:rsid w:val="1EC10726"/>
    <w:rsid w:val="1EDA5344"/>
    <w:rsid w:val="1EE36B2C"/>
    <w:rsid w:val="1EF342CB"/>
    <w:rsid w:val="1F020A44"/>
    <w:rsid w:val="1F041BC7"/>
    <w:rsid w:val="1F127B09"/>
    <w:rsid w:val="1F2354C8"/>
    <w:rsid w:val="1F36160E"/>
    <w:rsid w:val="1F3F33F9"/>
    <w:rsid w:val="1F5D00BF"/>
    <w:rsid w:val="1F640255"/>
    <w:rsid w:val="1F671677"/>
    <w:rsid w:val="1F722047"/>
    <w:rsid w:val="1F904945"/>
    <w:rsid w:val="1FA7625B"/>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A06E6"/>
    <w:rsid w:val="213D6756"/>
    <w:rsid w:val="213D7BD8"/>
    <w:rsid w:val="214C4EC5"/>
    <w:rsid w:val="2153567F"/>
    <w:rsid w:val="21592826"/>
    <w:rsid w:val="217422B6"/>
    <w:rsid w:val="2188758A"/>
    <w:rsid w:val="21A61686"/>
    <w:rsid w:val="21C13A32"/>
    <w:rsid w:val="21D74629"/>
    <w:rsid w:val="22270787"/>
    <w:rsid w:val="224D73DD"/>
    <w:rsid w:val="22592601"/>
    <w:rsid w:val="22603DB2"/>
    <w:rsid w:val="226D7B83"/>
    <w:rsid w:val="2293123C"/>
    <w:rsid w:val="22A570EC"/>
    <w:rsid w:val="232E56FD"/>
    <w:rsid w:val="233F5F96"/>
    <w:rsid w:val="235F4D23"/>
    <w:rsid w:val="236D4028"/>
    <w:rsid w:val="238A4DFC"/>
    <w:rsid w:val="23C35D20"/>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987A23"/>
    <w:rsid w:val="25BC46FF"/>
    <w:rsid w:val="25C517A2"/>
    <w:rsid w:val="25CD6575"/>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6428BB"/>
    <w:rsid w:val="27693709"/>
    <w:rsid w:val="276C029F"/>
    <w:rsid w:val="27867E0A"/>
    <w:rsid w:val="27982DD4"/>
    <w:rsid w:val="27DD09CE"/>
    <w:rsid w:val="27EC553C"/>
    <w:rsid w:val="280C4BFC"/>
    <w:rsid w:val="2813394B"/>
    <w:rsid w:val="281C1F63"/>
    <w:rsid w:val="281C54D8"/>
    <w:rsid w:val="283610D5"/>
    <w:rsid w:val="284C7F3C"/>
    <w:rsid w:val="285F5293"/>
    <w:rsid w:val="28622D71"/>
    <w:rsid w:val="286E69FD"/>
    <w:rsid w:val="28A10C81"/>
    <w:rsid w:val="28C56178"/>
    <w:rsid w:val="28FA546B"/>
    <w:rsid w:val="28FE025E"/>
    <w:rsid w:val="2913397E"/>
    <w:rsid w:val="29245F1A"/>
    <w:rsid w:val="29366359"/>
    <w:rsid w:val="29586D7A"/>
    <w:rsid w:val="29772B51"/>
    <w:rsid w:val="29791894"/>
    <w:rsid w:val="2984235F"/>
    <w:rsid w:val="29967FD2"/>
    <w:rsid w:val="29A52D8F"/>
    <w:rsid w:val="29C56C3A"/>
    <w:rsid w:val="29C64C71"/>
    <w:rsid w:val="29D85278"/>
    <w:rsid w:val="29E1380C"/>
    <w:rsid w:val="29E85046"/>
    <w:rsid w:val="2A017BFD"/>
    <w:rsid w:val="2A0A71F8"/>
    <w:rsid w:val="2A4913A2"/>
    <w:rsid w:val="2A9154D8"/>
    <w:rsid w:val="2AA04C57"/>
    <w:rsid w:val="2AD750C3"/>
    <w:rsid w:val="2AE77D08"/>
    <w:rsid w:val="2AEA3011"/>
    <w:rsid w:val="2AFA0B1C"/>
    <w:rsid w:val="2B0379D1"/>
    <w:rsid w:val="2B252D72"/>
    <w:rsid w:val="2B3E0375"/>
    <w:rsid w:val="2B492499"/>
    <w:rsid w:val="2B652A8D"/>
    <w:rsid w:val="2B6C55DB"/>
    <w:rsid w:val="2B8D5640"/>
    <w:rsid w:val="2BF4029C"/>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CE2518"/>
    <w:rsid w:val="2DD66E3A"/>
    <w:rsid w:val="2DF17D73"/>
    <w:rsid w:val="2E652B8E"/>
    <w:rsid w:val="2E66167A"/>
    <w:rsid w:val="2E6C7EF1"/>
    <w:rsid w:val="2E6D69DB"/>
    <w:rsid w:val="2E6F6584"/>
    <w:rsid w:val="2E7823B0"/>
    <w:rsid w:val="2E933BCE"/>
    <w:rsid w:val="2E9C6490"/>
    <w:rsid w:val="2EA40069"/>
    <w:rsid w:val="2EA63495"/>
    <w:rsid w:val="2EAA3B87"/>
    <w:rsid w:val="2EB66E96"/>
    <w:rsid w:val="2EBC23A0"/>
    <w:rsid w:val="2ECA0730"/>
    <w:rsid w:val="2EFA0191"/>
    <w:rsid w:val="2F436846"/>
    <w:rsid w:val="2F4556CE"/>
    <w:rsid w:val="2F527179"/>
    <w:rsid w:val="2F6F3C93"/>
    <w:rsid w:val="2F754A27"/>
    <w:rsid w:val="2FB1448A"/>
    <w:rsid w:val="2FC802AE"/>
    <w:rsid w:val="301C41BF"/>
    <w:rsid w:val="302369A0"/>
    <w:rsid w:val="303474C0"/>
    <w:rsid w:val="304765B2"/>
    <w:rsid w:val="305129F5"/>
    <w:rsid w:val="305C41A9"/>
    <w:rsid w:val="306156CD"/>
    <w:rsid w:val="307C26FF"/>
    <w:rsid w:val="30820205"/>
    <w:rsid w:val="308E41B5"/>
    <w:rsid w:val="30952C59"/>
    <w:rsid w:val="30FF4D69"/>
    <w:rsid w:val="310E5321"/>
    <w:rsid w:val="3113559B"/>
    <w:rsid w:val="311978DB"/>
    <w:rsid w:val="311B7876"/>
    <w:rsid w:val="312421F6"/>
    <w:rsid w:val="3127420C"/>
    <w:rsid w:val="31477BEB"/>
    <w:rsid w:val="315523B1"/>
    <w:rsid w:val="3198056E"/>
    <w:rsid w:val="31CD31BF"/>
    <w:rsid w:val="31D72AD0"/>
    <w:rsid w:val="31E10F55"/>
    <w:rsid w:val="31EF32D3"/>
    <w:rsid w:val="31F664E1"/>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577373"/>
    <w:rsid w:val="336A419B"/>
    <w:rsid w:val="336A59CC"/>
    <w:rsid w:val="33773188"/>
    <w:rsid w:val="337E77C9"/>
    <w:rsid w:val="338F53C2"/>
    <w:rsid w:val="33925662"/>
    <w:rsid w:val="339B7AA1"/>
    <w:rsid w:val="33B7637D"/>
    <w:rsid w:val="33D4661F"/>
    <w:rsid w:val="33ED39C2"/>
    <w:rsid w:val="340F56DE"/>
    <w:rsid w:val="341B5D8B"/>
    <w:rsid w:val="3425597D"/>
    <w:rsid w:val="342A5DF5"/>
    <w:rsid w:val="344851FD"/>
    <w:rsid w:val="345E211C"/>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62F1C"/>
    <w:rsid w:val="363277D2"/>
    <w:rsid w:val="365C268B"/>
    <w:rsid w:val="366244D5"/>
    <w:rsid w:val="36A82C1D"/>
    <w:rsid w:val="36B34449"/>
    <w:rsid w:val="36C342D9"/>
    <w:rsid w:val="370F2E93"/>
    <w:rsid w:val="370F32ED"/>
    <w:rsid w:val="374B7438"/>
    <w:rsid w:val="374E35E0"/>
    <w:rsid w:val="37560CC6"/>
    <w:rsid w:val="378D0CEB"/>
    <w:rsid w:val="379A026D"/>
    <w:rsid w:val="379F4F25"/>
    <w:rsid w:val="37A2207E"/>
    <w:rsid w:val="37A2434F"/>
    <w:rsid w:val="37ED6D6E"/>
    <w:rsid w:val="380C3B20"/>
    <w:rsid w:val="381039F4"/>
    <w:rsid w:val="381B27FE"/>
    <w:rsid w:val="3821024D"/>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D43C9"/>
    <w:rsid w:val="3AFF2C64"/>
    <w:rsid w:val="3B135A0E"/>
    <w:rsid w:val="3B2F69DB"/>
    <w:rsid w:val="3B516536"/>
    <w:rsid w:val="3B5C11A4"/>
    <w:rsid w:val="3B667011"/>
    <w:rsid w:val="3B79226F"/>
    <w:rsid w:val="3B8F1138"/>
    <w:rsid w:val="3B904834"/>
    <w:rsid w:val="3B932344"/>
    <w:rsid w:val="3B9D20F5"/>
    <w:rsid w:val="3BB33F88"/>
    <w:rsid w:val="3BC15D34"/>
    <w:rsid w:val="3BD93153"/>
    <w:rsid w:val="3BDA6996"/>
    <w:rsid w:val="3C0A3047"/>
    <w:rsid w:val="3C2E50FB"/>
    <w:rsid w:val="3C37637A"/>
    <w:rsid w:val="3C4A12AD"/>
    <w:rsid w:val="3C5125FC"/>
    <w:rsid w:val="3C690ECB"/>
    <w:rsid w:val="3C860AC6"/>
    <w:rsid w:val="3C8967A4"/>
    <w:rsid w:val="3C960BC8"/>
    <w:rsid w:val="3C9848A1"/>
    <w:rsid w:val="3CA509B7"/>
    <w:rsid w:val="3CA509D1"/>
    <w:rsid w:val="3CD537E6"/>
    <w:rsid w:val="3CD93879"/>
    <w:rsid w:val="3D170FAE"/>
    <w:rsid w:val="3D2571D3"/>
    <w:rsid w:val="3D7A2818"/>
    <w:rsid w:val="3D8106EA"/>
    <w:rsid w:val="3D834DF8"/>
    <w:rsid w:val="3DA352B1"/>
    <w:rsid w:val="3DBA61E7"/>
    <w:rsid w:val="3DC14624"/>
    <w:rsid w:val="3DD55956"/>
    <w:rsid w:val="3E100FFC"/>
    <w:rsid w:val="3E201534"/>
    <w:rsid w:val="3E651EE9"/>
    <w:rsid w:val="3E784A78"/>
    <w:rsid w:val="3E8554F5"/>
    <w:rsid w:val="3E860228"/>
    <w:rsid w:val="3EB65E71"/>
    <w:rsid w:val="3EC33032"/>
    <w:rsid w:val="3EC61DB3"/>
    <w:rsid w:val="3EF62661"/>
    <w:rsid w:val="3F153B63"/>
    <w:rsid w:val="3F3348D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5F16F6"/>
    <w:rsid w:val="408D1EA0"/>
    <w:rsid w:val="408E2DBF"/>
    <w:rsid w:val="409D2A1A"/>
    <w:rsid w:val="40A752D1"/>
    <w:rsid w:val="40B21FB5"/>
    <w:rsid w:val="40B95E2E"/>
    <w:rsid w:val="40BA3C34"/>
    <w:rsid w:val="40C17F9E"/>
    <w:rsid w:val="40C43B66"/>
    <w:rsid w:val="40E247F7"/>
    <w:rsid w:val="40EE5966"/>
    <w:rsid w:val="410F1967"/>
    <w:rsid w:val="411029F0"/>
    <w:rsid w:val="41182A7C"/>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8B411C"/>
    <w:rsid w:val="439D6340"/>
    <w:rsid w:val="43C71A8C"/>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957C1F"/>
    <w:rsid w:val="46A86AC5"/>
    <w:rsid w:val="46AF0ACC"/>
    <w:rsid w:val="46CD2EA3"/>
    <w:rsid w:val="46E33C2A"/>
    <w:rsid w:val="46E62229"/>
    <w:rsid w:val="46EB5C2E"/>
    <w:rsid w:val="47191F43"/>
    <w:rsid w:val="471B210D"/>
    <w:rsid w:val="472D1CF1"/>
    <w:rsid w:val="47330BB1"/>
    <w:rsid w:val="474340E1"/>
    <w:rsid w:val="4754737E"/>
    <w:rsid w:val="476E5DEA"/>
    <w:rsid w:val="478D50EB"/>
    <w:rsid w:val="47914A33"/>
    <w:rsid w:val="479B0044"/>
    <w:rsid w:val="479C10BC"/>
    <w:rsid w:val="47A4380D"/>
    <w:rsid w:val="47A6297A"/>
    <w:rsid w:val="47B35BF8"/>
    <w:rsid w:val="47B66C9C"/>
    <w:rsid w:val="47C01A50"/>
    <w:rsid w:val="47C041C7"/>
    <w:rsid w:val="47CB4E60"/>
    <w:rsid w:val="47CD1E0C"/>
    <w:rsid w:val="47D964DB"/>
    <w:rsid w:val="47FC33A5"/>
    <w:rsid w:val="48012A31"/>
    <w:rsid w:val="481D4366"/>
    <w:rsid w:val="485803F1"/>
    <w:rsid w:val="485E2C28"/>
    <w:rsid w:val="4865215C"/>
    <w:rsid w:val="486942C4"/>
    <w:rsid w:val="487B552A"/>
    <w:rsid w:val="48842F37"/>
    <w:rsid w:val="48A34F21"/>
    <w:rsid w:val="48B05292"/>
    <w:rsid w:val="48B971DC"/>
    <w:rsid w:val="48F556EA"/>
    <w:rsid w:val="491946D3"/>
    <w:rsid w:val="4924047E"/>
    <w:rsid w:val="49276380"/>
    <w:rsid w:val="49441489"/>
    <w:rsid w:val="4948117F"/>
    <w:rsid w:val="494B0B0D"/>
    <w:rsid w:val="497E20AD"/>
    <w:rsid w:val="49820EB7"/>
    <w:rsid w:val="499416E9"/>
    <w:rsid w:val="49A63EAD"/>
    <w:rsid w:val="49B4166E"/>
    <w:rsid w:val="49BA2C9E"/>
    <w:rsid w:val="49BC3715"/>
    <w:rsid w:val="49C56A6D"/>
    <w:rsid w:val="49D26E8C"/>
    <w:rsid w:val="49F72310"/>
    <w:rsid w:val="49FD2EE4"/>
    <w:rsid w:val="4A0B4FDE"/>
    <w:rsid w:val="4A343D11"/>
    <w:rsid w:val="4A497D35"/>
    <w:rsid w:val="4A4A6F73"/>
    <w:rsid w:val="4A8A37D8"/>
    <w:rsid w:val="4A8B4AB2"/>
    <w:rsid w:val="4AD9595B"/>
    <w:rsid w:val="4AE876B8"/>
    <w:rsid w:val="4AF93EAE"/>
    <w:rsid w:val="4AFC3A3A"/>
    <w:rsid w:val="4B311212"/>
    <w:rsid w:val="4B3E6720"/>
    <w:rsid w:val="4B43535A"/>
    <w:rsid w:val="4B476348"/>
    <w:rsid w:val="4B533C05"/>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BB4158"/>
    <w:rsid w:val="4CDE4416"/>
    <w:rsid w:val="4CF871CD"/>
    <w:rsid w:val="4D004DF6"/>
    <w:rsid w:val="4D04016C"/>
    <w:rsid w:val="4D1C2C8C"/>
    <w:rsid w:val="4D1E77BE"/>
    <w:rsid w:val="4D245FC5"/>
    <w:rsid w:val="4D2B3B2C"/>
    <w:rsid w:val="4DA943B0"/>
    <w:rsid w:val="4DC515BB"/>
    <w:rsid w:val="4DCB5984"/>
    <w:rsid w:val="4DD64458"/>
    <w:rsid w:val="4DDD4E1A"/>
    <w:rsid w:val="4DE00A28"/>
    <w:rsid w:val="4E135BFA"/>
    <w:rsid w:val="4E1B2DDB"/>
    <w:rsid w:val="4E250E8C"/>
    <w:rsid w:val="4E355E12"/>
    <w:rsid w:val="4E5D7C3A"/>
    <w:rsid w:val="4E8D762E"/>
    <w:rsid w:val="4E9B1112"/>
    <w:rsid w:val="4EA06365"/>
    <w:rsid w:val="4EBD3915"/>
    <w:rsid w:val="4ECC0669"/>
    <w:rsid w:val="4ECD54B1"/>
    <w:rsid w:val="4ED4046B"/>
    <w:rsid w:val="4EDF4B15"/>
    <w:rsid w:val="4EF43B16"/>
    <w:rsid w:val="4F0E1E8F"/>
    <w:rsid w:val="4F2B6C13"/>
    <w:rsid w:val="4F3153D3"/>
    <w:rsid w:val="4F5F3ED1"/>
    <w:rsid w:val="4F602B32"/>
    <w:rsid w:val="4F804E7C"/>
    <w:rsid w:val="4F85516A"/>
    <w:rsid w:val="4F944D8F"/>
    <w:rsid w:val="4FA2515B"/>
    <w:rsid w:val="4FB629B4"/>
    <w:rsid w:val="4FBF7ABB"/>
    <w:rsid w:val="4FCA5221"/>
    <w:rsid w:val="4FED0FB9"/>
    <w:rsid w:val="50561719"/>
    <w:rsid w:val="507410D2"/>
    <w:rsid w:val="50A4392E"/>
    <w:rsid w:val="50A97681"/>
    <w:rsid w:val="50AE3B94"/>
    <w:rsid w:val="50AF7418"/>
    <w:rsid w:val="50CC1C98"/>
    <w:rsid w:val="50E93575"/>
    <w:rsid w:val="50EE4AFC"/>
    <w:rsid w:val="50F04D4E"/>
    <w:rsid w:val="50F57385"/>
    <w:rsid w:val="50F6016F"/>
    <w:rsid w:val="50FB1FB9"/>
    <w:rsid w:val="51132FF4"/>
    <w:rsid w:val="51151213"/>
    <w:rsid w:val="513225F9"/>
    <w:rsid w:val="513F5114"/>
    <w:rsid w:val="51404C2B"/>
    <w:rsid w:val="51440384"/>
    <w:rsid w:val="51532BB1"/>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14E59"/>
    <w:rsid w:val="5263075C"/>
    <w:rsid w:val="52660A26"/>
    <w:rsid w:val="52717995"/>
    <w:rsid w:val="528315FB"/>
    <w:rsid w:val="52910142"/>
    <w:rsid w:val="52990759"/>
    <w:rsid w:val="529E42FF"/>
    <w:rsid w:val="52B51631"/>
    <w:rsid w:val="52B87033"/>
    <w:rsid w:val="52BE5917"/>
    <w:rsid w:val="52ED3633"/>
    <w:rsid w:val="52F766E2"/>
    <w:rsid w:val="531B72EC"/>
    <w:rsid w:val="531E35FC"/>
    <w:rsid w:val="531E3DBA"/>
    <w:rsid w:val="532B1547"/>
    <w:rsid w:val="532C2C22"/>
    <w:rsid w:val="533E6E17"/>
    <w:rsid w:val="5343182D"/>
    <w:rsid w:val="53552E21"/>
    <w:rsid w:val="5358625C"/>
    <w:rsid w:val="535D3886"/>
    <w:rsid w:val="536C4A63"/>
    <w:rsid w:val="539B26A9"/>
    <w:rsid w:val="53A201DA"/>
    <w:rsid w:val="53B22D34"/>
    <w:rsid w:val="53B6236C"/>
    <w:rsid w:val="53BD6F30"/>
    <w:rsid w:val="540540F5"/>
    <w:rsid w:val="54231D7C"/>
    <w:rsid w:val="542913B3"/>
    <w:rsid w:val="543A39C2"/>
    <w:rsid w:val="543F18BA"/>
    <w:rsid w:val="54883400"/>
    <w:rsid w:val="54932F58"/>
    <w:rsid w:val="54A81CB5"/>
    <w:rsid w:val="54C41B11"/>
    <w:rsid w:val="550E49C6"/>
    <w:rsid w:val="55124B31"/>
    <w:rsid w:val="554F0614"/>
    <w:rsid w:val="55A47D96"/>
    <w:rsid w:val="55C94049"/>
    <w:rsid w:val="55DA287E"/>
    <w:rsid w:val="55DD1819"/>
    <w:rsid w:val="55EE6DAD"/>
    <w:rsid w:val="56073162"/>
    <w:rsid w:val="5609127C"/>
    <w:rsid w:val="56243B92"/>
    <w:rsid w:val="563D619D"/>
    <w:rsid w:val="56413F2B"/>
    <w:rsid w:val="56537C47"/>
    <w:rsid w:val="56A010C0"/>
    <w:rsid w:val="56B96B8E"/>
    <w:rsid w:val="56C747B5"/>
    <w:rsid w:val="56D42684"/>
    <w:rsid w:val="56DD2471"/>
    <w:rsid w:val="571974A0"/>
    <w:rsid w:val="57210A6D"/>
    <w:rsid w:val="5744214A"/>
    <w:rsid w:val="574B480A"/>
    <w:rsid w:val="57543081"/>
    <w:rsid w:val="5789649C"/>
    <w:rsid w:val="57A373F0"/>
    <w:rsid w:val="57C83C57"/>
    <w:rsid w:val="57FB2FB4"/>
    <w:rsid w:val="582028C2"/>
    <w:rsid w:val="582908A2"/>
    <w:rsid w:val="583D07DD"/>
    <w:rsid w:val="58472D43"/>
    <w:rsid w:val="585F1862"/>
    <w:rsid w:val="58620D26"/>
    <w:rsid w:val="58706FB1"/>
    <w:rsid w:val="587C5983"/>
    <w:rsid w:val="58DD0927"/>
    <w:rsid w:val="58E8415E"/>
    <w:rsid w:val="58ED1995"/>
    <w:rsid w:val="58FF1A45"/>
    <w:rsid w:val="591578E8"/>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50438"/>
    <w:rsid w:val="5AB86388"/>
    <w:rsid w:val="5ABF41C0"/>
    <w:rsid w:val="5ACA577B"/>
    <w:rsid w:val="5AD07CB2"/>
    <w:rsid w:val="5ADD5217"/>
    <w:rsid w:val="5AE37CAA"/>
    <w:rsid w:val="5AEF1DC1"/>
    <w:rsid w:val="5B2E3916"/>
    <w:rsid w:val="5B353486"/>
    <w:rsid w:val="5B3A7E78"/>
    <w:rsid w:val="5B3D442E"/>
    <w:rsid w:val="5B412C22"/>
    <w:rsid w:val="5B4B2EB1"/>
    <w:rsid w:val="5B510D60"/>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214C2"/>
    <w:rsid w:val="5CBA57BD"/>
    <w:rsid w:val="5CC5471C"/>
    <w:rsid w:val="5CDC5386"/>
    <w:rsid w:val="5CEE7B85"/>
    <w:rsid w:val="5CF07506"/>
    <w:rsid w:val="5CF3215A"/>
    <w:rsid w:val="5CF73D69"/>
    <w:rsid w:val="5D202057"/>
    <w:rsid w:val="5D4700C2"/>
    <w:rsid w:val="5D501CD0"/>
    <w:rsid w:val="5D6C4615"/>
    <w:rsid w:val="5D7A1F63"/>
    <w:rsid w:val="5D7C5A81"/>
    <w:rsid w:val="5DD31E8F"/>
    <w:rsid w:val="5DDF2196"/>
    <w:rsid w:val="5DF704AE"/>
    <w:rsid w:val="5DF954B7"/>
    <w:rsid w:val="5DFF05CD"/>
    <w:rsid w:val="5E0039E9"/>
    <w:rsid w:val="5E1672C2"/>
    <w:rsid w:val="5E1B6033"/>
    <w:rsid w:val="5E2612F9"/>
    <w:rsid w:val="5E534129"/>
    <w:rsid w:val="5E6E3C24"/>
    <w:rsid w:val="5E7255BD"/>
    <w:rsid w:val="5E8C325E"/>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5E5565"/>
    <w:rsid w:val="60793AF7"/>
    <w:rsid w:val="6099592B"/>
    <w:rsid w:val="60A13AB9"/>
    <w:rsid w:val="60A7744C"/>
    <w:rsid w:val="60CF04AB"/>
    <w:rsid w:val="60DB5486"/>
    <w:rsid w:val="60E82C1A"/>
    <w:rsid w:val="60EC0541"/>
    <w:rsid w:val="60FD245E"/>
    <w:rsid w:val="61033EA8"/>
    <w:rsid w:val="610A1613"/>
    <w:rsid w:val="610E0DD2"/>
    <w:rsid w:val="61251167"/>
    <w:rsid w:val="613170F5"/>
    <w:rsid w:val="61432D9E"/>
    <w:rsid w:val="61683AEB"/>
    <w:rsid w:val="618A70BC"/>
    <w:rsid w:val="618D5E50"/>
    <w:rsid w:val="61963F6D"/>
    <w:rsid w:val="61BD1F9D"/>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2A3D0D"/>
    <w:rsid w:val="633443AB"/>
    <w:rsid w:val="634379A6"/>
    <w:rsid w:val="6353750E"/>
    <w:rsid w:val="638857E1"/>
    <w:rsid w:val="63AB78F4"/>
    <w:rsid w:val="63C642C7"/>
    <w:rsid w:val="63C85688"/>
    <w:rsid w:val="63CD5666"/>
    <w:rsid w:val="63D01EF3"/>
    <w:rsid w:val="63D2038C"/>
    <w:rsid w:val="63E15DFA"/>
    <w:rsid w:val="63E631E1"/>
    <w:rsid w:val="63F66CE6"/>
    <w:rsid w:val="640E7E19"/>
    <w:rsid w:val="646C19F5"/>
    <w:rsid w:val="647527CB"/>
    <w:rsid w:val="648A0F84"/>
    <w:rsid w:val="648E4974"/>
    <w:rsid w:val="648F4377"/>
    <w:rsid w:val="64994927"/>
    <w:rsid w:val="649E65A7"/>
    <w:rsid w:val="64A32268"/>
    <w:rsid w:val="64B70C4D"/>
    <w:rsid w:val="64D14920"/>
    <w:rsid w:val="64DC3A26"/>
    <w:rsid w:val="64EA382F"/>
    <w:rsid w:val="64ED3306"/>
    <w:rsid w:val="65112EA3"/>
    <w:rsid w:val="6511603A"/>
    <w:rsid w:val="652266CA"/>
    <w:rsid w:val="652763A9"/>
    <w:rsid w:val="653B0F51"/>
    <w:rsid w:val="65434194"/>
    <w:rsid w:val="65477730"/>
    <w:rsid w:val="654912E0"/>
    <w:rsid w:val="656A4332"/>
    <w:rsid w:val="65733372"/>
    <w:rsid w:val="65744876"/>
    <w:rsid w:val="657845AE"/>
    <w:rsid w:val="65896749"/>
    <w:rsid w:val="65991D3E"/>
    <w:rsid w:val="659E280B"/>
    <w:rsid w:val="65B74A52"/>
    <w:rsid w:val="65BD55BD"/>
    <w:rsid w:val="65C53449"/>
    <w:rsid w:val="65F27286"/>
    <w:rsid w:val="6602655A"/>
    <w:rsid w:val="66037BA1"/>
    <w:rsid w:val="660D45C7"/>
    <w:rsid w:val="661A0636"/>
    <w:rsid w:val="66280ABB"/>
    <w:rsid w:val="666717B3"/>
    <w:rsid w:val="6668032B"/>
    <w:rsid w:val="667C4290"/>
    <w:rsid w:val="66AB481F"/>
    <w:rsid w:val="66C95898"/>
    <w:rsid w:val="66D952C7"/>
    <w:rsid w:val="66F8201A"/>
    <w:rsid w:val="671C5A04"/>
    <w:rsid w:val="6739092B"/>
    <w:rsid w:val="673F01D2"/>
    <w:rsid w:val="676777C3"/>
    <w:rsid w:val="677D4B8A"/>
    <w:rsid w:val="67802ACE"/>
    <w:rsid w:val="67804B33"/>
    <w:rsid w:val="67C40A09"/>
    <w:rsid w:val="67D020A7"/>
    <w:rsid w:val="67D600B8"/>
    <w:rsid w:val="67E4087E"/>
    <w:rsid w:val="67EC2FBF"/>
    <w:rsid w:val="67ED14E8"/>
    <w:rsid w:val="6821192D"/>
    <w:rsid w:val="68337E89"/>
    <w:rsid w:val="68337EE8"/>
    <w:rsid w:val="683A6C76"/>
    <w:rsid w:val="685C5B46"/>
    <w:rsid w:val="686F1486"/>
    <w:rsid w:val="688C0656"/>
    <w:rsid w:val="68AE1735"/>
    <w:rsid w:val="68B72950"/>
    <w:rsid w:val="68D60630"/>
    <w:rsid w:val="68F00432"/>
    <w:rsid w:val="68F8555D"/>
    <w:rsid w:val="691D712E"/>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120F8F"/>
    <w:rsid w:val="6B3E0351"/>
    <w:rsid w:val="6B42449D"/>
    <w:rsid w:val="6B4A5562"/>
    <w:rsid w:val="6B565807"/>
    <w:rsid w:val="6B7174EC"/>
    <w:rsid w:val="6B7A369F"/>
    <w:rsid w:val="6BAC2823"/>
    <w:rsid w:val="6BBD5024"/>
    <w:rsid w:val="6BF37DF1"/>
    <w:rsid w:val="6C630CE9"/>
    <w:rsid w:val="6C8163CC"/>
    <w:rsid w:val="6C914CAA"/>
    <w:rsid w:val="6CB00A5F"/>
    <w:rsid w:val="6CB57E24"/>
    <w:rsid w:val="6CBA368C"/>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5C03A9"/>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4A76D4"/>
    <w:rsid w:val="715C3ADF"/>
    <w:rsid w:val="718621EE"/>
    <w:rsid w:val="71894FD2"/>
    <w:rsid w:val="71A3311F"/>
    <w:rsid w:val="71AA4E1C"/>
    <w:rsid w:val="72005730"/>
    <w:rsid w:val="72230067"/>
    <w:rsid w:val="72280301"/>
    <w:rsid w:val="7231753D"/>
    <w:rsid w:val="72386C6E"/>
    <w:rsid w:val="723A3057"/>
    <w:rsid w:val="72400885"/>
    <w:rsid w:val="72442376"/>
    <w:rsid w:val="724B6026"/>
    <w:rsid w:val="725273EA"/>
    <w:rsid w:val="725B1897"/>
    <w:rsid w:val="72603689"/>
    <w:rsid w:val="726C47BC"/>
    <w:rsid w:val="726C5429"/>
    <w:rsid w:val="728E7595"/>
    <w:rsid w:val="72CD2240"/>
    <w:rsid w:val="72DC19E2"/>
    <w:rsid w:val="72EC4E12"/>
    <w:rsid w:val="73005B71"/>
    <w:rsid w:val="73373DED"/>
    <w:rsid w:val="73391B68"/>
    <w:rsid w:val="733F7A24"/>
    <w:rsid w:val="735C44F0"/>
    <w:rsid w:val="736A01CD"/>
    <w:rsid w:val="736B4D35"/>
    <w:rsid w:val="73741988"/>
    <w:rsid w:val="73814929"/>
    <w:rsid w:val="7393399F"/>
    <w:rsid w:val="73984022"/>
    <w:rsid w:val="73C11347"/>
    <w:rsid w:val="73D9265A"/>
    <w:rsid w:val="73E2421D"/>
    <w:rsid w:val="74000D97"/>
    <w:rsid w:val="74185CCF"/>
    <w:rsid w:val="741D2E7E"/>
    <w:rsid w:val="74694C3B"/>
    <w:rsid w:val="746A6AAD"/>
    <w:rsid w:val="747A4FBC"/>
    <w:rsid w:val="748B466B"/>
    <w:rsid w:val="749018A2"/>
    <w:rsid w:val="74D94903"/>
    <w:rsid w:val="74DC7834"/>
    <w:rsid w:val="74E271F1"/>
    <w:rsid w:val="75326EC3"/>
    <w:rsid w:val="75474A77"/>
    <w:rsid w:val="75504B8E"/>
    <w:rsid w:val="7551327B"/>
    <w:rsid w:val="755F3E02"/>
    <w:rsid w:val="755F782E"/>
    <w:rsid w:val="75A16A9F"/>
    <w:rsid w:val="75BC6CCF"/>
    <w:rsid w:val="75E27D49"/>
    <w:rsid w:val="75F31A49"/>
    <w:rsid w:val="75F53987"/>
    <w:rsid w:val="761867BE"/>
    <w:rsid w:val="76365AD0"/>
    <w:rsid w:val="765D57EA"/>
    <w:rsid w:val="7688585F"/>
    <w:rsid w:val="76892689"/>
    <w:rsid w:val="76E97048"/>
    <w:rsid w:val="76F54CF0"/>
    <w:rsid w:val="76FD5906"/>
    <w:rsid w:val="77072866"/>
    <w:rsid w:val="770B684E"/>
    <w:rsid w:val="771D50F3"/>
    <w:rsid w:val="77204CB1"/>
    <w:rsid w:val="77356662"/>
    <w:rsid w:val="77496096"/>
    <w:rsid w:val="777C1603"/>
    <w:rsid w:val="77A14CDE"/>
    <w:rsid w:val="77AA2F7D"/>
    <w:rsid w:val="77C96BD3"/>
    <w:rsid w:val="77ED4572"/>
    <w:rsid w:val="77F5069A"/>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AFA459B"/>
    <w:rsid w:val="7B1D336B"/>
    <w:rsid w:val="7B6273C9"/>
    <w:rsid w:val="7B6F1BD0"/>
    <w:rsid w:val="7B732126"/>
    <w:rsid w:val="7B755C15"/>
    <w:rsid w:val="7B7B20CE"/>
    <w:rsid w:val="7B8E1216"/>
    <w:rsid w:val="7B9A1345"/>
    <w:rsid w:val="7BCA6C86"/>
    <w:rsid w:val="7C003703"/>
    <w:rsid w:val="7C044DA1"/>
    <w:rsid w:val="7C365DE1"/>
    <w:rsid w:val="7C7A232D"/>
    <w:rsid w:val="7CA33449"/>
    <w:rsid w:val="7CC876FF"/>
    <w:rsid w:val="7CCE4D69"/>
    <w:rsid w:val="7CD9190C"/>
    <w:rsid w:val="7D0A0BA4"/>
    <w:rsid w:val="7D107AF3"/>
    <w:rsid w:val="7D2C6BA1"/>
    <w:rsid w:val="7D4253C7"/>
    <w:rsid w:val="7D4C5341"/>
    <w:rsid w:val="7D4E5EE6"/>
    <w:rsid w:val="7D823D52"/>
    <w:rsid w:val="7D8901AD"/>
    <w:rsid w:val="7D8E577D"/>
    <w:rsid w:val="7D9A426A"/>
    <w:rsid w:val="7DDF298C"/>
    <w:rsid w:val="7E006F08"/>
    <w:rsid w:val="7E01736D"/>
    <w:rsid w:val="7E333E03"/>
    <w:rsid w:val="7E391FE6"/>
    <w:rsid w:val="7E916762"/>
    <w:rsid w:val="7EA916FD"/>
    <w:rsid w:val="7EAB552B"/>
    <w:rsid w:val="7EE53C64"/>
    <w:rsid w:val="7F541580"/>
    <w:rsid w:val="7F590594"/>
    <w:rsid w:val="7F667225"/>
    <w:rsid w:val="7F7B2EF8"/>
    <w:rsid w:val="7F844A6E"/>
    <w:rsid w:val="7FAA1C29"/>
    <w:rsid w:val="7FAC4830"/>
    <w:rsid w:val="7FB659E5"/>
    <w:rsid w:val="7FB7407D"/>
    <w:rsid w:val="7FD127EB"/>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Calibri" w:eastAsia="宋体" w:cs="Times New Roman"/>
      <w:color w:val="000000"/>
      <w:sz w:val="24"/>
      <w:szCs w:val="24"/>
      <w:lang w:val="en-US" w:eastAsia="zh-CN" w:bidi="ar-SA"/>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19545</Words>
  <Characters>21627</Characters>
  <Lines>0</Lines>
  <Paragraphs>0</Paragraphs>
  <TotalTime>0</TotalTime>
  <ScaleCrop>false</ScaleCrop>
  <LinksUpToDate>false</LinksUpToDate>
  <CharactersWithSpaces>23281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2024-08-13T07:33:00Z</cp:lastPrinted>
  <dcterms:modified xsi:type="dcterms:W3CDTF">2024-08-14T03:43:04Z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F45FFA0971CD46229FC9B07774636643_13</vt:lpwstr>
  </property>
</Properties>
</file>