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53B12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9677A5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亳州新能源发展有限公司15MW光伏发电和10MWh储能项目设计咨询服务</w:t>
      </w:r>
    </w:p>
    <w:p w14:paraId="1B9A424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593E0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790F9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8036FA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3413C82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4E1A96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58A1F6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D7DAC3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BZJK-2024-058号</w:t>
      </w:r>
    </w:p>
    <w:p w14:paraId="433E8AD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91C05D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FDF00E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D01AD2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亳州新能源发展有限公司</w:t>
      </w:r>
    </w:p>
    <w:p w14:paraId="60EC2A8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2024年8月14日</w:t>
      </w:r>
    </w:p>
    <w:p w14:paraId="0664F034">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6E6CFC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309710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C7C26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14:paraId="27305A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4A34C6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1F8A4D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68B7FEA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14:paraId="6A3C0D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14:paraId="46C7E3C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F2198E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3E9C6B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B9EDA4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D2CAB4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92396E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D5C332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8743AD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98562B1">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788194C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4B136B3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612ACD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18C8CE2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亳州新能源发展有限公司15MW光伏发电和10MWh储能项目设计咨询服务</w:t>
      </w:r>
      <w:r>
        <w:rPr>
          <w:rFonts w:hint="eastAsia" w:ascii="Times New Roman" w:hAnsi="Times New Roman" w:eastAsia="黑体" w:cs="Times New Roman"/>
          <w:sz w:val="28"/>
          <w:szCs w:val="28"/>
          <w:highlight w:val="none"/>
          <w:lang w:val="en-US" w:eastAsia="zh-CN"/>
        </w:rPr>
        <w:t>招标公告</w:t>
      </w:r>
    </w:p>
    <w:p w14:paraId="19CAE77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179632536"/>
      <w:bookmarkStart w:id="2" w:name="_Toc296602410"/>
      <w:bookmarkStart w:id="3" w:name="_Toc246996909"/>
      <w:bookmarkStart w:id="4" w:name="_Toc247085680"/>
      <w:bookmarkStart w:id="5" w:name="_Toc246996166"/>
      <w:bookmarkStart w:id="6" w:name="_Toc152042295"/>
      <w:bookmarkStart w:id="7" w:name="_Toc144974487"/>
    </w:p>
    <w:bookmarkEnd w:id="0"/>
    <w:bookmarkEnd w:id="1"/>
    <w:bookmarkEnd w:id="2"/>
    <w:bookmarkEnd w:id="3"/>
    <w:bookmarkEnd w:id="4"/>
    <w:bookmarkEnd w:id="5"/>
    <w:bookmarkEnd w:id="6"/>
    <w:bookmarkEnd w:id="7"/>
    <w:p w14:paraId="154C99B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2B431A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zh-CN"/>
        </w:rPr>
      </w:pPr>
      <w:bookmarkStart w:id="8" w:name="_Toc152042296"/>
      <w:bookmarkStart w:id="9" w:name="_Toc246996910"/>
      <w:bookmarkStart w:id="10" w:name="_Toc296602411"/>
      <w:bookmarkStart w:id="11" w:name="_Toc246996167"/>
      <w:bookmarkStart w:id="12" w:name="_Toc179632537"/>
      <w:bookmarkStart w:id="13" w:name="_Toc144974488"/>
      <w:bookmarkStart w:id="14" w:name="_Toc247085681"/>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lang w:val="zh-CN"/>
        </w:rPr>
        <w:t>亳州新能源发展有限公司15MW光伏发电和10MWh储能项目设计咨询服务</w:t>
      </w:r>
    </w:p>
    <w:p w14:paraId="754B13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w:t>
      </w:r>
      <w:r>
        <w:rPr>
          <w:rFonts w:hint="eastAsia" w:ascii="Times New Roman" w:hAnsi="Times New Roman" w:eastAsia="楷体" w:cs="Times New Roman"/>
          <w:kern w:val="0"/>
          <w:sz w:val="28"/>
          <w:szCs w:val="28"/>
          <w:lang w:val="en-US" w:eastAsia="zh-CN"/>
        </w:rPr>
        <w:t>4</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058</w:t>
      </w:r>
      <w:r>
        <w:rPr>
          <w:rFonts w:ascii="Times New Roman" w:hAnsi="Times New Roman" w:eastAsia="楷体" w:cs="Times New Roman"/>
          <w:kern w:val="0"/>
          <w:sz w:val="28"/>
          <w:szCs w:val="28"/>
        </w:rPr>
        <w:t>号</w:t>
      </w:r>
    </w:p>
    <w:p w14:paraId="66C5DC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lang w:val="en-US" w:eastAsia="zh-CN"/>
        </w:rPr>
        <w:t>自筹资金</w:t>
      </w:r>
    </w:p>
    <w:p w14:paraId="0D70E85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cstheme="minorEastAsia"/>
          <w:sz w:val="28"/>
          <w:szCs w:val="28"/>
          <w:lang w:val="en-US" w:eastAsia="zh-CN"/>
        </w:rPr>
        <w:t>亳州新能源发展有限公司</w:t>
      </w:r>
    </w:p>
    <w:p w14:paraId="05A7E3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27614B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7A84B7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sz w:val="28"/>
          <w:szCs w:val="28"/>
          <w:lang w:val="zh-CN" w:eastAsia="zh-CN"/>
        </w:rPr>
        <w:t>亳州新能源发展有限公司15MW光伏发电和10MWh储能项目设计咨询服务，包括学校、自来水厂、医院、工业厂房等分布式光伏项目</w:t>
      </w:r>
      <w:r>
        <w:rPr>
          <w:rFonts w:hint="eastAsia" w:asciiTheme="minorEastAsia" w:hAnsiTheme="minorEastAsia" w:cstheme="minorEastAsia"/>
          <w:sz w:val="28"/>
          <w:szCs w:val="28"/>
          <w:lang w:val="en-US" w:eastAsia="zh-CN"/>
        </w:rPr>
        <w:t>和储能项目的</w:t>
      </w:r>
      <w:r>
        <w:rPr>
          <w:rFonts w:hint="eastAsia" w:asciiTheme="minorEastAsia" w:hAnsiTheme="minorEastAsia" w:cstheme="minorEastAsia"/>
          <w:sz w:val="28"/>
          <w:szCs w:val="28"/>
          <w:lang w:val="zh-CN" w:eastAsia="zh-CN"/>
        </w:rPr>
        <w:t>设计</w:t>
      </w:r>
      <w:r>
        <w:rPr>
          <w:rFonts w:hint="eastAsia" w:asciiTheme="minorEastAsia" w:hAnsiTheme="minorEastAsia" w:cstheme="minorEastAsia"/>
          <w:sz w:val="28"/>
          <w:szCs w:val="28"/>
          <w:lang w:val="en-US" w:eastAsia="zh-CN"/>
        </w:rPr>
        <w:t>咨询服务</w:t>
      </w:r>
      <w:r>
        <w:rPr>
          <w:rFonts w:hint="eastAsia" w:asciiTheme="minorEastAsia" w:hAnsiTheme="minorEastAsia" w:cstheme="minorEastAsia"/>
          <w:sz w:val="28"/>
          <w:szCs w:val="28"/>
          <w:lang w:val="zh-CN" w:eastAsia="zh-CN"/>
        </w:rPr>
        <w:t>，</w:t>
      </w:r>
      <w:r>
        <w:rPr>
          <w:rFonts w:hint="eastAsia" w:asciiTheme="minorEastAsia" w:hAnsiTheme="minorEastAsia" w:cstheme="minorEastAsia"/>
          <w:sz w:val="28"/>
          <w:szCs w:val="28"/>
          <w:lang w:val="en-US" w:eastAsia="zh-CN"/>
        </w:rPr>
        <w:t>合计预算约95万元。</w:t>
      </w:r>
    </w:p>
    <w:p w14:paraId="3F905C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lang w:val="en-US" w:eastAsia="zh-CN"/>
        </w:rPr>
        <w:t>包括不限于可研报告编制（包括但不限于站址条件、一次接线图、并网点位置选择、并网方案、工程方案、并网运行方式及发电量估算、财务分析、建设风险及化解措施）、施工图设计、荷载报告、加固方案编制及设计。</w:t>
      </w:r>
    </w:p>
    <w:p w14:paraId="52CCED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标准：符合国家、地方、行业现行相关规范合格标准</w:t>
      </w:r>
      <w:r>
        <w:rPr>
          <w:rFonts w:hint="eastAsia" w:asciiTheme="minorEastAsia" w:hAnsiTheme="minorEastAsia" w:cstheme="minorEastAsia"/>
          <w:sz w:val="28"/>
          <w:szCs w:val="28"/>
          <w:highlight w:val="none"/>
          <w:lang w:val="en-US" w:eastAsia="zh-CN"/>
        </w:rPr>
        <w:t>。</w:t>
      </w:r>
    </w:p>
    <w:p w14:paraId="67E584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2025</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12月31日</w:t>
      </w:r>
      <w:r>
        <w:rPr>
          <w:rFonts w:hint="eastAsia" w:asciiTheme="minorEastAsia" w:hAnsiTheme="minorEastAsia" w:eastAsiaTheme="minorEastAsia" w:cstheme="minorEastAsia"/>
          <w:sz w:val="28"/>
          <w:szCs w:val="28"/>
          <w:highlight w:val="none"/>
          <w:u w:val="none"/>
          <w:lang w:val="en-US" w:eastAsia="zh-CN"/>
        </w:rPr>
        <w:t>。</w:t>
      </w:r>
    </w:p>
    <w:p w14:paraId="6EA4A2F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r>
        <w:rPr>
          <w:rFonts w:hint="eastAsia" w:asciiTheme="minorEastAsia" w:hAnsiTheme="minorEastAsia" w:cstheme="minorEastAsia"/>
          <w:color w:val="FF0000"/>
          <w:sz w:val="28"/>
          <w:szCs w:val="28"/>
          <w:highlight w:val="none"/>
          <w:lang w:val="en-US" w:eastAsia="zh-CN"/>
        </w:rPr>
        <w:t>（含税：6 %）</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lang w:val="zh-CN" w:eastAsia="zh-CN"/>
        </w:rPr>
        <w:t>光伏发电设计费用0.05元/W（</w:t>
      </w:r>
      <w:r>
        <w:rPr>
          <w:rFonts w:hint="eastAsia" w:asciiTheme="minorEastAsia" w:hAnsiTheme="minorEastAsia" w:cstheme="minorEastAsia"/>
          <w:sz w:val="28"/>
          <w:szCs w:val="28"/>
          <w:lang w:val="en-US" w:eastAsia="zh-CN"/>
        </w:rPr>
        <w:t>可研报告编制费用已包含在此项中）</w:t>
      </w:r>
      <w:r>
        <w:rPr>
          <w:rFonts w:hint="eastAsia" w:asciiTheme="minorEastAsia" w:hAnsiTheme="minorEastAsia" w:cstheme="minorEastAsia"/>
          <w:sz w:val="28"/>
          <w:szCs w:val="28"/>
          <w:lang w:val="zh-CN" w:eastAsia="zh-CN"/>
        </w:rPr>
        <w:t>，储能</w:t>
      </w:r>
      <w:r>
        <w:rPr>
          <w:rFonts w:hint="eastAsia" w:asciiTheme="minorEastAsia" w:hAnsiTheme="minorEastAsia" w:cstheme="minorEastAsia"/>
          <w:sz w:val="28"/>
          <w:szCs w:val="28"/>
          <w:lang w:val="en-US" w:eastAsia="zh-CN"/>
        </w:rPr>
        <w:t>设计</w:t>
      </w:r>
      <w:r>
        <w:rPr>
          <w:rFonts w:hint="eastAsia" w:asciiTheme="minorEastAsia" w:hAnsiTheme="minorEastAsia" w:cstheme="minorEastAsia"/>
          <w:sz w:val="28"/>
          <w:szCs w:val="28"/>
          <w:lang w:val="zh-CN" w:eastAsia="zh-CN"/>
        </w:rPr>
        <w:t>费用0.02元/Wh</w:t>
      </w:r>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r>
        <w:rPr>
          <w:rFonts w:hint="eastAsia" w:asciiTheme="minorEastAsia" w:hAnsiTheme="minorEastAsia" w:cstheme="minorEastAsia"/>
          <w:color w:val="FF0000"/>
          <w:sz w:val="28"/>
          <w:szCs w:val="28"/>
          <w:highlight w:val="none"/>
          <w:u w:val="single"/>
          <w:lang w:val="en-US" w:eastAsia="zh-CN"/>
        </w:rPr>
        <w:t>固定单价</w:t>
      </w:r>
      <w:r>
        <w:rPr>
          <w:rFonts w:hint="eastAsia" w:asciiTheme="minorEastAsia" w:hAnsiTheme="minorEastAsia" w:cstheme="minorEastAsia"/>
          <w:sz w:val="28"/>
          <w:szCs w:val="28"/>
          <w:highlight w:val="none"/>
          <w:lang w:val="en-US" w:eastAsia="zh-CN"/>
        </w:rPr>
        <w:t>投标报</w:t>
      </w:r>
      <w:r>
        <w:rPr>
          <w:rFonts w:hint="eastAsia" w:asciiTheme="minorEastAsia" w:hAnsiTheme="minorEastAsia" w:eastAsiaTheme="minorEastAsia" w:cstheme="minorEastAsia"/>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2FB943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6FB07D7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eastAsiaTheme="minorEastAsia" w:cstheme="minorEastAsia"/>
          <w:color w:val="FF0000"/>
          <w:sz w:val="28"/>
          <w:szCs w:val="28"/>
          <w:highlight w:val="none"/>
          <w:lang w:val="en-US" w:eastAsia="zh-CN"/>
        </w:rPr>
        <w:t>独立法人资格</w:t>
      </w:r>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42EA24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cstheme="minorEastAsia"/>
          <w:sz w:val="28"/>
          <w:szCs w:val="28"/>
          <w:highlight w:val="none"/>
          <w:u w:val="single"/>
          <w:lang w:val="en-US" w:eastAsia="zh-CN"/>
        </w:rPr>
        <w:t>须具备在有效期内的电力行业（新能源发电）专业乙级及以上或电力行业乙级及以上或综合资质甲级《工程设计资质证书》</w:t>
      </w:r>
      <w:r>
        <w:rPr>
          <w:rFonts w:hint="eastAsia" w:asciiTheme="minorEastAsia" w:hAnsiTheme="minorEastAsia" w:cstheme="minorEastAsia"/>
          <w:sz w:val="28"/>
          <w:szCs w:val="28"/>
          <w:highlight w:val="none"/>
          <w:lang w:val="en-US" w:eastAsia="zh-CN"/>
        </w:rPr>
        <w:t>；</w:t>
      </w:r>
    </w:p>
    <w:p w14:paraId="3DFFEF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lang w:val="zh-CN"/>
        </w:rPr>
        <w:t>注册电气工程师执业资格（供配电</w:t>
      </w:r>
      <w:r>
        <w:rPr>
          <w:rFonts w:hint="eastAsia" w:asciiTheme="minorEastAsia" w:hAnsiTheme="minorEastAsia" w:cstheme="minorEastAsia"/>
          <w:sz w:val="28"/>
          <w:szCs w:val="28"/>
          <w:lang w:val="en-US" w:eastAsia="zh-CN"/>
        </w:rPr>
        <w:t>专业</w:t>
      </w:r>
      <w:r>
        <w:rPr>
          <w:rFonts w:hint="eastAsia" w:asciiTheme="minorEastAsia" w:hAnsiTheme="minorEastAsia" w:cstheme="minorEastAsia"/>
          <w:sz w:val="28"/>
          <w:szCs w:val="28"/>
          <w:lang w:val="zh-CN"/>
        </w:rPr>
        <w:t>），且必须是本单位人员（注册证书注册单位应当与投标人名称一致，提供投标人所属社保机构出具的拟委派的项目负责人2024年1月1日（含）以来任意连续3个月的养老保险，社保缴纳单位应当是投标人或者投标人不具备独立法人资格的分支机构）</w:t>
      </w:r>
      <w:r>
        <w:rPr>
          <w:rFonts w:hint="eastAsia" w:asciiTheme="minorEastAsia" w:hAnsiTheme="minorEastAsia" w:cstheme="minorEastAsia"/>
          <w:sz w:val="28"/>
          <w:szCs w:val="28"/>
          <w:highlight w:val="none"/>
          <w:lang w:val="en-US" w:eastAsia="zh-CN"/>
        </w:rPr>
        <w:t>；</w:t>
      </w:r>
    </w:p>
    <w:p w14:paraId="442D74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lang w:val="en-US" w:eastAsia="zh-CN"/>
        </w:rPr>
        <w:t>投标人须</w:t>
      </w:r>
      <w:r>
        <w:rPr>
          <w:rFonts w:hint="eastAsia" w:asciiTheme="minorEastAsia" w:hAnsiTheme="minorEastAsia" w:cstheme="minorEastAsia"/>
          <w:sz w:val="28"/>
          <w:szCs w:val="28"/>
          <w:lang w:val="zh-CN" w:eastAsia="zh-CN"/>
        </w:rPr>
        <w:t>提供2021年至今光伏</w:t>
      </w:r>
      <w:r>
        <w:rPr>
          <w:rFonts w:hint="eastAsia" w:asciiTheme="minorEastAsia" w:hAnsiTheme="minorEastAsia" w:cstheme="minorEastAsia"/>
          <w:sz w:val="28"/>
          <w:szCs w:val="28"/>
          <w:lang w:val="en-US" w:eastAsia="zh-CN"/>
        </w:rPr>
        <w:t>发电（储能）类</w:t>
      </w:r>
      <w:r>
        <w:rPr>
          <w:rFonts w:hint="eastAsia" w:asciiTheme="minorEastAsia" w:hAnsiTheme="minorEastAsia" w:cstheme="minorEastAsia"/>
          <w:sz w:val="28"/>
          <w:szCs w:val="28"/>
          <w:lang w:val="zh-CN" w:eastAsia="zh-CN"/>
        </w:rPr>
        <w:t>项目可行性研究报告</w:t>
      </w:r>
      <w:r>
        <w:rPr>
          <w:rFonts w:hint="eastAsia" w:asciiTheme="minorEastAsia" w:hAnsiTheme="minorEastAsia" w:cstheme="minorEastAsia"/>
          <w:sz w:val="28"/>
          <w:szCs w:val="28"/>
          <w:lang w:val="en-US" w:eastAsia="zh-CN"/>
        </w:rPr>
        <w:t>编制</w:t>
      </w:r>
      <w:r>
        <w:rPr>
          <w:rFonts w:hint="eastAsia" w:asciiTheme="minorEastAsia" w:hAnsiTheme="minorEastAsia" w:cstheme="minorEastAsia"/>
          <w:sz w:val="28"/>
          <w:szCs w:val="28"/>
          <w:lang w:val="zh-CN" w:eastAsia="zh-CN"/>
        </w:rPr>
        <w:t>、</w:t>
      </w:r>
      <w:r>
        <w:rPr>
          <w:rFonts w:hint="eastAsia" w:asciiTheme="minorEastAsia" w:hAnsiTheme="minorEastAsia" w:cstheme="minorEastAsia"/>
          <w:sz w:val="28"/>
          <w:szCs w:val="28"/>
          <w:lang w:val="en-US" w:eastAsia="zh-CN"/>
        </w:rPr>
        <w:t>光伏发电</w:t>
      </w:r>
      <w:r>
        <w:rPr>
          <w:rFonts w:hint="eastAsia" w:asciiTheme="minorEastAsia" w:hAnsiTheme="minorEastAsia" w:cstheme="minorEastAsia"/>
          <w:sz w:val="28"/>
          <w:szCs w:val="28"/>
          <w:lang w:val="zh-CN" w:eastAsia="zh-CN"/>
        </w:rPr>
        <w:t>施工图设计、储能</w:t>
      </w:r>
      <w:r>
        <w:rPr>
          <w:rFonts w:hint="eastAsia" w:asciiTheme="minorEastAsia" w:hAnsiTheme="minorEastAsia" w:cstheme="minorEastAsia"/>
          <w:sz w:val="28"/>
          <w:szCs w:val="28"/>
          <w:lang w:val="en-US" w:eastAsia="zh-CN"/>
        </w:rPr>
        <w:t>施工图</w:t>
      </w:r>
      <w:r>
        <w:rPr>
          <w:rFonts w:hint="eastAsia" w:asciiTheme="minorEastAsia" w:hAnsiTheme="minorEastAsia" w:cstheme="minorEastAsia"/>
          <w:sz w:val="28"/>
          <w:szCs w:val="28"/>
          <w:lang w:val="zh-CN" w:eastAsia="zh-CN"/>
        </w:rPr>
        <w:t>设计业绩各1个，以合同签订时间为准</w:t>
      </w:r>
      <w:r>
        <w:rPr>
          <w:rFonts w:hint="eastAsia" w:asciiTheme="minorEastAsia" w:hAnsiTheme="minorEastAsia" w:eastAsiaTheme="minorEastAsia" w:cstheme="minorEastAsia"/>
          <w:sz w:val="28"/>
          <w:szCs w:val="28"/>
          <w:highlight w:val="none"/>
          <w:lang w:val="en-US" w:eastAsia="zh-CN"/>
        </w:rPr>
        <w:t>；</w:t>
      </w:r>
    </w:p>
    <w:p w14:paraId="402061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u w:val="none"/>
          <w:lang w:val="en-US" w:eastAsia="zh-CN"/>
        </w:rPr>
        <w:t>如单项业绩中同时包含</w:t>
      </w:r>
      <w:r>
        <w:rPr>
          <w:rFonts w:hint="eastAsia" w:asciiTheme="minorEastAsia" w:hAnsiTheme="minorEastAsia" w:cstheme="minorEastAsia"/>
          <w:sz w:val="28"/>
          <w:szCs w:val="28"/>
          <w:u w:val="none"/>
          <w:lang w:val="zh-CN" w:eastAsia="zh-CN"/>
        </w:rPr>
        <w:t>可行性研究报告</w:t>
      </w:r>
      <w:r>
        <w:rPr>
          <w:rFonts w:hint="eastAsia" w:asciiTheme="minorEastAsia" w:hAnsiTheme="minorEastAsia" w:cstheme="minorEastAsia"/>
          <w:sz w:val="28"/>
          <w:szCs w:val="28"/>
          <w:u w:val="none"/>
          <w:lang w:val="en-US" w:eastAsia="zh-CN"/>
        </w:rPr>
        <w:t>编制</w:t>
      </w:r>
      <w:r>
        <w:rPr>
          <w:rFonts w:hint="eastAsia" w:asciiTheme="minorEastAsia" w:hAnsiTheme="minorEastAsia" w:cstheme="minorEastAsia"/>
          <w:sz w:val="28"/>
          <w:szCs w:val="28"/>
          <w:u w:val="none"/>
          <w:lang w:val="zh-CN" w:eastAsia="zh-CN"/>
        </w:rPr>
        <w:t>、</w:t>
      </w:r>
      <w:r>
        <w:rPr>
          <w:rFonts w:hint="eastAsia" w:asciiTheme="minorEastAsia" w:hAnsiTheme="minorEastAsia" w:cstheme="minorEastAsia"/>
          <w:sz w:val="28"/>
          <w:szCs w:val="28"/>
          <w:u w:val="none"/>
          <w:lang w:val="en-US" w:eastAsia="zh-CN"/>
        </w:rPr>
        <w:t>光伏发电</w:t>
      </w:r>
      <w:r>
        <w:rPr>
          <w:rFonts w:hint="eastAsia" w:asciiTheme="minorEastAsia" w:hAnsiTheme="minorEastAsia" w:cstheme="minorEastAsia"/>
          <w:sz w:val="28"/>
          <w:szCs w:val="28"/>
          <w:u w:val="none"/>
          <w:lang w:val="zh-CN" w:eastAsia="zh-CN"/>
        </w:rPr>
        <w:t>施工图设计</w:t>
      </w:r>
      <w:r>
        <w:rPr>
          <w:rFonts w:hint="eastAsia" w:asciiTheme="minorEastAsia" w:hAnsiTheme="minorEastAsia" w:cstheme="minorEastAsia"/>
          <w:sz w:val="28"/>
          <w:szCs w:val="28"/>
          <w:u w:val="none"/>
          <w:lang w:val="en-US" w:eastAsia="zh-CN"/>
        </w:rPr>
        <w:t>或</w:t>
      </w:r>
      <w:r>
        <w:rPr>
          <w:rFonts w:hint="eastAsia" w:asciiTheme="minorEastAsia" w:hAnsiTheme="minorEastAsia" w:cstheme="minorEastAsia"/>
          <w:sz w:val="28"/>
          <w:szCs w:val="28"/>
          <w:u w:val="none"/>
          <w:lang w:val="zh-CN" w:eastAsia="zh-CN"/>
        </w:rPr>
        <w:t>储能</w:t>
      </w:r>
      <w:r>
        <w:rPr>
          <w:rFonts w:hint="eastAsia" w:asciiTheme="minorEastAsia" w:hAnsiTheme="minorEastAsia" w:cstheme="minorEastAsia"/>
          <w:sz w:val="28"/>
          <w:szCs w:val="28"/>
          <w:u w:val="none"/>
          <w:lang w:val="en-US" w:eastAsia="zh-CN"/>
        </w:rPr>
        <w:t>施工图</w:t>
      </w:r>
      <w:r>
        <w:rPr>
          <w:rFonts w:hint="eastAsia" w:asciiTheme="minorEastAsia" w:hAnsiTheme="minorEastAsia" w:cstheme="minorEastAsia"/>
          <w:sz w:val="28"/>
          <w:szCs w:val="28"/>
          <w:u w:val="none"/>
          <w:lang w:val="zh-CN" w:eastAsia="zh-CN"/>
        </w:rPr>
        <w:t>设计</w:t>
      </w:r>
      <w:r>
        <w:rPr>
          <w:rFonts w:hint="eastAsia" w:asciiTheme="minorEastAsia" w:hAnsiTheme="minorEastAsia" w:cstheme="minorEastAsia"/>
          <w:sz w:val="28"/>
          <w:szCs w:val="28"/>
          <w:u w:val="none"/>
          <w:lang w:val="en-US" w:eastAsia="zh-CN"/>
        </w:rPr>
        <w:t>任意两项及以上组合的</w:t>
      </w:r>
      <w:r>
        <w:rPr>
          <w:rFonts w:hint="eastAsia" w:asciiTheme="minorEastAsia" w:hAnsiTheme="minorEastAsia" w:cstheme="minorEastAsia"/>
          <w:sz w:val="28"/>
          <w:szCs w:val="28"/>
          <w:u w:val="none"/>
          <w:lang w:val="zh-CN" w:eastAsia="zh-CN"/>
        </w:rPr>
        <w:t>，</w:t>
      </w:r>
      <w:r>
        <w:rPr>
          <w:rFonts w:hint="eastAsia" w:asciiTheme="minorEastAsia" w:hAnsiTheme="minorEastAsia" w:cstheme="minorEastAsia"/>
          <w:sz w:val="28"/>
          <w:szCs w:val="28"/>
          <w:u w:val="none"/>
          <w:lang w:val="en-US" w:eastAsia="zh-CN"/>
        </w:rPr>
        <w:t>也视为有效业绩，投标人须</w:t>
      </w:r>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
    <w:p w14:paraId="606FF26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2693EA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742D48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19EE5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249081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488EC3D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14:paraId="2AC0EC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eastAsiaTheme="minorEastAsia" w:cstheme="minorEastAsia"/>
          <w:color w:val="FF0000"/>
          <w:sz w:val="28"/>
          <w:szCs w:val="28"/>
          <w:highlight w:val="none"/>
          <w:lang w:val="en-US" w:eastAsia="zh-CN"/>
        </w:rPr>
        <w:t>不接受</w:t>
      </w:r>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088633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连续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3个月及以上养老保险证明，否则按无效投标处理。</w:t>
      </w:r>
    </w:p>
    <w:p w14:paraId="315005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543F94A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0AF412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6B7E293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2024</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23</w:t>
      </w:r>
      <w:r>
        <w:rPr>
          <w:rFonts w:hint="eastAsia" w:asciiTheme="minorEastAsia" w:hAnsiTheme="minorEastAsia" w:eastAsiaTheme="minorEastAsia" w:cstheme="minorEastAsia"/>
          <w:sz w:val="28"/>
          <w:szCs w:val="28"/>
          <w:highlight w:val="none"/>
          <w:lang w:val="en-US" w:eastAsia="zh-CN"/>
        </w:rPr>
        <w:t>日9时00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1B08755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83954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741791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cstheme="minorEastAsia"/>
          <w:color w:val="FF0000"/>
          <w:sz w:val="28"/>
          <w:szCs w:val="28"/>
          <w:highlight w:val="non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p>
    <w:p w14:paraId="415026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5FC1DAE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15000元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（人民币），缴纳方式详见招标文件。</w:t>
      </w:r>
    </w:p>
    <w:p w14:paraId="46FEB8B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43B1DB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亳州新能源发展有限公司</w:t>
      </w:r>
    </w:p>
    <w:p w14:paraId="00E7AC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亳州市谯城区药都路1289号15楼新能源公司</w:t>
      </w:r>
      <w:r>
        <w:rPr>
          <w:rFonts w:hint="eastAsia" w:asciiTheme="minorEastAsia" w:hAnsiTheme="minorEastAsia" w:cstheme="minorEastAsia"/>
          <w:sz w:val="28"/>
          <w:szCs w:val="28"/>
          <w:highlight w:val="none"/>
          <w:lang w:val="en-US" w:eastAsia="zh-CN"/>
        </w:rPr>
        <w:t xml:space="preserve"> </w:t>
      </w:r>
    </w:p>
    <w:p w14:paraId="45536B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 邓鹏 </w:t>
      </w:r>
    </w:p>
    <w:p w14:paraId="12DC36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 18156793829 </w:t>
      </w:r>
    </w:p>
    <w:p w14:paraId="524BE0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29C94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7E5D13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D5EDCD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0B77D4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52B826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50C4B6E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2E97F39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EF61E3">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lang w:val="en-US" w:eastAsia="zh-CN"/>
        </w:rPr>
        <w:t>亳州新能源发展有限公司</w:t>
      </w:r>
    </w:p>
    <w:p w14:paraId="640109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lang w:val="en-US" w:eastAsia="zh-CN"/>
        </w:rPr>
        <w:t xml:space="preserve">                                </w:t>
      </w:r>
      <w:r>
        <w:rPr>
          <w:rFonts w:hint="eastAsia" w:asciiTheme="minorEastAsia" w:hAnsiTheme="minorEastAsia" w:cstheme="minorEastAsia"/>
          <w:color w:val="auto"/>
          <w:sz w:val="28"/>
          <w:szCs w:val="28"/>
        </w:rPr>
        <w:t>202</w:t>
      </w:r>
      <w:r>
        <w:rPr>
          <w:rFonts w:hint="eastAsia" w:asciiTheme="minorEastAsia" w:hAnsiTheme="minorEastAsia" w:cstheme="minorEastAsia"/>
          <w:color w:val="auto"/>
          <w:sz w:val="28"/>
          <w:szCs w:val="28"/>
          <w:lang w:val="en-US" w:eastAsia="zh-CN"/>
        </w:rPr>
        <w:t>4</w:t>
      </w:r>
      <w:r>
        <w:rPr>
          <w:rFonts w:hint="eastAsia" w:asciiTheme="minorEastAsia" w:hAnsiTheme="minorEastAsia" w:cstheme="minorEastAsia"/>
          <w:color w:val="auto"/>
          <w:sz w:val="28"/>
          <w:szCs w:val="28"/>
        </w:rPr>
        <w:t>年</w:t>
      </w:r>
      <w:r>
        <w:rPr>
          <w:rFonts w:hint="eastAsia" w:asciiTheme="minorEastAsia" w:hAnsiTheme="minorEastAsia" w:cstheme="minorEastAsia"/>
          <w:color w:val="auto"/>
          <w:sz w:val="28"/>
          <w:szCs w:val="28"/>
          <w:lang w:val="en-US" w:eastAsia="zh-CN"/>
        </w:rPr>
        <w:t>8</w:t>
      </w:r>
      <w:r>
        <w:rPr>
          <w:rFonts w:hint="eastAsia" w:asciiTheme="minorEastAsia" w:hAnsiTheme="minorEastAsia" w:cstheme="minorEastAsia"/>
          <w:color w:val="auto"/>
          <w:sz w:val="28"/>
          <w:szCs w:val="28"/>
        </w:rPr>
        <w:t>月</w:t>
      </w:r>
      <w:r>
        <w:rPr>
          <w:rFonts w:hint="eastAsia" w:asciiTheme="minorEastAsia" w:hAnsiTheme="minorEastAsia" w:cstheme="minorEastAsia"/>
          <w:color w:val="auto"/>
          <w:sz w:val="28"/>
          <w:szCs w:val="28"/>
          <w:lang w:val="en-US" w:eastAsia="zh-CN"/>
        </w:rPr>
        <w:t>14</w:t>
      </w:r>
      <w:r>
        <w:rPr>
          <w:rFonts w:hint="eastAsia" w:asciiTheme="minorEastAsia" w:hAnsiTheme="minorEastAsia" w:cstheme="minorEastAsia"/>
          <w:color w:val="auto"/>
          <w:sz w:val="28"/>
          <w:szCs w:val="28"/>
        </w:rPr>
        <w:t>日</w:t>
      </w:r>
      <w:r>
        <w:rPr>
          <w:rFonts w:hint="default" w:ascii="Times New Roman" w:hAnsi="Times New Roman" w:eastAsia="仿宋_GB2312" w:cs="Times New Roman"/>
          <w:kern w:val="0"/>
          <w:sz w:val="32"/>
          <w:szCs w:val="32"/>
          <w:highlight w:val="none"/>
          <w:lang w:val="en-US" w:eastAsia="zh-CN"/>
        </w:rPr>
        <w:br w:type="page"/>
      </w:r>
    </w:p>
    <w:p w14:paraId="354B53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819F37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40AFD68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66622E4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62785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200B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A544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7C05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62502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17AD5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E2314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9EBA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5402E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BCA85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5DFE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17245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6054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1BAF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B73D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A09DB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8ACA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21B4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3C4B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FE45E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ABEB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F06AB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3BF5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410E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840D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0BAF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9E6E47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D52FD9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21A2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0825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53DAB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6CB31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75866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23C0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E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6785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5B32E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4BC7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814039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5E90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21F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C65E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68274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4D1B7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64E4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F85B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BF55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0EB63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CC96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5460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43A9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2F74BD">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23107C5D">
            <w:pPr>
              <w:autoSpaceDE w:val="0"/>
              <w:autoSpaceDN w:val="0"/>
              <w:adjustRightInd w:val="0"/>
              <w:snapToGrid w:val="0"/>
              <w:spacing w:line="440" w:lineRule="exact"/>
              <w:jc w:val="left"/>
              <w:rPr>
                <w:rFonts w:hint="eastAsia" w:hAnsi="宋体"/>
                <w:color w:val="FF0000"/>
                <w:szCs w:val="21"/>
              </w:rPr>
            </w:pPr>
            <w:r>
              <w:rPr>
                <w:rFonts w:hint="eastAsia" w:hAnsi="宋体"/>
                <w:color w:val="FF0000"/>
                <w:szCs w:val="21"/>
                <w:lang w:val="en-US" w:eastAsia="zh-CN"/>
              </w:rPr>
              <w:t>2</w:t>
            </w:r>
            <w:r>
              <w:rPr>
                <w:rFonts w:hint="eastAsia" w:hAnsi="宋体"/>
                <w:color w:val="FF0000"/>
                <w:szCs w:val="21"/>
              </w:rPr>
              <w:t>、财务要求：</w:t>
            </w:r>
          </w:p>
          <w:p w14:paraId="7DE23372">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1E769A39">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 w14:paraId="2AFEA93B">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12136E63">
            <w:pPr>
              <w:pStyle w:val="6"/>
              <w:topLinePunct/>
              <w:spacing w:line="440" w:lineRule="exact"/>
              <w:ind w:firstLine="420" w:firstLineChars="200"/>
              <w:rPr>
                <w:rFonts w:hint="default" w:ascii="Times New Roman" w:hAnsi="Times New Roman" w:cs="Times New Roman"/>
                <w:szCs w:val="21"/>
                <w:highlight w:val="none"/>
              </w:rPr>
            </w:pPr>
            <w:r>
              <w:rPr>
                <w:rFonts w:hint="eastAsia" w:hAnsi="宋体"/>
                <w:sz w:val="21"/>
                <w:szCs w:val="21"/>
                <w:lang w:val="en-US" w:eastAsia="zh-CN"/>
              </w:rPr>
              <w:t xml:space="preserve">  /   </w:t>
            </w:r>
          </w:p>
        </w:tc>
      </w:tr>
      <w:tr w14:paraId="419EF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F59C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976C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43E05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
        </w:tc>
      </w:tr>
      <w:tr w14:paraId="0C447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5C6E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1816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3069B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r>
              <w:rPr>
                <w:rFonts w:hint="eastAsia" w:hAnsi="宋体"/>
                <w:sz w:val="21"/>
                <w:szCs w:val="21"/>
                <w:lang w:val="en-US" w:eastAsia="zh-CN"/>
              </w:rPr>
              <w:t xml:space="preserve">        /           </w:t>
            </w:r>
          </w:p>
        </w:tc>
      </w:tr>
      <w:tr w14:paraId="52BAE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2327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4CB75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01D0AC">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4CEE2938">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tr w14:paraId="52811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2A56C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F213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62675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tr w14:paraId="4E815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7DD6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973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F16E919">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73980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5F6A4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B7986D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F35CD4">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81F9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299E4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710B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3702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0B58865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3877A89C">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5031C936">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
        </w:tc>
      </w:tr>
      <w:tr w14:paraId="1B199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A3A1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4153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CBB8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color w:val="FF0000"/>
                <w:szCs w:val="21"/>
                <w:highlight w:val="none"/>
              </w:rPr>
              <w:t>详见第一章招标公告、第四章合同条款及格式、第五章</w:t>
            </w:r>
            <w:r>
              <w:rPr>
                <w:rFonts w:hint="eastAsia" w:ascii="Times New Roman" w:hAnsi="Times New Roman" w:cs="Times New Roman"/>
                <w:color w:val="FF0000"/>
                <w:szCs w:val="21"/>
                <w:highlight w:val="none"/>
                <w:lang w:val="en-US" w:eastAsia="zh-CN"/>
              </w:rPr>
              <w:t>发包人</w:t>
            </w:r>
            <w:r>
              <w:rPr>
                <w:rFonts w:hint="eastAsia" w:ascii="Times New Roman" w:hAnsi="Times New Roman" w:cs="Times New Roman"/>
                <w:color w:val="FF0000"/>
                <w:szCs w:val="21"/>
                <w:highlight w:val="none"/>
              </w:rPr>
              <w:t>要求。</w:t>
            </w:r>
            <w:r>
              <w:rPr>
                <w:rFonts w:hint="eastAsia" w:ascii="Times New Roman" w:hAnsi="Times New Roman" w:cs="Times New Roman"/>
                <w:color w:val="FF0000"/>
                <w:sz w:val="21"/>
                <w:szCs w:val="21"/>
                <w:highlight w:val="none"/>
                <w:lang w:val="en-US" w:eastAsia="zh-CN"/>
              </w:rPr>
              <w:t xml:space="preserve"> </w:t>
            </w:r>
          </w:p>
        </w:tc>
      </w:tr>
      <w:tr w14:paraId="6E40B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B5BD5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B6A39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D3539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099A3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14:paraId="1F023A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14:paraId="4C5AC6B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1CA4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14:paraId="67BAD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690297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0C497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A9754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形式：投标人如对招标文件有任何疑问，应及时与招标人联系，递交纸质材料，要求招标人对招标文件予以澄清。否则，投标人无权再因招标文件等与投标有关的资料而质疑、投诉。</w:t>
            </w:r>
          </w:p>
        </w:tc>
      </w:tr>
      <w:tr w14:paraId="69C7B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B194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5C80A2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D77E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14:paraId="5DA47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2AA5F34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685C54A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695C4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14:paraId="79FDB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15F52C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008D9B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D9D1D9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4E425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D8CA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425AB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37C2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14:paraId="26936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3F93D1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63BFCD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41C9C9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34F78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09358A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524E01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43021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4C48F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7830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0909F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BF11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7A606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8E5A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337E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338432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39F03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8A31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C8AF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9AC74F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BEBA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E85E7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DB8D8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F30742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rPr>
              <w:t>详见第一章招标公告。</w:t>
            </w:r>
          </w:p>
        </w:tc>
      </w:tr>
      <w:tr w14:paraId="70050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F838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DD4BE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33E0A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27140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07F2C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54FB7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2AD0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72C1E78C">
            <w:pPr>
              <w:autoSpaceDE w:val="0"/>
              <w:autoSpaceDN w:val="0"/>
              <w:adjustRightInd w:val="0"/>
              <w:snapToGrid w:val="0"/>
              <w:spacing w:line="440" w:lineRule="exact"/>
              <w:ind w:firstLine="308" w:firstLineChars="147"/>
              <w:jc w:val="left"/>
              <w:rPr>
                <w:rFonts w:hint="eastAsia" w:hAnsi="宋体"/>
                <w:color w:val="FF0000"/>
                <w:szCs w:val="21"/>
                <w:lang w:val="en-US" w:eastAsia="zh-CN"/>
              </w:rPr>
            </w:pPr>
            <w:r>
              <w:rPr>
                <w:rFonts w:hint="eastAsia" w:hAnsi="宋体"/>
                <w:color w:val="FF0000"/>
                <w:szCs w:val="21"/>
              </w:rPr>
              <w:t>不需要</w:t>
            </w:r>
            <w:r>
              <w:rPr>
                <w:rFonts w:hint="eastAsia" w:hAnsi="宋体"/>
                <w:color w:val="FF0000"/>
                <w:szCs w:val="21"/>
              </w:rPr>
              <w:sym w:font="Wingdings 2" w:char="00A3"/>
            </w:r>
          </w:p>
          <w:p w14:paraId="09DAB46E">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6349DB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r>
              <w:rPr>
                <w:rFonts w:hint="default" w:ascii="Times New Roman" w:hAnsi="Times New Roman" w:cs="Times New Roman"/>
                <w:color w:val="FF0000"/>
                <w:szCs w:val="21"/>
                <w:highlight w:val="none"/>
              </w:rPr>
              <w:t>银行汇款或转账</w:t>
            </w:r>
          </w:p>
          <w:p w14:paraId="35E52D0B">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15000元</w:t>
            </w:r>
          </w:p>
          <w:p w14:paraId="5D48E14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095DE1B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42FA1AE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86FE6C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7F0AECE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928A63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BZJK-2024-058号保证金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42A3A88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4C173AA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4B41F4E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4877D47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C80C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2A18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1BEA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5315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6ABF69A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0A844E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28427F7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603B9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5C2810">
            <w:pPr>
              <w:spacing w:line="382" w:lineRule="auto"/>
              <w:jc w:val="center"/>
              <w:rPr>
                <w:rFonts w:ascii="Arial"/>
                <w:sz w:val="21"/>
              </w:rPr>
            </w:pPr>
          </w:p>
          <w:p w14:paraId="2FA7AFC0">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8E3BA9">
            <w:pPr>
              <w:pStyle w:val="28"/>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531F4E68">
            <w:pPr>
              <w:pStyle w:val="28"/>
              <w:spacing w:before="152" w:line="227" w:lineRule="auto"/>
              <w:ind w:left="129"/>
            </w:pPr>
            <w:r>
              <w:rPr>
                <w:rFonts w:hint="eastAsia" w:ascii="Times New Roman" w:hAnsi="Times New Roman" w:eastAsia="宋体" w:cs="Times New Roman"/>
                <w:spacing w:val="-9"/>
                <w:sz w:val="31"/>
                <w:szCs w:val="31"/>
                <w:lang w:eastAsia="zh-CN"/>
              </w:rPr>
              <w:t>☑</w:t>
            </w:r>
            <w:r>
              <w:rPr>
                <w:spacing w:val="-9"/>
              </w:rPr>
              <w:t>无</w:t>
            </w:r>
          </w:p>
          <w:p w14:paraId="66DD9B79">
            <w:pPr>
              <w:pStyle w:val="28"/>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
        </w:tc>
      </w:tr>
      <w:tr w14:paraId="10B2D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314553">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B2F5D78">
            <w:pPr>
              <w:pStyle w:val="28"/>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57C517A3">
            <w:pPr>
              <w:spacing w:line="335" w:lineRule="auto"/>
              <w:rPr>
                <w:rFonts w:ascii="Arial"/>
                <w:sz w:val="21"/>
              </w:rPr>
            </w:pPr>
          </w:p>
          <w:p w14:paraId="2528558F">
            <w:pPr>
              <w:pStyle w:val="28"/>
              <w:tabs>
                <w:tab w:val="left" w:pos="663"/>
              </w:tabs>
              <w:spacing w:before="69" w:line="221" w:lineRule="auto"/>
              <w:ind w:left="0" w:leftChars="0"/>
              <w:rPr>
                <w:rFonts w:hint="eastAsia" w:ascii="Times New Roman" w:hAnsi="Times New Roman" w:cs="Times New Roman"/>
                <w:szCs w:val="21"/>
                <w:highlight w:val="none"/>
                <w:lang w:val="en-US" w:eastAsia="zh-CN"/>
              </w:rPr>
            </w:pPr>
            <w:r>
              <w:rPr>
                <w:rFonts w:hint="eastAsia"/>
                <w:u w:val="single" w:color="auto"/>
                <w:lang w:val="en-US" w:eastAsia="zh-CN"/>
              </w:rPr>
              <w:t>/</w:t>
            </w:r>
            <w:r>
              <w:rPr>
                <w:spacing w:val="-3"/>
              </w:rPr>
              <w:t>年至</w:t>
            </w:r>
            <w:r>
              <w:rPr>
                <w:spacing w:val="6"/>
                <w:u w:val="single" w:color="auto"/>
              </w:rPr>
              <w:t xml:space="preserve"> </w:t>
            </w:r>
            <w:r>
              <w:rPr>
                <w:rFonts w:hint="eastAsia"/>
                <w:spacing w:val="6"/>
                <w:u w:val="single" w:color="auto"/>
                <w:lang w:val="en-US" w:eastAsia="zh-CN"/>
              </w:rPr>
              <w:t>/</w:t>
            </w:r>
            <w:r>
              <w:rPr>
                <w:spacing w:val="-92"/>
              </w:rPr>
              <w:t xml:space="preserve"> </w:t>
            </w:r>
            <w:r>
              <w:rPr>
                <w:spacing w:val="-3"/>
              </w:rPr>
              <w:t>年</w:t>
            </w:r>
          </w:p>
        </w:tc>
      </w:tr>
      <w:tr w14:paraId="401FB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1BBD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83E45D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6A490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19193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1DEBE5">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40660C">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900D1D2">
            <w:pPr>
              <w:spacing w:before="60" w:line="187" w:lineRule="auto"/>
              <w:ind w:firstLine="0" w:firstLineChars="0"/>
              <w:jc w:val="left"/>
              <w:rPr>
                <w:rFonts w:hint="eastAsia" w:ascii="Times New Roman" w:hAnsi="Times New Roman" w:eastAsia="Times New Roman" w:cs="Times New Roman"/>
                <w:spacing w:val="-1"/>
                <w:sz w:val="21"/>
                <w:szCs w:val="21"/>
                <w:lang w:val="en-US" w:eastAsia="zh-CN"/>
              </w:rPr>
            </w:pPr>
            <w:r>
              <w:rPr>
                <w:rFonts w:hint="eastAsia"/>
                <w:spacing w:val="6"/>
                <w:u w:val="single" w:color="auto"/>
                <w:lang w:val="en-US" w:eastAsia="zh-CN"/>
              </w:rPr>
              <w:t>/</w:t>
            </w:r>
            <w:r>
              <w:rPr>
                <w:spacing w:val="-92"/>
              </w:rPr>
              <w:t xml:space="preserve"> </w:t>
            </w:r>
            <w:r>
              <w:rPr>
                <w:spacing w:val="-3"/>
              </w:rPr>
              <w:t>年至</w:t>
            </w:r>
            <w:r>
              <w:rPr>
                <w:rFonts w:hint="eastAsia"/>
                <w:spacing w:val="6"/>
                <w:u w:val="single" w:color="auto"/>
                <w:lang w:val="en-US" w:eastAsia="zh-CN"/>
              </w:rPr>
              <w:t>/</w:t>
            </w:r>
            <w:r>
              <w:rPr>
                <w:spacing w:val="-92"/>
              </w:rPr>
              <w:t xml:space="preserve"> </w:t>
            </w:r>
            <w:r>
              <w:rPr>
                <w:spacing w:val="-3"/>
              </w:rPr>
              <w:t>年</w:t>
            </w:r>
          </w:p>
        </w:tc>
      </w:tr>
      <w:tr w14:paraId="64011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A8A4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A6718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72852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
        </w:tc>
      </w:tr>
      <w:tr w14:paraId="6DE3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FCE3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68B2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F0A1C8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w:t>
            </w:r>
            <w:r>
              <w:rPr>
                <w:rFonts w:hint="eastAsia" w:ascii="Times New Roman" w:hAnsi="Times New Roman" w:cs="Times New Roman"/>
                <w:szCs w:val="21"/>
                <w:highlight w:val="none"/>
                <w:lang w:eastAsia="zh-CN"/>
              </w:rPr>
              <w:t>使用其他</w:t>
            </w:r>
            <w:r>
              <w:rPr>
                <w:rFonts w:hint="default" w:ascii="Times New Roman" w:hAnsi="Times New Roman" w:cs="Times New Roman"/>
                <w:szCs w:val="21"/>
                <w:highlight w:val="none"/>
              </w:rPr>
              <w:t>如带有“专用章”、“合同章”、“财务章”、“业务章”、下属单位或分支机构印章代替，否则其投标无效；</w:t>
            </w:r>
          </w:p>
          <w:p w14:paraId="7CE254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233E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9A5A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B1D90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FC77B0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5A41B0A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6C1D440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
          <w:p w14:paraId="4E63021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75767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2F1C5C0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5AD11C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16CBE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D458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046A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FF005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7899ECC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
        </w:tc>
      </w:tr>
      <w:tr w14:paraId="15EEE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E6A1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EFCF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4E0C20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14:paraId="5574B58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招标人：亳州新能源发展有限公司</w:t>
            </w:r>
          </w:p>
          <w:p w14:paraId="01BF3BC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亳州新能源发展有限公司15MW光伏发电和10MWh储能项目设计咨询服务</w:t>
            </w:r>
            <w:r>
              <w:rPr>
                <w:rFonts w:hint="eastAsia" w:ascii="Times New Roman" w:hAnsi="Times New Roman" w:cs="Times New Roman"/>
                <w:color w:val="FF0000"/>
                <w:szCs w:val="21"/>
                <w:highlight w:val="none"/>
                <w:lang w:val="en-US" w:eastAsia="zh-CN"/>
              </w:rPr>
              <w:t>投标文件</w:t>
            </w:r>
          </w:p>
          <w:p w14:paraId="3B81493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项目编号：BZJK-2024-058号</w:t>
            </w:r>
          </w:p>
          <w:p w14:paraId="7FCA726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
        </w:tc>
      </w:tr>
      <w:tr w14:paraId="3BF04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913535">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A84188">
            <w:pPr>
              <w:pStyle w:val="28"/>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94D6C7">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46BC0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9DC4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BA13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155A3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0CAE7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860C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46F2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DB3D9A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4903E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2BA4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B99C3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C2E1C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0CF1AB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125808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1F753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2D314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42C80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525F0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14AFF0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67FB1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A4E6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05E71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EBB8B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662E3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6CD7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6482B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0C98A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549FD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B2784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53099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D9E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15C735A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D095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85671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A1E6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E72FC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09B45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9F73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4A9D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12CA9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14:paraId="1DF59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051B9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3ECF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1A15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01DFD55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1810FFB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 w14:paraId="2C04523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
          <w:p w14:paraId="46F59D7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中标价款的10%</w:t>
            </w:r>
          </w:p>
          <w:p w14:paraId="4DDFBAD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
        </w:tc>
      </w:tr>
      <w:tr w14:paraId="2DF66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14:paraId="2904DD0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14:paraId="15689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131E4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3C2232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48057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9E26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1B7C9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66435A">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58984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6AC1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94B6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3E09BC">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24E26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8C37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DD70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AFB8F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0EFEF1B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7E867BC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6BF53C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028F7CC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6A1C150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4027CD7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11C58A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69443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2E445DE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03281D3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18D7E56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7004091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42208B8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5E4E17B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43FC3D3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509A9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5EDE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80EF3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28E64F81">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1186436F">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5"/>
      <w:bookmarkStart w:id="17" w:name="_Toc296602420"/>
      <w:bookmarkStart w:id="18" w:name="_Toc152042305"/>
      <w:bookmarkStart w:id="19" w:name="_Toc246996918"/>
      <w:bookmarkStart w:id="20" w:name="_Toc152045529"/>
      <w:bookmarkStart w:id="21" w:name="_Toc144974497"/>
      <w:bookmarkStart w:id="22" w:name="_Toc247085689"/>
      <w:bookmarkStart w:id="23" w:name="_Toc179632546"/>
      <w:r>
        <w:rPr>
          <w:rFonts w:hint="eastAsia"/>
        </w:rPr>
        <w:t>1. 总则</w:t>
      </w:r>
      <w:bookmarkEnd w:id="16"/>
      <w:bookmarkEnd w:id="17"/>
      <w:bookmarkEnd w:id="18"/>
      <w:bookmarkEnd w:id="19"/>
      <w:bookmarkEnd w:id="20"/>
      <w:bookmarkEnd w:id="21"/>
      <w:bookmarkEnd w:id="22"/>
      <w:bookmarkEnd w:id="23"/>
    </w:p>
    <w:p w14:paraId="13F76CE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296602421"/>
      <w:bookmarkStart w:id="26" w:name="_Toc246996919"/>
      <w:bookmarkStart w:id="27" w:name="_Toc152042306"/>
      <w:bookmarkStart w:id="28" w:name="_Toc144974498"/>
      <w:bookmarkStart w:id="29" w:name="_Toc152045530"/>
      <w:bookmarkStart w:id="30" w:name="_Toc246996176"/>
      <w:bookmarkStart w:id="31" w:name="_Toc179632547"/>
      <w:r>
        <w:rPr>
          <w:rFonts w:hint="eastAsia"/>
        </w:rPr>
        <w:t>1.1 项目概况</w:t>
      </w:r>
      <w:bookmarkEnd w:id="24"/>
      <w:bookmarkEnd w:id="25"/>
      <w:bookmarkEnd w:id="26"/>
      <w:bookmarkEnd w:id="27"/>
      <w:bookmarkEnd w:id="28"/>
      <w:bookmarkEnd w:id="29"/>
      <w:bookmarkEnd w:id="30"/>
      <w:bookmarkEnd w:id="31"/>
    </w:p>
    <w:p w14:paraId="688094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14:paraId="4A851A6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14:paraId="25482A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14:paraId="518F65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14:paraId="3472A6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14:paraId="4282A1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14:paraId="0647C6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14:paraId="26B6548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96602422"/>
      <w:bookmarkStart w:id="33" w:name="_Toc246996177"/>
      <w:bookmarkStart w:id="34" w:name="_Toc152045531"/>
      <w:bookmarkStart w:id="35" w:name="_Toc247085691"/>
      <w:bookmarkStart w:id="36" w:name="_Toc246996920"/>
      <w:bookmarkStart w:id="37" w:name="_Toc144974499"/>
      <w:bookmarkStart w:id="38" w:name="_Toc152042307"/>
      <w:bookmarkStart w:id="39" w:name="_Toc179632548"/>
      <w:r>
        <w:rPr>
          <w:rFonts w:hint="eastAsia"/>
        </w:rPr>
        <w:t>1.2 资金来源和落实情况</w:t>
      </w:r>
      <w:bookmarkEnd w:id="32"/>
      <w:bookmarkEnd w:id="33"/>
      <w:bookmarkEnd w:id="34"/>
      <w:bookmarkEnd w:id="35"/>
      <w:bookmarkEnd w:id="36"/>
      <w:bookmarkEnd w:id="37"/>
      <w:bookmarkEnd w:id="38"/>
      <w:bookmarkEnd w:id="39"/>
    </w:p>
    <w:p w14:paraId="1F322F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14:paraId="18531B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14:paraId="271BAFF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144974500"/>
      <w:bookmarkStart w:id="42" w:name="_Toc296602423"/>
      <w:bookmarkStart w:id="43" w:name="_Toc152042308"/>
      <w:bookmarkStart w:id="44" w:name="_Toc246996178"/>
      <w:bookmarkStart w:id="45" w:name="_Toc247085692"/>
      <w:bookmarkStart w:id="46" w:name="_Toc152045532"/>
      <w:bookmarkStart w:id="47" w:name="_Toc246996921"/>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14:paraId="759232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14:paraId="0E0276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14:paraId="6A7720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14:paraId="6561AD0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246996922"/>
      <w:bookmarkStart w:id="50" w:name="_Toc152042310"/>
      <w:bookmarkStart w:id="51" w:name="_Toc179632551"/>
      <w:bookmarkStart w:id="52" w:name="_Toc152045534"/>
      <w:bookmarkStart w:id="53" w:name="_Toc144974502"/>
      <w:bookmarkStart w:id="54" w:name="_Toc296602424"/>
      <w:bookmarkStart w:id="55" w:name="_Toc246996179"/>
      <w:r>
        <w:rPr>
          <w:rFonts w:hint="eastAsia"/>
        </w:rPr>
        <w:t>1.4 投标人资格要求</w:t>
      </w:r>
      <w:bookmarkEnd w:id="48"/>
      <w:bookmarkEnd w:id="49"/>
      <w:bookmarkEnd w:id="50"/>
      <w:bookmarkEnd w:id="51"/>
      <w:bookmarkEnd w:id="52"/>
      <w:bookmarkEnd w:id="53"/>
      <w:bookmarkEnd w:id="54"/>
      <w:bookmarkEnd w:id="55"/>
    </w:p>
    <w:p w14:paraId="2138BF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14:paraId="7E63CE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14:paraId="21ACB26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14:paraId="269FCF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14:paraId="2820E5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14:paraId="4407558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14:paraId="54C4B7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14:paraId="3DB91B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14:paraId="6458D2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14:paraId="5D1E18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14:paraId="0C6D1F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14:paraId="38E525C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14:paraId="339AD15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14:paraId="78B5AD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14:paraId="351DBF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14:paraId="457663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14:paraId="2D464A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14:paraId="4D83A9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14:paraId="255682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14:paraId="0C94F1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14:paraId="776322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14:paraId="690FF8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14:paraId="2DEBC0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（10）投标时（以投标截止时间为准），无被亳州市市本级及县区各行业主管部门或公共资源交易监管部门限制投标的不良行为记录（有效期内）；</w:t>
      </w:r>
    </w:p>
    <w:p w14:paraId="030994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r>
        <w:rPr>
          <w:rFonts w:hint="eastAsia"/>
          <w:lang w:eastAsia="zh-CN"/>
        </w:rPr>
        <w:t>/</w:t>
      </w:r>
    </w:p>
    <w:p w14:paraId="6F10DB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14:paraId="082157A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5"/>
      <w:bookmarkStart w:id="57" w:name="_Toc152042311"/>
      <w:bookmarkStart w:id="58" w:name="_Toc246996923"/>
      <w:bookmarkStart w:id="59" w:name="_Toc296602425"/>
      <w:bookmarkStart w:id="60" w:name="_Toc246996180"/>
      <w:bookmarkStart w:id="61" w:name="_Toc179632552"/>
      <w:bookmarkStart w:id="62" w:name="_Toc144974503"/>
      <w:bookmarkStart w:id="63" w:name="_Toc247085694"/>
      <w:r>
        <w:rPr>
          <w:rFonts w:hint="eastAsia"/>
        </w:rPr>
        <w:t>1.5 费用承担</w:t>
      </w:r>
      <w:bookmarkEnd w:id="56"/>
      <w:bookmarkEnd w:id="57"/>
      <w:bookmarkEnd w:id="58"/>
      <w:bookmarkEnd w:id="59"/>
      <w:bookmarkEnd w:id="60"/>
      <w:bookmarkEnd w:id="61"/>
      <w:bookmarkEnd w:id="62"/>
      <w:bookmarkEnd w:id="63"/>
    </w:p>
    <w:p w14:paraId="10C55E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14:paraId="1D6CAAB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246996181"/>
      <w:bookmarkStart w:id="66" w:name="_Toc144974504"/>
      <w:bookmarkStart w:id="67" w:name="_Toc152045536"/>
      <w:bookmarkStart w:id="68" w:name="_Toc152042312"/>
      <w:bookmarkStart w:id="69" w:name="_Toc247085695"/>
      <w:bookmarkStart w:id="70" w:name="_Toc296602426"/>
      <w:bookmarkStart w:id="71" w:name="_Toc179632553"/>
      <w:r>
        <w:rPr>
          <w:rFonts w:hint="eastAsia"/>
        </w:rPr>
        <w:t>1.6 保密</w:t>
      </w:r>
      <w:bookmarkEnd w:id="64"/>
      <w:bookmarkEnd w:id="65"/>
      <w:bookmarkEnd w:id="66"/>
      <w:bookmarkEnd w:id="67"/>
      <w:bookmarkEnd w:id="68"/>
      <w:bookmarkEnd w:id="69"/>
      <w:bookmarkEnd w:id="70"/>
      <w:bookmarkEnd w:id="71"/>
    </w:p>
    <w:p w14:paraId="7BF64F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14:paraId="4556C59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79632554"/>
      <w:bookmarkStart w:id="74" w:name="_Toc246996182"/>
      <w:bookmarkStart w:id="75" w:name="_Toc296602427"/>
      <w:bookmarkStart w:id="76" w:name="_Toc152042313"/>
      <w:bookmarkStart w:id="77" w:name="_Toc152045537"/>
      <w:bookmarkStart w:id="78" w:name="_Toc247085696"/>
      <w:bookmarkStart w:id="79" w:name="_Toc246996925"/>
      <w:r>
        <w:rPr>
          <w:rFonts w:hint="eastAsia"/>
        </w:rPr>
        <w:t>1.7 语言</w:t>
      </w:r>
      <w:bookmarkEnd w:id="72"/>
      <w:r>
        <w:rPr>
          <w:rFonts w:hint="eastAsia"/>
        </w:rPr>
        <w:t>文字</w:t>
      </w:r>
      <w:bookmarkEnd w:id="73"/>
      <w:bookmarkEnd w:id="74"/>
      <w:bookmarkEnd w:id="75"/>
      <w:bookmarkEnd w:id="76"/>
      <w:bookmarkEnd w:id="77"/>
      <w:bookmarkEnd w:id="78"/>
      <w:bookmarkEnd w:id="79"/>
    </w:p>
    <w:p w14:paraId="07C2BA3F">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6996926"/>
      <w:bookmarkStart w:id="82" w:name="_Toc247085697"/>
      <w:bookmarkStart w:id="83" w:name="_Toc152042314"/>
      <w:bookmarkStart w:id="84" w:name="_Toc246996183"/>
      <w:bookmarkStart w:id="85" w:name="_Toc152045538"/>
      <w:bookmarkStart w:id="86" w:name="_Toc179632555"/>
      <w:r>
        <w:rPr>
          <w:rFonts w:hint="eastAsia"/>
        </w:rPr>
        <w:t>招标投标文件使用的语言文字为中文。专用术语使用外文的，应附有中文注释。</w:t>
      </w:r>
    </w:p>
    <w:p w14:paraId="306051D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14:paraId="7909E8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14:paraId="3DC2AA0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247513962"/>
      <w:bookmarkStart w:id="90" w:name="_Toc144974507"/>
      <w:bookmarkStart w:id="91" w:name="_Toc247527563"/>
      <w:bookmarkStart w:id="92" w:name="_Toc296602429"/>
      <w:bookmarkStart w:id="93" w:name="_Toc152042315"/>
      <w:bookmarkStart w:id="94" w:name="_Toc152045539"/>
      <w:r>
        <w:rPr>
          <w:rFonts w:hint="eastAsia"/>
        </w:rPr>
        <w:t>1.9 踏勘现场</w:t>
      </w:r>
      <w:bookmarkEnd w:id="88"/>
      <w:bookmarkEnd w:id="89"/>
      <w:bookmarkEnd w:id="90"/>
      <w:bookmarkEnd w:id="91"/>
      <w:bookmarkEnd w:id="92"/>
      <w:bookmarkEnd w:id="93"/>
      <w:bookmarkEnd w:id="94"/>
    </w:p>
    <w:p w14:paraId="2D2493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14:paraId="5F18D1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14:paraId="01627E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14:paraId="004A1A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14:paraId="0AA9DDB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40"/>
      <w:bookmarkStart w:id="96" w:name="_Toc247527564"/>
      <w:bookmarkStart w:id="97" w:name="_Toc152042316"/>
      <w:bookmarkStart w:id="98" w:name="_Toc247513963"/>
      <w:bookmarkStart w:id="99" w:name="_Toc247592877"/>
      <w:bookmarkStart w:id="100" w:name="_Toc144974508"/>
      <w:bookmarkStart w:id="101" w:name="_Toc296602430"/>
      <w:r>
        <w:rPr>
          <w:rFonts w:hint="eastAsia"/>
        </w:rPr>
        <w:t>1.10 投标预备会</w:t>
      </w:r>
      <w:bookmarkEnd w:id="95"/>
      <w:bookmarkEnd w:id="96"/>
      <w:bookmarkEnd w:id="97"/>
      <w:bookmarkEnd w:id="98"/>
      <w:bookmarkEnd w:id="99"/>
      <w:bookmarkEnd w:id="100"/>
      <w:bookmarkEnd w:id="101"/>
    </w:p>
    <w:p w14:paraId="78B2E1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14:paraId="4ECE55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14:paraId="7B2966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14:paraId="6709377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14:paraId="0DECBB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w:t>
      </w:r>
      <w:r>
        <w:rPr>
          <w:rFonts w:hint="eastAsia"/>
          <w:lang w:eastAsia="zh-CN"/>
        </w:rPr>
        <w:t>候选</w:t>
      </w:r>
      <w:r>
        <w:rPr>
          <w:rFonts w:hint="eastAsia"/>
        </w:rPr>
        <w:t>名单及其相应资料。</w:t>
      </w:r>
    </w:p>
    <w:p w14:paraId="5A4835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14:paraId="048F501E">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14:paraId="3AFD94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14:paraId="6CD87B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14:paraId="1283A8C8">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14:paraId="4825FD8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017F400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144974510"/>
      <w:bookmarkStart w:id="105" w:name="_Toc152045542"/>
      <w:bookmarkStart w:id="106" w:name="_Toc152042318"/>
      <w:bookmarkStart w:id="107" w:name="_Toc179632560"/>
      <w:bookmarkStart w:id="108" w:name="_Toc247085701"/>
      <w:bookmarkStart w:id="109" w:name="_Toc246996187"/>
      <w:bookmarkStart w:id="110" w:name="_Toc296602432"/>
      <w:r>
        <w:rPr>
          <w:rFonts w:hint="eastAsia"/>
        </w:rPr>
        <w:t>2. 招标文件</w:t>
      </w:r>
      <w:bookmarkEnd w:id="103"/>
      <w:bookmarkEnd w:id="104"/>
      <w:bookmarkEnd w:id="105"/>
      <w:bookmarkEnd w:id="106"/>
      <w:bookmarkEnd w:id="107"/>
      <w:bookmarkEnd w:id="108"/>
      <w:bookmarkEnd w:id="109"/>
      <w:bookmarkEnd w:id="110"/>
    </w:p>
    <w:p w14:paraId="281EFDF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33"/>
      <w:bookmarkStart w:id="112" w:name="_Toc247085702"/>
      <w:bookmarkStart w:id="113" w:name="_Toc144974511"/>
      <w:bookmarkStart w:id="114" w:name="_Toc246996188"/>
      <w:bookmarkStart w:id="115" w:name="_Toc179632561"/>
      <w:bookmarkStart w:id="116" w:name="_Toc246996931"/>
      <w:bookmarkStart w:id="117" w:name="_Toc152042319"/>
      <w:bookmarkStart w:id="118" w:name="_Toc152045543"/>
      <w:r>
        <w:rPr>
          <w:rFonts w:hint="eastAsia"/>
        </w:rPr>
        <w:t>2.1 招标文件的组成</w:t>
      </w:r>
      <w:bookmarkEnd w:id="111"/>
      <w:bookmarkEnd w:id="112"/>
      <w:bookmarkEnd w:id="113"/>
      <w:bookmarkEnd w:id="114"/>
      <w:bookmarkEnd w:id="115"/>
      <w:bookmarkEnd w:id="116"/>
      <w:bookmarkEnd w:id="117"/>
      <w:bookmarkEnd w:id="118"/>
    </w:p>
    <w:p w14:paraId="6740A9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14:paraId="6EA7B2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14:paraId="5C2F3A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14:paraId="6277DE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14:paraId="6667C8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14:paraId="243392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14:paraId="30CBA37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14:paraId="05ABB9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w:t>
      </w:r>
      <w:r>
        <w:rPr>
          <w:rFonts w:hint="eastAsia"/>
          <w:lang w:eastAsia="zh-CN"/>
        </w:rPr>
        <w:t>做</w:t>
      </w:r>
      <w:r>
        <w:rPr>
          <w:rFonts w:hint="eastAsia"/>
        </w:rPr>
        <w:t>的澄清、修改，构成招标文件的组成部分。</w:t>
      </w:r>
    </w:p>
    <w:p w14:paraId="195A763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152045544"/>
      <w:bookmarkStart w:id="121" w:name="_Toc296602434"/>
      <w:bookmarkStart w:id="122" w:name="_Toc144974512"/>
      <w:bookmarkStart w:id="123" w:name="_Toc247085703"/>
      <w:bookmarkStart w:id="124" w:name="_Toc246996189"/>
      <w:bookmarkStart w:id="125" w:name="_Toc246996932"/>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14:paraId="15C27D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14:paraId="044A1E3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14:paraId="2BF5020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14:paraId="2407C12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0"/>
      <w:bookmarkStart w:id="128" w:name="_Toc152042321"/>
      <w:bookmarkStart w:id="129" w:name="_Toc179632563"/>
      <w:bookmarkStart w:id="130" w:name="_Toc144974513"/>
      <w:bookmarkStart w:id="131" w:name="_Toc246996933"/>
      <w:bookmarkStart w:id="132" w:name="_Toc152045545"/>
      <w:bookmarkStart w:id="133" w:name="_Toc247085704"/>
      <w:bookmarkStart w:id="134" w:name="_Toc296602435"/>
      <w:r>
        <w:rPr>
          <w:rFonts w:hint="eastAsia"/>
        </w:rPr>
        <w:t>2.3 招标文件的修改</w:t>
      </w:r>
      <w:bookmarkEnd w:id="127"/>
      <w:bookmarkEnd w:id="128"/>
      <w:bookmarkEnd w:id="129"/>
      <w:bookmarkEnd w:id="130"/>
      <w:bookmarkEnd w:id="131"/>
      <w:bookmarkEnd w:id="132"/>
      <w:bookmarkEnd w:id="133"/>
      <w:bookmarkEnd w:id="134"/>
    </w:p>
    <w:p w14:paraId="7F50DD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14:paraId="6B67BF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14:paraId="461F2D02">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46996934"/>
      <w:bookmarkStart w:id="137" w:name="_Toc179632564"/>
      <w:bookmarkStart w:id="138" w:name="_Toc296602436"/>
      <w:bookmarkStart w:id="139" w:name="_Toc247085705"/>
      <w:bookmarkStart w:id="140" w:name="_Toc246996191"/>
      <w:bookmarkStart w:id="141" w:name="_Toc152045546"/>
      <w:bookmarkStart w:id="142" w:name="_Toc152042322"/>
      <w:r>
        <w:rPr>
          <w:rFonts w:hint="eastAsia"/>
        </w:rPr>
        <w:t>3. 投标文件</w:t>
      </w:r>
      <w:bookmarkEnd w:id="135"/>
      <w:bookmarkEnd w:id="136"/>
      <w:bookmarkEnd w:id="137"/>
      <w:bookmarkEnd w:id="138"/>
      <w:bookmarkEnd w:id="139"/>
      <w:bookmarkEnd w:id="140"/>
      <w:bookmarkEnd w:id="141"/>
      <w:bookmarkEnd w:id="142"/>
    </w:p>
    <w:p w14:paraId="00CECA6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79632565"/>
      <w:bookmarkStart w:id="145" w:name="_Toc152042323"/>
      <w:bookmarkStart w:id="146" w:name="_Toc246996192"/>
      <w:bookmarkStart w:id="147" w:name="_Toc152045547"/>
      <w:bookmarkStart w:id="148" w:name="_Toc247085706"/>
      <w:bookmarkStart w:id="149" w:name="_Toc144974515"/>
      <w:bookmarkStart w:id="150" w:name="_Toc246996935"/>
      <w:r>
        <w:rPr>
          <w:rFonts w:hint="eastAsia"/>
        </w:rPr>
        <w:t>3.1 投标文件的组成</w:t>
      </w:r>
      <w:bookmarkEnd w:id="143"/>
      <w:bookmarkEnd w:id="144"/>
      <w:bookmarkEnd w:id="145"/>
      <w:bookmarkEnd w:id="146"/>
      <w:bookmarkEnd w:id="147"/>
      <w:bookmarkEnd w:id="148"/>
      <w:bookmarkEnd w:id="149"/>
      <w:bookmarkEnd w:id="150"/>
    </w:p>
    <w:p w14:paraId="41DB44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14:paraId="78A7237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14:paraId="0EA42F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14:paraId="370E30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14:paraId="32EE170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14:paraId="41AB632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14:paraId="12F158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14:paraId="23F224F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14:paraId="182C66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14:paraId="6FFBDF2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14:paraId="4C9B05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14:paraId="75590C9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w:t>
      </w:r>
      <w:r>
        <w:rPr>
          <w:rFonts w:hint="eastAsia"/>
          <w:lang w:eastAsia="zh-CN"/>
        </w:rPr>
        <w:t>）项</w:t>
      </w:r>
      <w:r>
        <w:rPr>
          <w:rFonts w:hint="eastAsia"/>
        </w:rPr>
        <w:t>目所指的投标保证金。</w:t>
      </w:r>
    </w:p>
    <w:p w14:paraId="00BD8D53">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5548"/>
      <w:bookmarkStart w:id="152" w:name="_Toc246996193"/>
      <w:bookmarkStart w:id="153" w:name="_Toc296602438"/>
      <w:bookmarkStart w:id="154" w:name="_Toc179632566"/>
      <w:bookmarkStart w:id="155" w:name="_Toc144974516"/>
      <w:bookmarkStart w:id="156" w:name="_Toc247085707"/>
      <w:bookmarkStart w:id="157" w:name="_Toc152042324"/>
      <w:bookmarkStart w:id="158" w:name="_Toc246996936"/>
      <w:r>
        <w:rPr>
          <w:rFonts w:hint="eastAsia"/>
        </w:rPr>
        <w:t>3.2 投标报价</w:t>
      </w:r>
      <w:bookmarkEnd w:id="151"/>
      <w:bookmarkEnd w:id="152"/>
      <w:bookmarkEnd w:id="153"/>
      <w:bookmarkEnd w:id="154"/>
      <w:bookmarkEnd w:id="155"/>
      <w:bookmarkEnd w:id="156"/>
      <w:bookmarkEnd w:id="157"/>
      <w:bookmarkEnd w:id="158"/>
    </w:p>
    <w:p w14:paraId="246AF4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79632567"/>
      <w:bookmarkStart w:id="161" w:name="_Toc144974517"/>
      <w:bookmarkStart w:id="162" w:name="_Toc152045549"/>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14:paraId="56C008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14:paraId="5B36B2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14:paraId="658071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14:paraId="10E334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14:paraId="64C73FD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194"/>
      <w:bookmarkStart w:id="165" w:name="_Toc246996937"/>
      <w:bookmarkStart w:id="166" w:name="_Toc296602439"/>
      <w:r>
        <w:rPr>
          <w:rFonts w:hint="eastAsia"/>
        </w:rPr>
        <w:t>3.3 投标有效期</w:t>
      </w:r>
      <w:bookmarkEnd w:id="159"/>
      <w:bookmarkEnd w:id="160"/>
      <w:bookmarkEnd w:id="161"/>
      <w:bookmarkEnd w:id="162"/>
      <w:bookmarkEnd w:id="163"/>
      <w:bookmarkEnd w:id="164"/>
      <w:bookmarkEnd w:id="165"/>
      <w:bookmarkEnd w:id="166"/>
    </w:p>
    <w:p w14:paraId="33A852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14:paraId="161DFF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14:paraId="13DD95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3B934EF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0"/>
      <w:bookmarkStart w:id="168" w:name="_Toc144974518"/>
      <w:bookmarkStart w:id="169" w:name="_Toc152042326"/>
      <w:bookmarkStart w:id="170" w:name="_Toc179632568"/>
      <w:bookmarkStart w:id="171" w:name="_Toc246996195"/>
      <w:bookmarkStart w:id="172" w:name="_Toc152045550"/>
      <w:bookmarkStart w:id="173" w:name="_Toc246996938"/>
      <w:bookmarkStart w:id="174" w:name="_Toc247085709"/>
      <w:r>
        <w:rPr>
          <w:rFonts w:hint="eastAsia"/>
        </w:rPr>
        <w:t>3.4 投标保证金</w:t>
      </w:r>
      <w:bookmarkEnd w:id="167"/>
      <w:bookmarkEnd w:id="168"/>
      <w:bookmarkEnd w:id="169"/>
      <w:bookmarkEnd w:id="170"/>
      <w:bookmarkEnd w:id="171"/>
      <w:bookmarkEnd w:id="172"/>
      <w:bookmarkEnd w:id="173"/>
      <w:bookmarkEnd w:id="174"/>
    </w:p>
    <w:p w14:paraId="63DB33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14:paraId="5DD4B5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14:paraId="3F43FF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14:paraId="252A5B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14:paraId="4ECA33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14:paraId="72223E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14:paraId="0902D7F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14:paraId="16426E8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296602441"/>
      <w:bookmarkStart w:id="177" w:name="_Toc152045552"/>
      <w:bookmarkStart w:id="178" w:name="_Toc179632570"/>
      <w:bookmarkStart w:id="179" w:name="_Toc144974520"/>
      <w:bookmarkStart w:id="180" w:name="_Toc247085710"/>
      <w:bookmarkStart w:id="181" w:name="_Toc152042328"/>
      <w:bookmarkStart w:id="182" w:name="_Toc246996196"/>
      <w:r>
        <w:rPr>
          <w:rFonts w:hint="eastAsia"/>
        </w:rPr>
        <w:t>3.5 资格审查资料</w:t>
      </w:r>
      <w:bookmarkEnd w:id="175"/>
      <w:bookmarkEnd w:id="176"/>
      <w:bookmarkEnd w:id="177"/>
      <w:bookmarkEnd w:id="178"/>
      <w:bookmarkEnd w:id="179"/>
      <w:bookmarkEnd w:id="180"/>
      <w:bookmarkEnd w:id="181"/>
      <w:bookmarkEnd w:id="182"/>
    </w:p>
    <w:p w14:paraId="1DAF3E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14:paraId="703EE0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14:paraId="292106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14:paraId="0C9667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14:paraId="6DB315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14:paraId="5C20A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14:paraId="693C498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14:paraId="39DADD00">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14:paraId="5D19B2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14:paraId="72E719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14:paraId="4674EB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14:paraId="4BF4082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5553"/>
      <w:bookmarkStart w:id="184" w:name="_Toc246996197"/>
      <w:bookmarkStart w:id="185" w:name="_Toc247085711"/>
      <w:bookmarkStart w:id="186" w:name="_Toc152042329"/>
      <w:bookmarkStart w:id="187" w:name="_Toc246996940"/>
      <w:bookmarkStart w:id="188" w:name="_Toc144974521"/>
      <w:bookmarkStart w:id="189" w:name="_Toc296602442"/>
      <w:bookmarkStart w:id="190" w:name="_Toc17963257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79632573"/>
      <w:bookmarkStart w:id="192" w:name="_Toc246996199"/>
      <w:bookmarkStart w:id="193" w:name="_Toc144974523"/>
      <w:bookmarkStart w:id="194" w:name="_Toc246996942"/>
      <w:bookmarkStart w:id="195" w:name="_Toc152045555"/>
      <w:bookmarkStart w:id="196" w:name="_Toc152042331"/>
      <w:bookmarkStart w:id="197" w:name="_Toc247085713"/>
    </w:p>
    <w:p w14:paraId="38DB7C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14:paraId="313D65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14:paraId="2FCD23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14:paraId="1B16FF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14:paraId="0C88F6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14:paraId="1674A17B">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14:paraId="46B8844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4"/>
      <w:bookmarkStart w:id="200" w:name="_Toc152042332"/>
      <w:bookmarkStart w:id="201" w:name="_Toc179632574"/>
      <w:bookmarkStart w:id="202" w:name="_Toc246996200"/>
      <w:bookmarkStart w:id="203" w:name="_Toc247085714"/>
      <w:bookmarkStart w:id="204" w:name="_Toc152045556"/>
      <w:bookmarkStart w:id="205" w:name="_Toc246996943"/>
      <w:bookmarkStart w:id="206" w:name="_Toc144974524"/>
      <w:r>
        <w:rPr>
          <w:rFonts w:hint="eastAsia"/>
        </w:rPr>
        <w:t>4.1 投标文件的密封和标记</w:t>
      </w:r>
      <w:bookmarkEnd w:id="199"/>
      <w:bookmarkEnd w:id="200"/>
      <w:bookmarkEnd w:id="201"/>
      <w:bookmarkEnd w:id="202"/>
      <w:bookmarkEnd w:id="203"/>
      <w:bookmarkEnd w:id="204"/>
      <w:bookmarkEnd w:id="205"/>
      <w:bookmarkEnd w:id="206"/>
    </w:p>
    <w:p w14:paraId="380B55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44974525"/>
      <w:bookmarkStart w:id="208" w:name="_Toc179632575"/>
      <w:bookmarkStart w:id="209" w:name="_Toc152042333"/>
      <w:bookmarkStart w:id="210" w:name="_Toc247085715"/>
      <w:bookmarkStart w:id="211" w:name="_Toc152045557"/>
      <w:bookmarkStart w:id="212" w:name="_Toc246996201"/>
      <w:bookmarkStart w:id="213" w:name="_Toc246996944"/>
      <w:r>
        <w:rPr>
          <w:rFonts w:hint="eastAsia"/>
        </w:rPr>
        <w:t>4.1.1 投标文件应密封包装，并在封套的封口处加盖投标人单位章或由投标人的法定代表人或其授权的代理人签字。</w:t>
      </w:r>
    </w:p>
    <w:p w14:paraId="43C136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14:paraId="534DF083">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14:paraId="1DA36C2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14:paraId="0D326D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14:paraId="6A9DBC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14:paraId="151DB8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14:paraId="074585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14:paraId="40075F9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152042334"/>
      <w:bookmarkStart w:id="217" w:name="_Toc246996202"/>
      <w:bookmarkStart w:id="218" w:name="_Toc247085716"/>
      <w:bookmarkStart w:id="219" w:name="_Toc144974526"/>
      <w:bookmarkStart w:id="220" w:name="_Toc179632576"/>
      <w:bookmarkStart w:id="221" w:name="_Toc246996945"/>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14:paraId="262ED0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14:paraId="27A3D3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14:paraId="0FE3F1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14:paraId="28395FF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14:paraId="271114B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144974527"/>
      <w:bookmarkStart w:id="225" w:name="_Toc246996946"/>
      <w:bookmarkStart w:id="226" w:name="_Toc152045559"/>
      <w:bookmarkStart w:id="227" w:name="_Toc247085717"/>
      <w:bookmarkStart w:id="228" w:name="_Toc179632577"/>
      <w:bookmarkStart w:id="229" w:name="_Toc246996203"/>
      <w:bookmarkStart w:id="230" w:name="_Toc296602447"/>
      <w:r>
        <w:rPr>
          <w:rFonts w:hint="eastAsia"/>
        </w:rPr>
        <w:t>5. 开标</w:t>
      </w:r>
      <w:bookmarkEnd w:id="223"/>
      <w:bookmarkEnd w:id="224"/>
      <w:bookmarkEnd w:id="225"/>
      <w:bookmarkEnd w:id="226"/>
      <w:bookmarkEnd w:id="227"/>
      <w:bookmarkEnd w:id="228"/>
      <w:bookmarkEnd w:id="229"/>
      <w:bookmarkEnd w:id="230"/>
    </w:p>
    <w:p w14:paraId="5543A7A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7085718"/>
      <w:bookmarkStart w:id="232" w:name="_Toc246996947"/>
      <w:bookmarkStart w:id="233" w:name="_Toc152042336"/>
      <w:bookmarkStart w:id="234" w:name="_Toc179632578"/>
      <w:bookmarkStart w:id="235" w:name="_Toc152045560"/>
      <w:bookmarkStart w:id="236" w:name="_Toc144974528"/>
      <w:bookmarkStart w:id="237" w:name="_Toc246996204"/>
      <w:bookmarkStart w:id="238" w:name="_Toc296602448"/>
      <w:r>
        <w:rPr>
          <w:rFonts w:hint="eastAsia"/>
        </w:rPr>
        <w:t>5.1 开标时间和地点</w:t>
      </w:r>
      <w:bookmarkEnd w:id="231"/>
      <w:bookmarkEnd w:id="232"/>
      <w:bookmarkEnd w:id="233"/>
      <w:bookmarkEnd w:id="234"/>
      <w:bookmarkEnd w:id="235"/>
      <w:bookmarkEnd w:id="236"/>
      <w:bookmarkEnd w:id="237"/>
      <w:bookmarkEnd w:id="238"/>
    </w:p>
    <w:p w14:paraId="33DF695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14:paraId="09B569E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7085719"/>
      <w:bookmarkStart w:id="240" w:name="_Toc179632579"/>
      <w:bookmarkStart w:id="241" w:name="_Toc152045561"/>
      <w:bookmarkStart w:id="242" w:name="_Toc246996948"/>
      <w:bookmarkStart w:id="243" w:name="_Toc246996205"/>
      <w:bookmarkStart w:id="244" w:name="_Toc144974529"/>
      <w:bookmarkStart w:id="245" w:name="_Toc296602449"/>
      <w:bookmarkStart w:id="246" w:name="_Toc152042337"/>
      <w:r>
        <w:rPr>
          <w:rFonts w:hint="eastAsia"/>
        </w:rPr>
        <w:t>5.2 开标程序</w:t>
      </w:r>
      <w:bookmarkEnd w:id="239"/>
      <w:bookmarkEnd w:id="240"/>
      <w:bookmarkEnd w:id="241"/>
      <w:bookmarkEnd w:id="242"/>
      <w:bookmarkEnd w:id="243"/>
      <w:bookmarkEnd w:id="244"/>
      <w:bookmarkEnd w:id="245"/>
      <w:bookmarkEnd w:id="246"/>
    </w:p>
    <w:p w14:paraId="4D132D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14:paraId="0E23A9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14:paraId="312B33E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14:paraId="4B64316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14:paraId="490754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14:paraId="7B73A5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14:paraId="444BC59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14:paraId="3176DD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14:paraId="42AFD34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14:paraId="7F3469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14:paraId="51991255">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79632580"/>
      <w:bookmarkStart w:id="249" w:name="_Toc246996949"/>
      <w:bookmarkStart w:id="250" w:name="_Toc144974530"/>
      <w:bookmarkStart w:id="251" w:name="_Toc152042338"/>
      <w:bookmarkStart w:id="252" w:name="_Toc152045562"/>
      <w:bookmarkStart w:id="253" w:name="_Toc246996206"/>
      <w:bookmarkStart w:id="254" w:name="_Toc247085720"/>
      <w:bookmarkStart w:id="255" w:name="_Toc296602451"/>
      <w:r>
        <w:rPr>
          <w:rFonts w:hint="eastAsia"/>
        </w:rPr>
        <w:t>6. 评标</w:t>
      </w:r>
      <w:bookmarkEnd w:id="248"/>
      <w:bookmarkEnd w:id="249"/>
      <w:bookmarkEnd w:id="250"/>
      <w:bookmarkEnd w:id="251"/>
      <w:bookmarkEnd w:id="252"/>
      <w:bookmarkEnd w:id="253"/>
      <w:bookmarkEnd w:id="254"/>
      <w:bookmarkEnd w:id="255"/>
    </w:p>
    <w:p w14:paraId="6D0856C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7"/>
      <w:bookmarkStart w:id="257" w:name="_Toc179632581"/>
      <w:bookmarkStart w:id="258" w:name="_Toc152042339"/>
      <w:bookmarkStart w:id="259" w:name="_Toc247085721"/>
      <w:bookmarkStart w:id="260" w:name="_Toc296602452"/>
      <w:bookmarkStart w:id="261" w:name="_Toc144974531"/>
      <w:bookmarkStart w:id="262" w:name="_Toc152045563"/>
      <w:bookmarkStart w:id="263" w:name="_Toc246996950"/>
      <w:r>
        <w:rPr>
          <w:rFonts w:hint="eastAsia"/>
        </w:rPr>
        <w:t>6.1 评标委员会</w:t>
      </w:r>
      <w:bookmarkEnd w:id="256"/>
      <w:bookmarkEnd w:id="257"/>
      <w:bookmarkEnd w:id="258"/>
      <w:bookmarkEnd w:id="259"/>
      <w:bookmarkEnd w:id="260"/>
      <w:bookmarkEnd w:id="261"/>
      <w:bookmarkEnd w:id="262"/>
      <w:bookmarkEnd w:id="263"/>
    </w:p>
    <w:p w14:paraId="50917F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6B9533B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14:paraId="4E07E5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14:paraId="7AEFE37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14:paraId="7B95CC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14:paraId="4C8CAC3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14:paraId="58A8920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14:paraId="5D17918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96602453"/>
      <w:bookmarkStart w:id="265" w:name="_Toc247085722"/>
      <w:bookmarkStart w:id="266" w:name="_Toc246996208"/>
      <w:bookmarkStart w:id="267" w:name="_Toc144974532"/>
      <w:bookmarkStart w:id="268" w:name="_Toc246996951"/>
      <w:bookmarkStart w:id="269" w:name="_Toc152042340"/>
      <w:bookmarkStart w:id="270" w:name="_Toc152045564"/>
      <w:bookmarkStart w:id="271" w:name="_Toc179632582"/>
      <w:r>
        <w:rPr>
          <w:rFonts w:hint="eastAsia"/>
        </w:rPr>
        <w:t>6.2 评标原则</w:t>
      </w:r>
      <w:bookmarkEnd w:id="264"/>
      <w:bookmarkEnd w:id="265"/>
      <w:bookmarkEnd w:id="266"/>
      <w:bookmarkEnd w:id="267"/>
      <w:bookmarkEnd w:id="268"/>
      <w:bookmarkEnd w:id="269"/>
      <w:bookmarkEnd w:id="270"/>
      <w:bookmarkEnd w:id="271"/>
    </w:p>
    <w:p w14:paraId="7AADC7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14:paraId="563617F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1"/>
      <w:bookmarkStart w:id="273" w:name="_Toc247085723"/>
      <w:bookmarkStart w:id="274" w:name="_Toc246996952"/>
      <w:bookmarkStart w:id="275" w:name="_Toc144974533"/>
      <w:bookmarkStart w:id="276" w:name="_Toc296602454"/>
      <w:bookmarkStart w:id="277" w:name="_Toc179632583"/>
      <w:bookmarkStart w:id="278" w:name="_Toc152045565"/>
      <w:bookmarkStart w:id="279" w:name="_Toc246996209"/>
      <w:r>
        <w:rPr>
          <w:rFonts w:hint="eastAsia"/>
        </w:rPr>
        <w:t>6.3 评标</w:t>
      </w:r>
      <w:bookmarkEnd w:id="272"/>
      <w:bookmarkEnd w:id="273"/>
      <w:bookmarkEnd w:id="274"/>
      <w:bookmarkEnd w:id="275"/>
      <w:bookmarkEnd w:id="276"/>
      <w:bookmarkEnd w:id="277"/>
      <w:bookmarkEnd w:id="278"/>
      <w:bookmarkEnd w:id="279"/>
    </w:p>
    <w:p w14:paraId="5B3AD3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14:paraId="719BB03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14:paraId="434295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02AF394A">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7085724"/>
      <w:bookmarkStart w:id="281" w:name="_Toc152045566"/>
      <w:bookmarkStart w:id="282" w:name="_Toc179632584"/>
      <w:bookmarkStart w:id="283" w:name="_Toc152042342"/>
      <w:bookmarkStart w:id="284" w:name="_Toc296602455"/>
      <w:bookmarkStart w:id="285" w:name="_Toc246996953"/>
      <w:bookmarkStart w:id="286" w:name="_Toc246996210"/>
      <w:bookmarkStart w:id="287" w:name="_Toc144974534"/>
      <w:r>
        <w:rPr>
          <w:rFonts w:hint="eastAsia"/>
        </w:rPr>
        <w:t>7. 合同授予</w:t>
      </w:r>
      <w:bookmarkEnd w:id="280"/>
      <w:bookmarkEnd w:id="281"/>
      <w:bookmarkEnd w:id="282"/>
      <w:bookmarkEnd w:id="283"/>
      <w:bookmarkEnd w:id="284"/>
      <w:bookmarkEnd w:id="285"/>
      <w:bookmarkEnd w:id="286"/>
      <w:bookmarkEnd w:id="287"/>
    </w:p>
    <w:p w14:paraId="102C116E">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954"/>
      <w:bookmarkStart w:id="289" w:name="_Toc144974535"/>
      <w:bookmarkStart w:id="290" w:name="_Toc247085725"/>
      <w:bookmarkStart w:id="291" w:name="_Toc246996211"/>
      <w:bookmarkStart w:id="292" w:name="_Toc152045567"/>
      <w:bookmarkStart w:id="293" w:name="_Toc152042343"/>
      <w:bookmarkStart w:id="294" w:name="_Toc296602456"/>
      <w:bookmarkStart w:id="295" w:name="_Toc179632585"/>
      <w:r>
        <w:rPr>
          <w:rFonts w:hint="eastAsia"/>
        </w:rPr>
        <w:t>7.1中标候选人公示</w:t>
      </w:r>
      <w:bookmarkEnd w:id="288"/>
      <w:bookmarkEnd w:id="289"/>
      <w:bookmarkEnd w:id="290"/>
      <w:bookmarkEnd w:id="291"/>
      <w:bookmarkEnd w:id="292"/>
      <w:bookmarkEnd w:id="293"/>
      <w:bookmarkEnd w:id="294"/>
      <w:bookmarkEnd w:id="295"/>
    </w:p>
    <w:p w14:paraId="5F4A81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14:paraId="409E9C47">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14:paraId="69EC750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14:paraId="11FE2C6F">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14:paraId="30956E5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14:paraId="3869E153">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14:paraId="1CDAEE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14:paraId="16672250">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47085726"/>
      <w:bookmarkStart w:id="297" w:name="_Toc144974536"/>
      <w:bookmarkStart w:id="298" w:name="_Toc246996955"/>
      <w:bookmarkStart w:id="299" w:name="_Toc179632586"/>
      <w:bookmarkStart w:id="300" w:name="_Toc296602458"/>
      <w:bookmarkStart w:id="301" w:name="_Toc152042344"/>
      <w:bookmarkStart w:id="302" w:name="_Toc152045568"/>
      <w:bookmarkStart w:id="303" w:name="_Toc246996212"/>
      <w:r>
        <w:rPr>
          <w:rFonts w:hint="eastAsia"/>
        </w:rPr>
        <w:t>7.5 中标通知</w:t>
      </w:r>
      <w:bookmarkEnd w:id="296"/>
      <w:bookmarkEnd w:id="297"/>
      <w:bookmarkEnd w:id="298"/>
      <w:bookmarkEnd w:id="299"/>
      <w:bookmarkEnd w:id="300"/>
      <w:bookmarkEnd w:id="301"/>
      <w:bookmarkEnd w:id="302"/>
      <w:bookmarkEnd w:id="303"/>
    </w:p>
    <w:p w14:paraId="1D6B70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14:paraId="21B6051A">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44974537"/>
      <w:bookmarkStart w:id="305" w:name="_Toc152042345"/>
      <w:bookmarkStart w:id="306" w:name="_Toc179632587"/>
      <w:bookmarkStart w:id="307" w:name="_Toc247085727"/>
      <w:bookmarkStart w:id="308" w:name="_Toc246996213"/>
      <w:bookmarkStart w:id="309" w:name="_Toc152045569"/>
      <w:bookmarkStart w:id="310" w:name="_Toc246996956"/>
      <w:bookmarkStart w:id="311" w:name="_Toc296602459"/>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14:paraId="1E0E92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w:t>
      </w:r>
      <w:r>
        <w:rPr>
          <w:rFonts w:hint="eastAsia"/>
          <w:lang w:eastAsia="zh-CN"/>
        </w:rPr>
        <w:t>保证金</w:t>
      </w:r>
      <w:r>
        <w:rPr>
          <w:rFonts w:hint="eastAsia"/>
        </w:rPr>
        <w:t>。除投标人须知前附表另有规定外，履约保证金为中标合同金额的 10%。联合体中标的， 其履约保证金以联合体各方或者联合体中牵头人的名义提交。</w:t>
      </w:r>
    </w:p>
    <w:p w14:paraId="233770D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14:paraId="03C5A5DB">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6996214"/>
      <w:bookmarkStart w:id="313" w:name="_Toc152045570"/>
      <w:bookmarkStart w:id="314" w:name="_Toc152042346"/>
      <w:bookmarkStart w:id="315" w:name="_Toc144974538"/>
      <w:bookmarkStart w:id="316" w:name="_Toc246996957"/>
      <w:bookmarkStart w:id="317" w:name="_Toc247085728"/>
      <w:bookmarkStart w:id="318" w:name="_Toc296602460"/>
      <w:bookmarkStart w:id="319" w:name="_Toc179632588"/>
      <w:r>
        <w:rPr>
          <w:rFonts w:hint="eastAsia"/>
        </w:rPr>
        <w:t>7.8 签订合同</w:t>
      </w:r>
      <w:bookmarkEnd w:id="312"/>
      <w:bookmarkEnd w:id="313"/>
      <w:bookmarkEnd w:id="314"/>
      <w:bookmarkEnd w:id="315"/>
      <w:bookmarkEnd w:id="316"/>
      <w:bookmarkEnd w:id="317"/>
      <w:bookmarkEnd w:id="318"/>
      <w:bookmarkEnd w:id="319"/>
    </w:p>
    <w:p w14:paraId="6434C4F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14:paraId="2E8ECB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14:paraId="5AF66A3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14:paraId="7BC7AB77">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14:paraId="017E005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46996219"/>
      <w:bookmarkStart w:id="322" w:name="_Toc152042351"/>
      <w:bookmarkStart w:id="323" w:name="_Toc179632593"/>
      <w:bookmarkStart w:id="324" w:name="_Toc247085733"/>
      <w:bookmarkStart w:id="325" w:name="_Toc296602462"/>
      <w:bookmarkStart w:id="326" w:name="_Toc246996962"/>
      <w:bookmarkStart w:id="327" w:name="_Toc152045575"/>
      <w:bookmarkStart w:id="328" w:name="_Toc296590983"/>
      <w:bookmarkStart w:id="329" w:name="_Toc144974543"/>
      <w:r>
        <w:rPr>
          <w:rFonts w:hint="eastAsia"/>
        </w:rPr>
        <w:t>8.1 对招标人的纪律要求</w:t>
      </w:r>
      <w:bookmarkEnd w:id="321"/>
      <w:bookmarkEnd w:id="322"/>
      <w:bookmarkEnd w:id="323"/>
      <w:bookmarkEnd w:id="324"/>
      <w:bookmarkEnd w:id="325"/>
      <w:bookmarkEnd w:id="326"/>
      <w:bookmarkEnd w:id="327"/>
      <w:bookmarkEnd w:id="328"/>
      <w:bookmarkEnd w:id="329"/>
    </w:p>
    <w:p w14:paraId="61709F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w:t>
      </w:r>
      <w:r>
        <w:rPr>
          <w:rFonts w:hint="eastAsia"/>
          <w:lang w:eastAsia="zh-CN"/>
        </w:rPr>
        <w:t>泄露</w:t>
      </w:r>
      <w:r>
        <w:rPr>
          <w:rFonts w:hint="eastAsia"/>
        </w:rPr>
        <w:t>招标投标活动中应当保密的情况和资料，不得与投标人串通损害国家利益、社会公共利益或者他人合法权益。</w:t>
      </w:r>
    </w:p>
    <w:p w14:paraId="79FC2471">
      <w:pPr>
        <w:pStyle w:val="3"/>
        <w:bidi w:val="0"/>
        <w:rPr>
          <w:rFonts w:hint="eastAsia"/>
        </w:rPr>
      </w:pPr>
      <w:bookmarkStart w:id="330" w:name="_Toc152045576"/>
      <w:bookmarkStart w:id="331" w:name="_Toc247085734"/>
      <w:bookmarkStart w:id="332" w:name="_Toc152042352"/>
      <w:bookmarkStart w:id="333" w:name="_Toc246996220"/>
      <w:bookmarkStart w:id="334" w:name="_Toc179632594"/>
      <w:bookmarkStart w:id="335" w:name="_Toc144974544"/>
      <w:bookmarkStart w:id="336" w:name="_Toc296602463"/>
      <w:bookmarkStart w:id="337" w:name="_Toc246996963"/>
      <w:r>
        <w:rPr>
          <w:rFonts w:hint="eastAsia"/>
        </w:rPr>
        <w:t>8.2 对投标人的纪律要求</w:t>
      </w:r>
      <w:bookmarkEnd w:id="330"/>
      <w:bookmarkEnd w:id="331"/>
      <w:bookmarkEnd w:id="332"/>
      <w:bookmarkEnd w:id="333"/>
      <w:bookmarkEnd w:id="334"/>
      <w:bookmarkEnd w:id="335"/>
      <w:bookmarkEnd w:id="336"/>
      <w:bookmarkEnd w:id="337"/>
    </w:p>
    <w:p w14:paraId="2B0133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C399C6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52045577"/>
      <w:bookmarkStart w:id="339" w:name="_Toc246996964"/>
      <w:bookmarkStart w:id="340" w:name="_Toc152042353"/>
      <w:bookmarkStart w:id="341" w:name="_Toc144974545"/>
      <w:bookmarkStart w:id="342" w:name="_Toc179632595"/>
      <w:bookmarkStart w:id="343" w:name="_Toc296602464"/>
      <w:bookmarkStart w:id="344" w:name="_Toc246996221"/>
      <w:bookmarkStart w:id="345" w:name="_Toc247085735"/>
      <w:r>
        <w:rPr>
          <w:rFonts w:hint="eastAsia"/>
        </w:rPr>
        <w:t>8.3 对评标委员会成员的纪律要求</w:t>
      </w:r>
      <w:bookmarkEnd w:id="338"/>
      <w:bookmarkEnd w:id="339"/>
      <w:bookmarkEnd w:id="340"/>
      <w:bookmarkEnd w:id="341"/>
      <w:bookmarkEnd w:id="342"/>
      <w:bookmarkEnd w:id="343"/>
      <w:bookmarkEnd w:id="344"/>
      <w:bookmarkEnd w:id="345"/>
    </w:p>
    <w:p w14:paraId="188936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6A1569E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47085736"/>
      <w:bookmarkStart w:id="347" w:name="_Toc179632596"/>
      <w:bookmarkStart w:id="348" w:name="_Toc152045578"/>
      <w:bookmarkStart w:id="349" w:name="_Toc296602465"/>
      <w:bookmarkStart w:id="350" w:name="_Toc246996222"/>
      <w:bookmarkStart w:id="351" w:name="_Toc246996965"/>
      <w:bookmarkStart w:id="352" w:name="_Toc152042354"/>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14:paraId="4C616A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对投标文件的评审和比较、中标候选人的推荐情况以及评标有关的其他情况。在评标活动中，与评标活动有关的工作人员不得擅离职守，影响评标程序正常进行。</w:t>
      </w:r>
      <w:bookmarkEnd w:id="354"/>
    </w:p>
    <w:p w14:paraId="3137D92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7085737"/>
      <w:bookmarkStart w:id="356" w:name="_Toc152045579"/>
      <w:bookmarkStart w:id="357" w:name="_Toc296602466"/>
      <w:bookmarkStart w:id="358" w:name="_Toc179632597"/>
      <w:bookmarkStart w:id="359" w:name="_Toc246996966"/>
      <w:bookmarkStart w:id="360" w:name="_Toc152042356"/>
      <w:bookmarkStart w:id="361" w:name="_Toc246996223"/>
      <w:r>
        <w:rPr>
          <w:rFonts w:hint="eastAsia"/>
        </w:rPr>
        <w:t>8.5 投诉</w:t>
      </w:r>
      <w:bookmarkEnd w:id="353"/>
      <w:bookmarkEnd w:id="355"/>
      <w:bookmarkEnd w:id="356"/>
      <w:bookmarkEnd w:id="357"/>
      <w:bookmarkEnd w:id="358"/>
      <w:bookmarkEnd w:id="359"/>
      <w:bookmarkEnd w:id="360"/>
      <w:bookmarkEnd w:id="361"/>
    </w:p>
    <w:p w14:paraId="6FF107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14:paraId="20C21AF6">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14:paraId="24519FD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14:paraId="62F6AB52">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5580"/>
      <w:bookmarkStart w:id="364" w:name="_Toc246996224"/>
      <w:bookmarkStart w:id="365" w:name="_Toc152042357"/>
      <w:bookmarkStart w:id="366" w:name="_Toc144974547"/>
      <w:bookmarkStart w:id="367" w:name="_Toc246996967"/>
      <w:bookmarkStart w:id="368" w:name="_Toc247085738"/>
      <w:bookmarkStart w:id="369" w:name="_Toc179632598"/>
      <w:bookmarkStart w:id="370" w:name="_Toc29660246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14:paraId="686092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14:paraId="0AC69EDD">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6AB208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0EDB0B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7521C6A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6EBD75F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3AE2AB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DDD3B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198D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C3C6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C64CD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06671E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716436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FD3B6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AD0E2E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745D8C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2CA506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41C3F7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F1CE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A2C1A2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241D1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B24BE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2DC3BF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379A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22A0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35F231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6B55AD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50393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A526F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71213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4032BC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6E73F2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2C78F4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1308D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C5F6C8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14D3DC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B66A5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05100E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9B99E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6BEA26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7C805A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D4BB4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67F6A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5C908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B92B28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614D09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5DFB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CDA42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0D8F3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D9DA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7FE487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19B6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21206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AD301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2FDE3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301C2E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2FFCD5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34499A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3C509B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AE53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14:paraId="1F6D6A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703A7F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39AE9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04B416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8138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14:paraId="36405A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9DDEE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BE896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593C0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C834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14:paraId="463352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6C9E8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3E4675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6D34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31A0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78A132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5A8ADB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5117FA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64FA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654A3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14:paraId="5C171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02EAA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8FF84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ABA9F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273FA3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14:paraId="579377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7C07F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81272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F7BB7A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C168C1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14:paraId="73AEA1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34381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EF16D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07AD7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6C6DA4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14:paraId="45D306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AE1EE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2433376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A86F3F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A4FF2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14:paraId="0C622E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2F6B9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6C12A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63D4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F076C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14:paraId="0EA151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A7941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2069A1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90F71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C90565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14:paraId="5BB2C7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D53BD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14:paraId="6613F6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22501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C519C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14:paraId="39366F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6F23C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296602477"/>
            <w:bookmarkStart w:id="372" w:name="_Toc179632607"/>
            <w:bookmarkStart w:id="373" w:name="_Toc152042366"/>
            <w:bookmarkStart w:id="374" w:name="_Toc246996232"/>
            <w:bookmarkStart w:id="375" w:name="_Toc247085747"/>
            <w:bookmarkStart w:id="376" w:name="_Toc152045589"/>
            <w:bookmarkStart w:id="377" w:name="_Toc144974556"/>
            <w:bookmarkStart w:id="378" w:name="_Toc246996975"/>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4C966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1F0F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65DFE6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9C2DD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63CF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707568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F4182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iCs/>
                <w:color w:val="FF0000"/>
                <w:kern w:val="0"/>
                <w:sz w:val="24"/>
                <w:szCs w:val="24"/>
                <w:highlight w:val="yellow"/>
                <w:u w:val="singl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14:paraId="5E80ED3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14:paraId="2120640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60  </w:t>
            </w:r>
            <w:r>
              <w:rPr>
                <w:rFonts w:hint="default" w:ascii="Times New Roman" w:hAnsi="Times New Roman" w:cs="Times New Roman" w:eastAsiaTheme="minorEastAsia"/>
                <w:color w:val="auto"/>
                <w:kern w:val="0"/>
                <w:sz w:val="24"/>
                <w:szCs w:val="24"/>
                <w:highlight w:val="none"/>
              </w:rPr>
              <w:t>分</w:t>
            </w:r>
          </w:p>
        </w:tc>
      </w:tr>
      <w:tr w14:paraId="121B7F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022F9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83C24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DC41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以通过初步评审的投标人的投标报价的算术平均值作为评标基准价。</w:t>
            </w:r>
          </w:p>
        </w:tc>
      </w:tr>
      <w:tr w14:paraId="3533EA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62346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5673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3A84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14:paraId="389CDE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41D7D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621F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54AF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05186E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5F03BF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61547C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4281CE74">
            <w:pPr>
              <w:keepNext w:val="0"/>
              <w:keepLines w:val="0"/>
              <w:widowControl/>
              <w:suppressLineNumbers w:val="0"/>
              <w:jc w:val="left"/>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1"/>
                <w:szCs w:val="21"/>
                <w:lang w:val="en-US" w:eastAsia="zh-CN" w:bidi="ar"/>
              </w:rPr>
              <w:t xml:space="preserve">服务方案 （满分 </w:t>
            </w:r>
            <w:r>
              <w:rPr>
                <w:rFonts w:hint="eastAsia" w:ascii="Times New Roman" w:hAnsi="Times New Roman" w:eastAsia="宋体" w:cs="Times New Roman"/>
                <w:color w:val="000000"/>
                <w:kern w:val="0"/>
                <w:sz w:val="21"/>
                <w:szCs w:val="21"/>
                <w:lang w:val="en-US" w:eastAsia="zh-CN" w:bidi="ar"/>
              </w:rPr>
              <w:t>20</w:t>
            </w:r>
            <w:r>
              <w:rPr>
                <w:rFonts w:hint="eastAsia" w:ascii="宋体" w:hAnsi="宋体" w:eastAsia="宋体" w:cs="宋体"/>
                <w:color w:val="000000"/>
                <w:kern w:val="0"/>
                <w:sz w:val="21"/>
                <w:szCs w:val="21"/>
                <w:lang w:val="en-US" w:eastAsia="zh-CN" w:bidi="ar"/>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AD7D8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szCs w:val="21"/>
              </w:rPr>
              <w:t>设计范围、设计内容</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4475D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szCs w:val="21"/>
              </w:rPr>
              <w:t>设计范围完整性、设计内容全面性、总体思路是否清晰，进行综合对比评审</w:t>
            </w:r>
            <w:r>
              <w:rPr>
                <w:rFonts w:hint="eastAsia"/>
                <w:szCs w:val="21"/>
                <w:lang w:eastAsia="zh-CN"/>
              </w:rPr>
              <w:t>。</w:t>
            </w:r>
            <w:r>
              <w:rPr>
                <w:rFonts w:hint="eastAsia"/>
                <w:szCs w:val="21"/>
                <w:lang w:val="en-US" w:eastAsia="zh-CN"/>
              </w:rPr>
              <w:t xml:space="preserve"> 酌情打0-3分</w:t>
            </w:r>
          </w:p>
        </w:tc>
      </w:tr>
      <w:tr w14:paraId="3C3E79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3603A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39069C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2D68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szCs w:val="21"/>
              </w:rPr>
              <w:t>设计依据、机构设置和</w:t>
            </w:r>
            <w:r>
              <w:rPr>
                <w:rFonts w:hint="eastAsia"/>
                <w:szCs w:val="21"/>
                <w:lang w:eastAsia="zh-CN"/>
              </w:rPr>
              <w:t>岗位职责</w:t>
            </w:r>
            <w:r>
              <w:rPr>
                <w:rFonts w:hint="eastAsia"/>
                <w:szCs w:val="21"/>
              </w:rPr>
              <w:t>目标</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DB5F3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kern w:val="0"/>
                <w:sz w:val="24"/>
                <w:szCs w:val="24"/>
                <w:highlight w:val="none"/>
                <w:lang w:val="en-US" w:eastAsia="zh-CN"/>
              </w:rPr>
            </w:pPr>
            <w:r>
              <w:rPr>
                <w:rFonts w:hint="eastAsia"/>
                <w:szCs w:val="21"/>
              </w:rPr>
              <w:t>设计依据清晰，设计指标符合规划设计条件要求等进行综合对比评审</w:t>
            </w:r>
            <w:r>
              <w:rPr>
                <w:rFonts w:hint="eastAsia"/>
                <w:szCs w:val="21"/>
                <w:lang w:eastAsia="zh-CN"/>
              </w:rPr>
              <w:t>。</w:t>
            </w:r>
            <w:r>
              <w:rPr>
                <w:rFonts w:hint="eastAsia"/>
                <w:szCs w:val="21"/>
                <w:lang w:val="en-US" w:eastAsia="zh-CN"/>
              </w:rPr>
              <w:t xml:space="preserve"> 酌情打0-2分</w:t>
            </w:r>
          </w:p>
        </w:tc>
      </w:tr>
      <w:tr w14:paraId="4B0A50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62644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07DDD0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96C5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szCs w:val="21"/>
              </w:rPr>
              <w:t>设计机构设置和岗位职责</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767D35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szCs w:val="21"/>
                <w:lang w:val="en-US" w:eastAsia="zh-CN"/>
              </w:rPr>
              <w:t>根据</w:t>
            </w:r>
            <w:r>
              <w:rPr>
                <w:rFonts w:hint="eastAsia"/>
                <w:szCs w:val="21"/>
              </w:rPr>
              <w:t>机构设置，岗位职责，监管措施，且满足国家规范及</w:t>
            </w:r>
            <w:r>
              <w:rPr>
                <w:rFonts w:hint="eastAsia"/>
                <w:szCs w:val="21"/>
                <w:lang w:eastAsia="zh-CN"/>
              </w:rPr>
              <w:t>地方标准</w:t>
            </w:r>
            <w:r>
              <w:rPr>
                <w:rFonts w:hint="eastAsia"/>
                <w:szCs w:val="21"/>
              </w:rPr>
              <w:t>要求，相关现场设计服务方案及人员组织安排</w:t>
            </w:r>
            <w:r>
              <w:rPr>
                <w:rFonts w:hint="eastAsia"/>
                <w:szCs w:val="21"/>
                <w:lang w:eastAsia="zh-CN"/>
              </w:rPr>
              <w:t>。</w:t>
            </w:r>
            <w:r>
              <w:rPr>
                <w:rFonts w:hint="eastAsia"/>
                <w:szCs w:val="21"/>
                <w:lang w:val="en-US" w:eastAsia="zh-CN"/>
              </w:rPr>
              <w:t xml:space="preserve"> 酌情打0-2分</w:t>
            </w:r>
          </w:p>
        </w:tc>
      </w:tr>
      <w:tr w14:paraId="186FBE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98" w:hRule="atLeast"/>
        </w:trPr>
        <w:tc>
          <w:tcPr>
            <w:tcW w:w="850" w:type="dxa"/>
            <w:vMerge w:val="continue"/>
            <w:tcBorders>
              <w:right w:val="single" w:color="auto" w:sz="4" w:space="0"/>
            </w:tcBorders>
            <w:noWrap w:val="0"/>
            <w:vAlign w:val="center"/>
          </w:tcPr>
          <w:p w14:paraId="2EF688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14F6CF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02ED3B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szCs w:val="21"/>
              </w:rPr>
              <w:t>设计理念</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D39B1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szCs w:val="21"/>
                <w:lang w:val="en-US" w:eastAsia="zh-CN"/>
              </w:rPr>
              <w:t>根据</w:t>
            </w:r>
            <w:r>
              <w:rPr>
                <w:rFonts w:hint="eastAsia"/>
                <w:szCs w:val="21"/>
              </w:rPr>
              <w:t>设计的总体认识，总平面布局、利用土地与周边环境协调，充分考虑消防、人防、环保、节能设计要求，满足交通流线及开口要求，满足消防间距要求、满足日照间距要求，设计方案充分项目特点，整体设计水平</w:t>
            </w:r>
            <w:r>
              <w:rPr>
                <w:rFonts w:hint="eastAsia"/>
                <w:szCs w:val="21"/>
                <w:lang w:eastAsia="zh-CN"/>
              </w:rPr>
              <w:t>。</w:t>
            </w:r>
            <w:r>
              <w:rPr>
                <w:rFonts w:hint="eastAsia"/>
                <w:szCs w:val="21"/>
                <w:lang w:val="en-US" w:eastAsia="zh-CN"/>
              </w:rPr>
              <w:t xml:space="preserve"> 酌情打0-3分</w:t>
            </w:r>
          </w:p>
        </w:tc>
      </w:tr>
      <w:tr w14:paraId="326048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E6041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0864F8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3AA47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szCs w:val="21"/>
              </w:rPr>
              <w:t>设计质量、进度、保密等保障措施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1C954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szCs w:val="21"/>
                <w:lang w:val="en-US" w:eastAsia="zh-CN"/>
              </w:rPr>
              <w:t>根据</w:t>
            </w:r>
            <w:r>
              <w:rPr>
                <w:rFonts w:hint="eastAsia"/>
                <w:szCs w:val="21"/>
              </w:rPr>
              <w:t>设计质量、进度、保密等保证措施体系</w:t>
            </w:r>
            <w:r>
              <w:rPr>
                <w:rFonts w:hint="eastAsia"/>
                <w:szCs w:val="21"/>
                <w:lang w:val="en-US" w:eastAsia="zh-CN"/>
              </w:rPr>
              <w:t>是否</w:t>
            </w:r>
            <w:r>
              <w:rPr>
                <w:rFonts w:hint="eastAsia"/>
                <w:szCs w:val="21"/>
              </w:rPr>
              <w:t>健全、措施得当、针对性强</w:t>
            </w:r>
            <w:r>
              <w:rPr>
                <w:rFonts w:hint="eastAsia"/>
                <w:szCs w:val="21"/>
                <w:lang w:eastAsia="zh-CN"/>
              </w:rPr>
              <w:t>。</w:t>
            </w:r>
            <w:r>
              <w:rPr>
                <w:rFonts w:hint="eastAsia"/>
                <w:szCs w:val="21"/>
                <w:lang w:val="en-US" w:eastAsia="zh-CN"/>
              </w:rPr>
              <w:t xml:space="preserve"> 酌情打0-5分</w:t>
            </w:r>
          </w:p>
        </w:tc>
      </w:tr>
      <w:tr w14:paraId="144F5B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3" w:hRule="atLeast"/>
        </w:trPr>
        <w:tc>
          <w:tcPr>
            <w:tcW w:w="850" w:type="dxa"/>
            <w:vMerge w:val="continue"/>
            <w:tcBorders>
              <w:right w:val="single" w:color="auto" w:sz="4" w:space="0"/>
            </w:tcBorders>
            <w:noWrap w:val="0"/>
            <w:vAlign w:val="center"/>
          </w:tcPr>
          <w:p w14:paraId="5908CD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3CA2E9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DDB6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szCs w:val="21"/>
              </w:rPr>
              <w:t>设计安全保证措施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45905DE">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szCs w:val="21"/>
              </w:rPr>
              <w:t>设计的总体认识表述清晰、严谨、合理，总平面布局合理、利用土地合理、与周边环境协调，充分考虑消防、</w:t>
            </w:r>
            <w:r>
              <w:rPr>
                <w:rFonts w:hint="eastAsia"/>
                <w:szCs w:val="21"/>
                <w:lang w:val="en-US" w:eastAsia="zh-CN"/>
              </w:rPr>
              <w:t>触电</w:t>
            </w:r>
            <w:r>
              <w:rPr>
                <w:rFonts w:hint="eastAsia"/>
                <w:szCs w:val="21"/>
              </w:rPr>
              <w:t>、</w:t>
            </w:r>
            <w:r>
              <w:rPr>
                <w:rFonts w:hint="eastAsia"/>
                <w:szCs w:val="21"/>
                <w:lang w:val="en-US" w:eastAsia="zh-CN"/>
              </w:rPr>
              <w:t>保护等因素，满足设计安全</w:t>
            </w:r>
            <w:r>
              <w:rPr>
                <w:rFonts w:hint="eastAsia"/>
                <w:szCs w:val="21"/>
              </w:rPr>
              <w:t>要求</w:t>
            </w:r>
            <w:r>
              <w:rPr>
                <w:rFonts w:hint="eastAsia"/>
                <w:szCs w:val="21"/>
                <w:lang w:eastAsia="zh-CN"/>
              </w:rPr>
              <w:t>，</w:t>
            </w:r>
            <w:r>
              <w:rPr>
                <w:rFonts w:hint="eastAsia"/>
                <w:szCs w:val="21"/>
                <w:lang w:val="en-US" w:eastAsia="zh-CN"/>
              </w:rPr>
              <w:t xml:space="preserve"> 酌情打0-2分。</w:t>
            </w:r>
          </w:p>
        </w:tc>
      </w:tr>
      <w:tr w14:paraId="684222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0BF9C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640A9D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noWrap w:val="0"/>
            <w:vAlign w:val="center"/>
          </w:tcPr>
          <w:p w14:paraId="4D9E63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szCs w:val="21"/>
              </w:rPr>
              <w:t>设计工作重点、难点分析</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noWrap w:val="0"/>
            <w:vAlign w:val="center"/>
          </w:tcPr>
          <w:p w14:paraId="013A048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szCs w:val="21"/>
                <w:lang w:val="en-US" w:eastAsia="zh-CN"/>
              </w:rPr>
              <w:t>根据</w:t>
            </w:r>
            <w:r>
              <w:rPr>
                <w:rFonts w:hint="eastAsia"/>
                <w:szCs w:val="21"/>
              </w:rPr>
              <w:t>设计工作重点、难点分析</w:t>
            </w:r>
            <w:r>
              <w:rPr>
                <w:rFonts w:hint="eastAsia"/>
                <w:szCs w:val="21"/>
                <w:lang w:val="en-US" w:eastAsia="zh-CN"/>
              </w:rPr>
              <w:t>，采取应对是否措施得当、针对性强。 酌情打0-2分</w:t>
            </w:r>
          </w:p>
        </w:tc>
      </w:tr>
      <w:tr w14:paraId="5CE766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5D8AD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6A03657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noWrap w:val="0"/>
            <w:vAlign w:val="center"/>
          </w:tcPr>
          <w:p w14:paraId="15DABD0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heme="minorHAnsi" w:hAnsiTheme="minorHAnsi" w:eastAsiaTheme="minorEastAsia" w:cstheme="minorBidi"/>
                <w:kern w:val="2"/>
                <w:sz w:val="21"/>
                <w:szCs w:val="21"/>
                <w:lang w:val="en-US" w:eastAsia="zh-CN" w:bidi="ar-SA"/>
              </w:rPr>
            </w:pPr>
            <w:r>
              <w:rPr>
                <w:rFonts w:hint="eastAsia" w:ascii="宋体" w:hAnsi="宋体"/>
              </w:rPr>
              <w:t>合理化建议</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noWrap w:val="0"/>
            <w:vAlign w:val="center"/>
          </w:tcPr>
          <w:p w14:paraId="0BA93F2F">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heme="minorHAnsi" w:hAnsiTheme="minorHAnsi" w:eastAsiaTheme="minorEastAsia" w:cstheme="minorBidi"/>
                <w:kern w:val="2"/>
                <w:sz w:val="21"/>
                <w:szCs w:val="21"/>
                <w:lang w:val="en-US" w:eastAsia="zh-CN" w:bidi="ar-SA"/>
              </w:rPr>
            </w:pPr>
            <w:r>
              <w:rPr>
                <w:rFonts w:hint="eastAsia" w:ascii="宋体" w:hAnsi="宋体"/>
                <w:lang w:val="en-US" w:eastAsia="zh-CN"/>
              </w:rPr>
              <w:t>针对项目提供切实可行的</w:t>
            </w:r>
            <w:r>
              <w:rPr>
                <w:rFonts w:hint="eastAsia" w:ascii="宋体" w:hAnsi="宋体"/>
              </w:rPr>
              <w:t>合理化建议</w:t>
            </w:r>
            <w:r>
              <w:rPr>
                <w:rFonts w:hint="eastAsia" w:ascii="宋体" w:hAnsi="宋体"/>
                <w:lang w:val="en-US" w:eastAsia="zh-CN"/>
              </w:rPr>
              <w:t>。</w:t>
            </w:r>
            <w:r>
              <w:rPr>
                <w:rFonts w:hint="eastAsia"/>
                <w:szCs w:val="21"/>
                <w:lang w:val="en-US" w:eastAsia="zh-CN"/>
              </w:rPr>
              <w:t xml:space="preserve"> 酌情打0-1分</w:t>
            </w:r>
          </w:p>
        </w:tc>
      </w:tr>
      <w:tr w14:paraId="6D0DD1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1186E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14:paraId="58B727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6820" w:type="dxa"/>
            <w:gridSpan w:val="2"/>
            <w:tcBorders>
              <w:top w:val="single" w:color="auto" w:sz="4" w:space="0"/>
              <w:left w:val="single" w:color="auto" w:sz="4" w:space="0"/>
              <w:bottom w:val="single" w:color="auto" w:sz="4" w:space="0"/>
              <w:right w:val="single" w:color="auto" w:sz="4" w:space="0"/>
            </w:tcBorders>
            <w:noWrap w:val="0"/>
            <w:vAlign w:val="center"/>
          </w:tcPr>
          <w:p w14:paraId="5A3AAFE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eastAsiaTheme="minorEastAsia"/>
                <w:szCs w:val="21"/>
                <w:lang w:eastAsia="zh-CN"/>
              </w:rPr>
            </w:pPr>
            <w:bookmarkStart w:id="492" w:name="_GoBack"/>
            <w:bookmarkEnd w:id="492"/>
            <w:r>
              <w:rPr>
                <w:rFonts w:hint="eastAsia" w:eastAsiaTheme="minorEastAsia"/>
                <w:color w:val="FF0000"/>
                <w:szCs w:val="21"/>
                <w:lang w:eastAsia="zh-CN"/>
              </w:rPr>
              <w:t>注：</w:t>
            </w:r>
            <w:r>
              <w:rPr>
                <w:rFonts w:hint="eastAsia"/>
                <w:color w:val="FF0000"/>
                <w:szCs w:val="21"/>
                <w:lang w:val="en-US" w:eastAsia="zh-CN"/>
              </w:rPr>
              <w:t>服务</w:t>
            </w:r>
            <w:r>
              <w:rPr>
                <w:rFonts w:hint="eastAsia" w:eastAsiaTheme="minorEastAsia"/>
                <w:color w:val="FF0000"/>
                <w:szCs w:val="21"/>
                <w:lang w:eastAsia="zh-CN"/>
              </w:rPr>
              <w:t>方案原则上不得超过200页，否则酌情扣分。</w:t>
            </w:r>
          </w:p>
        </w:tc>
      </w:tr>
      <w:tr w14:paraId="487CBB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346363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2FC1D0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41A6B9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lang w:val="en-US" w:eastAsia="zh-CN"/>
              </w:rPr>
              <w:t>资信业绩</w:t>
            </w:r>
            <w:r>
              <w:rPr>
                <w:rFonts w:hint="eastAsia"/>
              </w:rPr>
              <w:t>（满分</w:t>
            </w:r>
            <w:r>
              <w:rPr>
                <w:rFonts w:hint="eastAsia"/>
                <w:lang w:val="en-US" w:eastAsia="zh-CN"/>
              </w:rPr>
              <w:t>20</w:t>
            </w:r>
            <w:r>
              <w:rPr>
                <w:rFonts w:hint="eastAsia"/>
              </w:rPr>
              <w:t>分</w:t>
            </w:r>
            <w:r>
              <w:rPr>
                <w:rFonts w:hint="eastAsia"/>
                <w:lang w:eastAsia="zh-CN"/>
              </w:rPr>
              <w:t>）</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928C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投标人业绩</w:t>
            </w:r>
          </w:p>
          <w:p w14:paraId="53D404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FC3AF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kern w:val="0"/>
                <w:sz w:val="24"/>
                <w:szCs w:val="24"/>
                <w:highlight w:val="none"/>
                <w:lang w:val="en-US" w:eastAsia="zh-CN"/>
              </w:rPr>
            </w:pPr>
            <w:r>
              <w:rPr>
                <w:rFonts w:hint="eastAsia"/>
              </w:rPr>
              <w:t>在满足招标公告类似项目业绩要求的基础上，企业</w:t>
            </w:r>
            <w:r>
              <w:rPr>
                <w:rFonts w:hint="eastAsia"/>
                <w:lang w:val="en-US" w:eastAsia="zh-CN"/>
              </w:rPr>
              <w:t>每额外</w:t>
            </w:r>
            <w:r>
              <w:rPr>
                <w:rFonts w:hint="eastAsia"/>
              </w:rPr>
              <w:t>提供1个所设计的单项合同</w:t>
            </w:r>
            <w:r>
              <w:rPr>
                <w:rFonts w:hint="eastAsia"/>
                <w:u w:val="single"/>
                <w:lang w:val="en-US" w:eastAsia="zh-CN"/>
              </w:rPr>
              <w:t>10MW</w:t>
            </w:r>
            <w:r>
              <w:rPr>
                <w:rFonts w:hint="eastAsia"/>
              </w:rPr>
              <w:t>及以上的类似项目业绩（类似项目业绩是指：</w:t>
            </w:r>
            <w:r>
              <w:rPr>
                <w:rFonts w:hint="eastAsia"/>
                <w:b/>
                <w:lang w:val="en-US" w:eastAsia="zh-CN"/>
              </w:rPr>
              <w:t>光伏发电</w:t>
            </w:r>
            <w:r>
              <w:rPr>
                <w:rFonts w:hint="eastAsia"/>
                <w:b/>
              </w:rPr>
              <w:t>设计</w:t>
            </w:r>
            <w:r>
              <w:rPr>
                <w:rFonts w:hint="eastAsia"/>
              </w:rPr>
              <w:t>业绩），得</w:t>
            </w:r>
            <w:r>
              <w:rPr>
                <w:rFonts w:hint="eastAsia"/>
                <w:lang w:val="en-US" w:eastAsia="zh-CN"/>
              </w:rPr>
              <w:t>5</w:t>
            </w:r>
            <w:r>
              <w:rPr>
                <w:rFonts w:hint="eastAsia"/>
              </w:rPr>
              <w:t>分，满分10分</w:t>
            </w:r>
          </w:p>
        </w:tc>
      </w:tr>
      <w:tr w14:paraId="72C9D9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02587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2E8A87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28A7E2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企业管理体系</w:t>
            </w:r>
          </w:p>
          <w:p w14:paraId="54D49A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05AFF2">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b/>
                <w:szCs w:val="21"/>
              </w:rPr>
              <w:t>企业</w:t>
            </w:r>
            <w:r>
              <w:rPr>
                <w:rFonts w:hint="eastAsia"/>
                <w:szCs w:val="21"/>
              </w:rPr>
              <w:t>具有</w:t>
            </w:r>
            <w:r>
              <w:rPr>
                <w:rFonts w:hint="eastAsia"/>
                <w:b/>
                <w:szCs w:val="21"/>
              </w:rPr>
              <w:t>质量管理体系认证、环境管理体系认证、职业健康安全管理体系认证，且均在有效期内的，每提供一个得</w:t>
            </w:r>
            <w:r>
              <w:rPr>
                <w:rFonts w:hint="eastAsia"/>
                <w:b/>
                <w:szCs w:val="21"/>
                <w:lang w:val="en-US" w:eastAsia="zh-CN"/>
              </w:rPr>
              <w:t>2</w:t>
            </w:r>
            <w:r>
              <w:rPr>
                <w:rFonts w:hint="eastAsia"/>
                <w:b/>
                <w:szCs w:val="21"/>
              </w:rPr>
              <w:t>分，满分</w:t>
            </w:r>
            <w:r>
              <w:rPr>
                <w:rFonts w:hint="eastAsia"/>
                <w:b/>
                <w:szCs w:val="21"/>
                <w:lang w:val="en-US" w:eastAsia="zh-CN"/>
              </w:rPr>
              <w:t>6</w:t>
            </w:r>
            <w:r>
              <w:rPr>
                <w:rFonts w:hint="eastAsia"/>
                <w:b/>
                <w:szCs w:val="21"/>
              </w:rPr>
              <w:t>分</w:t>
            </w:r>
          </w:p>
        </w:tc>
      </w:tr>
      <w:tr w14:paraId="21444D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B7D08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40F8BA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88C58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lang w:val="en-US" w:eastAsia="zh-CN"/>
              </w:rPr>
              <w:t>拟任</w:t>
            </w:r>
            <w:r>
              <w:rPr>
                <w:rFonts w:hint="default"/>
                <w:lang w:val="en-US" w:eastAsia="zh-CN"/>
              </w:rPr>
              <w:t>项目</w:t>
            </w:r>
            <w:r>
              <w:rPr>
                <w:rFonts w:hint="eastAsia"/>
                <w:lang w:val="en-US" w:eastAsia="zh-CN"/>
              </w:rPr>
              <w:t>负责人业绩</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A60D5B">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lang w:val="en-US" w:eastAsia="zh-CN"/>
              </w:rPr>
            </w:pPr>
            <w:r>
              <w:rPr>
                <w:rFonts w:hint="eastAsia"/>
                <w:lang w:val="en-US" w:eastAsia="zh-CN"/>
              </w:rPr>
              <w:t>拟派项目负责人提供1项</w:t>
            </w:r>
            <w:r>
              <w:rPr>
                <w:rFonts w:hint="eastAsia"/>
                <w:szCs w:val="21"/>
              </w:rPr>
              <w:t>20</w:t>
            </w:r>
            <w:r>
              <w:rPr>
                <w:rFonts w:hint="eastAsia"/>
                <w:szCs w:val="21"/>
                <w:lang w:val="en-US" w:eastAsia="zh-CN"/>
              </w:rPr>
              <w:t>21</w:t>
            </w:r>
            <w:r>
              <w:rPr>
                <w:rFonts w:hint="eastAsia"/>
                <w:szCs w:val="21"/>
              </w:rPr>
              <w:t>年1月1日以来</w:t>
            </w:r>
            <w:r>
              <w:rPr>
                <w:rFonts w:hint="eastAsia"/>
                <w:lang w:val="en-US" w:eastAsia="zh-CN"/>
              </w:rPr>
              <w:t>以</w:t>
            </w:r>
            <w:r>
              <w:rPr>
                <w:rFonts w:hint="default"/>
                <w:lang w:val="en-US" w:eastAsia="zh-CN"/>
              </w:rPr>
              <w:t>项目</w:t>
            </w:r>
            <w:r>
              <w:rPr>
                <w:rFonts w:hint="eastAsia"/>
                <w:lang w:val="en-US" w:eastAsia="zh-CN"/>
              </w:rPr>
              <w:t>负责人身份设计的工程总装机规模不低于</w:t>
            </w:r>
            <w:r>
              <w:rPr>
                <w:rFonts w:hint="eastAsia"/>
                <w:color w:val="FF0000"/>
                <w:lang w:val="en-US" w:eastAsia="zh-CN"/>
              </w:rPr>
              <w:t>10MW的</w:t>
            </w:r>
            <w:r>
              <w:rPr>
                <w:rFonts w:hint="eastAsia"/>
              </w:rPr>
              <w:t>光伏发电</w:t>
            </w:r>
            <w:r>
              <w:rPr>
                <w:rFonts w:hint="eastAsia"/>
                <w:lang w:val="en-US" w:eastAsia="zh-CN"/>
              </w:rPr>
              <w:t>项目业绩得4分，本项满分4分。</w:t>
            </w:r>
          </w:p>
        </w:tc>
      </w:tr>
      <w:tr w14:paraId="2F924D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5879F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14:paraId="047D80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6820" w:type="dxa"/>
            <w:gridSpan w:val="2"/>
            <w:tcBorders>
              <w:top w:val="single" w:color="auto" w:sz="4" w:space="0"/>
              <w:left w:val="single" w:color="auto" w:sz="4" w:space="0"/>
              <w:bottom w:val="single" w:color="auto" w:sz="4" w:space="0"/>
              <w:right w:val="single" w:color="auto" w:sz="4" w:space="0"/>
            </w:tcBorders>
            <w:noWrap w:val="0"/>
            <w:vAlign w:val="center"/>
          </w:tcPr>
          <w:p w14:paraId="48DD01DB">
            <w:pPr>
              <w:keepNext w:val="0"/>
              <w:keepLines w:val="0"/>
              <w:widowControl/>
              <w:suppressLineNumbers w:val="0"/>
              <w:jc w:val="left"/>
              <w:rPr>
                <w:rFonts w:hint="default"/>
                <w:lang w:val="en-US"/>
              </w:rPr>
            </w:pPr>
            <w:r>
              <w:rPr>
                <w:rFonts w:hint="eastAsia" w:ascii="宋体" w:hAnsi="宋体" w:eastAsia="宋体" w:cs="宋体"/>
                <w:b/>
                <w:bCs/>
                <w:color w:val="000000"/>
                <w:kern w:val="0"/>
                <w:sz w:val="20"/>
                <w:szCs w:val="20"/>
                <w:lang w:val="en-US" w:eastAsia="zh-CN" w:bidi="ar"/>
              </w:rPr>
              <w:t>注</w:t>
            </w:r>
            <w:r>
              <w:rPr>
                <w:rFonts w:hint="eastAsia" w:ascii="宋体" w:hAnsi="宋体" w:eastAsia="宋体" w:cs="宋体"/>
                <w:color w:val="000000"/>
                <w:kern w:val="0"/>
                <w:sz w:val="20"/>
                <w:szCs w:val="20"/>
                <w:lang w:val="en-US" w:eastAsia="zh-CN" w:bidi="ar"/>
              </w:rPr>
              <w:t>：①企业、拟派项目负责人</w:t>
            </w:r>
            <w:r>
              <w:rPr>
                <w:rFonts w:hint="eastAsia" w:ascii="宋体" w:hAnsi="宋体" w:eastAsia="宋体" w:cs="宋体"/>
                <w:b/>
                <w:bCs/>
                <w:color w:val="000000"/>
                <w:kern w:val="0"/>
                <w:sz w:val="20"/>
                <w:szCs w:val="20"/>
                <w:lang w:val="en-US" w:eastAsia="zh-CN" w:bidi="ar"/>
              </w:rPr>
              <w:t>类似项目业绩</w:t>
            </w:r>
            <w:r>
              <w:rPr>
                <w:rFonts w:hint="eastAsia" w:ascii="宋体" w:hAnsi="宋体" w:eastAsia="宋体" w:cs="宋体"/>
                <w:color w:val="000000"/>
                <w:kern w:val="0"/>
                <w:sz w:val="20"/>
                <w:szCs w:val="20"/>
                <w:lang w:val="en-US" w:eastAsia="zh-CN" w:bidi="ar"/>
              </w:rPr>
              <w:t xml:space="preserve">：投标文件中须提供合同协议书，否则不加分。 </w:t>
            </w:r>
          </w:p>
          <w:p w14:paraId="1C531A45">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②以</w:t>
            </w:r>
            <w:r>
              <w:rPr>
                <w:rFonts w:hint="eastAsia" w:ascii="宋体" w:hAnsi="宋体" w:eastAsia="宋体" w:cs="宋体"/>
                <w:b/>
                <w:bCs/>
                <w:color w:val="000000"/>
                <w:kern w:val="0"/>
                <w:sz w:val="20"/>
                <w:szCs w:val="20"/>
                <w:lang w:val="en-US" w:eastAsia="zh-CN" w:bidi="ar"/>
              </w:rPr>
              <w:t>上企业类似项目业绩是</w:t>
            </w:r>
            <w:r>
              <w:rPr>
                <w:rFonts w:hint="eastAsia" w:ascii="宋体" w:hAnsi="宋体" w:eastAsia="宋体" w:cs="宋体"/>
                <w:color w:val="000000"/>
                <w:kern w:val="0"/>
                <w:sz w:val="20"/>
                <w:szCs w:val="20"/>
                <w:lang w:val="en-US" w:eastAsia="zh-CN" w:bidi="ar"/>
              </w:rPr>
              <w:t>指投标人</w:t>
            </w:r>
            <w:r>
              <w:rPr>
                <w:rFonts w:hint="eastAsia" w:ascii="宋体" w:hAnsi="宋体" w:eastAsia="宋体" w:cs="宋体"/>
                <w:b/>
                <w:bCs/>
                <w:color w:val="000000"/>
                <w:kern w:val="0"/>
                <w:sz w:val="20"/>
                <w:szCs w:val="20"/>
                <w:lang w:val="en-US" w:eastAsia="zh-CN" w:bidi="ar"/>
              </w:rPr>
              <w:t>自 2021 年1月1日起至今承接的</w:t>
            </w:r>
            <w:r>
              <w:rPr>
                <w:rFonts w:hint="eastAsia" w:ascii="宋体" w:hAnsi="宋体" w:eastAsia="宋体" w:cs="宋体"/>
                <w:color w:val="000000"/>
                <w:kern w:val="0"/>
                <w:sz w:val="20"/>
                <w:szCs w:val="20"/>
                <w:lang w:val="en-US" w:eastAsia="zh-CN" w:bidi="ar"/>
              </w:rPr>
              <w:t>光伏发电工程</w:t>
            </w:r>
            <w:r>
              <w:rPr>
                <w:rFonts w:hint="eastAsia" w:ascii="宋体" w:hAnsi="宋体" w:eastAsia="宋体" w:cs="宋体"/>
                <w:b/>
                <w:bCs/>
                <w:color w:val="000000"/>
                <w:kern w:val="0"/>
                <w:sz w:val="20"/>
                <w:szCs w:val="20"/>
                <w:lang w:val="en-US" w:eastAsia="zh-CN" w:bidi="ar"/>
              </w:rPr>
              <w:t>业绩，业绩时间以合同签订时间为准。</w:t>
            </w:r>
          </w:p>
          <w:p w14:paraId="436F8FAE">
            <w:pPr>
              <w:keepNext w:val="0"/>
              <w:keepLines w:val="0"/>
              <w:widowControl/>
              <w:suppressLineNumbers w:val="0"/>
              <w:jc w:val="left"/>
              <w:rPr>
                <w:rFonts w:hint="eastAsia"/>
                <w:lang w:val="en-US" w:eastAsia="zh-CN"/>
              </w:rPr>
            </w:pPr>
            <w:r>
              <w:rPr>
                <w:rFonts w:hint="default" w:ascii="Calibri" w:hAnsi="Calibri" w:cs="Calibri"/>
                <w:sz w:val="15"/>
                <w:szCs w:val="15"/>
              </w:rPr>
              <w:t>③</w:t>
            </w:r>
            <w:r>
              <w:rPr>
                <w:rFonts w:hint="eastAsia" w:ascii="宋体" w:hAnsi="宋体" w:eastAsia="宋体" w:cs="宋体"/>
                <w:color w:val="000000"/>
                <w:kern w:val="0"/>
                <w:sz w:val="20"/>
                <w:szCs w:val="20"/>
                <w:lang w:val="en-US" w:eastAsia="zh-CN" w:bidi="ar"/>
              </w:rPr>
              <w:t>企业类似项目业绩与拟派项目负责人</w:t>
            </w:r>
            <w:r>
              <w:rPr>
                <w:rFonts w:hint="eastAsia" w:ascii="宋体" w:hAnsi="宋体" w:eastAsia="宋体" w:cs="宋体"/>
                <w:b/>
                <w:bCs/>
                <w:color w:val="000000"/>
                <w:kern w:val="0"/>
                <w:sz w:val="20"/>
                <w:szCs w:val="20"/>
                <w:lang w:val="en-US" w:eastAsia="zh-CN" w:bidi="ar"/>
              </w:rPr>
              <w:t>业绩不可以重复使用。</w:t>
            </w:r>
          </w:p>
        </w:tc>
      </w:tr>
      <w:tr w14:paraId="0E421A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63D510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3703A7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vMerge w:val="restart"/>
            <w:tcBorders>
              <w:top w:val="single" w:color="auto" w:sz="4" w:space="0"/>
              <w:right w:val="single" w:color="auto" w:sz="4" w:space="0"/>
            </w:tcBorders>
            <w:noWrap w:val="0"/>
            <w:vAlign w:val="center"/>
          </w:tcPr>
          <w:p w14:paraId="6D6F2B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14:paraId="04F99B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60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657E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光伏发电设计投标报价</w:t>
            </w:r>
          </w:p>
          <w:p w14:paraId="7FA77C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A69DF8">
            <w:pPr>
              <w:keepNext w:val="0"/>
              <w:keepLines w:val="0"/>
              <w:widowControl/>
              <w:suppressLineNumbers w:val="0"/>
              <w:jc w:val="left"/>
              <w:rPr>
                <w:rFonts w:hint="eastAsia" w:ascii="宋体" w:hAnsi="宋体" w:eastAsia="宋体" w:cs="宋体"/>
                <w:b w:val="0"/>
                <w:bCs w:val="0"/>
                <w:color w:val="FF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 xml:space="preserve">评标基准价的确定： </w:t>
            </w:r>
          </w:p>
          <w:p w14:paraId="0A801527">
            <w:pPr>
              <w:pStyle w:val="5"/>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评标基准价为各有效报价经计算后的算术平均值（保留小数点后面两位），评标基准价的计算规则如下：</w:t>
            </w:r>
            <w:r>
              <w:rPr>
                <w:rFonts w:hint="eastAsia" w:ascii="宋体" w:hAnsi="宋体" w:eastAsia="宋体" w:cs="宋体"/>
                <w:b/>
                <w:bCs/>
                <w:color w:val="000000"/>
                <w:kern w:val="0"/>
                <w:sz w:val="20"/>
                <w:szCs w:val="20"/>
                <w:lang w:val="en-US" w:eastAsia="zh-CN" w:bidi="ar"/>
              </w:rPr>
              <w:t xml:space="preserve"> </w:t>
            </w:r>
          </w:p>
          <w:p w14:paraId="0D1F0D54">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5 </w:t>
            </w:r>
            <w:r>
              <w:rPr>
                <w:rFonts w:hint="eastAsia" w:ascii="宋体" w:hAnsi="宋体" w:eastAsia="宋体" w:cs="宋体"/>
                <w:b/>
                <w:bCs/>
                <w:color w:val="000000"/>
                <w:kern w:val="0"/>
                <w:sz w:val="20"/>
                <w:szCs w:val="20"/>
                <w:lang w:val="en-US" w:eastAsia="zh-CN" w:bidi="ar"/>
              </w:rPr>
              <w:t xml:space="preserve">家（含）以下时，则直接取其算术平均值。 </w:t>
            </w:r>
          </w:p>
          <w:p w14:paraId="1EA6648E">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6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10 </w:t>
            </w:r>
            <w:r>
              <w:rPr>
                <w:rFonts w:hint="eastAsia" w:ascii="宋体" w:hAnsi="宋体" w:eastAsia="宋体" w:cs="宋体"/>
                <w:b/>
                <w:bCs/>
                <w:color w:val="000000"/>
                <w:kern w:val="0"/>
                <w:sz w:val="20"/>
                <w:szCs w:val="20"/>
                <w:lang w:val="en-US" w:eastAsia="zh-CN" w:bidi="ar"/>
              </w:rPr>
              <w:t>家（含）时，去掉</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个最高价，</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14:paraId="61121152">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11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家（含）时，去掉 </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2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14:paraId="2B408C8A">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3</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家（不含）以上时，去掉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14:paraId="7ADB5116">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各投标人的投标报价得分按以下公式计算：</w:t>
            </w:r>
          </w:p>
          <w:p w14:paraId="57A9A8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（1）投标人的投标报价等于评标基准价得40分；</w:t>
            </w:r>
          </w:p>
          <w:p w14:paraId="61B7D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（2）投标人的投标报价高于评标基准价：40-（投标人投标报价-评标基准价）/评标基准价*100*1；</w:t>
            </w:r>
          </w:p>
          <w:p w14:paraId="1F4934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（3）投标人的投标报价低于评标基准价：40+（投标人投标报价-评标基准价）/评标基准价*100*0.5；</w:t>
            </w:r>
          </w:p>
          <w:p w14:paraId="6A5485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tr w14:paraId="77EE23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61B80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14:paraId="463FE6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05F9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储能设计投标报价</w:t>
            </w:r>
          </w:p>
          <w:p w14:paraId="589D2B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8468CAC">
            <w:pPr>
              <w:keepNext w:val="0"/>
              <w:keepLines w:val="0"/>
              <w:widowControl/>
              <w:suppressLineNumbers w:val="0"/>
              <w:jc w:val="left"/>
              <w:rPr>
                <w:rFonts w:hint="eastAsia" w:ascii="宋体" w:hAnsi="宋体" w:eastAsia="宋体" w:cs="宋体"/>
                <w:b w:val="0"/>
                <w:bCs w:val="0"/>
                <w:color w:val="FF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 xml:space="preserve">评标基准价的确定： </w:t>
            </w:r>
          </w:p>
          <w:p w14:paraId="5EF11290">
            <w:pPr>
              <w:pStyle w:val="5"/>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评标基准价为各有效报价经计算后的算术平均值（保留小数点后面两位），评标基准价的计算规则如下：</w:t>
            </w:r>
            <w:r>
              <w:rPr>
                <w:rFonts w:hint="eastAsia" w:ascii="宋体" w:hAnsi="宋体" w:eastAsia="宋体" w:cs="宋体"/>
                <w:b/>
                <w:bCs/>
                <w:color w:val="000000"/>
                <w:kern w:val="0"/>
                <w:sz w:val="20"/>
                <w:szCs w:val="20"/>
                <w:lang w:val="en-US" w:eastAsia="zh-CN" w:bidi="ar"/>
              </w:rPr>
              <w:t xml:space="preserve"> </w:t>
            </w:r>
          </w:p>
          <w:p w14:paraId="0D7AE470">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5 </w:t>
            </w:r>
            <w:r>
              <w:rPr>
                <w:rFonts w:hint="eastAsia" w:ascii="宋体" w:hAnsi="宋体" w:eastAsia="宋体" w:cs="宋体"/>
                <w:b/>
                <w:bCs/>
                <w:color w:val="000000"/>
                <w:kern w:val="0"/>
                <w:sz w:val="20"/>
                <w:szCs w:val="20"/>
                <w:lang w:val="en-US" w:eastAsia="zh-CN" w:bidi="ar"/>
              </w:rPr>
              <w:t xml:space="preserve">家（含）以下时，则直接取其算术平均值。 </w:t>
            </w:r>
          </w:p>
          <w:p w14:paraId="4B637B9C">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6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10 </w:t>
            </w:r>
            <w:r>
              <w:rPr>
                <w:rFonts w:hint="eastAsia" w:ascii="宋体" w:hAnsi="宋体" w:eastAsia="宋体" w:cs="宋体"/>
                <w:b/>
                <w:bCs/>
                <w:color w:val="000000"/>
                <w:kern w:val="0"/>
                <w:sz w:val="20"/>
                <w:szCs w:val="20"/>
                <w:lang w:val="en-US" w:eastAsia="zh-CN" w:bidi="ar"/>
              </w:rPr>
              <w:t>家（含）时，去掉</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个最高价，</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14:paraId="3ED42142">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11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家（含）时，去掉 </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2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14:paraId="1B62DA71">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3</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家（不含）以上时，去掉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14:paraId="77419B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各投标人的投标报价得分按以下公式计算：</w:t>
            </w:r>
          </w:p>
          <w:p w14:paraId="0B71D9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（1）投标人的投标报价等于评标基准价得 20分；</w:t>
            </w:r>
          </w:p>
          <w:p w14:paraId="33131F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（2）投标人的投标报价高于评标基准价：20-（投标人投标报价-评标基准价）/评标基准价*100*1；</w:t>
            </w:r>
          </w:p>
          <w:p w14:paraId="5B2198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（3）投标人的投标报价低于评标基准价：20+（投标人投标报价-评标基准价）/评标基准价*100*0.5；</w:t>
            </w:r>
          </w:p>
          <w:p w14:paraId="591BCB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tbl>
    <w:p w14:paraId="0EF0EA7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251528B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3158A540">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568D68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6B8C536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246996976"/>
      <w:bookmarkStart w:id="380" w:name="_Toc246996233"/>
      <w:bookmarkStart w:id="381" w:name="_Toc179632608"/>
      <w:bookmarkStart w:id="382" w:name="_Toc296602478"/>
      <w:bookmarkStart w:id="383" w:name="_Toc247085748"/>
      <w:bookmarkStart w:id="384" w:name="_Toc152042367"/>
      <w:bookmarkStart w:id="385" w:name="_Toc152045590"/>
      <w:bookmarkStart w:id="386" w:name="_Toc144974557"/>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14:paraId="197DED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44974558"/>
      <w:bookmarkStart w:id="388" w:name="_Toc246996234"/>
      <w:bookmarkStart w:id="389" w:name="_Toc247085749"/>
      <w:bookmarkStart w:id="390" w:name="_Toc152042368"/>
      <w:bookmarkStart w:id="391" w:name="_Toc152045591"/>
      <w:bookmarkStart w:id="392" w:name="_Toc246996977"/>
      <w:bookmarkStart w:id="393" w:name="_Toc296602479"/>
      <w:bookmarkStart w:id="394"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14:paraId="1D9A160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04A667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35251A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6F799B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144974560"/>
      <w:bookmarkStart w:id="396" w:name="_Toc152042370"/>
      <w:bookmarkStart w:id="397" w:name="_Toc152045593"/>
      <w:bookmarkStart w:id="398" w:name="_Toc247085751"/>
      <w:bookmarkStart w:id="399" w:name="_Toc246996979"/>
      <w:bookmarkStart w:id="400" w:name="_Toc246996236"/>
      <w:bookmarkStart w:id="401" w:name="_Toc296602481"/>
      <w:bookmarkStart w:id="402" w:name="_Toc17963261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481BFCA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60982B7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default" w:ascii="Times New Roman" w:hAnsi="Times New Roman" w:cs="Times New Roman" w:eastAsiaTheme="minorEastAsia"/>
          <w:kern w:val="0"/>
          <w:sz w:val="24"/>
          <w:szCs w:val="24"/>
          <w:highlight w:val="none"/>
        </w:rPr>
        <w:t>：见评标办法前附表；</w:t>
      </w:r>
    </w:p>
    <w:p w14:paraId="73A6B91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default" w:ascii="Times New Roman" w:hAnsi="Times New Roman" w:cs="Times New Roman" w:eastAsiaTheme="minorEastAsia"/>
          <w:kern w:val="0"/>
          <w:sz w:val="24"/>
          <w:szCs w:val="24"/>
          <w:highlight w:val="none"/>
        </w:rPr>
        <w:t>：见评标办法前附表；</w:t>
      </w:r>
    </w:p>
    <w:p w14:paraId="4B84D5B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p>
    <w:p w14:paraId="380B4DC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7F57917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14:paraId="3C055D4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3B7710C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14:paraId="7003DB2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33EA0A1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45B2D2A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1D64B88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7CD1B2E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14:paraId="738CCBE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246996237"/>
      <w:bookmarkStart w:id="404" w:name="_Toc152042371"/>
      <w:bookmarkStart w:id="405" w:name="_Toc144974561"/>
      <w:bookmarkStart w:id="406" w:name="_Toc247085752"/>
      <w:bookmarkStart w:id="407" w:name="_Toc152045594"/>
      <w:bookmarkStart w:id="408" w:name="_Toc246996980"/>
      <w:bookmarkStart w:id="409" w:name="_Toc296602482"/>
      <w:bookmarkStart w:id="410" w:name="_Toc179632612"/>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14:paraId="2966C3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62CF948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10C4D9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5CD5E2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35D5DF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385571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797E34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7DBDA08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8107B8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152045595"/>
      <w:bookmarkStart w:id="412" w:name="_Toc246996238"/>
      <w:bookmarkStart w:id="413" w:name="_Toc144974562"/>
      <w:bookmarkStart w:id="414" w:name="_Toc296602483"/>
      <w:bookmarkStart w:id="415" w:name="_Toc246996981"/>
      <w:bookmarkStart w:id="416" w:name="_Toc179632613"/>
      <w:bookmarkStart w:id="417" w:name="_Toc247085753"/>
      <w:bookmarkStart w:id="418" w:name="_Toc152042372"/>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14:paraId="1E23B62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179632614"/>
      <w:bookmarkStart w:id="421" w:name="_Toc247085754"/>
      <w:bookmarkStart w:id="422" w:name="_Toc152045596"/>
      <w:bookmarkStart w:id="423" w:name="_Toc246996239"/>
      <w:bookmarkStart w:id="424" w:name="_Toc246996982"/>
      <w:bookmarkStart w:id="425" w:name="_Toc296602484"/>
      <w:bookmarkStart w:id="426" w:name="_Toc15204237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369201B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kern w:val="0"/>
          <w:sz w:val="24"/>
          <w:szCs w:val="24"/>
          <w:highlight w:val="none"/>
          <w:lang w:val="en-US" w:eastAsia="zh-CN"/>
        </w:rPr>
        <w:t>计算出得分A；</w:t>
      </w:r>
    </w:p>
    <w:p w14:paraId="567B2F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资信业绩计算出得分B；</w:t>
      </w:r>
    </w:p>
    <w:p w14:paraId="0417870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第2.2.4（3）目规定的评审因素和分值对投标报价计算出得分C</w:t>
      </w:r>
      <w:r>
        <w:rPr>
          <w:rFonts w:hint="eastAsia" w:ascii="Times New Roman" w:hAnsi="Times New Roman" w:cs="Times New Roman"/>
          <w:kern w:val="0"/>
          <w:sz w:val="24"/>
          <w:szCs w:val="24"/>
          <w:highlight w:val="none"/>
          <w:lang w:val="en-US" w:eastAsia="zh-CN"/>
        </w:rPr>
        <w:t>。</w:t>
      </w:r>
    </w:p>
    <w:p w14:paraId="41F2DEC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4DF713F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14:paraId="603AC31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0063651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14:paraId="26A4CBB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5A40E6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41F7E4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D8EFD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57A690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0C2221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14:paraId="790D5C0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14:paraId="4D53BB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14:paraId="1BB2E5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14:paraId="4E0F4F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14:paraId="68BD1F3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086AAEC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743950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7A3D30EB">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489D74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7E80AB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A43FD2B">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38E2E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526D1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3A035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03C66A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1AE3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7268D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F3947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540D5AE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cstheme="minorEastAsia"/>
                <w:sz w:val="28"/>
                <w:szCs w:val="28"/>
                <w:lang w:val="en-US" w:eastAsia="zh-CN"/>
              </w:rPr>
              <w:t>亳州新能源发展有限公司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
        </w:tc>
      </w:tr>
      <w:tr w14:paraId="5F5F3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6F975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50015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932A70E">
            <w:pPr>
              <w:widowControl/>
              <w:wordWrap/>
              <w:spacing w:line="360" w:lineRule="auto"/>
              <w:ind w:firstLine="480" w:firstLineChars="200"/>
              <w:jc w:val="both"/>
              <w:rPr>
                <w:rFonts w:hint="eastAsia" w:ascii="仿宋" w:hAnsi="仿宋" w:eastAsia="仿宋" w:cs="仿宋"/>
                <w:i w:val="0"/>
                <w:iCs w:val="0"/>
                <w:color w:val="000000"/>
                <w:kern w:val="0"/>
                <w:sz w:val="30"/>
                <w:szCs w:val="30"/>
                <w:u w:val="none"/>
                <w:lang w:bidi="ar"/>
              </w:rPr>
            </w:pPr>
            <w:r>
              <w:rPr>
                <w:rFonts w:hint="eastAsia" w:ascii="Times New Roman" w:hAnsi="Times New Roman" w:cs="Times New Roman" w:eastAsiaTheme="minorEastAsia"/>
                <w:color w:val="auto"/>
                <w:kern w:val="0"/>
                <w:sz w:val="24"/>
                <w:szCs w:val="24"/>
                <w:lang w:val="en-US" w:eastAsia="zh-CN" w:bidi="ar"/>
              </w:rPr>
              <w:t>中标人出具单个项目的设计方案、可研报告、荷载报告、加固方案及设计文件、施工图、竣工图，且项目并网验收后，招标人向中标人支付至单个项目合同价款的97%，剩余3%作为质保金，余款一年后无重大缺陷责任问题后付清（本金无息）</w:t>
            </w:r>
            <w:r>
              <w:rPr>
                <w:rFonts w:hint="default" w:ascii="Times New Roman" w:hAnsi="Times New Roman" w:cs="Times New Roman" w:eastAsiaTheme="minorEastAsia"/>
                <w:color w:val="auto"/>
                <w:kern w:val="0"/>
                <w:sz w:val="24"/>
                <w:szCs w:val="24"/>
                <w:lang w:val="en-US" w:eastAsia="zh-CN" w:bidi="ar"/>
              </w:rPr>
              <w:t xml:space="preserve">。  </w:t>
            </w:r>
          </w:p>
          <w:p w14:paraId="65E909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eastAsiaTheme="minorEastAsia"/>
                <w:color w:val="auto"/>
                <w:kern w:val="0"/>
                <w:sz w:val="24"/>
                <w:szCs w:val="24"/>
                <w:lang w:val="en-US" w:eastAsia="zh-CN" w:bidi="ar"/>
              </w:rPr>
              <w:t>注：（</w:t>
            </w:r>
            <w:r>
              <w:rPr>
                <w:rFonts w:hint="default" w:ascii="Times New Roman" w:hAnsi="Times New Roman" w:cs="Times New Roman" w:eastAsiaTheme="minorEastAsia"/>
                <w:color w:val="auto"/>
                <w:kern w:val="0"/>
                <w:sz w:val="24"/>
                <w:szCs w:val="24"/>
                <w:lang w:val="en-US" w:eastAsia="zh-CN" w:bidi="ar"/>
              </w:rPr>
              <w:t>1）</w:t>
            </w:r>
            <w:r>
              <w:rPr>
                <w:rFonts w:hint="eastAsia" w:ascii="Times New Roman" w:hAnsi="Times New Roman" w:cs="Times New Roman" w:eastAsiaTheme="minorEastAsia"/>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应在每次付款前向</w:t>
            </w:r>
            <w:r>
              <w:rPr>
                <w:rFonts w:hint="eastAsia" w:ascii="Times New Roman" w:hAnsi="Times New Roman" w:cs="Times New Roman" w:eastAsiaTheme="minorEastAsia"/>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提交一份付款申请、税务发票，并附</w:t>
            </w:r>
            <w:r>
              <w:rPr>
                <w:rFonts w:hint="eastAsia" w:ascii="Times New Roman" w:hAnsi="Times New Roman" w:cs="Times New Roman" w:eastAsiaTheme="minorEastAsia"/>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按合同约定履行义务的有关证明。</w:t>
            </w:r>
            <w:r>
              <w:rPr>
                <w:rFonts w:hint="eastAsia" w:ascii="Times New Roman" w:hAnsi="Times New Roman" w:cs="Times New Roman" w:eastAsiaTheme="minorEastAsia"/>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审核</w:t>
            </w:r>
            <w:r>
              <w:rPr>
                <w:rFonts w:hint="eastAsia" w:ascii="Times New Roman" w:hAnsi="Times New Roman" w:cs="Times New Roman" w:eastAsiaTheme="minorEastAsia"/>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的付款申请资料无误后履行付款手续。</w:t>
            </w:r>
            <w:r>
              <w:rPr>
                <w:rFonts w:hint="eastAsia" w:ascii="Times New Roman" w:hAnsi="Times New Roman" w:cs="Times New Roman" w:eastAsiaTheme="minorEastAsia"/>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付款前，</w:t>
            </w:r>
            <w:r>
              <w:rPr>
                <w:rFonts w:hint="eastAsia" w:ascii="Times New Roman" w:hAnsi="Times New Roman" w:cs="Times New Roman" w:eastAsiaTheme="minorEastAsia"/>
                <w:color w:val="auto"/>
                <w:kern w:val="0"/>
                <w:sz w:val="24"/>
                <w:szCs w:val="24"/>
                <w:lang w:val="en-US" w:eastAsia="zh-CN" w:bidi="ar"/>
              </w:rPr>
              <w:t>中标人</w:t>
            </w:r>
            <w:r>
              <w:rPr>
                <w:rFonts w:hint="default" w:ascii="Times New Roman" w:hAnsi="Times New Roman" w:cs="Times New Roman" w:eastAsiaTheme="minorEastAsia"/>
                <w:color w:val="auto"/>
                <w:kern w:val="0"/>
                <w:sz w:val="24"/>
                <w:szCs w:val="24"/>
                <w:lang w:val="en-US" w:eastAsia="zh-CN" w:bidi="ar"/>
              </w:rPr>
              <w:t>应按照国家税收有关规定开具等额增值税专用发票</w:t>
            </w:r>
            <w:r>
              <w:rPr>
                <w:rFonts w:hint="eastAsia" w:ascii="Times New Roman" w:hAnsi="Times New Roman" w:cs="Times New Roman" w:eastAsiaTheme="minorEastAsia"/>
                <w:color w:val="auto"/>
                <w:kern w:val="0"/>
                <w:sz w:val="24"/>
                <w:szCs w:val="24"/>
                <w:lang w:val="en-US" w:eastAsia="zh-CN" w:bidi="ar"/>
              </w:rPr>
              <w:t xml:space="preserve">，否则招标人有权暂停付款  </w:t>
            </w:r>
          </w:p>
        </w:tc>
      </w:tr>
      <w:tr w14:paraId="08B54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37B6C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5799A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14A4AE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eastAsiaTheme="minorEastAsia"/>
                <w:color w:val="auto"/>
                <w:kern w:val="0"/>
                <w:sz w:val="24"/>
                <w:szCs w:val="24"/>
                <w:lang w:val="en-US" w:eastAsia="zh-CN" w:bidi="ar"/>
              </w:rPr>
              <w:t>中标单位自行考虑风险，服务期内，本项目根据标段内的实际完成情况</w:t>
            </w:r>
            <w:r>
              <w:rPr>
                <w:rFonts w:hint="eastAsia" w:ascii="Times New Roman" w:hAnsi="Times New Roman" w:cs="Times New Roman"/>
                <w:color w:val="auto"/>
                <w:kern w:val="0"/>
                <w:sz w:val="24"/>
                <w:szCs w:val="24"/>
                <w:lang w:val="en-US" w:eastAsia="zh-CN" w:bidi="ar"/>
              </w:rPr>
              <w:t>，按中标单价据实结算设计费用。如服务期满后，</w:t>
            </w:r>
            <w:r>
              <w:rPr>
                <w:rFonts w:hint="eastAsia" w:ascii="Times New Roman" w:hAnsi="Times New Roman" w:cs="Times New Roman" w:eastAsiaTheme="minorEastAsia"/>
                <w:color w:val="auto"/>
                <w:kern w:val="0"/>
                <w:sz w:val="24"/>
                <w:szCs w:val="24"/>
                <w:lang w:val="en-US" w:eastAsia="zh-CN" w:bidi="ar"/>
              </w:rPr>
              <w:t>未完成15MW</w:t>
            </w:r>
            <w:r>
              <w:rPr>
                <w:rFonts w:hint="eastAsia" w:ascii="Times New Roman" w:hAnsi="Times New Roman" w:cs="Times New Roman"/>
                <w:color w:val="auto"/>
                <w:kern w:val="0"/>
                <w:sz w:val="24"/>
                <w:szCs w:val="24"/>
                <w:lang w:val="en-US" w:eastAsia="zh-CN" w:bidi="ar"/>
              </w:rPr>
              <w:t>光伏发电和10MW储能项目</w:t>
            </w:r>
            <w:r>
              <w:rPr>
                <w:rFonts w:hint="eastAsia" w:ascii="Times New Roman" w:hAnsi="Times New Roman" w:cs="Times New Roman" w:eastAsiaTheme="minorEastAsia"/>
                <w:color w:val="auto"/>
                <w:kern w:val="0"/>
                <w:sz w:val="24"/>
                <w:szCs w:val="24"/>
                <w:lang w:val="en-US" w:eastAsia="zh-CN" w:bidi="ar"/>
              </w:rPr>
              <w:t>，</w:t>
            </w:r>
            <w:r>
              <w:rPr>
                <w:rFonts w:hint="eastAsia" w:ascii="Times New Roman" w:hAnsi="Times New Roman" w:cs="Times New Roman"/>
                <w:color w:val="auto"/>
                <w:kern w:val="0"/>
                <w:sz w:val="24"/>
                <w:szCs w:val="24"/>
                <w:lang w:val="en-US" w:eastAsia="zh-CN" w:bidi="ar"/>
              </w:rPr>
              <w:t>中标</w:t>
            </w:r>
            <w:r>
              <w:rPr>
                <w:rFonts w:hint="eastAsia" w:ascii="Times New Roman" w:hAnsi="Times New Roman" w:cs="Times New Roman" w:eastAsiaTheme="minorEastAsia"/>
                <w:color w:val="auto"/>
                <w:kern w:val="0"/>
                <w:sz w:val="24"/>
                <w:szCs w:val="24"/>
                <w:lang w:val="en-US" w:eastAsia="zh-CN" w:bidi="ar"/>
              </w:rPr>
              <w:t>单位不得向</w:t>
            </w:r>
            <w:r>
              <w:rPr>
                <w:rFonts w:hint="eastAsia" w:ascii="Times New Roman" w:hAnsi="Times New Roman" w:cs="Times New Roman"/>
                <w:color w:val="auto"/>
                <w:kern w:val="0"/>
                <w:sz w:val="24"/>
                <w:szCs w:val="24"/>
                <w:lang w:val="en-US" w:eastAsia="zh-CN" w:bidi="ar"/>
              </w:rPr>
              <w:t>招标人</w:t>
            </w:r>
            <w:r>
              <w:rPr>
                <w:rFonts w:hint="eastAsia" w:ascii="Times New Roman" w:hAnsi="Times New Roman" w:cs="Times New Roman" w:eastAsiaTheme="minorEastAsia"/>
                <w:color w:val="auto"/>
                <w:kern w:val="0"/>
                <w:sz w:val="24"/>
                <w:szCs w:val="24"/>
                <w:lang w:val="en-US" w:eastAsia="zh-CN" w:bidi="ar"/>
              </w:rPr>
              <w:t>索赔</w:t>
            </w:r>
            <w:r>
              <w:rPr>
                <w:rFonts w:hint="eastAsia" w:ascii="Times New Roman" w:hAnsi="Times New Roman" w:cs="Times New Roman"/>
                <w:color w:val="auto"/>
                <w:kern w:val="0"/>
                <w:sz w:val="24"/>
                <w:szCs w:val="24"/>
                <w:lang w:val="en-US" w:eastAsia="zh-CN" w:bidi="ar"/>
              </w:rPr>
              <w:t>，中标单价也不因此调整。</w:t>
            </w:r>
          </w:p>
        </w:tc>
      </w:tr>
    </w:tbl>
    <w:p w14:paraId="50EBDD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014105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2F2AC948">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716F1F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14:paraId="16C199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000CD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p w14:paraId="15014DF2">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54C35DF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4D96AB8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F6E982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34BE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52CBC6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31D950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E4B0BA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7FABE87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1C0D97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B7D0AB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6D32D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B04C2A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39B4C86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2593D4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0DF6BF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AEAB07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13350BF">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78AFF13">
      <w:pPr>
        <w:pStyle w:val="3"/>
        <w:jc w:val="center"/>
        <w:rPr>
          <w:rFonts w:hint="default" w:ascii="Times New Roman" w:hAnsi="Times New Roman" w:cs="Times New Roman"/>
        </w:rPr>
      </w:pPr>
      <w:bookmarkStart w:id="427" w:name="_Toc300835209"/>
      <w:bookmarkStart w:id="428" w:name="_Toc247527827"/>
      <w:bookmarkStart w:id="429" w:name="_Toc247514246"/>
      <w:bookmarkStart w:id="430" w:name="_Toc152042576"/>
      <w:bookmarkStart w:id="431" w:name="_Toc144974856"/>
      <w:bookmarkStart w:id="432" w:name="_Toc152045787"/>
      <w:r>
        <w:rPr>
          <w:rFonts w:hint="default" w:ascii="Times New Roman" w:hAnsi="Times New Roman" w:cs="Times New Roman"/>
        </w:rPr>
        <w:t>目    录</w:t>
      </w:r>
      <w:bookmarkEnd w:id="427"/>
      <w:bookmarkEnd w:id="428"/>
      <w:bookmarkEnd w:id="429"/>
      <w:bookmarkEnd w:id="430"/>
      <w:bookmarkEnd w:id="431"/>
      <w:bookmarkEnd w:id="432"/>
    </w:p>
    <w:p w14:paraId="6746F37F">
      <w:pPr>
        <w:spacing w:line="540" w:lineRule="exact"/>
        <w:rPr>
          <w:rFonts w:hint="default" w:ascii="Times New Roman" w:hAnsi="Times New Roman" w:cs="Times New Roman"/>
        </w:rPr>
      </w:pPr>
    </w:p>
    <w:p w14:paraId="356808EC">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14:paraId="6262F2BD">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14:paraId="75236E02">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14:paraId="3669FABB">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14:paraId="7B9CCC69">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14:paraId="50A81965">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14:paraId="484C78F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14:paraId="4653F8B5">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14:paraId="4F0EB7F8">
      <w:pPr>
        <w:spacing w:line="540" w:lineRule="exact"/>
        <w:rPr>
          <w:rFonts w:hint="default" w:ascii="Times New Roman" w:hAnsi="Times New Roman" w:cs="Times New Roman"/>
          <w:highlight w:val="none"/>
          <w:lang w:val="en-US" w:eastAsia="zh-CN"/>
        </w:rPr>
      </w:pPr>
    </w:p>
    <w:p w14:paraId="2F0CAB12">
      <w:pPr>
        <w:spacing w:line="540" w:lineRule="exact"/>
        <w:rPr>
          <w:rFonts w:hint="default" w:ascii="Times New Roman" w:hAnsi="Times New Roman" w:cs="Times New Roman"/>
        </w:rPr>
      </w:pPr>
      <w:r>
        <w:rPr>
          <w:rFonts w:hint="default" w:ascii="Times New Roman" w:hAnsi="Times New Roman" w:cs="Times New Roman"/>
        </w:rPr>
        <w:t xml:space="preserve"> </w:t>
      </w:r>
    </w:p>
    <w:p w14:paraId="0E56F46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240A711E">
      <w:pPr>
        <w:pStyle w:val="3"/>
        <w:jc w:val="center"/>
        <w:rPr>
          <w:rFonts w:hint="default" w:ascii="Times New Roman" w:hAnsi="Times New Roman" w:eastAsia="黑体" w:cs="Times New Roman"/>
          <w:sz w:val="20"/>
          <w:szCs w:val="20"/>
        </w:rPr>
      </w:pPr>
      <w:bookmarkStart w:id="433" w:name="_Toc152045788"/>
      <w:bookmarkStart w:id="434" w:name="_Toc247514247"/>
      <w:bookmarkStart w:id="435" w:name="_Toc247527828"/>
      <w:bookmarkStart w:id="436" w:name="_Toc144974857"/>
      <w:bookmarkStart w:id="437" w:name="_Toc152042577"/>
      <w:bookmarkStart w:id="438" w:name="_Toc300835210"/>
      <w:r>
        <w:rPr>
          <w:rFonts w:hint="default" w:ascii="Times New Roman" w:hAnsi="Times New Roman" w:cs="Times New Roman"/>
        </w:rPr>
        <w:t>一、投标函及投标函附录</w:t>
      </w:r>
      <w:bookmarkEnd w:id="433"/>
      <w:bookmarkEnd w:id="434"/>
      <w:bookmarkEnd w:id="435"/>
      <w:bookmarkEnd w:id="436"/>
      <w:bookmarkEnd w:id="437"/>
      <w:bookmarkEnd w:id="438"/>
    </w:p>
    <w:p w14:paraId="5378FB7D">
      <w:pPr>
        <w:spacing w:line="440" w:lineRule="exact"/>
        <w:rPr>
          <w:rFonts w:hint="default" w:ascii="Times New Roman" w:hAnsi="Times New Roman" w:cs="Times New Roman" w:eastAsiaTheme="minorEastAsia"/>
          <w:sz w:val="20"/>
          <w:szCs w:val="20"/>
          <w:lang w:val="en-US" w:eastAsia="zh-CN"/>
        </w:rPr>
      </w:pPr>
      <w:bookmarkStart w:id="439" w:name="_Toc300835212"/>
      <w:bookmarkStart w:id="440" w:name="_Toc152045790"/>
      <w:bookmarkStart w:id="441" w:name="_Toc247514249"/>
      <w:bookmarkStart w:id="442" w:name="_Toc144974859"/>
      <w:bookmarkStart w:id="443" w:name="_Toc152042579"/>
      <w:bookmarkStart w:id="444" w:name="_Toc247527830"/>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254A1DB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5799A772">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招标项目招标文件的全部内容，愿意以光伏发电设计费用</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元/W、储能设计费用</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元/Wh</w:t>
      </w:r>
      <w:r>
        <w:rPr>
          <w:rFonts w:hint="eastAsia" w:ascii="Times New Roman" w:hAnsi="Times New Roman" w:cs="Times New Roman"/>
          <w:szCs w:val="21"/>
        </w:rPr>
        <w:t>的投标报价</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，服务期限：</w:t>
      </w:r>
      <w:r>
        <w:rPr>
          <w:rFonts w:hint="eastAsia" w:ascii="Times New Roman" w:hAnsi="Times New Roman" w:cs="Times New Roman"/>
          <w:szCs w:val="21"/>
        </w:rPr>
        <w:t>自签订</w:t>
      </w:r>
      <w:r>
        <w:rPr>
          <w:rFonts w:hint="eastAsia" w:ascii="Times New Roman" w:hAnsi="Times New Roman" w:cs="Times New Roman"/>
          <w:szCs w:val="21"/>
          <w:lang w:val="en-US" w:eastAsia="zh-CN"/>
        </w:rPr>
        <w:t>设计服务</w:t>
      </w:r>
      <w:r>
        <w:rPr>
          <w:rFonts w:hint="eastAsia" w:ascii="Times New Roman" w:hAnsi="Times New Roman" w:cs="Times New Roman"/>
          <w:szCs w:val="21"/>
        </w:rPr>
        <w:t>合同之日起至</w:t>
      </w:r>
      <w:r>
        <w:rPr>
          <w:rFonts w:hint="eastAsia" w:ascii="Times New Roman" w:hAnsi="Times New Roman" w:cs="Times New Roman"/>
          <w:szCs w:val="21"/>
          <w:lang w:val="en-US" w:eastAsia="zh-CN"/>
        </w:rPr>
        <w:t>2025年12月31日</w:t>
      </w:r>
      <w:r>
        <w:rPr>
          <w:rFonts w:hint="eastAsia" w:ascii="Times New Roman" w:hAnsi="Times New Roman" w:cs="Times New Roman"/>
          <w:szCs w:val="21"/>
          <w:u w:val="none"/>
          <w:lang w:val="en-US" w:eastAsia="zh-CN"/>
        </w:rPr>
        <w:t>，按合同约定完成本项全部工作。</w:t>
      </w:r>
    </w:p>
    <w:p w14:paraId="67A21D5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01EBCF0C">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14:paraId="7B2996D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6437F4F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16DCFC85">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186DAA95">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784627E9">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7F04590E">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43AA6BE4">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267EC22B">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4C4271C4">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A076618">
      <w:pPr>
        <w:spacing w:line="440" w:lineRule="exact"/>
        <w:rPr>
          <w:rFonts w:hint="default" w:ascii="Times New Roman" w:hAnsi="Times New Roman" w:cs="Times New Roman"/>
          <w:szCs w:val="21"/>
        </w:rPr>
      </w:pPr>
    </w:p>
    <w:p w14:paraId="24A2439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C287D53">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161A6810">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2F47CB1">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02FE515">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75073F7">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9DAFEB7">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D7B6AC0">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14:paraId="53EEE0C6">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238836A8">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2A4F5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7D7D33C">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0E355D7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7CDC3C8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6CBBCAD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66157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F940F2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66DC596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63B27A9E">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14:paraId="16ABC307">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3702" w:type="dxa"/>
            <w:vAlign w:val="center"/>
          </w:tcPr>
          <w:p w14:paraId="3685D5B3">
            <w:pPr>
              <w:spacing w:line="440" w:lineRule="exact"/>
              <w:jc w:val="center"/>
              <w:rPr>
                <w:rFonts w:hint="eastAsia" w:ascii="Times New Roman" w:hAnsi="Times New Roman" w:cs="Times New Roman" w:eastAsiaTheme="minorEastAsia"/>
                <w:sz w:val="20"/>
                <w:szCs w:val="20"/>
                <w:vertAlign w:val="baseline"/>
                <w:lang w:eastAsia="zh-CN"/>
              </w:rPr>
            </w:pPr>
          </w:p>
        </w:tc>
      </w:tr>
      <w:tr w14:paraId="4FCBE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10094C0">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571E9F8">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742E30F3">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Cs w:val="21"/>
              </w:rPr>
              <w:t>自签订</w:t>
            </w:r>
            <w:r>
              <w:rPr>
                <w:rFonts w:hint="eastAsia" w:ascii="Times New Roman" w:hAnsi="Times New Roman" w:cs="Times New Roman"/>
                <w:szCs w:val="21"/>
                <w:lang w:val="en-US" w:eastAsia="zh-CN"/>
              </w:rPr>
              <w:t>设计服务</w:t>
            </w:r>
            <w:r>
              <w:rPr>
                <w:rFonts w:hint="eastAsia" w:ascii="Times New Roman" w:hAnsi="Times New Roman" w:cs="Times New Roman"/>
                <w:szCs w:val="21"/>
              </w:rPr>
              <w:t>合同之日起至</w:t>
            </w:r>
            <w:r>
              <w:rPr>
                <w:rFonts w:hint="eastAsia" w:ascii="Times New Roman" w:hAnsi="Times New Roman" w:cs="Times New Roman"/>
                <w:szCs w:val="21"/>
                <w:lang w:val="en-US" w:eastAsia="zh-CN"/>
              </w:rPr>
              <w:t>2025年12月31日</w:t>
            </w:r>
          </w:p>
        </w:tc>
        <w:tc>
          <w:tcPr>
            <w:tcW w:w="3702" w:type="dxa"/>
            <w:vAlign w:val="center"/>
          </w:tcPr>
          <w:p w14:paraId="5BC89FED">
            <w:pPr>
              <w:spacing w:line="440" w:lineRule="exact"/>
              <w:jc w:val="center"/>
              <w:rPr>
                <w:rFonts w:hint="eastAsia" w:ascii="Times New Roman" w:hAnsi="Times New Roman" w:cs="Times New Roman" w:eastAsiaTheme="minorEastAsia"/>
                <w:sz w:val="20"/>
                <w:szCs w:val="20"/>
                <w:vertAlign w:val="baseline"/>
                <w:lang w:eastAsia="zh-CN"/>
              </w:rPr>
            </w:pPr>
          </w:p>
        </w:tc>
      </w:tr>
      <w:tr w14:paraId="65088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11ACB87">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A58B3BB">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2BBDCAA9">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65E73961">
            <w:pPr>
              <w:spacing w:line="440" w:lineRule="exact"/>
              <w:jc w:val="center"/>
              <w:rPr>
                <w:rFonts w:hint="eastAsia" w:ascii="Times New Roman" w:hAnsi="Times New Roman" w:cs="Times New Roman" w:eastAsiaTheme="minorEastAsia"/>
                <w:sz w:val="20"/>
                <w:szCs w:val="20"/>
                <w:vertAlign w:val="baseline"/>
                <w:lang w:eastAsia="zh-CN"/>
              </w:rPr>
            </w:pPr>
          </w:p>
        </w:tc>
      </w:tr>
    </w:tbl>
    <w:p w14:paraId="1AC9351A">
      <w:pPr>
        <w:spacing w:line="440" w:lineRule="exact"/>
        <w:rPr>
          <w:rFonts w:hint="eastAsia" w:ascii="Times New Roman" w:hAnsi="Times New Roman" w:cs="Times New Roman" w:eastAsiaTheme="minorEastAsia"/>
          <w:sz w:val="20"/>
          <w:szCs w:val="20"/>
          <w:lang w:eastAsia="zh-CN"/>
        </w:rPr>
      </w:pPr>
    </w:p>
    <w:p w14:paraId="59E342B3">
      <w:pPr>
        <w:spacing w:line="440" w:lineRule="exact"/>
        <w:rPr>
          <w:rFonts w:hint="eastAsia" w:ascii="Times New Roman" w:hAnsi="Times New Roman" w:cs="Times New Roman" w:eastAsiaTheme="minorEastAsia"/>
          <w:sz w:val="20"/>
          <w:szCs w:val="20"/>
          <w:lang w:eastAsia="zh-CN"/>
        </w:rPr>
      </w:pPr>
    </w:p>
    <w:p w14:paraId="2668C46F">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C5CE0B4">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0A590267">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E780B46">
      <w:pPr>
        <w:spacing w:line="440" w:lineRule="exact"/>
        <w:rPr>
          <w:rFonts w:hint="eastAsia" w:ascii="Times New Roman" w:hAnsi="Times New Roman" w:cs="Times New Roman" w:eastAsiaTheme="minorEastAsia"/>
          <w:sz w:val="20"/>
          <w:szCs w:val="20"/>
          <w:lang w:eastAsia="zh-CN"/>
        </w:rPr>
      </w:pPr>
    </w:p>
    <w:p w14:paraId="2E11EF1B">
      <w:pPr>
        <w:spacing w:line="440" w:lineRule="exact"/>
        <w:rPr>
          <w:rFonts w:hint="default" w:ascii="Times New Roman" w:hAnsi="Times New Roman" w:cs="Times New Roman"/>
          <w:szCs w:val="21"/>
        </w:rPr>
      </w:pPr>
    </w:p>
    <w:p w14:paraId="798551B6">
      <w:pPr>
        <w:rPr>
          <w:rFonts w:hint="default" w:ascii="Times New Roman" w:hAnsi="Times New Roman" w:cs="Times New Roman"/>
        </w:rPr>
      </w:pPr>
      <w:bookmarkStart w:id="445" w:name="_Toc152045791"/>
      <w:bookmarkStart w:id="446" w:name="_Toc247527831"/>
      <w:bookmarkStart w:id="447" w:name="_Toc247514283"/>
      <w:bookmarkStart w:id="448" w:name="_Toc300835213"/>
      <w:bookmarkStart w:id="449" w:name="_Toc152042580"/>
      <w:bookmarkStart w:id="450" w:name="_Toc144974860"/>
      <w:r>
        <w:rPr>
          <w:rFonts w:hint="default" w:ascii="Times New Roman" w:hAnsi="Times New Roman" w:cs="Times New Roman"/>
        </w:rPr>
        <w:br w:type="page"/>
      </w:r>
    </w:p>
    <w:p w14:paraId="0F25B13F">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14:paraId="23BD8E33">
      <w:pPr>
        <w:spacing w:line="440" w:lineRule="exact"/>
        <w:rPr>
          <w:rFonts w:hint="default" w:ascii="Times New Roman" w:hAnsi="Times New Roman" w:cs="Times New Roman"/>
          <w:sz w:val="20"/>
          <w:szCs w:val="20"/>
        </w:rPr>
      </w:pPr>
    </w:p>
    <w:p w14:paraId="32121991">
      <w:pPr>
        <w:spacing w:line="440" w:lineRule="exact"/>
        <w:rPr>
          <w:rFonts w:hint="default" w:ascii="Times New Roman" w:hAnsi="Times New Roman" w:cs="Times New Roman"/>
          <w:szCs w:val="21"/>
        </w:rPr>
      </w:pPr>
    </w:p>
    <w:p w14:paraId="152623A6">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D980A22">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4072E9A">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35F7939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7065F488">
      <w:pPr>
        <w:spacing w:line="440" w:lineRule="exact"/>
        <w:rPr>
          <w:rFonts w:hint="default" w:ascii="Times New Roman" w:hAnsi="Times New Roman" w:cs="Times New Roman"/>
          <w:szCs w:val="21"/>
        </w:rPr>
      </w:pPr>
    </w:p>
    <w:p w14:paraId="5D79E89A">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48673803">
      <w:pPr>
        <w:spacing w:line="440" w:lineRule="exact"/>
        <w:rPr>
          <w:rFonts w:hint="default" w:ascii="Times New Roman" w:hAnsi="Times New Roman" w:cs="Times New Roman"/>
          <w:szCs w:val="21"/>
        </w:rPr>
      </w:pPr>
    </w:p>
    <w:p w14:paraId="216CBA52">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05F94CC4">
      <w:pPr>
        <w:spacing w:line="440" w:lineRule="exact"/>
        <w:rPr>
          <w:rFonts w:hint="eastAsia" w:ascii="Times New Roman" w:hAnsi="Times New Roman" w:cs="Times New Roman"/>
          <w:szCs w:val="21"/>
          <w:lang w:val="en-US" w:eastAsia="zh-CN"/>
        </w:rPr>
      </w:pPr>
    </w:p>
    <w:p w14:paraId="1C0D64D2">
      <w:pPr>
        <w:spacing w:line="440" w:lineRule="exact"/>
        <w:rPr>
          <w:rFonts w:hint="default" w:ascii="Times New Roman" w:hAnsi="Times New Roman" w:cs="Times New Roman"/>
          <w:szCs w:val="21"/>
          <w:lang w:val="en-US" w:eastAsia="zh-CN"/>
        </w:rPr>
      </w:pPr>
    </w:p>
    <w:p w14:paraId="021F963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127D502">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2DBD823">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4EBF7137">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DB30B57">
      <w:pPr>
        <w:pStyle w:val="3"/>
        <w:jc w:val="center"/>
        <w:rPr>
          <w:rFonts w:hint="default" w:ascii="Times New Roman" w:hAnsi="Times New Roman" w:cs="Times New Roman"/>
        </w:rPr>
      </w:pPr>
      <w:bookmarkStart w:id="451" w:name="_Toc152045792"/>
      <w:bookmarkStart w:id="452" w:name="_Toc300835214"/>
      <w:bookmarkStart w:id="453" w:name="_Toc152042581"/>
      <w:bookmarkStart w:id="454" w:name="_Toc247527832"/>
      <w:bookmarkStart w:id="455" w:name="_Toc247514284"/>
      <w:bookmarkStart w:id="456" w:name="_Toc144974861"/>
      <w:r>
        <w:rPr>
          <w:rFonts w:hint="default" w:ascii="Times New Roman" w:hAnsi="Times New Roman" w:cs="Times New Roman"/>
        </w:rPr>
        <w:t>二、授权委托书</w:t>
      </w:r>
      <w:bookmarkEnd w:id="451"/>
      <w:bookmarkEnd w:id="452"/>
      <w:bookmarkEnd w:id="453"/>
      <w:bookmarkEnd w:id="454"/>
      <w:bookmarkEnd w:id="455"/>
      <w:bookmarkEnd w:id="456"/>
    </w:p>
    <w:p w14:paraId="3615DC1F">
      <w:pPr>
        <w:spacing w:line="440" w:lineRule="exact"/>
        <w:rPr>
          <w:rFonts w:hint="default" w:ascii="Times New Roman" w:hAnsi="Times New Roman" w:eastAsia="黑体" w:cs="Times New Roman"/>
          <w:szCs w:val="21"/>
        </w:rPr>
      </w:pPr>
    </w:p>
    <w:p w14:paraId="29CE044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11DA808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2E95DA2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C38CC28">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证复印件、委托代理人身份证复印件、委托代理人2024年1月起</w:t>
      </w:r>
      <w:r>
        <w:rPr>
          <w:rFonts w:hint="eastAsia" w:ascii="Times New Roman" w:hAnsi="Times New Roman" w:cs="Times New Roman"/>
          <w:szCs w:val="21"/>
        </w:rPr>
        <w:t>任意连续3个月及以上养老保险证明</w:t>
      </w:r>
      <w:r>
        <w:rPr>
          <w:rFonts w:hint="eastAsia" w:ascii="Times New Roman" w:hAnsi="Times New Roman" w:cs="Times New Roman"/>
          <w:szCs w:val="21"/>
          <w:lang w:eastAsia="zh-CN"/>
        </w:rPr>
        <w:t>。</w:t>
      </w:r>
    </w:p>
    <w:p w14:paraId="093DD19A">
      <w:pPr>
        <w:spacing w:line="440" w:lineRule="exact"/>
        <w:ind w:firstLine="420" w:firstLineChars="200"/>
        <w:rPr>
          <w:rFonts w:hint="eastAsia" w:ascii="Times New Roman" w:hAnsi="Times New Roman" w:cs="Times New Roman"/>
          <w:szCs w:val="21"/>
          <w:lang w:val="en-US" w:eastAsia="zh-CN"/>
        </w:rPr>
      </w:pPr>
    </w:p>
    <w:p w14:paraId="1BF383F7">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174ED4A1">
      <w:pPr>
        <w:spacing w:line="440" w:lineRule="exact"/>
        <w:rPr>
          <w:rFonts w:hint="default" w:ascii="Times New Roman" w:hAnsi="Times New Roman" w:cs="Times New Roman"/>
          <w:szCs w:val="21"/>
        </w:rPr>
      </w:pPr>
    </w:p>
    <w:p w14:paraId="379DAD50">
      <w:pPr>
        <w:spacing w:line="440" w:lineRule="exact"/>
        <w:rPr>
          <w:rFonts w:hint="default" w:ascii="Times New Roman" w:hAnsi="Times New Roman" w:cs="Times New Roman"/>
          <w:szCs w:val="21"/>
        </w:rPr>
      </w:pPr>
    </w:p>
    <w:p w14:paraId="49C9929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470995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14:paraId="3D9C1FA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4207E4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5CB90A1B">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7B57550">
      <w:pPr>
        <w:spacing w:line="440" w:lineRule="exact"/>
        <w:rPr>
          <w:rFonts w:hint="default" w:ascii="Times New Roman" w:hAnsi="Times New Roman" w:cs="Times New Roman"/>
          <w:szCs w:val="21"/>
        </w:rPr>
      </w:pPr>
    </w:p>
    <w:p w14:paraId="668B2E0F">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C251A5C">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53C3BA6E">
      <w:pPr>
        <w:pStyle w:val="3"/>
        <w:jc w:val="center"/>
        <w:rPr>
          <w:rFonts w:hint="default" w:ascii="Times New Roman" w:hAnsi="Times New Roman" w:cs="Times New Roman"/>
          <w:highlight w:val="none"/>
        </w:rPr>
      </w:pPr>
      <w:bookmarkStart w:id="457" w:name="_Toc152045794"/>
      <w:bookmarkStart w:id="458" w:name="_Toc152042583"/>
      <w:bookmarkStart w:id="459" w:name="_Toc247514286"/>
      <w:bookmarkStart w:id="460" w:name="_Toc144974862"/>
      <w:bookmarkStart w:id="461" w:name="_Toc247527834"/>
      <w:bookmarkStart w:id="462"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14:paraId="2B4B96A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2D6C0FB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030D4D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07B096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7346C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5799D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7521EB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E4F804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D359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15BCA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A5EFE8">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4C8121B1">
      <w:pPr>
        <w:spacing w:line="440" w:lineRule="exact"/>
        <w:rPr>
          <w:rFonts w:hint="default" w:ascii="Times New Roman" w:hAnsi="Times New Roman" w:cs="Times New Roman"/>
          <w:b/>
          <w:bCs/>
        </w:rPr>
      </w:pPr>
    </w:p>
    <w:bookmarkEnd w:id="463"/>
    <w:p w14:paraId="1CBDC468">
      <w:pPr>
        <w:rPr>
          <w:rFonts w:hint="default" w:ascii="Times New Roman" w:hAnsi="Times New Roman" w:cs="Times New Roman"/>
        </w:rPr>
      </w:pPr>
      <w:bookmarkStart w:id="464" w:name="_Toc152045795"/>
      <w:bookmarkStart w:id="465" w:name="_Toc144974863"/>
      <w:bookmarkStart w:id="466" w:name="_Toc152042584"/>
      <w:bookmarkStart w:id="467" w:name="_Toc247527835"/>
      <w:bookmarkStart w:id="468" w:name="_Toc247514287"/>
      <w:bookmarkStart w:id="469" w:name="_Toc300835218"/>
      <w:r>
        <w:rPr>
          <w:rFonts w:hint="default" w:ascii="Times New Roman" w:hAnsi="Times New Roman" w:cs="Times New Roman"/>
        </w:rPr>
        <w:br w:type="page"/>
      </w:r>
    </w:p>
    <w:p w14:paraId="25083289">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14:paraId="213D7DA2">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38C90BF2">
      <w:pPr>
        <w:rPr>
          <w:rFonts w:hint="eastAsia" w:ascii="Times New Roman" w:hAnsi="Times New Roman" w:cs="Times New Roman"/>
          <w:lang w:val="en-US" w:eastAsia="zh-CN"/>
        </w:rPr>
      </w:pPr>
    </w:p>
    <w:p w14:paraId="3F3EFF17">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0B37977E">
      <w:pPr>
        <w:rPr>
          <w:rFonts w:hint="default" w:ascii="Times New Roman" w:hAnsi="Times New Roman" w:cs="Times New Roman"/>
          <w:lang w:val="en-US" w:eastAsia="zh-CN"/>
        </w:rPr>
      </w:pPr>
    </w:p>
    <w:p w14:paraId="2F9AA941">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606F2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DD69D8C">
            <w:pPr>
              <w:jc w:val="center"/>
              <w:rPr>
                <w:rFonts w:hint="eastAsia" w:ascii="Times New Roman" w:hAnsi="Times New Roman" w:cs="Times New Roman" w:eastAsiaTheme="minorEastAsia"/>
                <w:b/>
                <w:bCs/>
                <w:vertAlign w:val="baseline"/>
                <w:lang w:val="en-US" w:eastAsia="zh-CN"/>
              </w:rPr>
            </w:pPr>
            <w:bookmarkStart w:id="470" w:name="_Toc247527836"/>
            <w:bookmarkStart w:id="471" w:name="_Toc144974864"/>
            <w:bookmarkStart w:id="472" w:name="_Toc300835221"/>
            <w:bookmarkStart w:id="473" w:name="_Toc152042585"/>
            <w:bookmarkStart w:id="474" w:name="_Toc152045796"/>
            <w:bookmarkStart w:id="475" w:name="_Toc247514288"/>
            <w:r>
              <w:rPr>
                <w:rFonts w:hint="eastAsia" w:ascii="Times New Roman" w:hAnsi="Times New Roman" w:cs="Times New Roman"/>
                <w:b/>
                <w:bCs/>
                <w:vertAlign w:val="baseline"/>
                <w:lang w:val="en-US" w:eastAsia="zh-CN"/>
              </w:rPr>
              <w:t>序号</w:t>
            </w:r>
          </w:p>
        </w:tc>
        <w:tc>
          <w:tcPr>
            <w:tcW w:w="2268" w:type="dxa"/>
            <w:vAlign w:val="center"/>
          </w:tcPr>
          <w:p w14:paraId="1EACFE09">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306A4A70">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2553BA59">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3092032D">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63816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691ABA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66912A7F">
            <w:pPr>
              <w:jc w:val="center"/>
              <w:rPr>
                <w:rFonts w:hint="default" w:ascii="Times New Roman" w:hAnsi="Times New Roman" w:cs="Times New Roman"/>
                <w:vertAlign w:val="baseline"/>
              </w:rPr>
            </w:pPr>
          </w:p>
        </w:tc>
        <w:tc>
          <w:tcPr>
            <w:tcW w:w="2268" w:type="dxa"/>
            <w:vAlign w:val="center"/>
          </w:tcPr>
          <w:p w14:paraId="572EE4B3">
            <w:pPr>
              <w:jc w:val="center"/>
              <w:rPr>
                <w:rFonts w:hint="default" w:ascii="Times New Roman" w:hAnsi="Times New Roman" w:cs="Times New Roman"/>
                <w:vertAlign w:val="baseline"/>
              </w:rPr>
            </w:pPr>
          </w:p>
        </w:tc>
        <w:tc>
          <w:tcPr>
            <w:tcW w:w="1134" w:type="dxa"/>
            <w:vAlign w:val="center"/>
          </w:tcPr>
          <w:p w14:paraId="4D24BE49">
            <w:pPr>
              <w:jc w:val="center"/>
              <w:rPr>
                <w:rFonts w:hint="default" w:ascii="Times New Roman" w:hAnsi="Times New Roman" w:cs="Times New Roman"/>
                <w:vertAlign w:val="baseline"/>
              </w:rPr>
            </w:pPr>
          </w:p>
        </w:tc>
        <w:tc>
          <w:tcPr>
            <w:tcW w:w="2001" w:type="dxa"/>
            <w:vAlign w:val="center"/>
          </w:tcPr>
          <w:p w14:paraId="7B2CD938">
            <w:pPr>
              <w:jc w:val="center"/>
              <w:rPr>
                <w:rFonts w:hint="default" w:ascii="Times New Roman" w:hAnsi="Times New Roman" w:cs="Times New Roman"/>
                <w:vertAlign w:val="baseline"/>
              </w:rPr>
            </w:pPr>
          </w:p>
        </w:tc>
      </w:tr>
      <w:tr w14:paraId="6C7A4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7AF06C7">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4499CFCE">
            <w:pPr>
              <w:jc w:val="center"/>
              <w:rPr>
                <w:rFonts w:hint="default" w:ascii="Times New Roman" w:hAnsi="Times New Roman" w:cs="Times New Roman"/>
                <w:vertAlign w:val="baseline"/>
              </w:rPr>
            </w:pPr>
          </w:p>
        </w:tc>
        <w:tc>
          <w:tcPr>
            <w:tcW w:w="2268" w:type="dxa"/>
            <w:vAlign w:val="center"/>
          </w:tcPr>
          <w:p w14:paraId="76663D46">
            <w:pPr>
              <w:jc w:val="center"/>
              <w:rPr>
                <w:rFonts w:hint="default" w:ascii="Times New Roman" w:hAnsi="Times New Roman" w:cs="Times New Roman"/>
                <w:vertAlign w:val="baseline"/>
              </w:rPr>
            </w:pPr>
          </w:p>
        </w:tc>
        <w:tc>
          <w:tcPr>
            <w:tcW w:w="1134" w:type="dxa"/>
            <w:vAlign w:val="center"/>
          </w:tcPr>
          <w:p w14:paraId="0097BF91">
            <w:pPr>
              <w:jc w:val="center"/>
              <w:rPr>
                <w:rFonts w:hint="default" w:ascii="Times New Roman" w:hAnsi="Times New Roman" w:cs="Times New Roman"/>
                <w:vertAlign w:val="baseline"/>
              </w:rPr>
            </w:pPr>
          </w:p>
        </w:tc>
        <w:tc>
          <w:tcPr>
            <w:tcW w:w="2001" w:type="dxa"/>
            <w:vAlign w:val="center"/>
          </w:tcPr>
          <w:p w14:paraId="1D65E695">
            <w:pPr>
              <w:jc w:val="center"/>
              <w:rPr>
                <w:rFonts w:hint="default" w:ascii="Times New Roman" w:hAnsi="Times New Roman" w:cs="Times New Roman"/>
                <w:vertAlign w:val="baseline"/>
              </w:rPr>
            </w:pPr>
          </w:p>
        </w:tc>
      </w:tr>
      <w:tr w14:paraId="55B4C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CD571F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1304D108">
            <w:pPr>
              <w:jc w:val="center"/>
              <w:rPr>
                <w:rFonts w:hint="default" w:ascii="Times New Roman" w:hAnsi="Times New Roman" w:cs="Times New Roman"/>
                <w:vertAlign w:val="baseline"/>
              </w:rPr>
            </w:pPr>
          </w:p>
        </w:tc>
        <w:tc>
          <w:tcPr>
            <w:tcW w:w="2268" w:type="dxa"/>
            <w:vAlign w:val="center"/>
          </w:tcPr>
          <w:p w14:paraId="2781462C">
            <w:pPr>
              <w:jc w:val="center"/>
              <w:rPr>
                <w:rFonts w:hint="default" w:ascii="Times New Roman" w:hAnsi="Times New Roman" w:cs="Times New Roman"/>
                <w:vertAlign w:val="baseline"/>
              </w:rPr>
            </w:pPr>
          </w:p>
        </w:tc>
        <w:tc>
          <w:tcPr>
            <w:tcW w:w="1134" w:type="dxa"/>
            <w:vAlign w:val="center"/>
          </w:tcPr>
          <w:p w14:paraId="0060EA05">
            <w:pPr>
              <w:jc w:val="center"/>
              <w:rPr>
                <w:rFonts w:hint="default" w:ascii="Times New Roman" w:hAnsi="Times New Roman" w:cs="Times New Roman"/>
                <w:vertAlign w:val="baseline"/>
              </w:rPr>
            </w:pPr>
          </w:p>
        </w:tc>
        <w:tc>
          <w:tcPr>
            <w:tcW w:w="2001" w:type="dxa"/>
            <w:vAlign w:val="center"/>
          </w:tcPr>
          <w:p w14:paraId="66953E79">
            <w:pPr>
              <w:jc w:val="center"/>
              <w:rPr>
                <w:rFonts w:hint="default" w:ascii="Times New Roman" w:hAnsi="Times New Roman" w:cs="Times New Roman"/>
                <w:vertAlign w:val="baseline"/>
              </w:rPr>
            </w:pPr>
          </w:p>
        </w:tc>
      </w:tr>
      <w:tr w14:paraId="1E75B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F61E9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25091FD9">
            <w:pPr>
              <w:jc w:val="center"/>
              <w:rPr>
                <w:rFonts w:hint="default" w:ascii="Times New Roman" w:hAnsi="Times New Roman" w:cs="Times New Roman"/>
                <w:vertAlign w:val="baseline"/>
              </w:rPr>
            </w:pPr>
          </w:p>
        </w:tc>
        <w:tc>
          <w:tcPr>
            <w:tcW w:w="2268" w:type="dxa"/>
            <w:vAlign w:val="center"/>
          </w:tcPr>
          <w:p w14:paraId="029BA6EC">
            <w:pPr>
              <w:jc w:val="center"/>
              <w:rPr>
                <w:rFonts w:hint="default" w:ascii="Times New Roman" w:hAnsi="Times New Roman" w:cs="Times New Roman"/>
                <w:vertAlign w:val="baseline"/>
              </w:rPr>
            </w:pPr>
          </w:p>
        </w:tc>
        <w:tc>
          <w:tcPr>
            <w:tcW w:w="1134" w:type="dxa"/>
            <w:vAlign w:val="center"/>
          </w:tcPr>
          <w:p w14:paraId="06376993">
            <w:pPr>
              <w:jc w:val="center"/>
              <w:rPr>
                <w:rFonts w:hint="default" w:ascii="Times New Roman" w:hAnsi="Times New Roman" w:cs="Times New Roman"/>
                <w:vertAlign w:val="baseline"/>
              </w:rPr>
            </w:pPr>
          </w:p>
        </w:tc>
        <w:tc>
          <w:tcPr>
            <w:tcW w:w="2001" w:type="dxa"/>
            <w:vAlign w:val="center"/>
          </w:tcPr>
          <w:p w14:paraId="58D660DF">
            <w:pPr>
              <w:jc w:val="center"/>
              <w:rPr>
                <w:rFonts w:hint="default" w:ascii="Times New Roman" w:hAnsi="Times New Roman" w:cs="Times New Roman"/>
                <w:vertAlign w:val="baseline"/>
              </w:rPr>
            </w:pPr>
          </w:p>
        </w:tc>
      </w:tr>
      <w:tr w14:paraId="306BA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503EEB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70D85914">
            <w:pPr>
              <w:jc w:val="center"/>
              <w:rPr>
                <w:rFonts w:hint="default" w:ascii="Times New Roman" w:hAnsi="Times New Roman" w:cs="Times New Roman"/>
                <w:vertAlign w:val="baseline"/>
              </w:rPr>
            </w:pPr>
          </w:p>
        </w:tc>
        <w:tc>
          <w:tcPr>
            <w:tcW w:w="2268" w:type="dxa"/>
            <w:vAlign w:val="center"/>
          </w:tcPr>
          <w:p w14:paraId="103CEA8B">
            <w:pPr>
              <w:jc w:val="center"/>
              <w:rPr>
                <w:rFonts w:hint="default" w:ascii="Times New Roman" w:hAnsi="Times New Roman" w:cs="Times New Roman"/>
                <w:vertAlign w:val="baseline"/>
              </w:rPr>
            </w:pPr>
          </w:p>
        </w:tc>
        <w:tc>
          <w:tcPr>
            <w:tcW w:w="1134" w:type="dxa"/>
            <w:vAlign w:val="center"/>
          </w:tcPr>
          <w:p w14:paraId="15EFD0F8">
            <w:pPr>
              <w:jc w:val="center"/>
              <w:rPr>
                <w:rFonts w:hint="default" w:ascii="Times New Roman" w:hAnsi="Times New Roman" w:cs="Times New Roman"/>
                <w:vertAlign w:val="baseline"/>
              </w:rPr>
            </w:pPr>
          </w:p>
        </w:tc>
        <w:tc>
          <w:tcPr>
            <w:tcW w:w="2001" w:type="dxa"/>
            <w:vAlign w:val="center"/>
          </w:tcPr>
          <w:p w14:paraId="1274BF07">
            <w:pPr>
              <w:jc w:val="center"/>
              <w:rPr>
                <w:rFonts w:hint="default" w:ascii="Times New Roman" w:hAnsi="Times New Roman" w:cs="Times New Roman"/>
                <w:vertAlign w:val="baseline"/>
              </w:rPr>
            </w:pPr>
          </w:p>
        </w:tc>
      </w:tr>
      <w:tr w14:paraId="4B91D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BE992D4">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504D3D89">
            <w:pPr>
              <w:jc w:val="center"/>
              <w:rPr>
                <w:rFonts w:hint="default" w:ascii="Times New Roman" w:hAnsi="Times New Roman" w:cs="Times New Roman"/>
                <w:vertAlign w:val="baseline"/>
              </w:rPr>
            </w:pPr>
          </w:p>
        </w:tc>
        <w:tc>
          <w:tcPr>
            <w:tcW w:w="2268" w:type="dxa"/>
            <w:vAlign w:val="center"/>
          </w:tcPr>
          <w:p w14:paraId="15DA6636">
            <w:pPr>
              <w:jc w:val="center"/>
              <w:rPr>
                <w:rFonts w:hint="default" w:ascii="Times New Roman" w:hAnsi="Times New Roman" w:cs="Times New Roman"/>
                <w:vertAlign w:val="baseline"/>
              </w:rPr>
            </w:pPr>
          </w:p>
        </w:tc>
        <w:tc>
          <w:tcPr>
            <w:tcW w:w="1134" w:type="dxa"/>
            <w:vAlign w:val="center"/>
          </w:tcPr>
          <w:p w14:paraId="1109E2AA">
            <w:pPr>
              <w:jc w:val="center"/>
              <w:rPr>
                <w:rFonts w:hint="default" w:ascii="Times New Roman" w:hAnsi="Times New Roman" w:cs="Times New Roman"/>
                <w:vertAlign w:val="baseline"/>
              </w:rPr>
            </w:pPr>
          </w:p>
        </w:tc>
        <w:tc>
          <w:tcPr>
            <w:tcW w:w="2001" w:type="dxa"/>
            <w:vAlign w:val="center"/>
          </w:tcPr>
          <w:p w14:paraId="589D8EF0">
            <w:pPr>
              <w:jc w:val="center"/>
              <w:rPr>
                <w:rFonts w:hint="default" w:ascii="Times New Roman" w:hAnsi="Times New Roman" w:cs="Times New Roman"/>
                <w:vertAlign w:val="baseline"/>
              </w:rPr>
            </w:pPr>
          </w:p>
        </w:tc>
      </w:tr>
      <w:tr w14:paraId="65D84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6E24EDF8">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59E753DD">
            <w:pPr>
              <w:jc w:val="center"/>
              <w:rPr>
                <w:rFonts w:hint="default" w:ascii="Times New Roman" w:hAnsi="Times New Roman" w:cs="Times New Roman"/>
                <w:vertAlign w:val="baseline"/>
              </w:rPr>
            </w:pPr>
          </w:p>
        </w:tc>
        <w:tc>
          <w:tcPr>
            <w:tcW w:w="2001" w:type="dxa"/>
            <w:vAlign w:val="center"/>
          </w:tcPr>
          <w:p w14:paraId="3184F6E8">
            <w:pPr>
              <w:jc w:val="center"/>
              <w:rPr>
                <w:rFonts w:hint="default" w:ascii="Times New Roman" w:hAnsi="Times New Roman" w:cs="Times New Roman"/>
                <w:vertAlign w:val="baseline"/>
              </w:rPr>
            </w:pPr>
          </w:p>
        </w:tc>
      </w:tr>
    </w:tbl>
    <w:p w14:paraId="3C9BA1E3">
      <w:pPr>
        <w:rPr>
          <w:rFonts w:hint="default" w:ascii="Times New Roman" w:hAnsi="Times New Roman" w:cs="Times New Roman"/>
        </w:rPr>
      </w:pPr>
    </w:p>
    <w:p w14:paraId="5D6E5E79">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14:paraId="6813DDB5">
      <w:pPr>
        <w:pStyle w:val="3"/>
        <w:jc w:val="center"/>
        <w:rPr>
          <w:rFonts w:hint="eastAsia"/>
          <w:highlight w:val="none"/>
        </w:rPr>
      </w:pPr>
      <w:bookmarkStart w:id="476" w:name="_Toc296602614"/>
      <w:bookmarkStart w:id="477" w:name="_Toc152042597"/>
      <w:bookmarkStart w:id="478" w:name="_Toc144974871"/>
      <w:bookmarkStart w:id="479" w:name="_Toc247085887"/>
      <w:bookmarkStart w:id="480" w:name="_Toc300835224"/>
      <w:bookmarkStart w:id="481" w:name="_Toc247514300"/>
      <w:bookmarkStart w:id="482" w:name="_Toc152045803"/>
      <w:bookmarkStart w:id="483" w:name="_Toc246997112"/>
      <w:bookmarkStart w:id="484" w:name="_Toc179632823"/>
      <w:bookmarkStart w:id="485" w:name="_Toc152042592"/>
      <w:bookmarkStart w:id="486" w:name="_Toc144974876"/>
      <w:bookmarkStart w:id="487" w:name="_Toc247527848"/>
      <w:bookmarkStart w:id="488" w:name="_Toc152045808"/>
      <w:bookmarkStart w:id="489" w:name="_Toc246996369"/>
      <w:r>
        <w:rPr>
          <w:rFonts w:hint="eastAsia"/>
          <w:highlight w:val="none"/>
          <w:lang w:val="en-US" w:eastAsia="zh-CN"/>
        </w:rPr>
        <w:t>五</w:t>
      </w:r>
      <w:r>
        <w:rPr>
          <w:highlight w:val="none"/>
        </w:rPr>
        <w:t>、资格审查资料</w:t>
      </w:r>
    </w:p>
    <w:p w14:paraId="7E3E7F09">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541786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2757027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A76747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65234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0AF5E61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4CBAC1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5B91A8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2C70C79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C98C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3B968E0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E117F7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4EBB8F9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3BB85AB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D27E53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21925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5869A00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FC74B6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7AF648F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6AF3679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5C4D422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2AD1F2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6878E6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8EB0EA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000167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D0B8FB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635AD2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8FBA4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9BCD71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74BDE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6D8AF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7D6F6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E512D9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E2650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385EF06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5ACA70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BF4C15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DE84D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25EECE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D17EB56">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17CD2C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000260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66AB3936">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33B36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821BA2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4A80D2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353678C8">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6D74F7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D31357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1BE2E48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20D9C7A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52B2E28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2C6AD56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52F5A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4A6B88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EF9C49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62D3E0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0B75646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44D05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6988F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D03F5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4CBA57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7932452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56ED734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3488AB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08CC77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7DE00F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1BE9F5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200CF44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6A25FD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BBFDCA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51BE449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88E258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748AE3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889865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937F0B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223FB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68DE1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33C6F40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3920C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6C229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476FBCB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66CD026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36C42BC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03B3C9AA">
      <w:pPr>
        <w:rPr>
          <w:rFonts w:hint="eastAsia"/>
        </w:rPr>
      </w:pPr>
      <w:r>
        <w:rPr>
          <w:rFonts w:hint="eastAsia"/>
        </w:rPr>
        <w:br w:type="page"/>
      </w:r>
    </w:p>
    <w:p w14:paraId="3E44F3AE">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25F1CD2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1427281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54FB0286">
      <w:pPr>
        <w:rPr>
          <w:rFonts w:hint="eastAsia"/>
        </w:rPr>
      </w:pPr>
      <w:r>
        <w:rPr>
          <w:rFonts w:hint="eastAsia"/>
        </w:rPr>
        <w:br w:type="page"/>
      </w:r>
    </w:p>
    <w:p w14:paraId="32213593">
      <w:pPr>
        <w:pStyle w:val="4"/>
        <w:rPr>
          <w:rFonts w:hint="default" w:ascii="Times New Roman" w:hAnsi="Times New Roman" w:cs="Times New Roman"/>
        </w:rPr>
      </w:pPr>
      <w:r>
        <w:rPr>
          <w:rFonts w:hint="default" w:ascii="Times New Roman" w:hAnsi="Times New Roman" w:cs="Times New Roman"/>
        </w:rPr>
        <w:t>（三）近年完成的类似项目情况表</w:t>
      </w:r>
    </w:p>
    <w:p w14:paraId="562A3958">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5245C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1FE10E2">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4112FF50">
            <w:pPr>
              <w:topLinePunct/>
              <w:spacing w:line="440" w:lineRule="exact"/>
              <w:rPr>
                <w:rFonts w:hint="default" w:ascii="Times New Roman" w:hAnsi="Times New Roman" w:cs="Times New Roman"/>
                <w:szCs w:val="21"/>
                <w:highlight w:val="black"/>
              </w:rPr>
            </w:pPr>
          </w:p>
        </w:tc>
      </w:tr>
      <w:tr w14:paraId="20B97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DAAB3D3">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5ABED394">
            <w:pPr>
              <w:topLinePunct/>
              <w:spacing w:line="440" w:lineRule="exact"/>
              <w:rPr>
                <w:rFonts w:hint="default" w:ascii="Times New Roman" w:hAnsi="Times New Roman" w:cs="Times New Roman"/>
                <w:szCs w:val="21"/>
                <w:highlight w:val="black"/>
              </w:rPr>
            </w:pPr>
          </w:p>
        </w:tc>
      </w:tr>
      <w:tr w14:paraId="26F72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0030654">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7745F383">
            <w:pPr>
              <w:topLinePunct/>
              <w:spacing w:line="440" w:lineRule="exact"/>
              <w:rPr>
                <w:rFonts w:hint="default" w:ascii="Times New Roman" w:hAnsi="Times New Roman" w:cs="Times New Roman"/>
                <w:szCs w:val="21"/>
                <w:highlight w:val="black"/>
              </w:rPr>
            </w:pPr>
          </w:p>
        </w:tc>
      </w:tr>
      <w:tr w14:paraId="66FEE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3B2CB58A">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3C41DCD6">
            <w:pPr>
              <w:topLinePunct/>
              <w:spacing w:line="440" w:lineRule="exact"/>
              <w:rPr>
                <w:rFonts w:hint="default" w:ascii="Times New Roman" w:hAnsi="Times New Roman" w:cs="Times New Roman"/>
                <w:szCs w:val="21"/>
                <w:highlight w:val="black"/>
              </w:rPr>
            </w:pPr>
          </w:p>
        </w:tc>
      </w:tr>
      <w:tr w14:paraId="5DDD1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0BD8213F">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7039C42B">
            <w:pPr>
              <w:topLinePunct/>
              <w:spacing w:line="440" w:lineRule="exact"/>
              <w:rPr>
                <w:rFonts w:hint="default" w:ascii="Times New Roman" w:hAnsi="Times New Roman" w:cs="Times New Roman"/>
                <w:szCs w:val="21"/>
              </w:rPr>
            </w:pPr>
          </w:p>
        </w:tc>
      </w:tr>
      <w:tr w14:paraId="34461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6C6F5F3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DB3E22A">
            <w:pPr>
              <w:topLinePunct/>
              <w:spacing w:line="440" w:lineRule="exact"/>
              <w:rPr>
                <w:rFonts w:hint="default" w:ascii="Times New Roman" w:hAnsi="Times New Roman" w:cs="Times New Roman"/>
                <w:szCs w:val="21"/>
              </w:rPr>
            </w:pPr>
          </w:p>
        </w:tc>
      </w:tr>
      <w:tr w14:paraId="77AF8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0934AD44">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7E2454B0">
            <w:pPr>
              <w:topLinePunct/>
              <w:spacing w:line="440" w:lineRule="exact"/>
              <w:rPr>
                <w:rFonts w:hint="default" w:ascii="Times New Roman" w:hAnsi="Times New Roman" w:cs="Times New Roman"/>
                <w:szCs w:val="21"/>
              </w:rPr>
            </w:pPr>
          </w:p>
        </w:tc>
      </w:tr>
      <w:tr w14:paraId="35374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0EB5E86">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00FDCDC8">
            <w:pPr>
              <w:topLinePunct/>
              <w:spacing w:line="440" w:lineRule="exact"/>
              <w:rPr>
                <w:rFonts w:hint="default" w:ascii="Times New Roman" w:hAnsi="Times New Roman" w:cs="Times New Roman"/>
                <w:szCs w:val="21"/>
              </w:rPr>
            </w:pPr>
          </w:p>
        </w:tc>
      </w:tr>
      <w:tr w14:paraId="788C5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58DB89E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1D93646D">
            <w:pPr>
              <w:topLinePunct/>
              <w:spacing w:line="440" w:lineRule="exact"/>
              <w:rPr>
                <w:rFonts w:hint="default" w:ascii="Times New Roman" w:hAnsi="Times New Roman" w:cs="Times New Roman"/>
                <w:szCs w:val="21"/>
              </w:rPr>
            </w:pPr>
          </w:p>
        </w:tc>
      </w:tr>
      <w:tr w14:paraId="03EDD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9769DA5">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2898C864">
            <w:pPr>
              <w:topLinePunct/>
              <w:spacing w:line="440" w:lineRule="exact"/>
              <w:rPr>
                <w:rFonts w:hint="default" w:ascii="Times New Roman" w:hAnsi="Times New Roman" w:cs="Times New Roman"/>
                <w:szCs w:val="21"/>
              </w:rPr>
            </w:pPr>
          </w:p>
          <w:p w14:paraId="1747D4F0">
            <w:pPr>
              <w:topLinePunct/>
              <w:spacing w:line="440" w:lineRule="exact"/>
              <w:rPr>
                <w:rFonts w:hint="default" w:ascii="Times New Roman" w:hAnsi="Times New Roman" w:cs="Times New Roman"/>
                <w:szCs w:val="21"/>
              </w:rPr>
            </w:pPr>
          </w:p>
          <w:p w14:paraId="7CC8AA70">
            <w:pPr>
              <w:topLinePunct/>
              <w:spacing w:line="440" w:lineRule="exact"/>
              <w:rPr>
                <w:rFonts w:hint="default" w:ascii="Times New Roman" w:hAnsi="Times New Roman" w:cs="Times New Roman"/>
                <w:szCs w:val="21"/>
              </w:rPr>
            </w:pPr>
          </w:p>
          <w:p w14:paraId="1F0AFC70">
            <w:pPr>
              <w:topLinePunct/>
              <w:spacing w:line="440" w:lineRule="exact"/>
              <w:rPr>
                <w:rFonts w:hint="default" w:ascii="Times New Roman" w:hAnsi="Times New Roman" w:cs="Times New Roman"/>
                <w:szCs w:val="21"/>
              </w:rPr>
            </w:pPr>
          </w:p>
          <w:p w14:paraId="0FC46995">
            <w:pPr>
              <w:topLinePunct/>
              <w:spacing w:line="440" w:lineRule="exact"/>
              <w:rPr>
                <w:rFonts w:hint="default" w:ascii="Times New Roman" w:hAnsi="Times New Roman" w:cs="Times New Roman"/>
                <w:szCs w:val="21"/>
              </w:rPr>
            </w:pPr>
          </w:p>
          <w:p w14:paraId="7AD5D5D8">
            <w:pPr>
              <w:topLinePunct/>
              <w:spacing w:line="440" w:lineRule="exact"/>
              <w:rPr>
                <w:rFonts w:hint="default" w:ascii="Times New Roman" w:hAnsi="Times New Roman" w:cs="Times New Roman"/>
                <w:szCs w:val="21"/>
              </w:rPr>
            </w:pPr>
          </w:p>
          <w:p w14:paraId="1A7BC528">
            <w:pPr>
              <w:topLinePunct/>
              <w:spacing w:line="440" w:lineRule="exact"/>
              <w:rPr>
                <w:rFonts w:hint="default" w:ascii="Times New Roman" w:hAnsi="Times New Roman" w:cs="Times New Roman"/>
                <w:szCs w:val="21"/>
              </w:rPr>
            </w:pPr>
          </w:p>
        </w:tc>
      </w:tr>
      <w:tr w14:paraId="174F4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5482239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664BE251">
            <w:pPr>
              <w:topLinePunct/>
              <w:spacing w:line="440" w:lineRule="exact"/>
              <w:rPr>
                <w:rFonts w:hint="default" w:ascii="Times New Roman" w:hAnsi="Times New Roman" w:cs="Times New Roman"/>
                <w:szCs w:val="21"/>
              </w:rPr>
            </w:pPr>
          </w:p>
        </w:tc>
      </w:tr>
    </w:tbl>
    <w:p w14:paraId="4AD7635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556C47D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14:paraId="41EDF0F7">
      <w:pPr>
        <w:rPr>
          <w:rFonts w:hint="eastAsia"/>
        </w:rPr>
      </w:pPr>
      <w:r>
        <w:rPr>
          <w:rFonts w:hint="eastAsia"/>
        </w:rPr>
        <w:br w:type="page"/>
      </w:r>
    </w:p>
    <w:p w14:paraId="353657FE">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0DDD8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711EB9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5CBD477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7DB4D3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571B28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E7C92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5D43EE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2EC744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08F6D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0857A2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573FBD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1DD4F5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7A1FB4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0F3747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9F617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082D53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60EC233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2CDC7A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E901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4A5145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1B41C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AC986D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B843C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FCB31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72D839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FC1C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81B5C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F43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B901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9AD9D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109A6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E4C4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2CD9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A76C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D92EA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9B24F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6A31A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9597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6BAA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DF2DE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45D6C8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C00FE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9B92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76859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77D62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D59C22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7FFEB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5D6BE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3E2D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EA465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1391F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15FF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74D72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9A42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21E18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69A7C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096AA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07F63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9113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4A493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7B23CC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C0FB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6B33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BCB0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A5220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431B5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C40BB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B1085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8C12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1C38F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4BF33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BC566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F314D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CC79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EE4392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B845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DE747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BD15E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2795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14B4A7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A699F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6915A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78F42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1C978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E36F1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1BBE3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D264F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B94B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E589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844E6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C29A46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AA52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0F3EE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C6C7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380F6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1C035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CA92F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419FE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046E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B34FE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DE6BF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93F1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50455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7CD0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C4E0D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CBA5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E82ED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5392C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2D79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E1F9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BE080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0796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E563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0E6A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4FBBE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88FC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D47AF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15560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5DA3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534D2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B93BF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66D46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2CC67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6E8A1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89DC4A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8000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251BF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F1280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BBCE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FF787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F7638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34E4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A1ED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93CC7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424B5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E934E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663F4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78A3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D5F5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24C6D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743F6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756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2213F8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645D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F9D9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46434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E32E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8CFF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6F65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F617E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94F05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30E6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5C4D1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B2E1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053B7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CAD0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E64BD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B6F3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DC5F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679B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0E068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BADD1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824A7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ABD2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C6543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AFBAF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9A94D8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F079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811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32B87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FF00EE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0465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7041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63A2D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BFE3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ED16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BF660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7F0A0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4F9F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3C760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8BF57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57D6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DDFA05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167D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B1C75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300F9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6B2718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24E02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50DA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5230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7BD10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4EE5E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D140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1F68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0B38F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D2C4C7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5D53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1AAB3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FC76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97B0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7223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34678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4920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5A33D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02568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844E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B25503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F43E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A0CA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113E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5EC52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E899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1EB28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C4F2E6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DE462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0509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7C580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C1B6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A532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20F0F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D33E6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08683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6FF89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FE1E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5758D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3BF62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3C2BE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8191B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C525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05DFB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5411C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35AE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2949D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2055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1AEDB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9DC9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E1BBEB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D50D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40DDB75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177D92C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77F66163">
      <w:pPr>
        <w:rPr>
          <w:rFonts w:hint="eastAsia"/>
          <w:i/>
          <w:iCs/>
          <w:color w:val="FF0000"/>
          <w:u w:val="single"/>
          <w:lang w:val="en-US" w:eastAsia="zh-CN"/>
        </w:rPr>
      </w:pPr>
    </w:p>
    <w:p w14:paraId="4A6DB06E">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4F59C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3B3050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2A3CCC0B">
            <w:pPr>
              <w:jc w:val="center"/>
              <w:rPr>
                <w:rFonts w:hint="eastAsia"/>
                <w:i w:val="0"/>
                <w:iCs w:val="0"/>
                <w:color w:val="auto"/>
                <w:u w:val="none"/>
                <w:vertAlign w:val="baseline"/>
                <w:lang w:val="en-US" w:eastAsia="zh-CN"/>
              </w:rPr>
            </w:pPr>
          </w:p>
        </w:tc>
        <w:tc>
          <w:tcPr>
            <w:tcW w:w="1134" w:type="dxa"/>
            <w:vAlign w:val="center"/>
          </w:tcPr>
          <w:p w14:paraId="6A60276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6732EAD0">
            <w:pPr>
              <w:jc w:val="center"/>
              <w:rPr>
                <w:rFonts w:hint="eastAsia"/>
                <w:i w:val="0"/>
                <w:iCs w:val="0"/>
                <w:color w:val="auto"/>
                <w:u w:val="none"/>
                <w:vertAlign w:val="baseline"/>
                <w:lang w:val="en-US" w:eastAsia="zh-CN"/>
              </w:rPr>
            </w:pPr>
          </w:p>
        </w:tc>
        <w:tc>
          <w:tcPr>
            <w:tcW w:w="1701" w:type="dxa"/>
            <w:vAlign w:val="center"/>
          </w:tcPr>
          <w:p w14:paraId="08F32401">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5D5C4843">
            <w:pPr>
              <w:jc w:val="center"/>
              <w:rPr>
                <w:rFonts w:hint="eastAsia"/>
                <w:i w:val="0"/>
                <w:iCs w:val="0"/>
                <w:color w:val="auto"/>
                <w:u w:val="none"/>
                <w:vertAlign w:val="baseline"/>
                <w:lang w:val="en-US" w:eastAsia="zh-CN"/>
              </w:rPr>
            </w:pPr>
          </w:p>
        </w:tc>
      </w:tr>
      <w:tr w14:paraId="3ECEB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86977F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5E1ADCEF">
            <w:pPr>
              <w:jc w:val="center"/>
              <w:rPr>
                <w:rFonts w:hint="eastAsia"/>
                <w:i w:val="0"/>
                <w:iCs w:val="0"/>
                <w:color w:val="auto"/>
                <w:u w:val="none"/>
                <w:vertAlign w:val="baseline"/>
                <w:lang w:val="en-US" w:eastAsia="zh-CN"/>
              </w:rPr>
            </w:pPr>
          </w:p>
        </w:tc>
        <w:tc>
          <w:tcPr>
            <w:tcW w:w="1134" w:type="dxa"/>
            <w:vAlign w:val="center"/>
          </w:tcPr>
          <w:p w14:paraId="3BFC66BE">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695C53A3">
            <w:pPr>
              <w:jc w:val="center"/>
              <w:rPr>
                <w:rFonts w:hint="eastAsia"/>
                <w:i w:val="0"/>
                <w:iCs w:val="0"/>
                <w:color w:val="auto"/>
                <w:u w:val="none"/>
                <w:vertAlign w:val="baseline"/>
                <w:lang w:val="en-US" w:eastAsia="zh-CN"/>
              </w:rPr>
            </w:pPr>
          </w:p>
        </w:tc>
        <w:tc>
          <w:tcPr>
            <w:tcW w:w="1701" w:type="dxa"/>
            <w:vAlign w:val="center"/>
          </w:tcPr>
          <w:p w14:paraId="5645A00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29E05929">
            <w:pPr>
              <w:jc w:val="center"/>
              <w:rPr>
                <w:rFonts w:hint="eastAsia"/>
                <w:i w:val="0"/>
                <w:iCs w:val="0"/>
                <w:color w:val="auto"/>
                <w:u w:val="none"/>
                <w:vertAlign w:val="baseline"/>
                <w:lang w:val="en-US" w:eastAsia="zh-CN"/>
              </w:rPr>
            </w:pPr>
          </w:p>
        </w:tc>
      </w:tr>
      <w:tr w14:paraId="1854E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DD04F5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6EAE9614">
            <w:pPr>
              <w:jc w:val="center"/>
              <w:rPr>
                <w:rFonts w:hint="eastAsia"/>
                <w:i w:val="0"/>
                <w:iCs w:val="0"/>
                <w:color w:val="auto"/>
                <w:u w:val="none"/>
                <w:vertAlign w:val="baseline"/>
                <w:lang w:val="en-US" w:eastAsia="zh-CN"/>
              </w:rPr>
            </w:pPr>
          </w:p>
        </w:tc>
        <w:tc>
          <w:tcPr>
            <w:tcW w:w="1701" w:type="dxa"/>
            <w:vAlign w:val="center"/>
          </w:tcPr>
          <w:p w14:paraId="56956A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09F32A10">
            <w:pPr>
              <w:jc w:val="center"/>
              <w:rPr>
                <w:rFonts w:hint="eastAsia"/>
                <w:i w:val="0"/>
                <w:iCs w:val="0"/>
                <w:color w:val="auto"/>
                <w:u w:val="none"/>
                <w:vertAlign w:val="baseline"/>
                <w:lang w:val="en-US" w:eastAsia="zh-CN"/>
              </w:rPr>
            </w:pPr>
          </w:p>
        </w:tc>
      </w:tr>
      <w:tr w14:paraId="05561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A19A0E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1D56A361">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4DC31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3A84D971">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5AFEB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4641D2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23C5FECE">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53EDC99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3F51C7D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00241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A00CEC1">
            <w:pPr>
              <w:jc w:val="center"/>
              <w:rPr>
                <w:rFonts w:hint="eastAsia"/>
                <w:i w:val="0"/>
                <w:iCs w:val="0"/>
                <w:color w:val="auto"/>
                <w:u w:val="none"/>
                <w:vertAlign w:val="baseline"/>
                <w:lang w:val="en-US" w:eastAsia="zh-CN"/>
              </w:rPr>
            </w:pPr>
          </w:p>
        </w:tc>
        <w:tc>
          <w:tcPr>
            <w:tcW w:w="3402" w:type="dxa"/>
            <w:gridSpan w:val="3"/>
            <w:vAlign w:val="center"/>
          </w:tcPr>
          <w:p w14:paraId="319A5A5C">
            <w:pPr>
              <w:jc w:val="center"/>
              <w:rPr>
                <w:rFonts w:hint="eastAsia"/>
                <w:i w:val="0"/>
                <w:iCs w:val="0"/>
                <w:color w:val="auto"/>
                <w:u w:val="none"/>
                <w:vertAlign w:val="baseline"/>
                <w:lang w:val="en-US" w:eastAsia="zh-CN"/>
              </w:rPr>
            </w:pPr>
          </w:p>
        </w:tc>
        <w:tc>
          <w:tcPr>
            <w:tcW w:w="1701" w:type="dxa"/>
            <w:vAlign w:val="center"/>
          </w:tcPr>
          <w:p w14:paraId="23360D0F">
            <w:pPr>
              <w:jc w:val="center"/>
              <w:rPr>
                <w:rFonts w:hint="eastAsia"/>
                <w:i w:val="0"/>
                <w:iCs w:val="0"/>
                <w:color w:val="auto"/>
                <w:u w:val="none"/>
                <w:vertAlign w:val="baseline"/>
                <w:lang w:val="en-US" w:eastAsia="zh-CN"/>
              </w:rPr>
            </w:pPr>
          </w:p>
        </w:tc>
        <w:tc>
          <w:tcPr>
            <w:tcW w:w="2285" w:type="dxa"/>
            <w:vAlign w:val="center"/>
          </w:tcPr>
          <w:p w14:paraId="45CB367A">
            <w:pPr>
              <w:jc w:val="center"/>
              <w:rPr>
                <w:rFonts w:hint="eastAsia"/>
                <w:i w:val="0"/>
                <w:iCs w:val="0"/>
                <w:color w:val="auto"/>
                <w:u w:val="none"/>
                <w:vertAlign w:val="baseline"/>
                <w:lang w:val="en-US" w:eastAsia="zh-CN"/>
              </w:rPr>
            </w:pPr>
          </w:p>
        </w:tc>
      </w:tr>
      <w:tr w14:paraId="6F037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50A2F71">
            <w:pPr>
              <w:jc w:val="center"/>
              <w:rPr>
                <w:rFonts w:hint="eastAsia"/>
                <w:i w:val="0"/>
                <w:iCs w:val="0"/>
                <w:color w:val="auto"/>
                <w:u w:val="none"/>
                <w:vertAlign w:val="baseline"/>
                <w:lang w:val="en-US" w:eastAsia="zh-CN"/>
              </w:rPr>
            </w:pPr>
          </w:p>
        </w:tc>
        <w:tc>
          <w:tcPr>
            <w:tcW w:w="3402" w:type="dxa"/>
            <w:gridSpan w:val="3"/>
            <w:vAlign w:val="center"/>
          </w:tcPr>
          <w:p w14:paraId="7F123D67">
            <w:pPr>
              <w:jc w:val="center"/>
              <w:rPr>
                <w:rFonts w:hint="eastAsia"/>
                <w:i w:val="0"/>
                <w:iCs w:val="0"/>
                <w:color w:val="auto"/>
                <w:u w:val="none"/>
                <w:vertAlign w:val="baseline"/>
                <w:lang w:val="en-US" w:eastAsia="zh-CN"/>
              </w:rPr>
            </w:pPr>
          </w:p>
        </w:tc>
        <w:tc>
          <w:tcPr>
            <w:tcW w:w="1701" w:type="dxa"/>
            <w:vAlign w:val="center"/>
          </w:tcPr>
          <w:p w14:paraId="36F17552">
            <w:pPr>
              <w:jc w:val="center"/>
              <w:rPr>
                <w:rFonts w:hint="eastAsia"/>
                <w:i w:val="0"/>
                <w:iCs w:val="0"/>
                <w:color w:val="auto"/>
                <w:u w:val="none"/>
                <w:vertAlign w:val="baseline"/>
                <w:lang w:val="en-US" w:eastAsia="zh-CN"/>
              </w:rPr>
            </w:pPr>
          </w:p>
        </w:tc>
        <w:tc>
          <w:tcPr>
            <w:tcW w:w="2285" w:type="dxa"/>
            <w:vAlign w:val="center"/>
          </w:tcPr>
          <w:p w14:paraId="43FED520">
            <w:pPr>
              <w:jc w:val="center"/>
              <w:rPr>
                <w:rFonts w:hint="eastAsia"/>
                <w:i w:val="0"/>
                <w:iCs w:val="0"/>
                <w:color w:val="auto"/>
                <w:u w:val="none"/>
                <w:vertAlign w:val="baseline"/>
                <w:lang w:val="en-US" w:eastAsia="zh-CN"/>
              </w:rPr>
            </w:pPr>
          </w:p>
        </w:tc>
      </w:tr>
      <w:tr w14:paraId="5C2E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EEDF34B">
            <w:pPr>
              <w:jc w:val="center"/>
              <w:rPr>
                <w:rFonts w:hint="eastAsia"/>
                <w:i w:val="0"/>
                <w:iCs w:val="0"/>
                <w:color w:val="auto"/>
                <w:u w:val="none"/>
                <w:vertAlign w:val="baseline"/>
                <w:lang w:val="en-US" w:eastAsia="zh-CN"/>
              </w:rPr>
            </w:pPr>
          </w:p>
        </w:tc>
        <w:tc>
          <w:tcPr>
            <w:tcW w:w="3402" w:type="dxa"/>
            <w:gridSpan w:val="3"/>
            <w:vAlign w:val="center"/>
          </w:tcPr>
          <w:p w14:paraId="10BA4E34">
            <w:pPr>
              <w:jc w:val="center"/>
              <w:rPr>
                <w:rFonts w:hint="eastAsia"/>
                <w:i w:val="0"/>
                <w:iCs w:val="0"/>
                <w:color w:val="auto"/>
                <w:u w:val="none"/>
                <w:vertAlign w:val="baseline"/>
                <w:lang w:val="en-US" w:eastAsia="zh-CN"/>
              </w:rPr>
            </w:pPr>
          </w:p>
        </w:tc>
        <w:tc>
          <w:tcPr>
            <w:tcW w:w="1701" w:type="dxa"/>
            <w:vAlign w:val="center"/>
          </w:tcPr>
          <w:p w14:paraId="1B20CA44">
            <w:pPr>
              <w:jc w:val="center"/>
              <w:rPr>
                <w:rFonts w:hint="eastAsia"/>
                <w:i w:val="0"/>
                <w:iCs w:val="0"/>
                <w:color w:val="auto"/>
                <w:u w:val="none"/>
                <w:vertAlign w:val="baseline"/>
                <w:lang w:val="en-US" w:eastAsia="zh-CN"/>
              </w:rPr>
            </w:pPr>
          </w:p>
        </w:tc>
        <w:tc>
          <w:tcPr>
            <w:tcW w:w="2285" w:type="dxa"/>
            <w:vAlign w:val="center"/>
          </w:tcPr>
          <w:p w14:paraId="3C17FF41">
            <w:pPr>
              <w:jc w:val="center"/>
              <w:rPr>
                <w:rFonts w:hint="eastAsia"/>
                <w:i w:val="0"/>
                <w:iCs w:val="0"/>
                <w:color w:val="auto"/>
                <w:u w:val="none"/>
                <w:vertAlign w:val="baseline"/>
                <w:lang w:val="en-US" w:eastAsia="zh-CN"/>
              </w:rPr>
            </w:pPr>
          </w:p>
        </w:tc>
      </w:tr>
      <w:tr w14:paraId="748C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B95468A">
            <w:pPr>
              <w:jc w:val="center"/>
              <w:rPr>
                <w:rFonts w:hint="eastAsia"/>
                <w:i w:val="0"/>
                <w:iCs w:val="0"/>
                <w:color w:val="auto"/>
                <w:u w:val="none"/>
                <w:vertAlign w:val="baseline"/>
                <w:lang w:val="en-US" w:eastAsia="zh-CN"/>
              </w:rPr>
            </w:pPr>
          </w:p>
        </w:tc>
        <w:tc>
          <w:tcPr>
            <w:tcW w:w="3402" w:type="dxa"/>
            <w:gridSpan w:val="3"/>
            <w:vAlign w:val="center"/>
          </w:tcPr>
          <w:p w14:paraId="09C7693D">
            <w:pPr>
              <w:jc w:val="center"/>
              <w:rPr>
                <w:rFonts w:hint="eastAsia"/>
                <w:i w:val="0"/>
                <w:iCs w:val="0"/>
                <w:color w:val="auto"/>
                <w:u w:val="none"/>
                <w:vertAlign w:val="baseline"/>
                <w:lang w:val="en-US" w:eastAsia="zh-CN"/>
              </w:rPr>
            </w:pPr>
          </w:p>
        </w:tc>
        <w:tc>
          <w:tcPr>
            <w:tcW w:w="1701" w:type="dxa"/>
            <w:vAlign w:val="center"/>
          </w:tcPr>
          <w:p w14:paraId="65BDB23B">
            <w:pPr>
              <w:jc w:val="center"/>
              <w:rPr>
                <w:rFonts w:hint="eastAsia"/>
                <w:i w:val="0"/>
                <w:iCs w:val="0"/>
                <w:color w:val="auto"/>
                <w:u w:val="none"/>
                <w:vertAlign w:val="baseline"/>
                <w:lang w:val="en-US" w:eastAsia="zh-CN"/>
              </w:rPr>
            </w:pPr>
          </w:p>
        </w:tc>
        <w:tc>
          <w:tcPr>
            <w:tcW w:w="2285" w:type="dxa"/>
            <w:vAlign w:val="center"/>
          </w:tcPr>
          <w:p w14:paraId="61A8C5D1">
            <w:pPr>
              <w:jc w:val="center"/>
              <w:rPr>
                <w:rFonts w:hint="eastAsia"/>
                <w:i w:val="0"/>
                <w:iCs w:val="0"/>
                <w:color w:val="auto"/>
                <w:u w:val="none"/>
                <w:vertAlign w:val="baseline"/>
                <w:lang w:val="en-US" w:eastAsia="zh-CN"/>
              </w:rPr>
            </w:pPr>
          </w:p>
        </w:tc>
      </w:tr>
      <w:tr w14:paraId="0E789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BA5E928">
            <w:pPr>
              <w:jc w:val="center"/>
              <w:rPr>
                <w:rFonts w:hint="eastAsia"/>
                <w:i w:val="0"/>
                <w:iCs w:val="0"/>
                <w:color w:val="auto"/>
                <w:u w:val="none"/>
                <w:vertAlign w:val="baseline"/>
                <w:lang w:val="en-US" w:eastAsia="zh-CN"/>
              </w:rPr>
            </w:pPr>
          </w:p>
        </w:tc>
        <w:tc>
          <w:tcPr>
            <w:tcW w:w="3402" w:type="dxa"/>
            <w:gridSpan w:val="3"/>
            <w:vAlign w:val="center"/>
          </w:tcPr>
          <w:p w14:paraId="2DA91C5E">
            <w:pPr>
              <w:jc w:val="center"/>
              <w:rPr>
                <w:rFonts w:hint="eastAsia"/>
                <w:i w:val="0"/>
                <w:iCs w:val="0"/>
                <w:color w:val="auto"/>
                <w:u w:val="none"/>
                <w:vertAlign w:val="baseline"/>
                <w:lang w:val="en-US" w:eastAsia="zh-CN"/>
              </w:rPr>
            </w:pPr>
          </w:p>
        </w:tc>
        <w:tc>
          <w:tcPr>
            <w:tcW w:w="1701" w:type="dxa"/>
            <w:vAlign w:val="center"/>
          </w:tcPr>
          <w:p w14:paraId="319B9591">
            <w:pPr>
              <w:jc w:val="center"/>
              <w:rPr>
                <w:rFonts w:hint="eastAsia"/>
                <w:i w:val="0"/>
                <w:iCs w:val="0"/>
                <w:color w:val="auto"/>
                <w:u w:val="none"/>
                <w:vertAlign w:val="baseline"/>
                <w:lang w:val="en-US" w:eastAsia="zh-CN"/>
              </w:rPr>
            </w:pPr>
          </w:p>
        </w:tc>
        <w:tc>
          <w:tcPr>
            <w:tcW w:w="2285" w:type="dxa"/>
            <w:vAlign w:val="center"/>
          </w:tcPr>
          <w:p w14:paraId="031F21FE">
            <w:pPr>
              <w:jc w:val="center"/>
              <w:rPr>
                <w:rFonts w:hint="eastAsia"/>
                <w:i w:val="0"/>
                <w:iCs w:val="0"/>
                <w:color w:val="auto"/>
                <w:u w:val="none"/>
                <w:vertAlign w:val="baseline"/>
                <w:lang w:val="en-US" w:eastAsia="zh-CN"/>
              </w:rPr>
            </w:pPr>
          </w:p>
        </w:tc>
      </w:tr>
      <w:tr w14:paraId="03BC6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E866AEC">
            <w:pPr>
              <w:jc w:val="center"/>
              <w:rPr>
                <w:rFonts w:hint="eastAsia"/>
                <w:i w:val="0"/>
                <w:iCs w:val="0"/>
                <w:color w:val="auto"/>
                <w:u w:val="none"/>
                <w:vertAlign w:val="baseline"/>
                <w:lang w:val="en-US" w:eastAsia="zh-CN"/>
              </w:rPr>
            </w:pPr>
          </w:p>
        </w:tc>
        <w:tc>
          <w:tcPr>
            <w:tcW w:w="3402" w:type="dxa"/>
            <w:gridSpan w:val="3"/>
            <w:vAlign w:val="center"/>
          </w:tcPr>
          <w:p w14:paraId="77F319CB">
            <w:pPr>
              <w:jc w:val="center"/>
              <w:rPr>
                <w:rFonts w:hint="eastAsia"/>
                <w:i w:val="0"/>
                <w:iCs w:val="0"/>
                <w:color w:val="auto"/>
                <w:u w:val="none"/>
                <w:vertAlign w:val="baseline"/>
                <w:lang w:val="en-US" w:eastAsia="zh-CN"/>
              </w:rPr>
            </w:pPr>
          </w:p>
        </w:tc>
        <w:tc>
          <w:tcPr>
            <w:tcW w:w="1701" w:type="dxa"/>
            <w:vAlign w:val="center"/>
          </w:tcPr>
          <w:p w14:paraId="269883DB">
            <w:pPr>
              <w:jc w:val="center"/>
              <w:rPr>
                <w:rFonts w:hint="eastAsia"/>
                <w:i w:val="0"/>
                <w:iCs w:val="0"/>
                <w:color w:val="auto"/>
                <w:u w:val="none"/>
                <w:vertAlign w:val="baseline"/>
                <w:lang w:val="en-US" w:eastAsia="zh-CN"/>
              </w:rPr>
            </w:pPr>
          </w:p>
        </w:tc>
        <w:tc>
          <w:tcPr>
            <w:tcW w:w="2285" w:type="dxa"/>
            <w:vAlign w:val="center"/>
          </w:tcPr>
          <w:p w14:paraId="15410B5E">
            <w:pPr>
              <w:jc w:val="center"/>
              <w:rPr>
                <w:rFonts w:hint="eastAsia"/>
                <w:i w:val="0"/>
                <w:iCs w:val="0"/>
                <w:color w:val="auto"/>
                <w:u w:val="none"/>
                <w:vertAlign w:val="baseline"/>
                <w:lang w:val="en-US" w:eastAsia="zh-CN"/>
              </w:rPr>
            </w:pPr>
          </w:p>
        </w:tc>
      </w:tr>
      <w:tr w14:paraId="3C5D2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4A26E6F">
            <w:pPr>
              <w:jc w:val="center"/>
              <w:rPr>
                <w:rFonts w:hint="eastAsia"/>
                <w:i w:val="0"/>
                <w:iCs w:val="0"/>
                <w:color w:val="auto"/>
                <w:u w:val="none"/>
                <w:vertAlign w:val="baseline"/>
                <w:lang w:val="en-US" w:eastAsia="zh-CN"/>
              </w:rPr>
            </w:pPr>
          </w:p>
        </w:tc>
        <w:tc>
          <w:tcPr>
            <w:tcW w:w="3402" w:type="dxa"/>
            <w:gridSpan w:val="3"/>
            <w:vAlign w:val="center"/>
          </w:tcPr>
          <w:p w14:paraId="4659B957">
            <w:pPr>
              <w:jc w:val="center"/>
              <w:rPr>
                <w:rFonts w:hint="eastAsia"/>
                <w:i w:val="0"/>
                <w:iCs w:val="0"/>
                <w:color w:val="auto"/>
                <w:u w:val="none"/>
                <w:vertAlign w:val="baseline"/>
                <w:lang w:val="en-US" w:eastAsia="zh-CN"/>
              </w:rPr>
            </w:pPr>
          </w:p>
        </w:tc>
        <w:tc>
          <w:tcPr>
            <w:tcW w:w="1701" w:type="dxa"/>
            <w:vAlign w:val="center"/>
          </w:tcPr>
          <w:p w14:paraId="53545000">
            <w:pPr>
              <w:jc w:val="center"/>
              <w:rPr>
                <w:rFonts w:hint="eastAsia"/>
                <w:i w:val="0"/>
                <w:iCs w:val="0"/>
                <w:color w:val="auto"/>
                <w:u w:val="none"/>
                <w:vertAlign w:val="baseline"/>
                <w:lang w:val="en-US" w:eastAsia="zh-CN"/>
              </w:rPr>
            </w:pPr>
          </w:p>
        </w:tc>
        <w:tc>
          <w:tcPr>
            <w:tcW w:w="2285" w:type="dxa"/>
            <w:vAlign w:val="center"/>
          </w:tcPr>
          <w:p w14:paraId="46AF165E">
            <w:pPr>
              <w:jc w:val="center"/>
              <w:rPr>
                <w:rFonts w:hint="eastAsia"/>
                <w:i w:val="0"/>
                <w:iCs w:val="0"/>
                <w:color w:val="auto"/>
                <w:u w:val="none"/>
                <w:vertAlign w:val="baseline"/>
                <w:lang w:val="en-US" w:eastAsia="zh-CN"/>
              </w:rPr>
            </w:pPr>
          </w:p>
        </w:tc>
      </w:tr>
    </w:tbl>
    <w:p w14:paraId="7833DCD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38D859D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408229B7">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14:paraId="10F63EE5">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14:paraId="36E7CDA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14:paraId="799F13F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3226DA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2242493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0622204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07A32E0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49FC6CC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7CA0580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1D5B6F8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409A771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3988CC65">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14:paraId="1A713CB0">
      <w:pPr>
        <w:rPr>
          <w:rFonts w:hint="default" w:ascii="Times New Roman" w:hAnsi="Times New Roman" w:cs="Times New Roman"/>
        </w:rPr>
      </w:pPr>
      <w:r>
        <w:rPr>
          <w:rFonts w:hint="default" w:ascii="Times New Roman" w:hAnsi="Times New Roman" w:cs="Times New Roman"/>
        </w:rPr>
        <w:br w:type="page"/>
      </w:r>
    </w:p>
    <w:p w14:paraId="511E16FA">
      <w:pPr>
        <w:pStyle w:val="3"/>
        <w:jc w:val="center"/>
        <w:rPr>
          <w:rFonts w:hint="default" w:ascii="Times New Roman" w:hAnsi="Times New Roman" w:cs="Times New Roman"/>
        </w:rPr>
      </w:pPr>
      <w:bookmarkStart w:id="490" w:name="_Toc300835233"/>
      <w:bookmarkStart w:id="491"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14:paraId="22290D6E">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1671DBBC">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C978935-51CF-4413-9079-F16998875C57}"/>
  </w:font>
  <w:font w:name="Arial">
    <w:panose1 w:val="020B0604020202020204"/>
    <w:charset w:val="01"/>
    <w:family w:val="swiss"/>
    <w:pitch w:val="default"/>
    <w:sig w:usb0="E0002EFF" w:usb1="C000785B" w:usb2="00000009" w:usb3="00000000" w:csb0="400001FF" w:csb1="FFFF0000"/>
    <w:embedRegular r:id="rId2" w:fontKey="{D8FCFEED-4C86-434A-950A-2FB236528B36}"/>
  </w:font>
  <w:font w:name="黑体">
    <w:panose1 w:val="02010609060101010101"/>
    <w:charset w:val="86"/>
    <w:family w:val="auto"/>
    <w:pitch w:val="default"/>
    <w:sig w:usb0="800002BF" w:usb1="38CF7CFA" w:usb2="00000016" w:usb3="00000000" w:csb0="00040001" w:csb1="00000000"/>
    <w:embedRegular r:id="rId3" w:fontKey="{99A77BB0-AA88-475C-980B-BB7CFF6669E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320C46F3-7139-4E5B-8490-2466AA0D2F23}"/>
  </w:font>
  <w:font w:name="仿宋_GB2312">
    <w:panose1 w:val="02010609030101010101"/>
    <w:charset w:val="86"/>
    <w:family w:val="modern"/>
    <w:pitch w:val="default"/>
    <w:sig w:usb0="00000001" w:usb1="080E0000" w:usb2="00000000" w:usb3="00000000" w:csb0="00040000" w:csb1="00000000"/>
    <w:embedRegular r:id="rId5" w:fontKey="{52175135-6357-4B37-9976-88868B7D5786}"/>
  </w:font>
  <w:font w:name="方正小标宋简体">
    <w:panose1 w:val="02000000000000000000"/>
    <w:charset w:val="86"/>
    <w:family w:val="auto"/>
    <w:pitch w:val="default"/>
    <w:sig w:usb0="00000001" w:usb1="08000000" w:usb2="00000000" w:usb3="00000000" w:csb0="00040000" w:csb1="00000000"/>
    <w:embedRegular r:id="rId6" w:fontKey="{9F899881-6BE1-447F-BAFD-F212A6C1F7E1}"/>
  </w:font>
  <w:font w:name="楷体">
    <w:panose1 w:val="02010609060101010101"/>
    <w:charset w:val="86"/>
    <w:family w:val="auto"/>
    <w:pitch w:val="default"/>
    <w:sig w:usb0="800002BF" w:usb1="38CF7CFA" w:usb2="00000016" w:usb3="00000000" w:csb0="00040001" w:csb1="00000000"/>
    <w:embedRegular r:id="rId7" w:fontKey="{526FB9DD-57DE-46C9-9D71-C388358F6833}"/>
  </w:font>
  <w:font w:name="Wingdings 2">
    <w:panose1 w:val="05020102010507070707"/>
    <w:charset w:val="00"/>
    <w:family w:val="auto"/>
    <w:pitch w:val="default"/>
    <w:sig w:usb0="00000000" w:usb1="00000000" w:usb2="00000000" w:usb3="00000000" w:csb0="80000000" w:csb1="00000000"/>
    <w:embedRegular r:id="rId8" w:fontKey="{3A37D954-4F0B-4C8F-9893-0D2CABD8034A}"/>
  </w:font>
  <w:font w:name="楷体_GB2312">
    <w:panose1 w:val="02010609030101010101"/>
    <w:charset w:val="86"/>
    <w:family w:val="modern"/>
    <w:pitch w:val="default"/>
    <w:sig w:usb0="00000001" w:usb1="080E0000" w:usb2="00000000" w:usb3="00000000" w:csb0="00040000" w:csb1="00000000"/>
    <w:embedRegular r:id="rId9" w:fontKey="{69A0651B-30F8-441D-8AF7-809CE8FF21EB}"/>
  </w:font>
  <w:font w:name="仿宋">
    <w:panose1 w:val="02010609060101010101"/>
    <w:charset w:val="86"/>
    <w:family w:val="modern"/>
    <w:pitch w:val="default"/>
    <w:sig w:usb0="800002BF" w:usb1="38CF7CFA" w:usb2="00000016" w:usb3="00000000" w:csb0="00040001" w:csb1="00000000"/>
    <w:embedRegular r:id="rId10" w:fontKey="{4637D9BC-CC27-4B29-98BA-8680D121C56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2403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4F36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4EFB4F">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24EFB4F">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08AB7">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2609D3"/>
    <w:rsid w:val="002C069E"/>
    <w:rsid w:val="0040224D"/>
    <w:rsid w:val="00490B57"/>
    <w:rsid w:val="00733B0B"/>
    <w:rsid w:val="00764376"/>
    <w:rsid w:val="00796B76"/>
    <w:rsid w:val="00850CC0"/>
    <w:rsid w:val="00B00F2F"/>
    <w:rsid w:val="00FF308E"/>
    <w:rsid w:val="011E6004"/>
    <w:rsid w:val="012704F5"/>
    <w:rsid w:val="0145105E"/>
    <w:rsid w:val="014D0B1B"/>
    <w:rsid w:val="018C519F"/>
    <w:rsid w:val="019846E3"/>
    <w:rsid w:val="01C62A5D"/>
    <w:rsid w:val="01CB0CDF"/>
    <w:rsid w:val="01CD2334"/>
    <w:rsid w:val="01E140D3"/>
    <w:rsid w:val="01EE4D0C"/>
    <w:rsid w:val="01F16263"/>
    <w:rsid w:val="02016132"/>
    <w:rsid w:val="020411DA"/>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5003B3"/>
    <w:rsid w:val="04510922"/>
    <w:rsid w:val="04822C07"/>
    <w:rsid w:val="04885B47"/>
    <w:rsid w:val="04A52387"/>
    <w:rsid w:val="04B54547"/>
    <w:rsid w:val="04CD15E8"/>
    <w:rsid w:val="04CF4810"/>
    <w:rsid w:val="04D63FDF"/>
    <w:rsid w:val="04EB08D2"/>
    <w:rsid w:val="04EC7DA2"/>
    <w:rsid w:val="050252F6"/>
    <w:rsid w:val="0541752E"/>
    <w:rsid w:val="055625ED"/>
    <w:rsid w:val="056F1060"/>
    <w:rsid w:val="0572490A"/>
    <w:rsid w:val="05726DA2"/>
    <w:rsid w:val="057E3D65"/>
    <w:rsid w:val="058253F2"/>
    <w:rsid w:val="05872EB9"/>
    <w:rsid w:val="05933026"/>
    <w:rsid w:val="05BA17C0"/>
    <w:rsid w:val="05D9116E"/>
    <w:rsid w:val="061F0438"/>
    <w:rsid w:val="06292F58"/>
    <w:rsid w:val="063F4D83"/>
    <w:rsid w:val="064B59D4"/>
    <w:rsid w:val="06501BB5"/>
    <w:rsid w:val="06510766"/>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BC4304"/>
    <w:rsid w:val="07EE56D8"/>
    <w:rsid w:val="083726B7"/>
    <w:rsid w:val="08554A0D"/>
    <w:rsid w:val="08563EE1"/>
    <w:rsid w:val="086D3DA1"/>
    <w:rsid w:val="08774BE1"/>
    <w:rsid w:val="088F5820"/>
    <w:rsid w:val="08903F11"/>
    <w:rsid w:val="08932D8F"/>
    <w:rsid w:val="08E13E13"/>
    <w:rsid w:val="08ED571D"/>
    <w:rsid w:val="08F53A28"/>
    <w:rsid w:val="0922447E"/>
    <w:rsid w:val="0926237D"/>
    <w:rsid w:val="092D0C4C"/>
    <w:rsid w:val="09575C1A"/>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C56F1"/>
    <w:rsid w:val="0B0E131B"/>
    <w:rsid w:val="0B1E2F3A"/>
    <w:rsid w:val="0B416906"/>
    <w:rsid w:val="0B5D1C2A"/>
    <w:rsid w:val="0B685C3C"/>
    <w:rsid w:val="0B7202E7"/>
    <w:rsid w:val="0B7C595C"/>
    <w:rsid w:val="0B991D46"/>
    <w:rsid w:val="0B9F686D"/>
    <w:rsid w:val="0BDE31B0"/>
    <w:rsid w:val="0C0B5176"/>
    <w:rsid w:val="0C110CA2"/>
    <w:rsid w:val="0C773477"/>
    <w:rsid w:val="0C9F113B"/>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4A08BC"/>
    <w:rsid w:val="0E626142"/>
    <w:rsid w:val="0E6D3EE4"/>
    <w:rsid w:val="0E8168AC"/>
    <w:rsid w:val="0E9601D9"/>
    <w:rsid w:val="0EBD5965"/>
    <w:rsid w:val="0EDF4D5E"/>
    <w:rsid w:val="0EF860F0"/>
    <w:rsid w:val="0F024085"/>
    <w:rsid w:val="0F1438EF"/>
    <w:rsid w:val="0F422C9C"/>
    <w:rsid w:val="0F463825"/>
    <w:rsid w:val="0F4B0F6A"/>
    <w:rsid w:val="0F575798"/>
    <w:rsid w:val="0F5F5CB1"/>
    <w:rsid w:val="0F6D192D"/>
    <w:rsid w:val="0F6E4AA0"/>
    <w:rsid w:val="0F886069"/>
    <w:rsid w:val="0FA819A2"/>
    <w:rsid w:val="0FCA08C0"/>
    <w:rsid w:val="0FCA14B6"/>
    <w:rsid w:val="0FE42DE8"/>
    <w:rsid w:val="0FFA6EBC"/>
    <w:rsid w:val="101038A7"/>
    <w:rsid w:val="10141182"/>
    <w:rsid w:val="101E2D38"/>
    <w:rsid w:val="10256733"/>
    <w:rsid w:val="10446D2F"/>
    <w:rsid w:val="104957CA"/>
    <w:rsid w:val="104D6EF3"/>
    <w:rsid w:val="105C0433"/>
    <w:rsid w:val="1069417C"/>
    <w:rsid w:val="106C1E4B"/>
    <w:rsid w:val="1074577C"/>
    <w:rsid w:val="108A23D3"/>
    <w:rsid w:val="1095135B"/>
    <w:rsid w:val="10D35E97"/>
    <w:rsid w:val="10F4526F"/>
    <w:rsid w:val="11114551"/>
    <w:rsid w:val="112269D1"/>
    <w:rsid w:val="11356135"/>
    <w:rsid w:val="11800917"/>
    <w:rsid w:val="118955AD"/>
    <w:rsid w:val="11970BCB"/>
    <w:rsid w:val="1197226B"/>
    <w:rsid w:val="11AA0839"/>
    <w:rsid w:val="11C42470"/>
    <w:rsid w:val="11C71895"/>
    <w:rsid w:val="11CD444A"/>
    <w:rsid w:val="11E007AF"/>
    <w:rsid w:val="11E2334D"/>
    <w:rsid w:val="11F058CE"/>
    <w:rsid w:val="11FC3F3B"/>
    <w:rsid w:val="12274A70"/>
    <w:rsid w:val="12445622"/>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A7230D"/>
    <w:rsid w:val="13D35238"/>
    <w:rsid w:val="13D81B1F"/>
    <w:rsid w:val="14061B66"/>
    <w:rsid w:val="142B5FE2"/>
    <w:rsid w:val="14542872"/>
    <w:rsid w:val="147E2423"/>
    <w:rsid w:val="1487273A"/>
    <w:rsid w:val="148C28CB"/>
    <w:rsid w:val="14944440"/>
    <w:rsid w:val="14A059A0"/>
    <w:rsid w:val="14B97B05"/>
    <w:rsid w:val="14BF2D1A"/>
    <w:rsid w:val="14CD31B9"/>
    <w:rsid w:val="14DA6BBE"/>
    <w:rsid w:val="14E67563"/>
    <w:rsid w:val="14F926F4"/>
    <w:rsid w:val="15021B62"/>
    <w:rsid w:val="150A21BA"/>
    <w:rsid w:val="151779D1"/>
    <w:rsid w:val="1522437E"/>
    <w:rsid w:val="15283931"/>
    <w:rsid w:val="15382F40"/>
    <w:rsid w:val="158374C1"/>
    <w:rsid w:val="15A62ECC"/>
    <w:rsid w:val="15B14179"/>
    <w:rsid w:val="15BD5E17"/>
    <w:rsid w:val="15C516BD"/>
    <w:rsid w:val="160475A2"/>
    <w:rsid w:val="166266B1"/>
    <w:rsid w:val="169528F0"/>
    <w:rsid w:val="16C724D4"/>
    <w:rsid w:val="16D411E7"/>
    <w:rsid w:val="16ED0036"/>
    <w:rsid w:val="170756D4"/>
    <w:rsid w:val="17092996"/>
    <w:rsid w:val="170F4587"/>
    <w:rsid w:val="176115DC"/>
    <w:rsid w:val="176D7525"/>
    <w:rsid w:val="17824660"/>
    <w:rsid w:val="178F2FF8"/>
    <w:rsid w:val="179121FE"/>
    <w:rsid w:val="17915931"/>
    <w:rsid w:val="17C41ABF"/>
    <w:rsid w:val="18175D56"/>
    <w:rsid w:val="18276B10"/>
    <w:rsid w:val="18930C59"/>
    <w:rsid w:val="189B5F22"/>
    <w:rsid w:val="18A46C1D"/>
    <w:rsid w:val="18A70256"/>
    <w:rsid w:val="18A944F8"/>
    <w:rsid w:val="18B73074"/>
    <w:rsid w:val="18DA76F1"/>
    <w:rsid w:val="18F54FAA"/>
    <w:rsid w:val="19034C2D"/>
    <w:rsid w:val="1916127C"/>
    <w:rsid w:val="193D465D"/>
    <w:rsid w:val="193D4E12"/>
    <w:rsid w:val="19403463"/>
    <w:rsid w:val="196C6238"/>
    <w:rsid w:val="197E233C"/>
    <w:rsid w:val="198A59D6"/>
    <w:rsid w:val="19A73D74"/>
    <w:rsid w:val="19AA5416"/>
    <w:rsid w:val="19C332D1"/>
    <w:rsid w:val="19CE7FF6"/>
    <w:rsid w:val="19D70C6D"/>
    <w:rsid w:val="19E2271F"/>
    <w:rsid w:val="19F618F8"/>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C1CA3"/>
    <w:rsid w:val="1C4E114E"/>
    <w:rsid w:val="1C5D5F8B"/>
    <w:rsid w:val="1C6E241C"/>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37319"/>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9E2816"/>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06010"/>
    <w:rsid w:val="209740BF"/>
    <w:rsid w:val="2099242E"/>
    <w:rsid w:val="20B0411F"/>
    <w:rsid w:val="20D658C9"/>
    <w:rsid w:val="20D858B3"/>
    <w:rsid w:val="20D95B5B"/>
    <w:rsid w:val="20DC2416"/>
    <w:rsid w:val="20F22231"/>
    <w:rsid w:val="20FC3C98"/>
    <w:rsid w:val="21015C26"/>
    <w:rsid w:val="21121083"/>
    <w:rsid w:val="211518DD"/>
    <w:rsid w:val="212B2F31"/>
    <w:rsid w:val="21327DB2"/>
    <w:rsid w:val="213A06E6"/>
    <w:rsid w:val="213D6756"/>
    <w:rsid w:val="213D7BD8"/>
    <w:rsid w:val="214C4EC5"/>
    <w:rsid w:val="2153567F"/>
    <w:rsid w:val="21592826"/>
    <w:rsid w:val="217422B6"/>
    <w:rsid w:val="217F6677"/>
    <w:rsid w:val="2188758A"/>
    <w:rsid w:val="21A61686"/>
    <w:rsid w:val="21C13A32"/>
    <w:rsid w:val="22270787"/>
    <w:rsid w:val="224D73DD"/>
    <w:rsid w:val="22592601"/>
    <w:rsid w:val="22603DB2"/>
    <w:rsid w:val="226D7B83"/>
    <w:rsid w:val="2293123C"/>
    <w:rsid w:val="22A570EC"/>
    <w:rsid w:val="232E56FD"/>
    <w:rsid w:val="233F5F96"/>
    <w:rsid w:val="235518B2"/>
    <w:rsid w:val="235F4D23"/>
    <w:rsid w:val="236D4028"/>
    <w:rsid w:val="238A4DFC"/>
    <w:rsid w:val="23AC3728"/>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D24FC7"/>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B41BC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3A32F8"/>
    <w:rsid w:val="285F5293"/>
    <w:rsid w:val="28622D71"/>
    <w:rsid w:val="286E69FD"/>
    <w:rsid w:val="28A10C81"/>
    <w:rsid w:val="28C56178"/>
    <w:rsid w:val="28FA546B"/>
    <w:rsid w:val="28FE025E"/>
    <w:rsid w:val="290905B0"/>
    <w:rsid w:val="29245F1A"/>
    <w:rsid w:val="29366359"/>
    <w:rsid w:val="29583A35"/>
    <w:rsid w:val="29586D7A"/>
    <w:rsid w:val="29772B51"/>
    <w:rsid w:val="29791894"/>
    <w:rsid w:val="29791BFE"/>
    <w:rsid w:val="2984235F"/>
    <w:rsid w:val="29967FD2"/>
    <w:rsid w:val="29A52D8F"/>
    <w:rsid w:val="29C56C3A"/>
    <w:rsid w:val="29D85278"/>
    <w:rsid w:val="29E1380C"/>
    <w:rsid w:val="29E85046"/>
    <w:rsid w:val="2A017BFD"/>
    <w:rsid w:val="2A0A71F8"/>
    <w:rsid w:val="2A4913A2"/>
    <w:rsid w:val="2A5833C3"/>
    <w:rsid w:val="2A9154D8"/>
    <w:rsid w:val="2AA04C57"/>
    <w:rsid w:val="2AD750C3"/>
    <w:rsid w:val="2AE77D08"/>
    <w:rsid w:val="2AEA3011"/>
    <w:rsid w:val="2AFA0B1C"/>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609D7"/>
    <w:rsid w:val="2C9D6A04"/>
    <w:rsid w:val="2CB62598"/>
    <w:rsid w:val="2CBC136A"/>
    <w:rsid w:val="2CCB09C2"/>
    <w:rsid w:val="2CD47877"/>
    <w:rsid w:val="2CFE607B"/>
    <w:rsid w:val="2D095409"/>
    <w:rsid w:val="2D3A3199"/>
    <w:rsid w:val="2D4B38E7"/>
    <w:rsid w:val="2D5470D9"/>
    <w:rsid w:val="2D551303"/>
    <w:rsid w:val="2D772574"/>
    <w:rsid w:val="2D8D31B7"/>
    <w:rsid w:val="2D8D5835"/>
    <w:rsid w:val="2DAB1C25"/>
    <w:rsid w:val="2DCC12FC"/>
    <w:rsid w:val="2DD66E3A"/>
    <w:rsid w:val="2DDC3B25"/>
    <w:rsid w:val="2DF17D73"/>
    <w:rsid w:val="2E0028ED"/>
    <w:rsid w:val="2E652B8E"/>
    <w:rsid w:val="2E66167A"/>
    <w:rsid w:val="2E6C7EF1"/>
    <w:rsid w:val="2E6D69DB"/>
    <w:rsid w:val="2E6F6584"/>
    <w:rsid w:val="2E7823B0"/>
    <w:rsid w:val="2E933BCE"/>
    <w:rsid w:val="2E9C6490"/>
    <w:rsid w:val="2EA40069"/>
    <w:rsid w:val="2EAA3B87"/>
    <w:rsid w:val="2EB66E96"/>
    <w:rsid w:val="2EBC23A0"/>
    <w:rsid w:val="2ED31DB0"/>
    <w:rsid w:val="2EFA0191"/>
    <w:rsid w:val="2F436846"/>
    <w:rsid w:val="2F4556CE"/>
    <w:rsid w:val="2F6F3C93"/>
    <w:rsid w:val="2F754A27"/>
    <w:rsid w:val="2FB1448A"/>
    <w:rsid w:val="2FC802AE"/>
    <w:rsid w:val="301C41BF"/>
    <w:rsid w:val="302369A0"/>
    <w:rsid w:val="303474C0"/>
    <w:rsid w:val="305C41A9"/>
    <w:rsid w:val="307C26FF"/>
    <w:rsid w:val="30820205"/>
    <w:rsid w:val="308E41B5"/>
    <w:rsid w:val="30952C59"/>
    <w:rsid w:val="30FF4D69"/>
    <w:rsid w:val="310149B3"/>
    <w:rsid w:val="310E5321"/>
    <w:rsid w:val="3113559B"/>
    <w:rsid w:val="311978DB"/>
    <w:rsid w:val="312421F6"/>
    <w:rsid w:val="3127420C"/>
    <w:rsid w:val="31477BEB"/>
    <w:rsid w:val="315523B1"/>
    <w:rsid w:val="3198056E"/>
    <w:rsid w:val="31CD31BF"/>
    <w:rsid w:val="31D72AD0"/>
    <w:rsid w:val="31E10F55"/>
    <w:rsid w:val="31F664E1"/>
    <w:rsid w:val="320B7F80"/>
    <w:rsid w:val="3219008D"/>
    <w:rsid w:val="32215B79"/>
    <w:rsid w:val="322241F2"/>
    <w:rsid w:val="3229379D"/>
    <w:rsid w:val="32294133"/>
    <w:rsid w:val="322D5AFA"/>
    <w:rsid w:val="32514C44"/>
    <w:rsid w:val="32543208"/>
    <w:rsid w:val="328916BE"/>
    <w:rsid w:val="32974C7A"/>
    <w:rsid w:val="32B15ECE"/>
    <w:rsid w:val="32BB4ABE"/>
    <w:rsid w:val="32C8549C"/>
    <w:rsid w:val="32CA16D9"/>
    <w:rsid w:val="32E83928"/>
    <w:rsid w:val="32F45590"/>
    <w:rsid w:val="331C19F3"/>
    <w:rsid w:val="33380434"/>
    <w:rsid w:val="334D0383"/>
    <w:rsid w:val="33577373"/>
    <w:rsid w:val="336A419B"/>
    <w:rsid w:val="336A59CC"/>
    <w:rsid w:val="33773188"/>
    <w:rsid w:val="337E77C9"/>
    <w:rsid w:val="338F53C2"/>
    <w:rsid w:val="33925662"/>
    <w:rsid w:val="339B7AA1"/>
    <w:rsid w:val="33B7637D"/>
    <w:rsid w:val="33D4661F"/>
    <w:rsid w:val="33EB6BBC"/>
    <w:rsid w:val="33ED39C2"/>
    <w:rsid w:val="340F56DE"/>
    <w:rsid w:val="3425597D"/>
    <w:rsid w:val="342A5DF5"/>
    <w:rsid w:val="344851FD"/>
    <w:rsid w:val="349B5E0E"/>
    <w:rsid w:val="34A432B6"/>
    <w:rsid w:val="34AA020B"/>
    <w:rsid w:val="34BC17DA"/>
    <w:rsid w:val="34D015E3"/>
    <w:rsid w:val="34F85DA8"/>
    <w:rsid w:val="3509398E"/>
    <w:rsid w:val="35422B89"/>
    <w:rsid w:val="3547266B"/>
    <w:rsid w:val="3554479E"/>
    <w:rsid w:val="357D63E5"/>
    <w:rsid w:val="357F00D0"/>
    <w:rsid w:val="35894506"/>
    <w:rsid w:val="35A377DB"/>
    <w:rsid w:val="35A44686"/>
    <w:rsid w:val="35E7387F"/>
    <w:rsid w:val="35E81F7A"/>
    <w:rsid w:val="35EF4AF5"/>
    <w:rsid w:val="35F52BF3"/>
    <w:rsid w:val="360530D8"/>
    <w:rsid w:val="3605698A"/>
    <w:rsid w:val="36162F1C"/>
    <w:rsid w:val="363277D2"/>
    <w:rsid w:val="366244D5"/>
    <w:rsid w:val="36A82C1D"/>
    <w:rsid w:val="36B34449"/>
    <w:rsid w:val="36C342D9"/>
    <w:rsid w:val="36E25286"/>
    <w:rsid w:val="370F2E93"/>
    <w:rsid w:val="370F32ED"/>
    <w:rsid w:val="371B2546"/>
    <w:rsid w:val="374E35E0"/>
    <w:rsid w:val="37560CC6"/>
    <w:rsid w:val="37857C22"/>
    <w:rsid w:val="378D0CEB"/>
    <w:rsid w:val="379A026D"/>
    <w:rsid w:val="37A2207E"/>
    <w:rsid w:val="37A2434F"/>
    <w:rsid w:val="37ED6D6E"/>
    <w:rsid w:val="380C3B20"/>
    <w:rsid w:val="381039F4"/>
    <w:rsid w:val="381B27FE"/>
    <w:rsid w:val="38422CE2"/>
    <w:rsid w:val="38464281"/>
    <w:rsid w:val="386E21B0"/>
    <w:rsid w:val="38741F0E"/>
    <w:rsid w:val="388008B3"/>
    <w:rsid w:val="38AE496C"/>
    <w:rsid w:val="38B54D45"/>
    <w:rsid w:val="38D242CD"/>
    <w:rsid w:val="393E0C7A"/>
    <w:rsid w:val="39470BCD"/>
    <w:rsid w:val="39821F75"/>
    <w:rsid w:val="3986639D"/>
    <w:rsid w:val="398B5520"/>
    <w:rsid w:val="398C3DB7"/>
    <w:rsid w:val="39AB6275"/>
    <w:rsid w:val="39E17621"/>
    <w:rsid w:val="39F227B1"/>
    <w:rsid w:val="39F23A32"/>
    <w:rsid w:val="3A151290"/>
    <w:rsid w:val="3A201663"/>
    <w:rsid w:val="3A257964"/>
    <w:rsid w:val="3A292038"/>
    <w:rsid w:val="3A4A1178"/>
    <w:rsid w:val="3A524E6B"/>
    <w:rsid w:val="3A762A49"/>
    <w:rsid w:val="3A826354"/>
    <w:rsid w:val="3A9D28F5"/>
    <w:rsid w:val="3ACD43C9"/>
    <w:rsid w:val="3AFA0DF0"/>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E50FB"/>
    <w:rsid w:val="3C37637A"/>
    <w:rsid w:val="3C3C0578"/>
    <w:rsid w:val="3C3C71E7"/>
    <w:rsid w:val="3C4816E7"/>
    <w:rsid w:val="3C4A12AD"/>
    <w:rsid w:val="3C5125FC"/>
    <w:rsid w:val="3C690ECB"/>
    <w:rsid w:val="3C6B7ACC"/>
    <w:rsid w:val="3C860AC6"/>
    <w:rsid w:val="3C8967A4"/>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D71449"/>
    <w:rsid w:val="3EF62661"/>
    <w:rsid w:val="3F0F0BE2"/>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970A1B"/>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C8302C"/>
    <w:rsid w:val="45E526C2"/>
    <w:rsid w:val="45EF5694"/>
    <w:rsid w:val="45F32D75"/>
    <w:rsid w:val="45FE4441"/>
    <w:rsid w:val="46024FFD"/>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15A25"/>
    <w:rsid w:val="47B35BF8"/>
    <w:rsid w:val="47C01A50"/>
    <w:rsid w:val="47C041C7"/>
    <w:rsid w:val="47CB4E60"/>
    <w:rsid w:val="47CD1E0C"/>
    <w:rsid w:val="47D964DB"/>
    <w:rsid w:val="47FC33A5"/>
    <w:rsid w:val="48012A31"/>
    <w:rsid w:val="481D4366"/>
    <w:rsid w:val="482A37B7"/>
    <w:rsid w:val="485803F1"/>
    <w:rsid w:val="485E2C28"/>
    <w:rsid w:val="4865215C"/>
    <w:rsid w:val="486942C4"/>
    <w:rsid w:val="487B552A"/>
    <w:rsid w:val="48842F37"/>
    <w:rsid w:val="48A34F21"/>
    <w:rsid w:val="48B05292"/>
    <w:rsid w:val="48B971DC"/>
    <w:rsid w:val="48C82D2E"/>
    <w:rsid w:val="48EC5AF0"/>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F93EAE"/>
    <w:rsid w:val="4AFC3A3A"/>
    <w:rsid w:val="4B311212"/>
    <w:rsid w:val="4B3E6720"/>
    <w:rsid w:val="4B43535A"/>
    <w:rsid w:val="4B476348"/>
    <w:rsid w:val="4B625BF7"/>
    <w:rsid w:val="4BB00F60"/>
    <w:rsid w:val="4BB21AF4"/>
    <w:rsid w:val="4BB54107"/>
    <w:rsid w:val="4BB67EEE"/>
    <w:rsid w:val="4BD17814"/>
    <w:rsid w:val="4BDC5109"/>
    <w:rsid w:val="4BE84FA7"/>
    <w:rsid w:val="4BE97F10"/>
    <w:rsid w:val="4BF70C92"/>
    <w:rsid w:val="4BFD0513"/>
    <w:rsid w:val="4C005E77"/>
    <w:rsid w:val="4C1A02C6"/>
    <w:rsid w:val="4C2B76C1"/>
    <w:rsid w:val="4C5419A1"/>
    <w:rsid w:val="4C5429A3"/>
    <w:rsid w:val="4C645A11"/>
    <w:rsid w:val="4C804ECE"/>
    <w:rsid w:val="4C87254B"/>
    <w:rsid w:val="4CDE4416"/>
    <w:rsid w:val="4D004DF6"/>
    <w:rsid w:val="4D1C2C8C"/>
    <w:rsid w:val="4D1E77BE"/>
    <w:rsid w:val="4D245FC5"/>
    <w:rsid w:val="4D2B3B2C"/>
    <w:rsid w:val="4DA943B0"/>
    <w:rsid w:val="4DC515BB"/>
    <w:rsid w:val="4DCB5984"/>
    <w:rsid w:val="4DD64458"/>
    <w:rsid w:val="4DDD4E1A"/>
    <w:rsid w:val="4DE00A28"/>
    <w:rsid w:val="4E135BFA"/>
    <w:rsid w:val="4E1B2DDB"/>
    <w:rsid w:val="4E250E8C"/>
    <w:rsid w:val="4E355E12"/>
    <w:rsid w:val="4E5D7C3A"/>
    <w:rsid w:val="4E8D762E"/>
    <w:rsid w:val="4E9B1112"/>
    <w:rsid w:val="4EA06365"/>
    <w:rsid w:val="4EBD3915"/>
    <w:rsid w:val="4ECD54B1"/>
    <w:rsid w:val="4ED4046B"/>
    <w:rsid w:val="4ED649D4"/>
    <w:rsid w:val="4EDF4B15"/>
    <w:rsid w:val="4EF43B16"/>
    <w:rsid w:val="4F0E1E8F"/>
    <w:rsid w:val="4F2B6C13"/>
    <w:rsid w:val="4F3153D3"/>
    <w:rsid w:val="4F5F3ED1"/>
    <w:rsid w:val="4F804E7C"/>
    <w:rsid w:val="4F85516A"/>
    <w:rsid w:val="4F944D8F"/>
    <w:rsid w:val="4FCA5221"/>
    <w:rsid w:val="4FED0FB9"/>
    <w:rsid w:val="502B33A2"/>
    <w:rsid w:val="50561719"/>
    <w:rsid w:val="507410D2"/>
    <w:rsid w:val="50A4392E"/>
    <w:rsid w:val="50A97681"/>
    <w:rsid w:val="50AE3B94"/>
    <w:rsid w:val="50AF5D81"/>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DB0D6E"/>
    <w:rsid w:val="51EB5979"/>
    <w:rsid w:val="52195BA8"/>
    <w:rsid w:val="521A0101"/>
    <w:rsid w:val="52241967"/>
    <w:rsid w:val="52263E21"/>
    <w:rsid w:val="522D1CB6"/>
    <w:rsid w:val="52444C58"/>
    <w:rsid w:val="5263075C"/>
    <w:rsid w:val="52660A26"/>
    <w:rsid w:val="52717995"/>
    <w:rsid w:val="52727703"/>
    <w:rsid w:val="528315FB"/>
    <w:rsid w:val="52835444"/>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52E21"/>
    <w:rsid w:val="535D3886"/>
    <w:rsid w:val="536C4A63"/>
    <w:rsid w:val="538C7248"/>
    <w:rsid w:val="539B26A9"/>
    <w:rsid w:val="53A201DA"/>
    <w:rsid w:val="53B22D34"/>
    <w:rsid w:val="53B6236C"/>
    <w:rsid w:val="53BD6F30"/>
    <w:rsid w:val="540540F5"/>
    <w:rsid w:val="54161C73"/>
    <w:rsid w:val="54231D7C"/>
    <w:rsid w:val="542913B3"/>
    <w:rsid w:val="543A39C2"/>
    <w:rsid w:val="543F18BA"/>
    <w:rsid w:val="54883400"/>
    <w:rsid w:val="54932F58"/>
    <w:rsid w:val="54A81CB5"/>
    <w:rsid w:val="54C41B11"/>
    <w:rsid w:val="54F31D20"/>
    <w:rsid w:val="550E49C6"/>
    <w:rsid w:val="55124B31"/>
    <w:rsid w:val="55A47D96"/>
    <w:rsid w:val="55C94049"/>
    <w:rsid w:val="55DA287E"/>
    <w:rsid w:val="55DD1819"/>
    <w:rsid w:val="55EE6DAD"/>
    <w:rsid w:val="56073162"/>
    <w:rsid w:val="5609127C"/>
    <w:rsid w:val="56243B92"/>
    <w:rsid w:val="563C00B7"/>
    <w:rsid w:val="563D619D"/>
    <w:rsid w:val="56413F2B"/>
    <w:rsid w:val="56537C47"/>
    <w:rsid w:val="56A010C0"/>
    <w:rsid w:val="56B96B8E"/>
    <w:rsid w:val="56C747B5"/>
    <w:rsid w:val="56D42684"/>
    <w:rsid w:val="56DD2471"/>
    <w:rsid w:val="571974A0"/>
    <w:rsid w:val="57210A6D"/>
    <w:rsid w:val="5744214A"/>
    <w:rsid w:val="574B480A"/>
    <w:rsid w:val="57543081"/>
    <w:rsid w:val="57827D4C"/>
    <w:rsid w:val="5789649C"/>
    <w:rsid w:val="57A373F0"/>
    <w:rsid w:val="57C83C57"/>
    <w:rsid w:val="57FB2FB4"/>
    <w:rsid w:val="582028C2"/>
    <w:rsid w:val="582908A2"/>
    <w:rsid w:val="583D07DD"/>
    <w:rsid w:val="585F1862"/>
    <w:rsid w:val="58620D26"/>
    <w:rsid w:val="58706FB1"/>
    <w:rsid w:val="587C5983"/>
    <w:rsid w:val="58E8415E"/>
    <w:rsid w:val="58ED1995"/>
    <w:rsid w:val="58FF1A45"/>
    <w:rsid w:val="591578E8"/>
    <w:rsid w:val="591C580B"/>
    <w:rsid w:val="5926497A"/>
    <w:rsid w:val="592A1893"/>
    <w:rsid w:val="595D3E12"/>
    <w:rsid w:val="59961EFB"/>
    <w:rsid w:val="59A11353"/>
    <w:rsid w:val="59B40569"/>
    <w:rsid w:val="59CA7788"/>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6D2AC1"/>
    <w:rsid w:val="5B790B4E"/>
    <w:rsid w:val="5B7A2400"/>
    <w:rsid w:val="5B9307A2"/>
    <w:rsid w:val="5B9B626D"/>
    <w:rsid w:val="5BA762EC"/>
    <w:rsid w:val="5BD32897"/>
    <w:rsid w:val="5BF50A44"/>
    <w:rsid w:val="5C295CCC"/>
    <w:rsid w:val="5C381A3A"/>
    <w:rsid w:val="5C5C135C"/>
    <w:rsid w:val="5C6E0033"/>
    <w:rsid w:val="5C872DAA"/>
    <w:rsid w:val="5C974816"/>
    <w:rsid w:val="5C9C18B0"/>
    <w:rsid w:val="5CA97228"/>
    <w:rsid w:val="5CB214C2"/>
    <w:rsid w:val="5CBA57BD"/>
    <w:rsid w:val="5CC5471C"/>
    <w:rsid w:val="5CDC5386"/>
    <w:rsid w:val="5CEE7B85"/>
    <w:rsid w:val="5CF07506"/>
    <w:rsid w:val="5CF73D69"/>
    <w:rsid w:val="5D202057"/>
    <w:rsid w:val="5D46361A"/>
    <w:rsid w:val="5D4700C2"/>
    <w:rsid w:val="5D6C4615"/>
    <w:rsid w:val="5D71365A"/>
    <w:rsid w:val="5D7C5A81"/>
    <w:rsid w:val="5DD31E8F"/>
    <w:rsid w:val="5DDF2196"/>
    <w:rsid w:val="5DF704AE"/>
    <w:rsid w:val="5DF954B7"/>
    <w:rsid w:val="5DF9688E"/>
    <w:rsid w:val="5DFF05CD"/>
    <w:rsid w:val="5E1672C2"/>
    <w:rsid w:val="5E1B6033"/>
    <w:rsid w:val="5E2612F9"/>
    <w:rsid w:val="5E534129"/>
    <w:rsid w:val="5E6E3C24"/>
    <w:rsid w:val="5E7255BD"/>
    <w:rsid w:val="5E7457CA"/>
    <w:rsid w:val="5E937CCC"/>
    <w:rsid w:val="5EF83794"/>
    <w:rsid w:val="5F0173CC"/>
    <w:rsid w:val="5F1A1A93"/>
    <w:rsid w:val="5F287F7E"/>
    <w:rsid w:val="5F475677"/>
    <w:rsid w:val="5F484198"/>
    <w:rsid w:val="5F567498"/>
    <w:rsid w:val="5F7D71F9"/>
    <w:rsid w:val="5F8420E2"/>
    <w:rsid w:val="5F887220"/>
    <w:rsid w:val="5F9022AB"/>
    <w:rsid w:val="5F92060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1D6D37"/>
    <w:rsid w:val="61251167"/>
    <w:rsid w:val="613170F5"/>
    <w:rsid w:val="61432D9E"/>
    <w:rsid w:val="61683AEB"/>
    <w:rsid w:val="618A70BC"/>
    <w:rsid w:val="618D5E50"/>
    <w:rsid w:val="61963F6D"/>
    <w:rsid w:val="61BD1F9D"/>
    <w:rsid w:val="61BF7DEE"/>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290D0C"/>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05D2A"/>
    <w:rsid w:val="65991D3E"/>
    <w:rsid w:val="659E280B"/>
    <w:rsid w:val="65B74A52"/>
    <w:rsid w:val="65BD55BD"/>
    <w:rsid w:val="65BE2C69"/>
    <w:rsid w:val="65C53449"/>
    <w:rsid w:val="65D460C3"/>
    <w:rsid w:val="65F27286"/>
    <w:rsid w:val="6602655A"/>
    <w:rsid w:val="66037BA1"/>
    <w:rsid w:val="660D45C7"/>
    <w:rsid w:val="66155147"/>
    <w:rsid w:val="66280ABB"/>
    <w:rsid w:val="666717B3"/>
    <w:rsid w:val="6668032B"/>
    <w:rsid w:val="667C4290"/>
    <w:rsid w:val="669A0044"/>
    <w:rsid w:val="66AB481F"/>
    <w:rsid w:val="66C95898"/>
    <w:rsid w:val="66F8201A"/>
    <w:rsid w:val="671C5A04"/>
    <w:rsid w:val="6739092B"/>
    <w:rsid w:val="67397CF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7F7F1E"/>
    <w:rsid w:val="688C0656"/>
    <w:rsid w:val="68AE1735"/>
    <w:rsid w:val="68B72950"/>
    <w:rsid w:val="68C47A98"/>
    <w:rsid w:val="68CD1043"/>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AC2823"/>
    <w:rsid w:val="6BB704F9"/>
    <w:rsid w:val="6BBD5024"/>
    <w:rsid w:val="6BF37DF1"/>
    <w:rsid w:val="6C630CE9"/>
    <w:rsid w:val="6C7672FB"/>
    <w:rsid w:val="6C914CAA"/>
    <w:rsid w:val="6CB57E24"/>
    <w:rsid w:val="6CCC3665"/>
    <w:rsid w:val="6CEC0F34"/>
    <w:rsid w:val="6CF73CA4"/>
    <w:rsid w:val="6D005FF7"/>
    <w:rsid w:val="6D021C57"/>
    <w:rsid w:val="6D05105B"/>
    <w:rsid w:val="6D207FCD"/>
    <w:rsid w:val="6D280C36"/>
    <w:rsid w:val="6D286C4C"/>
    <w:rsid w:val="6D2B5B01"/>
    <w:rsid w:val="6D3056A3"/>
    <w:rsid w:val="6D36363D"/>
    <w:rsid w:val="6D381497"/>
    <w:rsid w:val="6D6A2DB3"/>
    <w:rsid w:val="6D6A69AA"/>
    <w:rsid w:val="6D6F3EA8"/>
    <w:rsid w:val="6D79127B"/>
    <w:rsid w:val="6D832281"/>
    <w:rsid w:val="6DB14A8F"/>
    <w:rsid w:val="6DC237AE"/>
    <w:rsid w:val="6DF37591"/>
    <w:rsid w:val="6DF91502"/>
    <w:rsid w:val="6E01482E"/>
    <w:rsid w:val="6E0D1941"/>
    <w:rsid w:val="6E18292B"/>
    <w:rsid w:val="6E402C35"/>
    <w:rsid w:val="6E403BCF"/>
    <w:rsid w:val="6E424CF7"/>
    <w:rsid w:val="6E96703D"/>
    <w:rsid w:val="6E984122"/>
    <w:rsid w:val="6E9F50AB"/>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6FFB46E7"/>
    <w:rsid w:val="700148B1"/>
    <w:rsid w:val="700708F2"/>
    <w:rsid w:val="70262445"/>
    <w:rsid w:val="70796EB7"/>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1C22345"/>
    <w:rsid w:val="72005730"/>
    <w:rsid w:val="72280301"/>
    <w:rsid w:val="7231753D"/>
    <w:rsid w:val="72386C6E"/>
    <w:rsid w:val="723A3057"/>
    <w:rsid w:val="72400885"/>
    <w:rsid w:val="724B6026"/>
    <w:rsid w:val="725273EA"/>
    <w:rsid w:val="725B1897"/>
    <w:rsid w:val="7260368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8C1DB2"/>
    <w:rsid w:val="749018A2"/>
    <w:rsid w:val="74D94903"/>
    <w:rsid w:val="74DC7834"/>
    <w:rsid w:val="74E271F1"/>
    <w:rsid w:val="75326EC3"/>
    <w:rsid w:val="75474A77"/>
    <w:rsid w:val="7551327B"/>
    <w:rsid w:val="755F3E02"/>
    <w:rsid w:val="755F782E"/>
    <w:rsid w:val="75A16A9F"/>
    <w:rsid w:val="75BC6CCF"/>
    <w:rsid w:val="75E27D49"/>
    <w:rsid w:val="761867BE"/>
    <w:rsid w:val="76190A4A"/>
    <w:rsid w:val="76365AD0"/>
    <w:rsid w:val="76450CDE"/>
    <w:rsid w:val="765D57EA"/>
    <w:rsid w:val="7688585F"/>
    <w:rsid w:val="769B452E"/>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6E7A1A"/>
    <w:rsid w:val="78731F0E"/>
    <w:rsid w:val="78754CBA"/>
    <w:rsid w:val="78962FA5"/>
    <w:rsid w:val="78C148AC"/>
    <w:rsid w:val="78CA1FEE"/>
    <w:rsid w:val="78CB3FEB"/>
    <w:rsid w:val="793B5CE2"/>
    <w:rsid w:val="795C411F"/>
    <w:rsid w:val="796834B3"/>
    <w:rsid w:val="797B3C8A"/>
    <w:rsid w:val="797F45FC"/>
    <w:rsid w:val="79970647"/>
    <w:rsid w:val="799F326C"/>
    <w:rsid w:val="79D9682C"/>
    <w:rsid w:val="79DB75C0"/>
    <w:rsid w:val="79E37881"/>
    <w:rsid w:val="79E4486C"/>
    <w:rsid w:val="79EA2E0E"/>
    <w:rsid w:val="79ED08FA"/>
    <w:rsid w:val="7A067AFA"/>
    <w:rsid w:val="7A0C585A"/>
    <w:rsid w:val="7A290AB6"/>
    <w:rsid w:val="7A2C7450"/>
    <w:rsid w:val="7A326B5A"/>
    <w:rsid w:val="7A553725"/>
    <w:rsid w:val="7A616D0A"/>
    <w:rsid w:val="7A623CC9"/>
    <w:rsid w:val="7A7F2C76"/>
    <w:rsid w:val="7AAC462A"/>
    <w:rsid w:val="7AF84FA0"/>
    <w:rsid w:val="7AF909C6"/>
    <w:rsid w:val="7B6273C9"/>
    <w:rsid w:val="7B6F1BD0"/>
    <w:rsid w:val="7B732126"/>
    <w:rsid w:val="7B755C15"/>
    <w:rsid w:val="7B7B20CE"/>
    <w:rsid w:val="7B8E1216"/>
    <w:rsid w:val="7B9A1345"/>
    <w:rsid w:val="7BCA6C86"/>
    <w:rsid w:val="7C003703"/>
    <w:rsid w:val="7C044DA1"/>
    <w:rsid w:val="7C365DE1"/>
    <w:rsid w:val="7C627EFC"/>
    <w:rsid w:val="7CA33449"/>
    <w:rsid w:val="7CC876FF"/>
    <w:rsid w:val="7CCE4D69"/>
    <w:rsid w:val="7D0A0BA4"/>
    <w:rsid w:val="7D107AF3"/>
    <w:rsid w:val="7D11554A"/>
    <w:rsid w:val="7D4253C7"/>
    <w:rsid w:val="7D4C5341"/>
    <w:rsid w:val="7D4E5EE6"/>
    <w:rsid w:val="7D8901AD"/>
    <w:rsid w:val="7D8E577D"/>
    <w:rsid w:val="7D9A426A"/>
    <w:rsid w:val="7E006F08"/>
    <w:rsid w:val="7E01736D"/>
    <w:rsid w:val="7E333E03"/>
    <w:rsid w:val="7E391FE6"/>
    <w:rsid w:val="7E916762"/>
    <w:rsid w:val="7EA916FD"/>
    <w:rsid w:val="7EAB552B"/>
    <w:rsid w:val="7EE53C64"/>
    <w:rsid w:val="7F0914F8"/>
    <w:rsid w:val="7F541580"/>
    <w:rsid w:val="7F590594"/>
    <w:rsid w:val="7F5A7CC7"/>
    <w:rsid w:val="7F667225"/>
    <w:rsid w:val="7F7B2EF8"/>
    <w:rsid w:val="7F806779"/>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19847</Words>
  <Characters>21920</Characters>
  <Lines>0</Lines>
  <Paragraphs>0</Paragraphs>
  <TotalTime>0</TotalTime>
  <ScaleCrop>false</ScaleCrop>
  <LinksUpToDate>false</LinksUpToDate>
  <CharactersWithSpaces>23620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2024-08-13T03:38:00Z</cp:lastPrinted>
  <dcterms:modified xsi:type="dcterms:W3CDTF">2024-08-14T03:41:32Z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205216B3990D43469E279469CA3FE1FA_13</vt:lpwstr>
  </property>
</Properties>
</file>